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ED" w:rsidRPr="00AA229D" w:rsidRDefault="008D110B" w:rsidP="008D110B">
      <w:pPr>
        <w:jc w:val="center"/>
        <w:rPr>
          <w:b/>
          <w:sz w:val="22"/>
          <w:szCs w:val="22"/>
        </w:rPr>
      </w:pPr>
      <w:r w:rsidRPr="00AA229D">
        <w:rPr>
          <w:b/>
          <w:sz w:val="22"/>
          <w:szCs w:val="22"/>
        </w:rPr>
        <w:t>Supplementary tables</w:t>
      </w:r>
      <w:r w:rsidR="001C790C">
        <w:rPr>
          <w:b/>
          <w:sz w:val="22"/>
          <w:szCs w:val="22"/>
        </w:rPr>
        <w:t xml:space="preserve"> and figures</w:t>
      </w:r>
    </w:p>
    <w:p w:rsidR="004D75ED" w:rsidRPr="00AA229D" w:rsidRDefault="004D75ED" w:rsidP="008D110B">
      <w:pPr>
        <w:jc w:val="center"/>
        <w:rPr>
          <w:b/>
          <w:sz w:val="22"/>
          <w:szCs w:val="22"/>
        </w:rPr>
      </w:pPr>
    </w:p>
    <w:p w:rsidR="00AA229D" w:rsidRPr="00AA229D" w:rsidRDefault="00AA229D" w:rsidP="00645010">
      <w:pPr>
        <w:rPr>
          <w:sz w:val="24"/>
          <w:szCs w:val="24"/>
        </w:rPr>
      </w:pPr>
    </w:p>
    <w:p w:rsidR="00645010" w:rsidRPr="001C790C" w:rsidRDefault="00645010" w:rsidP="00645010">
      <w:pPr>
        <w:rPr>
          <w:rFonts w:eastAsia="Cambria"/>
          <w:b/>
          <w:color w:val="auto"/>
          <w:kern w:val="0"/>
          <w:sz w:val="24"/>
          <w:szCs w:val="24"/>
          <w:lang w:val="en-US" w:eastAsia="en-US"/>
        </w:rPr>
      </w:pPr>
      <w:r w:rsidRPr="001C790C">
        <w:rPr>
          <w:b/>
          <w:sz w:val="24"/>
          <w:szCs w:val="24"/>
        </w:rPr>
        <w:t xml:space="preserve">Supplementary </w:t>
      </w:r>
      <w:r w:rsidR="00AA229D" w:rsidRPr="001C790C">
        <w:rPr>
          <w:b/>
          <w:sz w:val="24"/>
          <w:szCs w:val="24"/>
        </w:rPr>
        <w:t>Digital Content</w:t>
      </w:r>
      <w:r w:rsidRPr="001C790C">
        <w:rPr>
          <w:b/>
          <w:sz w:val="24"/>
          <w:szCs w:val="24"/>
        </w:rPr>
        <w:t xml:space="preserve"> </w:t>
      </w:r>
      <w:r w:rsidR="00AA229D" w:rsidRPr="001C790C">
        <w:rPr>
          <w:b/>
          <w:sz w:val="24"/>
          <w:szCs w:val="24"/>
        </w:rPr>
        <w:t>1</w:t>
      </w:r>
      <w:r w:rsidRPr="001C790C">
        <w:rPr>
          <w:b/>
          <w:sz w:val="24"/>
          <w:szCs w:val="24"/>
        </w:rPr>
        <w:t xml:space="preserve">: </w:t>
      </w:r>
      <w:r w:rsidRPr="001C790C">
        <w:rPr>
          <w:rFonts w:eastAsia="Cambria"/>
          <w:b/>
          <w:color w:val="auto"/>
          <w:kern w:val="0"/>
          <w:sz w:val="24"/>
          <w:szCs w:val="24"/>
          <w:lang w:val="en-US" w:eastAsia="en-US"/>
        </w:rPr>
        <w:t>MOOSE Statement - Reporting Checklist for Authors, Editors, and Reviewers of Meta-analyses of Observational Studies</w:t>
      </w:r>
    </w:p>
    <w:p w:rsidR="00645010" w:rsidRPr="00AA229D" w:rsidRDefault="00645010" w:rsidP="00645010">
      <w:pPr>
        <w:rPr>
          <w:rFonts w:eastAsia="Cambria"/>
          <w:color w:val="auto"/>
          <w:kern w:val="0"/>
          <w:sz w:val="16"/>
          <w:szCs w:val="16"/>
          <w:lang w:val="en-US" w:eastAsia="en-US"/>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2340"/>
        <w:gridCol w:w="2340"/>
      </w:tblGrid>
      <w:tr w:rsidR="00645010" w:rsidRPr="00AA229D" w:rsidTr="006E23C9">
        <w:tc>
          <w:tcPr>
            <w:tcW w:w="4428" w:type="dxa"/>
            <w:tcBorders>
              <w:bottom w:val="single" w:sz="4" w:space="0" w:color="000000"/>
            </w:tcBorders>
            <w:shd w:val="clear" w:color="auto" w:fill="C0C0C0"/>
          </w:tcPr>
          <w:p w:rsidR="00645010" w:rsidRPr="00AA229D" w:rsidRDefault="00645010" w:rsidP="006E23C9">
            <w:pPr>
              <w:rPr>
                <w:b/>
                <w:color w:val="auto"/>
                <w:kern w:val="0"/>
                <w:sz w:val="22"/>
                <w:szCs w:val="24"/>
                <w:lang w:val="en-US" w:eastAsia="en-US"/>
              </w:rPr>
            </w:pPr>
            <w:r w:rsidRPr="00AA229D">
              <w:rPr>
                <w:b/>
                <w:color w:val="auto"/>
                <w:kern w:val="0"/>
                <w:sz w:val="22"/>
                <w:szCs w:val="24"/>
                <w:lang w:val="en-US" w:eastAsia="en-US"/>
              </w:rPr>
              <w:t>Reporting Criteria</w:t>
            </w:r>
          </w:p>
        </w:tc>
        <w:tc>
          <w:tcPr>
            <w:tcW w:w="2340" w:type="dxa"/>
            <w:tcBorders>
              <w:bottom w:val="single" w:sz="4" w:space="0" w:color="000000"/>
            </w:tcBorders>
            <w:shd w:val="clear" w:color="auto" w:fill="C0C0C0"/>
          </w:tcPr>
          <w:p w:rsidR="00645010" w:rsidRPr="00AA229D" w:rsidRDefault="00645010" w:rsidP="006E23C9">
            <w:pPr>
              <w:rPr>
                <w:b/>
                <w:color w:val="auto"/>
                <w:kern w:val="0"/>
                <w:sz w:val="22"/>
                <w:szCs w:val="24"/>
                <w:lang w:val="en-US" w:eastAsia="en-US"/>
              </w:rPr>
            </w:pPr>
            <w:r w:rsidRPr="00AA229D">
              <w:rPr>
                <w:b/>
                <w:color w:val="auto"/>
                <w:kern w:val="0"/>
                <w:sz w:val="22"/>
                <w:szCs w:val="24"/>
                <w:lang w:val="en-US" w:eastAsia="en-US"/>
              </w:rPr>
              <w:t>Reported (Yes/No)</w:t>
            </w:r>
          </w:p>
        </w:tc>
        <w:tc>
          <w:tcPr>
            <w:tcW w:w="2340" w:type="dxa"/>
            <w:tcBorders>
              <w:bottom w:val="single" w:sz="4" w:space="0" w:color="000000"/>
            </w:tcBorders>
            <w:shd w:val="clear" w:color="auto" w:fill="C0C0C0"/>
          </w:tcPr>
          <w:p w:rsidR="00645010" w:rsidRPr="00AA229D" w:rsidRDefault="00645010" w:rsidP="006E23C9">
            <w:pPr>
              <w:rPr>
                <w:b/>
                <w:color w:val="auto"/>
                <w:kern w:val="0"/>
                <w:sz w:val="22"/>
                <w:szCs w:val="24"/>
                <w:lang w:val="en-US" w:eastAsia="en-US"/>
              </w:rPr>
            </w:pPr>
            <w:r w:rsidRPr="00AA229D">
              <w:rPr>
                <w:b/>
                <w:color w:val="auto"/>
                <w:kern w:val="0"/>
                <w:sz w:val="22"/>
                <w:szCs w:val="24"/>
                <w:lang w:val="en-US" w:eastAsia="en-US"/>
              </w:rPr>
              <w:t>Reported on Page</w:t>
            </w:r>
          </w:p>
        </w:tc>
      </w:tr>
      <w:tr w:rsidR="00645010" w:rsidRPr="00AA229D" w:rsidTr="006E23C9">
        <w:tc>
          <w:tcPr>
            <w:tcW w:w="4428" w:type="dxa"/>
            <w:shd w:val="clear" w:color="auto" w:fill="E6E6E6"/>
          </w:tcPr>
          <w:p w:rsidR="00645010" w:rsidRPr="00AA229D" w:rsidRDefault="00645010" w:rsidP="006E23C9">
            <w:pPr>
              <w:rPr>
                <w:b/>
                <w:color w:val="auto"/>
                <w:kern w:val="0"/>
                <w:sz w:val="22"/>
                <w:szCs w:val="24"/>
                <w:lang w:val="en-US" w:eastAsia="en-US"/>
              </w:rPr>
            </w:pPr>
            <w:r w:rsidRPr="00AA229D">
              <w:rPr>
                <w:b/>
                <w:color w:val="auto"/>
                <w:kern w:val="0"/>
                <w:sz w:val="22"/>
                <w:szCs w:val="24"/>
                <w:lang w:val="en-US" w:eastAsia="en-US"/>
              </w:rPr>
              <w:t>Reporting of Background</w:t>
            </w:r>
          </w:p>
        </w:tc>
        <w:tc>
          <w:tcPr>
            <w:tcW w:w="2340" w:type="dxa"/>
            <w:shd w:val="clear" w:color="auto" w:fill="E6E6E6"/>
          </w:tcPr>
          <w:p w:rsidR="00645010" w:rsidRPr="00AA229D" w:rsidRDefault="00645010" w:rsidP="006E23C9">
            <w:pPr>
              <w:rPr>
                <w:color w:val="auto"/>
                <w:kern w:val="0"/>
                <w:sz w:val="22"/>
                <w:szCs w:val="24"/>
                <w:lang w:val="en-US" w:eastAsia="en-US"/>
              </w:rPr>
            </w:pPr>
          </w:p>
        </w:tc>
        <w:tc>
          <w:tcPr>
            <w:tcW w:w="2340" w:type="dxa"/>
            <w:shd w:val="clear" w:color="auto" w:fill="E6E6E6"/>
          </w:tcPr>
          <w:p w:rsidR="00645010" w:rsidRPr="00AA229D" w:rsidRDefault="00645010" w:rsidP="006E23C9">
            <w:pPr>
              <w:rPr>
                <w:color w:val="auto"/>
                <w:kern w:val="0"/>
                <w:sz w:val="22"/>
                <w:szCs w:val="24"/>
                <w:lang w:val="en-US" w:eastAsia="en-US"/>
              </w:rPr>
            </w:pP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Problem definition</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F3E0B" w:rsidP="006E23C9">
            <w:pPr>
              <w:rPr>
                <w:color w:val="auto"/>
                <w:kern w:val="0"/>
                <w:sz w:val="22"/>
                <w:szCs w:val="24"/>
                <w:lang w:val="en-US" w:eastAsia="en-US"/>
              </w:rPr>
            </w:pPr>
            <w:r w:rsidRPr="00AA229D">
              <w:rPr>
                <w:color w:val="auto"/>
                <w:kern w:val="0"/>
                <w:sz w:val="22"/>
                <w:szCs w:val="24"/>
                <w:lang w:val="en-US" w:eastAsia="en-US"/>
              </w:rPr>
              <w:t>6,7</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Hypothesis statement</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F3E0B" w:rsidP="006E23C9">
            <w:pPr>
              <w:rPr>
                <w:color w:val="auto"/>
                <w:kern w:val="0"/>
                <w:sz w:val="22"/>
                <w:szCs w:val="24"/>
                <w:lang w:val="en-US" w:eastAsia="en-US"/>
              </w:rPr>
            </w:pPr>
            <w:r w:rsidRPr="00AA229D">
              <w:rPr>
                <w:color w:val="auto"/>
                <w:kern w:val="0"/>
                <w:sz w:val="22"/>
                <w:szCs w:val="24"/>
                <w:lang w:val="en-US" w:eastAsia="en-US"/>
              </w:rPr>
              <w:t>7</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Description of Study Outcome(s)</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F3E0B" w:rsidP="006E23C9">
            <w:pPr>
              <w:rPr>
                <w:color w:val="auto"/>
                <w:kern w:val="0"/>
                <w:sz w:val="22"/>
                <w:szCs w:val="24"/>
                <w:lang w:val="en-US" w:eastAsia="en-US"/>
              </w:rPr>
            </w:pPr>
            <w:r w:rsidRPr="00AA229D">
              <w:rPr>
                <w:color w:val="auto"/>
                <w:kern w:val="0"/>
                <w:sz w:val="22"/>
                <w:szCs w:val="24"/>
                <w:lang w:val="en-US" w:eastAsia="en-US"/>
              </w:rPr>
              <w:t>7,9-10</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Type of exposure or intervention used</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F3E0B" w:rsidP="006E23C9">
            <w:pPr>
              <w:rPr>
                <w:color w:val="auto"/>
                <w:kern w:val="0"/>
                <w:sz w:val="22"/>
                <w:szCs w:val="24"/>
                <w:lang w:val="en-US" w:eastAsia="en-US"/>
              </w:rPr>
            </w:pPr>
            <w:r w:rsidRPr="00AA229D">
              <w:rPr>
                <w:color w:val="auto"/>
                <w:kern w:val="0"/>
                <w:sz w:val="22"/>
                <w:szCs w:val="24"/>
                <w:lang w:val="en-US" w:eastAsia="en-US"/>
              </w:rPr>
              <w:t>8</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Type of study design used</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F3E0B" w:rsidP="006E23C9">
            <w:pPr>
              <w:rPr>
                <w:color w:val="auto"/>
                <w:kern w:val="0"/>
                <w:sz w:val="22"/>
                <w:szCs w:val="24"/>
                <w:lang w:val="en-US" w:eastAsia="en-US"/>
              </w:rPr>
            </w:pPr>
            <w:r w:rsidRPr="00AA229D">
              <w:rPr>
                <w:color w:val="auto"/>
                <w:kern w:val="0"/>
                <w:sz w:val="22"/>
                <w:szCs w:val="24"/>
                <w:lang w:val="en-US" w:eastAsia="en-US"/>
              </w:rPr>
              <w:t>8</w:t>
            </w:r>
          </w:p>
        </w:tc>
      </w:tr>
      <w:tr w:rsidR="00645010" w:rsidRPr="00AA229D" w:rsidTr="006E23C9">
        <w:tc>
          <w:tcPr>
            <w:tcW w:w="4428" w:type="dxa"/>
            <w:tcBorders>
              <w:bottom w:val="single" w:sz="4" w:space="0" w:color="000000"/>
            </w:tcBorders>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Study population</w:t>
            </w:r>
          </w:p>
        </w:tc>
        <w:tc>
          <w:tcPr>
            <w:tcW w:w="2340" w:type="dxa"/>
            <w:tcBorders>
              <w:bottom w:val="single" w:sz="4" w:space="0" w:color="000000"/>
            </w:tcBorders>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Borders>
              <w:bottom w:val="single" w:sz="4" w:space="0" w:color="000000"/>
            </w:tcBorders>
          </w:tcPr>
          <w:p w:rsidR="00645010" w:rsidRPr="00AA229D" w:rsidRDefault="00BF3E0B" w:rsidP="006E23C9">
            <w:pPr>
              <w:rPr>
                <w:color w:val="auto"/>
                <w:kern w:val="0"/>
                <w:sz w:val="22"/>
                <w:szCs w:val="24"/>
                <w:lang w:val="en-US" w:eastAsia="en-US"/>
              </w:rPr>
            </w:pPr>
            <w:r w:rsidRPr="00AA229D">
              <w:rPr>
                <w:color w:val="auto"/>
                <w:kern w:val="0"/>
                <w:sz w:val="22"/>
                <w:szCs w:val="24"/>
                <w:lang w:val="en-US" w:eastAsia="en-US"/>
              </w:rPr>
              <w:t>7,9-10</w:t>
            </w:r>
          </w:p>
        </w:tc>
      </w:tr>
      <w:tr w:rsidR="00645010" w:rsidRPr="00AA229D" w:rsidTr="006E23C9">
        <w:tc>
          <w:tcPr>
            <w:tcW w:w="4428" w:type="dxa"/>
            <w:shd w:val="clear" w:color="auto" w:fill="E6E6E6"/>
          </w:tcPr>
          <w:p w:rsidR="00645010" w:rsidRPr="00AA229D" w:rsidRDefault="00645010" w:rsidP="006E23C9">
            <w:pPr>
              <w:rPr>
                <w:b/>
                <w:color w:val="auto"/>
                <w:kern w:val="0"/>
                <w:sz w:val="22"/>
                <w:szCs w:val="24"/>
                <w:lang w:val="en-US" w:eastAsia="en-US"/>
              </w:rPr>
            </w:pPr>
            <w:r w:rsidRPr="00AA229D">
              <w:rPr>
                <w:b/>
                <w:color w:val="auto"/>
                <w:kern w:val="0"/>
                <w:sz w:val="22"/>
                <w:szCs w:val="24"/>
                <w:lang w:val="en-US" w:eastAsia="en-US"/>
              </w:rPr>
              <w:t>Reporting of Search Strategy</w:t>
            </w:r>
          </w:p>
        </w:tc>
        <w:tc>
          <w:tcPr>
            <w:tcW w:w="2340" w:type="dxa"/>
            <w:shd w:val="clear" w:color="auto" w:fill="E6E6E6"/>
          </w:tcPr>
          <w:p w:rsidR="00645010" w:rsidRPr="00AA229D" w:rsidRDefault="00645010" w:rsidP="006E23C9">
            <w:pPr>
              <w:rPr>
                <w:color w:val="auto"/>
                <w:kern w:val="0"/>
                <w:sz w:val="22"/>
                <w:szCs w:val="24"/>
                <w:lang w:val="en-US" w:eastAsia="en-US"/>
              </w:rPr>
            </w:pPr>
          </w:p>
        </w:tc>
        <w:tc>
          <w:tcPr>
            <w:tcW w:w="2340" w:type="dxa"/>
            <w:shd w:val="clear" w:color="auto" w:fill="E6E6E6"/>
          </w:tcPr>
          <w:p w:rsidR="00645010" w:rsidRPr="00AA229D" w:rsidRDefault="00645010" w:rsidP="006E23C9">
            <w:pPr>
              <w:rPr>
                <w:color w:val="auto"/>
                <w:kern w:val="0"/>
                <w:sz w:val="22"/>
                <w:szCs w:val="24"/>
                <w:lang w:val="en-US" w:eastAsia="en-US"/>
              </w:rPr>
            </w:pP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Qualifications of searchers (eg, librarians</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and investigators)</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0249D4" w:rsidP="006E23C9">
            <w:pPr>
              <w:rPr>
                <w:color w:val="auto"/>
                <w:kern w:val="0"/>
                <w:sz w:val="22"/>
                <w:szCs w:val="24"/>
                <w:lang w:val="en-US" w:eastAsia="en-US"/>
              </w:rPr>
            </w:pPr>
            <w:r w:rsidRPr="00AA229D">
              <w:rPr>
                <w:color w:val="auto"/>
                <w:kern w:val="0"/>
                <w:sz w:val="22"/>
                <w:szCs w:val="24"/>
                <w:lang w:val="en-US" w:eastAsia="en-US"/>
              </w:rPr>
              <w:t>9</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Search strategy, including time period</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included in the synthesis and keywords</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F3E0B" w:rsidP="006E23C9">
            <w:pPr>
              <w:rPr>
                <w:color w:val="auto"/>
                <w:kern w:val="0"/>
                <w:sz w:val="22"/>
                <w:szCs w:val="24"/>
                <w:lang w:val="en-US" w:eastAsia="en-US"/>
              </w:rPr>
            </w:pPr>
            <w:r w:rsidRPr="00AA229D">
              <w:rPr>
                <w:color w:val="auto"/>
                <w:kern w:val="0"/>
                <w:sz w:val="22"/>
                <w:szCs w:val="24"/>
                <w:lang w:val="en-US" w:eastAsia="en-US"/>
              </w:rPr>
              <w:t>8</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Effort to include all available studies,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including contact with authors</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76770" w:rsidP="006E23C9">
            <w:pPr>
              <w:rPr>
                <w:color w:val="auto"/>
                <w:kern w:val="0"/>
                <w:sz w:val="22"/>
                <w:szCs w:val="24"/>
                <w:lang w:val="en-US" w:eastAsia="en-US"/>
              </w:rPr>
            </w:pPr>
            <w:r w:rsidRPr="00AA229D">
              <w:rPr>
                <w:color w:val="auto"/>
                <w:kern w:val="0"/>
                <w:sz w:val="22"/>
                <w:szCs w:val="24"/>
                <w:lang w:val="en-US" w:eastAsia="en-US"/>
              </w:rPr>
              <w:t>8,11</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Databases and registries searched</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76770" w:rsidP="006E23C9">
            <w:pPr>
              <w:rPr>
                <w:color w:val="auto"/>
                <w:kern w:val="0"/>
                <w:sz w:val="22"/>
                <w:szCs w:val="24"/>
                <w:lang w:val="en-US" w:eastAsia="en-US"/>
              </w:rPr>
            </w:pPr>
            <w:r w:rsidRPr="00AA229D">
              <w:rPr>
                <w:color w:val="auto"/>
                <w:kern w:val="0"/>
                <w:sz w:val="22"/>
                <w:szCs w:val="24"/>
                <w:lang w:val="en-US" w:eastAsia="en-US"/>
              </w:rPr>
              <w:t>8</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Search software used, name and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version, including special features used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(eg, explosion)</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76770" w:rsidP="006E23C9">
            <w:pPr>
              <w:rPr>
                <w:color w:val="auto"/>
                <w:kern w:val="0"/>
                <w:sz w:val="22"/>
                <w:szCs w:val="24"/>
                <w:lang w:val="en-US" w:eastAsia="en-US"/>
              </w:rPr>
            </w:pPr>
            <w:r w:rsidRPr="00AA229D">
              <w:rPr>
                <w:color w:val="auto"/>
                <w:kern w:val="0"/>
                <w:sz w:val="22"/>
                <w:szCs w:val="24"/>
                <w:lang w:val="en-US" w:eastAsia="en-US"/>
              </w:rPr>
              <w:t>8</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Use of hand searching (eg, reference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lists of obtained articles)</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76770" w:rsidP="006E23C9">
            <w:pPr>
              <w:rPr>
                <w:color w:val="auto"/>
                <w:kern w:val="0"/>
                <w:sz w:val="22"/>
                <w:szCs w:val="24"/>
                <w:lang w:val="en-US" w:eastAsia="en-US"/>
              </w:rPr>
            </w:pPr>
            <w:r w:rsidRPr="00AA229D">
              <w:rPr>
                <w:color w:val="auto"/>
                <w:kern w:val="0"/>
                <w:sz w:val="22"/>
                <w:szCs w:val="24"/>
                <w:lang w:val="en-US" w:eastAsia="en-US"/>
              </w:rPr>
              <w:t>9,Figure 1</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List of citations located and those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excluded, including justification</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76770" w:rsidP="002032D5">
            <w:pPr>
              <w:rPr>
                <w:color w:val="auto"/>
                <w:kern w:val="0"/>
                <w:sz w:val="22"/>
                <w:szCs w:val="24"/>
                <w:lang w:val="en-US" w:eastAsia="en-US"/>
              </w:rPr>
            </w:pPr>
            <w:r w:rsidRPr="00AA229D">
              <w:rPr>
                <w:color w:val="auto"/>
                <w:kern w:val="0"/>
                <w:sz w:val="22"/>
                <w:szCs w:val="24"/>
                <w:lang w:val="en-US" w:eastAsia="en-US"/>
              </w:rPr>
              <w:t xml:space="preserve">25, Supplementary </w:t>
            </w:r>
            <w:r w:rsidR="002032D5">
              <w:rPr>
                <w:color w:val="auto"/>
                <w:kern w:val="0"/>
                <w:sz w:val="22"/>
                <w:szCs w:val="24"/>
                <w:lang w:val="en-US" w:eastAsia="en-US"/>
              </w:rPr>
              <w:t xml:space="preserve">Digital Content </w:t>
            </w:r>
            <w:r w:rsidRPr="00AA229D">
              <w:rPr>
                <w:color w:val="auto"/>
                <w:kern w:val="0"/>
                <w:sz w:val="22"/>
                <w:szCs w:val="24"/>
                <w:lang w:val="en-US" w:eastAsia="en-US"/>
              </w:rPr>
              <w:t>3-7</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Method for addressing articles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published in languages other than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English</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B76770" w:rsidP="006E23C9">
            <w:pPr>
              <w:rPr>
                <w:color w:val="auto"/>
                <w:kern w:val="0"/>
                <w:sz w:val="22"/>
                <w:szCs w:val="24"/>
                <w:lang w:val="en-US" w:eastAsia="en-US"/>
              </w:rPr>
            </w:pPr>
            <w:r w:rsidRPr="00AA229D">
              <w:rPr>
                <w:color w:val="auto"/>
                <w:kern w:val="0"/>
                <w:sz w:val="22"/>
                <w:szCs w:val="24"/>
                <w:lang w:val="en-US" w:eastAsia="en-US"/>
              </w:rPr>
              <w:t>8</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Method of handling abstracts and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unpublished studies</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0249D4" w:rsidP="006E23C9">
            <w:pPr>
              <w:rPr>
                <w:color w:val="auto"/>
                <w:kern w:val="0"/>
                <w:sz w:val="22"/>
                <w:szCs w:val="24"/>
                <w:lang w:val="en-US" w:eastAsia="en-US"/>
              </w:rPr>
            </w:pPr>
            <w:r w:rsidRPr="00AA229D">
              <w:rPr>
                <w:color w:val="auto"/>
                <w:kern w:val="0"/>
                <w:sz w:val="22"/>
                <w:szCs w:val="24"/>
                <w:lang w:val="en-US" w:eastAsia="en-US"/>
              </w:rPr>
              <w:t>11</w:t>
            </w:r>
          </w:p>
        </w:tc>
      </w:tr>
      <w:tr w:rsidR="00645010" w:rsidRPr="00AA229D" w:rsidTr="006E23C9">
        <w:tc>
          <w:tcPr>
            <w:tcW w:w="4428" w:type="dxa"/>
            <w:tcBorders>
              <w:bottom w:val="single" w:sz="4" w:space="0" w:color="000000"/>
            </w:tcBorders>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Description of any contact with authors</w:t>
            </w:r>
          </w:p>
        </w:tc>
        <w:tc>
          <w:tcPr>
            <w:tcW w:w="2340" w:type="dxa"/>
            <w:tcBorders>
              <w:bottom w:val="single" w:sz="4" w:space="0" w:color="000000"/>
            </w:tcBorders>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Borders>
              <w:bottom w:val="single" w:sz="4" w:space="0" w:color="000000"/>
            </w:tcBorders>
          </w:tcPr>
          <w:p w:rsidR="00645010" w:rsidRPr="00AA229D" w:rsidRDefault="000249D4" w:rsidP="006E23C9">
            <w:pPr>
              <w:rPr>
                <w:color w:val="auto"/>
                <w:kern w:val="0"/>
                <w:sz w:val="22"/>
                <w:szCs w:val="24"/>
                <w:lang w:val="en-US" w:eastAsia="en-US"/>
              </w:rPr>
            </w:pPr>
            <w:r w:rsidRPr="00AA229D">
              <w:rPr>
                <w:color w:val="auto"/>
                <w:kern w:val="0"/>
                <w:sz w:val="22"/>
                <w:szCs w:val="24"/>
                <w:lang w:val="en-US" w:eastAsia="en-US"/>
              </w:rPr>
              <w:t>11</w:t>
            </w:r>
          </w:p>
        </w:tc>
      </w:tr>
      <w:tr w:rsidR="00645010" w:rsidRPr="00AA229D" w:rsidTr="006E23C9">
        <w:tc>
          <w:tcPr>
            <w:tcW w:w="4428" w:type="dxa"/>
            <w:shd w:val="clear" w:color="auto" w:fill="E6E6E6"/>
          </w:tcPr>
          <w:p w:rsidR="00645010" w:rsidRPr="00AA229D" w:rsidRDefault="00645010" w:rsidP="006E23C9">
            <w:pPr>
              <w:rPr>
                <w:color w:val="auto"/>
                <w:kern w:val="0"/>
                <w:sz w:val="22"/>
                <w:szCs w:val="24"/>
                <w:lang w:val="en-US" w:eastAsia="en-US"/>
              </w:rPr>
            </w:pPr>
            <w:r w:rsidRPr="00AA229D">
              <w:rPr>
                <w:b/>
                <w:color w:val="auto"/>
                <w:kern w:val="0"/>
                <w:sz w:val="22"/>
                <w:szCs w:val="24"/>
                <w:lang w:val="en-US" w:eastAsia="en-US"/>
              </w:rPr>
              <w:t>Reporting of Methods</w:t>
            </w:r>
          </w:p>
        </w:tc>
        <w:tc>
          <w:tcPr>
            <w:tcW w:w="2340" w:type="dxa"/>
            <w:shd w:val="clear" w:color="auto" w:fill="E6E6E6"/>
          </w:tcPr>
          <w:p w:rsidR="00645010" w:rsidRPr="00AA229D" w:rsidRDefault="00645010" w:rsidP="006E23C9">
            <w:pPr>
              <w:rPr>
                <w:color w:val="auto"/>
                <w:kern w:val="0"/>
                <w:sz w:val="22"/>
                <w:szCs w:val="24"/>
                <w:lang w:val="en-US" w:eastAsia="en-US"/>
              </w:rPr>
            </w:pPr>
          </w:p>
        </w:tc>
        <w:tc>
          <w:tcPr>
            <w:tcW w:w="2340" w:type="dxa"/>
            <w:shd w:val="clear" w:color="auto" w:fill="E6E6E6"/>
          </w:tcPr>
          <w:p w:rsidR="00645010" w:rsidRPr="00AA229D" w:rsidRDefault="00645010" w:rsidP="006E23C9">
            <w:pPr>
              <w:rPr>
                <w:color w:val="auto"/>
                <w:kern w:val="0"/>
                <w:sz w:val="22"/>
                <w:szCs w:val="24"/>
                <w:lang w:val="en-US" w:eastAsia="en-US"/>
              </w:rPr>
            </w:pP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Description of relevance or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appropriateness of studies assembled for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assessing the hypothesis to be tested</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166FBD" w:rsidP="00166FBD">
            <w:pPr>
              <w:rPr>
                <w:color w:val="auto"/>
                <w:kern w:val="0"/>
                <w:sz w:val="22"/>
                <w:szCs w:val="24"/>
                <w:lang w:val="en-US" w:eastAsia="en-US"/>
              </w:rPr>
            </w:pPr>
            <w:r w:rsidRPr="00AA229D">
              <w:rPr>
                <w:color w:val="auto"/>
                <w:kern w:val="0"/>
                <w:sz w:val="22"/>
                <w:szCs w:val="24"/>
                <w:lang w:val="en-US" w:eastAsia="en-US"/>
              </w:rPr>
              <w:t>9-</w:t>
            </w:r>
            <w:r w:rsidR="000249D4" w:rsidRPr="00AA229D">
              <w:rPr>
                <w:color w:val="auto"/>
                <w:kern w:val="0"/>
                <w:sz w:val="22"/>
                <w:szCs w:val="24"/>
                <w:lang w:val="en-US" w:eastAsia="en-US"/>
              </w:rPr>
              <w:t>12</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Rationale for the selection and coding of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data (eg, sound clinical principles or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convenience)</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166FBD" w:rsidP="006E23C9">
            <w:pPr>
              <w:rPr>
                <w:color w:val="auto"/>
                <w:kern w:val="0"/>
                <w:sz w:val="22"/>
                <w:szCs w:val="24"/>
                <w:lang w:val="en-US" w:eastAsia="en-US"/>
              </w:rPr>
            </w:pPr>
            <w:r w:rsidRPr="00AA229D">
              <w:rPr>
                <w:color w:val="auto"/>
                <w:kern w:val="0"/>
                <w:sz w:val="22"/>
                <w:szCs w:val="24"/>
                <w:lang w:val="en-US" w:eastAsia="en-US"/>
              </w:rPr>
              <w:t>11-12</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Documentation of how data were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classified and coded (eg, multiple raters,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blinding, and interrater reliability)</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0249D4" w:rsidP="00166FBD">
            <w:pPr>
              <w:rPr>
                <w:color w:val="auto"/>
                <w:kern w:val="0"/>
                <w:sz w:val="22"/>
                <w:szCs w:val="24"/>
                <w:lang w:val="en-US" w:eastAsia="en-US"/>
              </w:rPr>
            </w:pPr>
            <w:r w:rsidRPr="00AA229D">
              <w:rPr>
                <w:color w:val="auto"/>
                <w:kern w:val="0"/>
                <w:sz w:val="22"/>
                <w:szCs w:val="24"/>
                <w:lang w:val="en-US" w:eastAsia="en-US"/>
              </w:rPr>
              <w:t>11</w:t>
            </w:r>
            <w:r w:rsidR="00166FBD" w:rsidRPr="00AA229D">
              <w:rPr>
                <w:color w:val="auto"/>
                <w:kern w:val="0"/>
                <w:sz w:val="22"/>
                <w:szCs w:val="24"/>
                <w:lang w:val="en-US" w:eastAsia="en-US"/>
              </w:rPr>
              <w:t>-12</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Assessment of confounding (eg,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comparability of cases and controls in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studies where appropriate</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166FBD" w:rsidP="006E23C9">
            <w:pPr>
              <w:rPr>
                <w:color w:val="auto"/>
                <w:kern w:val="0"/>
                <w:sz w:val="22"/>
                <w:szCs w:val="24"/>
                <w:lang w:val="en-US" w:eastAsia="en-US"/>
              </w:rPr>
            </w:pPr>
            <w:r w:rsidRPr="00AA229D">
              <w:rPr>
                <w:color w:val="auto"/>
                <w:kern w:val="0"/>
                <w:sz w:val="22"/>
                <w:szCs w:val="24"/>
                <w:lang w:val="en-US" w:eastAsia="en-US"/>
              </w:rPr>
              <w:t>NA</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Assessment of study quality, including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blinding of quality assessors;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lastRenderedPageBreak/>
              <w:t xml:space="preserve">   stratification or regression on possible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predictors of study results YES 5</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lastRenderedPageBreak/>
              <w:t>Yes</w:t>
            </w:r>
          </w:p>
        </w:tc>
        <w:tc>
          <w:tcPr>
            <w:tcW w:w="2340" w:type="dxa"/>
          </w:tcPr>
          <w:p w:rsidR="00645010" w:rsidRPr="00AA229D" w:rsidRDefault="00166FBD" w:rsidP="006E23C9">
            <w:pPr>
              <w:rPr>
                <w:color w:val="auto"/>
                <w:kern w:val="0"/>
                <w:sz w:val="22"/>
                <w:szCs w:val="24"/>
                <w:lang w:val="en-US" w:eastAsia="en-US"/>
              </w:rPr>
            </w:pPr>
            <w:r w:rsidRPr="00AA229D">
              <w:rPr>
                <w:color w:val="auto"/>
                <w:kern w:val="0"/>
                <w:sz w:val="22"/>
                <w:szCs w:val="24"/>
                <w:lang w:val="en-US" w:eastAsia="en-US"/>
              </w:rPr>
              <w:t>12</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lastRenderedPageBreak/>
              <w:t xml:space="preserve">   Assessment of heterogeneity</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0249D4" w:rsidP="006E23C9">
            <w:pPr>
              <w:rPr>
                <w:color w:val="auto"/>
                <w:kern w:val="0"/>
                <w:sz w:val="22"/>
                <w:szCs w:val="24"/>
                <w:lang w:val="en-US" w:eastAsia="en-US"/>
              </w:rPr>
            </w:pPr>
            <w:r w:rsidRPr="00AA229D">
              <w:rPr>
                <w:color w:val="auto"/>
                <w:kern w:val="0"/>
                <w:sz w:val="22"/>
                <w:szCs w:val="24"/>
                <w:lang w:val="en-US" w:eastAsia="en-US"/>
              </w:rPr>
              <w:t>13</w:t>
            </w:r>
            <w:r w:rsidR="005C047C">
              <w:rPr>
                <w:color w:val="auto"/>
                <w:kern w:val="0"/>
                <w:sz w:val="22"/>
                <w:szCs w:val="24"/>
                <w:lang w:val="en-US" w:eastAsia="en-US"/>
              </w:rPr>
              <w:t>, Supplementary digital content 9</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Description of statistical methods (eg,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complete description of fixed or random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effects models, justification of whether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the chosen models account for predictors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of study results, dose-response models,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or cumulative meta-analysis) in sufficient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detail to be replicated</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0249D4" w:rsidP="006E23C9">
            <w:pPr>
              <w:rPr>
                <w:color w:val="auto"/>
                <w:kern w:val="0"/>
                <w:sz w:val="22"/>
                <w:szCs w:val="24"/>
                <w:lang w:val="en-US" w:eastAsia="en-US"/>
              </w:rPr>
            </w:pPr>
            <w:r w:rsidRPr="00AA229D">
              <w:rPr>
                <w:color w:val="auto"/>
                <w:kern w:val="0"/>
                <w:sz w:val="22"/>
                <w:szCs w:val="24"/>
                <w:lang w:val="en-US" w:eastAsia="en-US"/>
              </w:rPr>
              <w:t>13</w:t>
            </w:r>
          </w:p>
        </w:tc>
      </w:tr>
      <w:tr w:rsidR="00645010" w:rsidRPr="00AA229D" w:rsidTr="006E23C9">
        <w:tc>
          <w:tcPr>
            <w:tcW w:w="4428" w:type="dxa"/>
            <w:tcBorders>
              <w:bottom w:val="single" w:sz="4" w:space="0" w:color="000000"/>
            </w:tcBorders>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Provision of appropriate tables and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Graphics</w:t>
            </w:r>
          </w:p>
        </w:tc>
        <w:tc>
          <w:tcPr>
            <w:tcW w:w="2340" w:type="dxa"/>
            <w:tcBorders>
              <w:bottom w:val="single" w:sz="4" w:space="0" w:color="000000"/>
            </w:tcBorders>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Borders>
              <w:bottom w:val="single" w:sz="4" w:space="0" w:color="000000"/>
            </w:tcBorders>
          </w:tcPr>
          <w:p w:rsidR="00645010" w:rsidRPr="00AA229D" w:rsidRDefault="00A15788" w:rsidP="002032D5">
            <w:pPr>
              <w:rPr>
                <w:color w:val="auto"/>
                <w:kern w:val="0"/>
                <w:sz w:val="22"/>
                <w:szCs w:val="24"/>
                <w:lang w:val="en-US" w:eastAsia="en-US"/>
              </w:rPr>
            </w:pPr>
            <w:r w:rsidRPr="00AA229D">
              <w:rPr>
                <w:color w:val="auto"/>
                <w:kern w:val="0"/>
                <w:sz w:val="22"/>
                <w:szCs w:val="24"/>
                <w:lang w:val="en-US" w:eastAsia="en-US"/>
              </w:rPr>
              <w:t xml:space="preserve">Figures1-4 and Tables1-2; Supplementary </w:t>
            </w:r>
            <w:r w:rsidR="002032D5">
              <w:rPr>
                <w:color w:val="auto"/>
                <w:kern w:val="0"/>
                <w:sz w:val="22"/>
                <w:szCs w:val="24"/>
                <w:lang w:val="en-US" w:eastAsia="en-US"/>
              </w:rPr>
              <w:t>Digital Content 1-8</w:t>
            </w:r>
            <w:r w:rsidRPr="00AA229D">
              <w:rPr>
                <w:color w:val="auto"/>
                <w:kern w:val="0"/>
                <w:sz w:val="22"/>
                <w:szCs w:val="24"/>
                <w:lang w:val="en-US" w:eastAsia="en-US"/>
              </w:rPr>
              <w:t xml:space="preserve"> </w:t>
            </w:r>
          </w:p>
        </w:tc>
      </w:tr>
      <w:tr w:rsidR="00645010" w:rsidRPr="00AA229D" w:rsidTr="006E23C9">
        <w:tc>
          <w:tcPr>
            <w:tcW w:w="4428" w:type="dxa"/>
            <w:shd w:val="clear" w:color="auto" w:fill="E6E6E6"/>
          </w:tcPr>
          <w:p w:rsidR="00645010" w:rsidRPr="00AA229D" w:rsidRDefault="00645010" w:rsidP="006E23C9">
            <w:pPr>
              <w:rPr>
                <w:color w:val="auto"/>
                <w:kern w:val="0"/>
                <w:sz w:val="22"/>
                <w:szCs w:val="24"/>
                <w:lang w:val="en-US" w:eastAsia="en-US"/>
              </w:rPr>
            </w:pPr>
            <w:r w:rsidRPr="00AA229D">
              <w:rPr>
                <w:b/>
                <w:color w:val="auto"/>
                <w:kern w:val="0"/>
                <w:sz w:val="22"/>
                <w:szCs w:val="24"/>
                <w:lang w:val="en-US" w:eastAsia="en-US"/>
              </w:rPr>
              <w:t>Reporting of Results</w:t>
            </w:r>
          </w:p>
        </w:tc>
        <w:tc>
          <w:tcPr>
            <w:tcW w:w="2340" w:type="dxa"/>
            <w:shd w:val="clear" w:color="auto" w:fill="E6E6E6"/>
          </w:tcPr>
          <w:p w:rsidR="00645010" w:rsidRPr="00AA229D" w:rsidRDefault="00645010" w:rsidP="006E23C9">
            <w:pPr>
              <w:rPr>
                <w:color w:val="auto"/>
                <w:kern w:val="0"/>
                <w:sz w:val="22"/>
                <w:szCs w:val="24"/>
                <w:lang w:val="en-US" w:eastAsia="en-US"/>
              </w:rPr>
            </w:pPr>
          </w:p>
        </w:tc>
        <w:tc>
          <w:tcPr>
            <w:tcW w:w="2340" w:type="dxa"/>
            <w:shd w:val="clear" w:color="auto" w:fill="E6E6E6"/>
          </w:tcPr>
          <w:p w:rsidR="00645010" w:rsidRPr="00AA229D" w:rsidRDefault="00645010" w:rsidP="006E23C9">
            <w:pPr>
              <w:rPr>
                <w:color w:val="auto"/>
                <w:kern w:val="0"/>
                <w:sz w:val="22"/>
                <w:szCs w:val="24"/>
                <w:lang w:val="en-US" w:eastAsia="en-US"/>
              </w:rPr>
            </w:pP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Table giving descriptive information for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each study included</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A15788" w:rsidP="006E23C9">
            <w:pPr>
              <w:rPr>
                <w:color w:val="auto"/>
                <w:kern w:val="0"/>
                <w:sz w:val="22"/>
                <w:szCs w:val="24"/>
                <w:lang w:val="en-US" w:eastAsia="en-US"/>
              </w:rPr>
            </w:pPr>
            <w:r w:rsidRPr="00AA229D">
              <w:rPr>
                <w:color w:val="auto"/>
                <w:kern w:val="0"/>
                <w:sz w:val="22"/>
                <w:szCs w:val="24"/>
                <w:lang w:val="en-US" w:eastAsia="en-US"/>
              </w:rPr>
              <w:t xml:space="preserve">Supplementary </w:t>
            </w:r>
            <w:r w:rsidR="002032D5">
              <w:rPr>
                <w:color w:val="auto"/>
                <w:kern w:val="0"/>
                <w:sz w:val="22"/>
                <w:szCs w:val="24"/>
                <w:lang w:val="en-US" w:eastAsia="en-US"/>
              </w:rPr>
              <w:t xml:space="preserve">Digital Content </w:t>
            </w:r>
            <w:r w:rsidRPr="00AA229D">
              <w:rPr>
                <w:color w:val="auto"/>
                <w:kern w:val="0"/>
                <w:sz w:val="22"/>
                <w:szCs w:val="24"/>
                <w:lang w:val="en-US" w:eastAsia="en-US"/>
              </w:rPr>
              <w:t>3-6</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Results of sensitivity testing (eg,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subgroup analysis)</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A15788" w:rsidP="006E23C9">
            <w:pPr>
              <w:rPr>
                <w:color w:val="auto"/>
                <w:kern w:val="0"/>
                <w:sz w:val="22"/>
                <w:szCs w:val="24"/>
                <w:lang w:val="en-US" w:eastAsia="en-US"/>
              </w:rPr>
            </w:pPr>
            <w:r w:rsidRPr="00AA229D">
              <w:rPr>
                <w:color w:val="auto"/>
                <w:kern w:val="0"/>
                <w:sz w:val="22"/>
                <w:szCs w:val="24"/>
                <w:lang w:val="en-US" w:eastAsia="en-US"/>
              </w:rPr>
              <w:t>15-18, Table 1</w:t>
            </w:r>
          </w:p>
        </w:tc>
      </w:tr>
      <w:tr w:rsidR="00645010" w:rsidRPr="00AA229D" w:rsidTr="006E23C9">
        <w:tc>
          <w:tcPr>
            <w:tcW w:w="4428" w:type="dxa"/>
            <w:tcBorders>
              <w:bottom w:val="single" w:sz="4" w:space="0" w:color="000000"/>
            </w:tcBorders>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Indication of statistical uncertainty of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Findings</w:t>
            </w:r>
          </w:p>
        </w:tc>
        <w:tc>
          <w:tcPr>
            <w:tcW w:w="2340" w:type="dxa"/>
            <w:tcBorders>
              <w:bottom w:val="single" w:sz="4" w:space="0" w:color="000000"/>
            </w:tcBorders>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Borders>
              <w:bottom w:val="single" w:sz="4" w:space="0" w:color="000000"/>
            </w:tcBorders>
          </w:tcPr>
          <w:p w:rsidR="00645010" w:rsidRPr="00AA229D" w:rsidRDefault="00A15788" w:rsidP="006E23C9">
            <w:pPr>
              <w:rPr>
                <w:color w:val="auto"/>
                <w:kern w:val="0"/>
                <w:sz w:val="22"/>
                <w:szCs w:val="24"/>
                <w:lang w:val="en-US" w:eastAsia="en-US"/>
              </w:rPr>
            </w:pPr>
            <w:r w:rsidRPr="00AA229D">
              <w:rPr>
                <w:color w:val="auto"/>
                <w:kern w:val="0"/>
                <w:sz w:val="22"/>
                <w:szCs w:val="24"/>
                <w:lang w:val="en-US" w:eastAsia="en-US"/>
              </w:rPr>
              <w:t>15-18</w:t>
            </w:r>
          </w:p>
        </w:tc>
      </w:tr>
      <w:tr w:rsidR="00645010" w:rsidRPr="00AA229D" w:rsidTr="006E23C9">
        <w:tc>
          <w:tcPr>
            <w:tcW w:w="4428" w:type="dxa"/>
            <w:shd w:val="clear" w:color="auto" w:fill="E6E6E6"/>
          </w:tcPr>
          <w:p w:rsidR="00645010" w:rsidRPr="00AA229D" w:rsidRDefault="00645010" w:rsidP="006E23C9">
            <w:pPr>
              <w:rPr>
                <w:color w:val="auto"/>
                <w:kern w:val="0"/>
                <w:sz w:val="22"/>
                <w:szCs w:val="24"/>
                <w:lang w:val="en-US" w:eastAsia="en-US"/>
              </w:rPr>
            </w:pPr>
            <w:r w:rsidRPr="00AA229D">
              <w:rPr>
                <w:b/>
                <w:color w:val="auto"/>
                <w:kern w:val="0"/>
                <w:sz w:val="22"/>
                <w:szCs w:val="24"/>
                <w:lang w:val="en-US" w:eastAsia="en-US"/>
              </w:rPr>
              <w:t>Reporting of Discussion</w:t>
            </w:r>
          </w:p>
        </w:tc>
        <w:tc>
          <w:tcPr>
            <w:tcW w:w="2340" w:type="dxa"/>
            <w:shd w:val="clear" w:color="auto" w:fill="E6E6E6"/>
          </w:tcPr>
          <w:p w:rsidR="00645010" w:rsidRPr="00AA229D" w:rsidRDefault="00645010" w:rsidP="006E23C9">
            <w:pPr>
              <w:rPr>
                <w:color w:val="auto"/>
                <w:kern w:val="0"/>
                <w:sz w:val="22"/>
                <w:szCs w:val="24"/>
                <w:lang w:val="en-US" w:eastAsia="en-US"/>
              </w:rPr>
            </w:pPr>
          </w:p>
        </w:tc>
        <w:tc>
          <w:tcPr>
            <w:tcW w:w="2340" w:type="dxa"/>
            <w:shd w:val="clear" w:color="auto" w:fill="E6E6E6"/>
          </w:tcPr>
          <w:p w:rsidR="00645010" w:rsidRPr="00AA229D" w:rsidRDefault="00645010" w:rsidP="006E23C9">
            <w:pPr>
              <w:rPr>
                <w:color w:val="auto"/>
                <w:kern w:val="0"/>
                <w:sz w:val="22"/>
                <w:szCs w:val="24"/>
                <w:lang w:val="en-US" w:eastAsia="en-US"/>
              </w:rPr>
            </w:pP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Quantitative assessment of bias (eg,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publication bias)</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A15788" w:rsidP="002032D5">
            <w:pPr>
              <w:rPr>
                <w:color w:val="auto"/>
                <w:kern w:val="0"/>
                <w:sz w:val="22"/>
                <w:szCs w:val="24"/>
                <w:lang w:val="en-US" w:eastAsia="en-US"/>
              </w:rPr>
            </w:pPr>
            <w:r w:rsidRPr="00AA229D">
              <w:rPr>
                <w:color w:val="auto"/>
                <w:kern w:val="0"/>
                <w:sz w:val="22"/>
                <w:szCs w:val="24"/>
                <w:lang w:val="en-US" w:eastAsia="en-US"/>
              </w:rPr>
              <w:t xml:space="preserve">Table </w:t>
            </w:r>
            <w:r w:rsidR="005C036C" w:rsidRPr="00AA229D">
              <w:rPr>
                <w:color w:val="auto"/>
                <w:kern w:val="0"/>
                <w:sz w:val="22"/>
                <w:szCs w:val="24"/>
                <w:lang w:val="en-US" w:eastAsia="en-US"/>
              </w:rPr>
              <w:t xml:space="preserve">2, </w:t>
            </w:r>
            <w:r w:rsidR="005C047C">
              <w:rPr>
                <w:color w:val="auto"/>
                <w:kern w:val="0"/>
                <w:sz w:val="22"/>
                <w:szCs w:val="24"/>
                <w:lang w:val="en-US" w:eastAsia="en-US"/>
              </w:rPr>
              <w:t xml:space="preserve">Supplementary </w:t>
            </w:r>
            <w:r w:rsidR="002032D5">
              <w:rPr>
                <w:color w:val="auto"/>
                <w:kern w:val="0"/>
                <w:sz w:val="22"/>
                <w:szCs w:val="24"/>
                <w:lang w:val="en-US" w:eastAsia="en-US"/>
              </w:rPr>
              <w:t>Digital Content 8</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Justification for exclusion (eg, exclusion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of non–English-language citations)</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5C036C" w:rsidP="006E23C9">
            <w:pPr>
              <w:rPr>
                <w:color w:val="auto"/>
                <w:kern w:val="0"/>
                <w:sz w:val="22"/>
                <w:szCs w:val="24"/>
                <w:lang w:val="en-US" w:eastAsia="en-US"/>
              </w:rPr>
            </w:pPr>
            <w:r w:rsidRPr="00AA229D">
              <w:rPr>
                <w:color w:val="auto"/>
                <w:kern w:val="0"/>
                <w:sz w:val="22"/>
                <w:szCs w:val="24"/>
                <w:lang w:val="en-US" w:eastAsia="en-US"/>
              </w:rPr>
              <w:t xml:space="preserve">Supplementary </w:t>
            </w:r>
            <w:r w:rsidR="002032D5">
              <w:rPr>
                <w:color w:val="auto"/>
                <w:kern w:val="0"/>
                <w:sz w:val="22"/>
                <w:szCs w:val="24"/>
                <w:lang w:val="en-US" w:eastAsia="en-US"/>
              </w:rPr>
              <w:t>Digital Content</w:t>
            </w:r>
            <w:r w:rsidRPr="00AA229D">
              <w:rPr>
                <w:color w:val="auto"/>
                <w:kern w:val="0"/>
                <w:sz w:val="22"/>
                <w:szCs w:val="24"/>
                <w:lang w:val="en-US" w:eastAsia="en-US"/>
              </w:rPr>
              <w:t xml:space="preserve"> 7</w:t>
            </w:r>
          </w:p>
        </w:tc>
      </w:tr>
      <w:tr w:rsidR="00645010" w:rsidRPr="00AA229D" w:rsidTr="006E23C9">
        <w:tc>
          <w:tcPr>
            <w:tcW w:w="4428" w:type="dxa"/>
            <w:tcBorders>
              <w:bottom w:val="single" w:sz="4" w:space="0" w:color="000000"/>
            </w:tcBorders>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Assessment of quality of included studies</w:t>
            </w:r>
          </w:p>
        </w:tc>
        <w:tc>
          <w:tcPr>
            <w:tcW w:w="2340" w:type="dxa"/>
            <w:tcBorders>
              <w:bottom w:val="single" w:sz="4" w:space="0" w:color="000000"/>
            </w:tcBorders>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Borders>
              <w:bottom w:val="single" w:sz="4" w:space="0" w:color="000000"/>
            </w:tcBorders>
          </w:tcPr>
          <w:p w:rsidR="00645010" w:rsidRPr="00AA229D" w:rsidRDefault="005C036C" w:rsidP="006E23C9">
            <w:pPr>
              <w:rPr>
                <w:color w:val="auto"/>
                <w:kern w:val="0"/>
                <w:sz w:val="22"/>
                <w:szCs w:val="24"/>
                <w:lang w:val="en-US" w:eastAsia="en-US"/>
              </w:rPr>
            </w:pPr>
            <w:r w:rsidRPr="00AA229D">
              <w:rPr>
                <w:color w:val="auto"/>
                <w:kern w:val="0"/>
                <w:sz w:val="22"/>
                <w:szCs w:val="24"/>
                <w:lang w:val="en-US" w:eastAsia="en-US"/>
              </w:rPr>
              <w:t>Table 2</w:t>
            </w:r>
          </w:p>
        </w:tc>
      </w:tr>
      <w:tr w:rsidR="00645010" w:rsidRPr="00AA229D" w:rsidTr="006E23C9">
        <w:tc>
          <w:tcPr>
            <w:tcW w:w="4428" w:type="dxa"/>
            <w:shd w:val="clear" w:color="auto" w:fill="E6E6E6"/>
          </w:tcPr>
          <w:p w:rsidR="00645010" w:rsidRPr="00AA229D" w:rsidRDefault="00645010" w:rsidP="006E23C9">
            <w:pPr>
              <w:rPr>
                <w:b/>
                <w:color w:val="auto"/>
                <w:kern w:val="0"/>
                <w:sz w:val="22"/>
                <w:szCs w:val="24"/>
                <w:lang w:val="en-US" w:eastAsia="en-US"/>
              </w:rPr>
            </w:pPr>
            <w:r w:rsidRPr="00AA229D">
              <w:rPr>
                <w:b/>
                <w:color w:val="auto"/>
                <w:kern w:val="0"/>
                <w:sz w:val="22"/>
                <w:szCs w:val="24"/>
                <w:lang w:val="en-US" w:eastAsia="en-US"/>
              </w:rPr>
              <w:t>Reporting of Conclusions</w:t>
            </w:r>
          </w:p>
        </w:tc>
        <w:tc>
          <w:tcPr>
            <w:tcW w:w="2340" w:type="dxa"/>
            <w:shd w:val="clear" w:color="auto" w:fill="E6E6E6"/>
          </w:tcPr>
          <w:p w:rsidR="00645010" w:rsidRPr="00AA229D" w:rsidRDefault="00645010" w:rsidP="006E23C9">
            <w:pPr>
              <w:rPr>
                <w:color w:val="auto"/>
                <w:kern w:val="0"/>
                <w:sz w:val="22"/>
                <w:szCs w:val="24"/>
                <w:lang w:val="en-US" w:eastAsia="en-US"/>
              </w:rPr>
            </w:pPr>
          </w:p>
        </w:tc>
        <w:tc>
          <w:tcPr>
            <w:tcW w:w="2340" w:type="dxa"/>
            <w:shd w:val="clear" w:color="auto" w:fill="E6E6E6"/>
          </w:tcPr>
          <w:p w:rsidR="00645010" w:rsidRPr="00AA229D" w:rsidRDefault="00645010" w:rsidP="006E23C9">
            <w:pPr>
              <w:rPr>
                <w:color w:val="auto"/>
                <w:kern w:val="0"/>
                <w:sz w:val="22"/>
                <w:szCs w:val="24"/>
                <w:lang w:val="en-US" w:eastAsia="en-US"/>
              </w:rPr>
            </w:pP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Consideration of alternative explanations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for observed results</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5C036C" w:rsidP="006E23C9">
            <w:pPr>
              <w:rPr>
                <w:color w:val="auto"/>
                <w:kern w:val="0"/>
                <w:sz w:val="22"/>
                <w:szCs w:val="24"/>
                <w:lang w:val="en-US" w:eastAsia="en-US"/>
              </w:rPr>
            </w:pPr>
            <w:r w:rsidRPr="00AA229D">
              <w:rPr>
                <w:color w:val="auto"/>
                <w:kern w:val="0"/>
                <w:sz w:val="22"/>
                <w:szCs w:val="24"/>
                <w:lang w:val="en-US" w:eastAsia="en-US"/>
              </w:rPr>
              <w:t>25</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Generalization of the conclusions (ie,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appropriate for the data presented and </w:t>
            </w:r>
          </w:p>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within the domain of the literature review)</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5C036C" w:rsidP="006E23C9">
            <w:pPr>
              <w:rPr>
                <w:color w:val="auto"/>
                <w:kern w:val="0"/>
                <w:sz w:val="22"/>
                <w:szCs w:val="24"/>
                <w:lang w:val="en-US" w:eastAsia="en-US"/>
              </w:rPr>
            </w:pPr>
            <w:r w:rsidRPr="00AA229D">
              <w:rPr>
                <w:color w:val="auto"/>
                <w:kern w:val="0"/>
                <w:sz w:val="22"/>
                <w:szCs w:val="24"/>
                <w:lang w:val="en-US" w:eastAsia="en-US"/>
              </w:rPr>
              <w:t>25</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Guidelines for future research</w:t>
            </w:r>
          </w:p>
        </w:tc>
        <w:tc>
          <w:tcPr>
            <w:tcW w:w="2340" w:type="dxa"/>
          </w:tcPr>
          <w:p w:rsidR="00645010" w:rsidRPr="00AA229D" w:rsidRDefault="005C036C"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5C036C" w:rsidP="006E23C9">
            <w:pPr>
              <w:rPr>
                <w:color w:val="auto"/>
                <w:kern w:val="0"/>
                <w:sz w:val="22"/>
                <w:szCs w:val="24"/>
                <w:lang w:val="en-US" w:eastAsia="en-US"/>
              </w:rPr>
            </w:pPr>
            <w:r w:rsidRPr="00AA229D">
              <w:rPr>
                <w:color w:val="auto"/>
                <w:kern w:val="0"/>
                <w:sz w:val="22"/>
                <w:szCs w:val="24"/>
                <w:lang w:val="en-US" w:eastAsia="en-US"/>
              </w:rPr>
              <w:t>25</w:t>
            </w:r>
          </w:p>
        </w:tc>
      </w:tr>
      <w:tr w:rsidR="00645010" w:rsidRPr="00AA229D" w:rsidTr="006E23C9">
        <w:tc>
          <w:tcPr>
            <w:tcW w:w="4428"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 xml:space="preserve">   Disclosure of funding source</w:t>
            </w:r>
          </w:p>
        </w:tc>
        <w:tc>
          <w:tcPr>
            <w:tcW w:w="2340" w:type="dxa"/>
          </w:tcPr>
          <w:p w:rsidR="00645010" w:rsidRPr="00AA229D" w:rsidRDefault="00645010" w:rsidP="006E23C9">
            <w:pPr>
              <w:rPr>
                <w:color w:val="auto"/>
                <w:kern w:val="0"/>
                <w:sz w:val="22"/>
                <w:szCs w:val="24"/>
                <w:lang w:val="en-US" w:eastAsia="en-US"/>
              </w:rPr>
            </w:pPr>
            <w:r w:rsidRPr="00AA229D">
              <w:rPr>
                <w:color w:val="auto"/>
                <w:kern w:val="0"/>
                <w:sz w:val="22"/>
                <w:szCs w:val="24"/>
                <w:lang w:val="en-US" w:eastAsia="en-US"/>
              </w:rPr>
              <w:t>Yes</w:t>
            </w:r>
          </w:p>
        </w:tc>
        <w:tc>
          <w:tcPr>
            <w:tcW w:w="2340" w:type="dxa"/>
          </w:tcPr>
          <w:p w:rsidR="00645010" w:rsidRPr="00AA229D" w:rsidRDefault="005C036C" w:rsidP="006E23C9">
            <w:pPr>
              <w:rPr>
                <w:color w:val="auto"/>
                <w:kern w:val="0"/>
                <w:sz w:val="22"/>
                <w:szCs w:val="24"/>
                <w:lang w:val="en-US" w:eastAsia="en-US"/>
              </w:rPr>
            </w:pPr>
            <w:r w:rsidRPr="00AA229D">
              <w:rPr>
                <w:color w:val="auto"/>
                <w:kern w:val="0"/>
                <w:sz w:val="22"/>
                <w:szCs w:val="24"/>
                <w:lang w:val="en-US" w:eastAsia="en-US"/>
              </w:rPr>
              <w:t>2</w:t>
            </w:r>
          </w:p>
        </w:tc>
      </w:tr>
    </w:tbl>
    <w:p w:rsidR="00645010" w:rsidRPr="00AA229D" w:rsidRDefault="00645010" w:rsidP="00645010">
      <w:pPr>
        <w:rPr>
          <w:rFonts w:eastAsia="Cambria"/>
          <w:color w:val="auto"/>
          <w:kern w:val="0"/>
          <w:sz w:val="22"/>
          <w:szCs w:val="24"/>
          <w:lang w:val="en-US" w:eastAsia="en-US"/>
        </w:rPr>
      </w:pPr>
    </w:p>
    <w:p w:rsidR="00645010" w:rsidRPr="00AA229D" w:rsidRDefault="00645010" w:rsidP="00645010">
      <w:pPr>
        <w:rPr>
          <w:rFonts w:eastAsia="Cambria"/>
          <w:color w:val="auto"/>
          <w:kern w:val="0"/>
          <w:sz w:val="22"/>
          <w:szCs w:val="24"/>
          <w:lang w:val="en-US" w:eastAsia="en-US"/>
        </w:rPr>
      </w:pPr>
    </w:p>
    <w:p w:rsidR="00645010" w:rsidRPr="00AA229D" w:rsidRDefault="00645010" w:rsidP="00645010"/>
    <w:p w:rsidR="00645010" w:rsidRPr="00AA229D" w:rsidRDefault="00645010" w:rsidP="00645010"/>
    <w:p w:rsidR="00AA772A" w:rsidRPr="00AA229D" w:rsidRDefault="00AA772A" w:rsidP="00645010"/>
    <w:p w:rsidR="00AA772A" w:rsidRPr="00AA229D" w:rsidRDefault="00AA772A" w:rsidP="00645010"/>
    <w:p w:rsidR="00AA772A" w:rsidRPr="00AA229D" w:rsidRDefault="00AA772A" w:rsidP="00645010"/>
    <w:p w:rsidR="00AA772A" w:rsidRPr="00AA229D" w:rsidRDefault="00AA772A" w:rsidP="00645010"/>
    <w:p w:rsidR="00AA772A" w:rsidRPr="00AA229D" w:rsidRDefault="00AA772A" w:rsidP="00645010"/>
    <w:p w:rsidR="00AA772A" w:rsidRPr="00AA229D" w:rsidRDefault="00AA772A" w:rsidP="00645010"/>
    <w:p w:rsidR="00AA772A" w:rsidRPr="00AA229D" w:rsidRDefault="00AA772A" w:rsidP="00645010"/>
    <w:p w:rsidR="00AA772A" w:rsidRPr="00AA229D" w:rsidRDefault="00AA772A" w:rsidP="00645010"/>
    <w:p w:rsidR="00AA772A" w:rsidRDefault="00AA772A" w:rsidP="00645010"/>
    <w:p w:rsidR="002032D5" w:rsidRPr="00AA229D" w:rsidRDefault="002032D5" w:rsidP="00645010"/>
    <w:p w:rsidR="00AA772A" w:rsidRPr="00AA229D" w:rsidRDefault="00AA772A" w:rsidP="00645010"/>
    <w:p w:rsidR="00AA772A" w:rsidRPr="00AA229D" w:rsidRDefault="00AA772A" w:rsidP="00645010"/>
    <w:p w:rsidR="00645010" w:rsidRPr="001C790C" w:rsidRDefault="00AA772A" w:rsidP="00645010">
      <w:pPr>
        <w:rPr>
          <w:b/>
          <w:sz w:val="22"/>
          <w:szCs w:val="22"/>
        </w:rPr>
      </w:pPr>
      <w:r w:rsidRPr="001C790C">
        <w:rPr>
          <w:b/>
          <w:sz w:val="22"/>
          <w:szCs w:val="22"/>
        </w:rPr>
        <w:t xml:space="preserve">Supplementary </w:t>
      </w:r>
      <w:r w:rsidR="00AA229D" w:rsidRPr="001C790C">
        <w:rPr>
          <w:b/>
          <w:sz w:val="22"/>
          <w:szCs w:val="22"/>
        </w:rPr>
        <w:t>Digital Content</w:t>
      </w:r>
      <w:r w:rsidR="00645010" w:rsidRPr="001C790C">
        <w:rPr>
          <w:b/>
          <w:sz w:val="22"/>
          <w:szCs w:val="22"/>
        </w:rPr>
        <w:t xml:space="preserve"> 2</w:t>
      </w:r>
      <w:r w:rsidR="00E67D54" w:rsidRPr="001C790C">
        <w:rPr>
          <w:b/>
          <w:sz w:val="22"/>
          <w:szCs w:val="22"/>
        </w:rPr>
        <w:t>a</w:t>
      </w:r>
      <w:r w:rsidR="00645010" w:rsidRPr="001C790C">
        <w:rPr>
          <w:b/>
          <w:sz w:val="22"/>
          <w:szCs w:val="22"/>
        </w:rPr>
        <w:t>: Search strategy for PubMeD</w:t>
      </w:r>
    </w:p>
    <w:p w:rsidR="00135F0B" w:rsidRPr="009B72C9" w:rsidRDefault="00135F0B" w:rsidP="0064501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4583"/>
        <w:gridCol w:w="1219"/>
        <w:gridCol w:w="1170"/>
      </w:tblGrid>
      <w:tr w:rsidR="00645010" w:rsidRPr="009B72C9" w:rsidTr="00F76626">
        <w:trPr>
          <w:trHeight w:val="288"/>
        </w:trPr>
        <w:tc>
          <w:tcPr>
            <w:tcW w:w="925" w:type="dxa"/>
            <w:noWrap/>
            <w:hideMark/>
          </w:tcPr>
          <w:p w:rsidR="00645010" w:rsidRPr="009B72C9" w:rsidRDefault="00645010" w:rsidP="006E23C9">
            <w:pPr>
              <w:rPr>
                <w:sz w:val="22"/>
                <w:szCs w:val="22"/>
              </w:rPr>
            </w:pPr>
            <w:r w:rsidRPr="009B72C9">
              <w:rPr>
                <w:sz w:val="22"/>
                <w:szCs w:val="22"/>
              </w:rPr>
              <w:t>Search number</w:t>
            </w:r>
          </w:p>
        </w:tc>
        <w:tc>
          <w:tcPr>
            <w:tcW w:w="4583" w:type="dxa"/>
            <w:noWrap/>
            <w:hideMark/>
          </w:tcPr>
          <w:p w:rsidR="00645010" w:rsidRPr="009B72C9" w:rsidRDefault="00645010" w:rsidP="006E23C9">
            <w:pPr>
              <w:rPr>
                <w:sz w:val="22"/>
                <w:szCs w:val="22"/>
              </w:rPr>
            </w:pPr>
            <w:r w:rsidRPr="009B72C9">
              <w:rPr>
                <w:sz w:val="22"/>
                <w:szCs w:val="22"/>
              </w:rPr>
              <w:t>Query</w:t>
            </w:r>
          </w:p>
        </w:tc>
        <w:tc>
          <w:tcPr>
            <w:tcW w:w="1170" w:type="dxa"/>
          </w:tcPr>
          <w:p w:rsidR="00645010" w:rsidRPr="009B72C9" w:rsidRDefault="00645010" w:rsidP="006E23C9">
            <w:pPr>
              <w:rPr>
                <w:sz w:val="22"/>
                <w:szCs w:val="22"/>
              </w:rPr>
            </w:pPr>
            <w:r w:rsidRPr="009B72C9">
              <w:rPr>
                <w:sz w:val="22"/>
                <w:szCs w:val="22"/>
              </w:rPr>
              <w:t>Filters</w:t>
            </w:r>
          </w:p>
        </w:tc>
        <w:tc>
          <w:tcPr>
            <w:tcW w:w="1170" w:type="dxa"/>
            <w:noWrap/>
            <w:hideMark/>
          </w:tcPr>
          <w:p w:rsidR="00645010" w:rsidRPr="009B72C9" w:rsidRDefault="00645010" w:rsidP="006E23C9">
            <w:pPr>
              <w:rPr>
                <w:sz w:val="22"/>
                <w:szCs w:val="22"/>
              </w:rPr>
            </w:pPr>
            <w:r w:rsidRPr="009B72C9">
              <w:rPr>
                <w:sz w:val="22"/>
                <w:szCs w:val="22"/>
              </w:rPr>
              <w:t>Results</w:t>
            </w:r>
          </w:p>
        </w:tc>
      </w:tr>
      <w:tr w:rsidR="00645010" w:rsidRPr="009B72C9" w:rsidTr="00F76626">
        <w:trPr>
          <w:trHeight w:val="288"/>
        </w:trPr>
        <w:tc>
          <w:tcPr>
            <w:tcW w:w="925" w:type="dxa"/>
            <w:noWrap/>
            <w:hideMark/>
          </w:tcPr>
          <w:p w:rsidR="00645010" w:rsidRPr="009B72C9" w:rsidRDefault="00645010" w:rsidP="006E23C9">
            <w:pPr>
              <w:rPr>
                <w:sz w:val="22"/>
                <w:szCs w:val="22"/>
              </w:rPr>
            </w:pPr>
            <w:r w:rsidRPr="009B72C9">
              <w:rPr>
                <w:sz w:val="22"/>
                <w:szCs w:val="22"/>
              </w:rPr>
              <w:t>10</w:t>
            </w:r>
          </w:p>
        </w:tc>
        <w:tc>
          <w:tcPr>
            <w:tcW w:w="4583" w:type="dxa"/>
            <w:noWrap/>
            <w:hideMark/>
          </w:tcPr>
          <w:p w:rsidR="00645010" w:rsidRPr="009B72C9" w:rsidRDefault="00645010" w:rsidP="006E23C9">
            <w:pPr>
              <w:rPr>
                <w:sz w:val="22"/>
                <w:szCs w:val="22"/>
              </w:rPr>
            </w:pPr>
            <w:r w:rsidRPr="009B72C9">
              <w:rPr>
                <w:sz w:val="22"/>
                <w:szCs w:val="22"/>
              </w:rPr>
              <w:t>#5 AND #9</w:t>
            </w:r>
          </w:p>
        </w:tc>
        <w:tc>
          <w:tcPr>
            <w:tcW w:w="1170" w:type="dxa"/>
          </w:tcPr>
          <w:p w:rsidR="00645010" w:rsidRPr="009B72C9" w:rsidRDefault="00645010" w:rsidP="006E23C9">
            <w:pPr>
              <w:rPr>
                <w:sz w:val="22"/>
                <w:szCs w:val="22"/>
              </w:rPr>
            </w:pPr>
            <w:r w:rsidRPr="009B72C9">
              <w:rPr>
                <w:sz w:val="22"/>
                <w:szCs w:val="22"/>
              </w:rPr>
              <w:t>from 1990/1/1 - 3000/12/12</w:t>
            </w:r>
          </w:p>
          <w:p w:rsidR="00645010" w:rsidRPr="009B72C9" w:rsidRDefault="00645010" w:rsidP="006E23C9">
            <w:pPr>
              <w:rPr>
                <w:sz w:val="22"/>
                <w:szCs w:val="22"/>
              </w:rPr>
            </w:pPr>
          </w:p>
        </w:tc>
        <w:tc>
          <w:tcPr>
            <w:tcW w:w="1170" w:type="dxa"/>
            <w:noWrap/>
            <w:hideMark/>
          </w:tcPr>
          <w:p w:rsidR="00645010" w:rsidRPr="009B72C9" w:rsidRDefault="00645010" w:rsidP="006E23C9">
            <w:pPr>
              <w:rPr>
                <w:sz w:val="22"/>
                <w:szCs w:val="22"/>
              </w:rPr>
            </w:pPr>
            <w:r w:rsidRPr="009B72C9">
              <w:rPr>
                <w:sz w:val="22"/>
                <w:szCs w:val="22"/>
              </w:rPr>
              <w:t>1,470</w:t>
            </w:r>
          </w:p>
        </w:tc>
      </w:tr>
      <w:tr w:rsidR="00645010" w:rsidRPr="009B72C9" w:rsidTr="00F76626">
        <w:trPr>
          <w:trHeight w:val="288"/>
        </w:trPr>
        <w:tc>
          <w:tcPr>
            <w:tcW w:w="925" w:type="dxa"/>
            <w:noWrap/>
            <w:hideMark/>
          </w:tcPr>
          <w:p w:rsidR="00645010" w:rsidRPr="009B72C9" w:rsidRDefault="00645010" w:rsidP="006E23C9">
            <w:pPr>
              <w:rPr>
                <w:sz w:val="22"/>
                <w:szCs w:val="22"/>
              </w:rPr>
            </w:pPr>
            <w:r w:rsidRPr="009B72C9">
              <w:rPr>
                <w:sz w:val="22"/>
                <w:szCs w:val="22"/>
              </w:rPr>
              <w:t>9</w:t>
            </w:r>
          </w:p>
        </w:tc>
        <w:tc>
          <w:tcPr>
            <w:tcW w:w="4583" w:type="dxa"/>
            <w:noWrap/>
            <w:hideMark/>
          </w:tcPr>
          <w:p w:rsidR="00645010" w:rsidRPr="009B72C9" w:rsidRDefault="00645010" w:rsidP="006E23C9">
            <w:pPr>
              <w:rPr>
                <w:sz w:val="22"/>
                <w:szCs w:val="22"/>
              </w:rPr>
            </w:pPr>
            <w:r w:rsidRPr="009B72C9">
              <w:rPr>
                <w:sz w:val="22"/>
                <w:szCs w:val="22"/>
              </w:rPr>
              <w:t>#6 OR #7 OR #8</w:t>
            </w:r>
          </w:p>
        </w:tc>
        <w:tc>
          <w:tcPr>
            <w:tcW w:w="1170" w:type="dxa"/>
          </w:tcPr>
          <w:p w:rsidR="00645010" w:rsidRPr="009B72C9" w:rsidRDefault="00645010" w:rsidP="006E23C9">
            <w:pPr>
              <w:rPr>
                <w:sz w:val="22"/>
                <w:szCs w:val="22"/>
              </w:rPr>
            </w:pPr>
            <w:r w:rsidRPr="009B72C9">
              <w:rPr>
                <w:sz w:val="22"/>
                <w:szCs w:val="22"/>
              </w:rPr>
              <w:t>from 1990/1/1 - 3000/12/12</w:t>
            </w:r>
          </w:p>
          <w:p w:rsidR="00645010" w:rsidRPr="009B72C9" w:rsidRDefault="00645010" w:rsidP="006E23C9">
            <w:pPr>
              <w:rPr>
                <w:sz w:val="22"/>
                <w:szCs w:val="22"/>
              </w:rPr>
            </w:pPr>
          </w:p>
        </w:tc>
        <w:tc>
          <w:tcPr>
            <w:tcW w:w="1170" w:type="dxa"/>
            <w:noWrap/>
            <w:hideMark/>
          </w:tcPr>
          <w:p w:rsidR="00645010" w:rsidRPr="009B72C9" w:rsidRDefault="00645010" w:rsidP="006E23C9">
            <w:pPr>
              <w:rPr>
                <w:sz w:val="22"/>
                <w:szCs w:val="22"/>
              </w:rPr>
            </w:pPr>
            <w:r w:rsidRPr="009B72C9">
              <w:rPr>
                <w:sz w:val="22"/>
                <w:szCs w:val="22"/>
              </w:rPr>
              <w:t>861,582</w:t>
            </w:r>
          </w:p>
        </w:tc>
      </w:tr>
      <w:tr w:rsidR="00645010" w:rsidRPr="009B72C9" w:rsidTr="00F76626">
        <w:trPr>
          <w:trHeight w:val="288"/>
        </w:trPr>
        <w:tc>
          <w:tcPr>
            <w:tcW w:w="925" w:type="dxa"/>
            <w:noWrap/>
            <w:hideMark/>
          </w:tcPr>
          <w:p w:rsidR="00645010" w:rsidRPr="009B72C9" w:rsidRDefault="00645010" w:rsidP="006E23C9">
            <w:pPr>
              <w:rPr>
                <w:sz w:val="22"/>
                <w:szCs w:val="22"/>
              </w:rPr>
            </w:pPr>
            <w:r w:rsidRPr="009B72C9">
              <w:rPr>
                <w:sz w:val="22"/>
                <w:szCs w:val="22"/>
              </w:rPr>
              <w:t>8</w:t>
            </w:r>
          </w:p>
        </w:tc>
        <w:tc>
          <w:tcPr>
            <w:tcW w:w="4583" w:type="dxa"/>
            <w:noWrap/>
            <w:hideMark/>
          </w:tcPr>
          <w:p w:rsidR="00645010" w:rsidRPr="009B72C9" w:rsidRDefault="00645010" w:rsidP="006E23C9">
            <w:pPr>
              <w:rPr>
                <w:sz w:val="22"/>
                <w:szCs w:val="22"/>
              </w:rPr>
            </w:pPr>
            <w:r w:rsidRPr="009B72C9">
              <w:rPr>
                <w:sz w:val="22"/>
                <w:szCs w:val="22"/>
              </w:rPr>
              <w:t>((cirrhosis[MeSH Terms] OR cirrhosis[Title/Abstract]) OR (liver failure[MeSH Terms])) OR (end stage liver disease[MeSH Terms])</w:t>
            </w:r>
          </w:p>
        </w:tc>
        <w:tc>
          <w:tcPr>
            <w:tcW w:w="1170" w:type="dxa"/>
          </w:tcPr>
          <w:p w:rsidR="00645010" w:rsidRPr="009B72C9" w:rsidRDefault="00645010" w:rsidP="006E23C9">
            <w:pPr>
              <w:rPr>
                <w:sz w:val="22"/>
                <w:szCs w:val="22"/>
              </w:rPr>
            </w:pPr>
            <w:r w:rsidRPr="009B72C9">
              <w:rPr>
                <w:sz w:val="22"/>
                <w:szCs w:val="22"/>
              </w:rPr>
              <w:t>from 1990/1/1 - 3000/12/12</w:t>
            </w:r>
          </w:p>
          <w:p w:rsidR="00645010" w:rsidRPr="009B72C9" w:rsidRDefault="00645010" w:rsidP="006E23C9">
            <w:pPr>
              <w:rPr>
                <w:sz w:val="22"/>
                <w:szCs w:val="22"/>
              </w:rPr>
            </w:pPr>
          </w:p>
        </w:tc>
        <w:tc>
          <w:tcPr>
            <w:tcW w:w="1170" w:type="dxa"/>
            <w:noWrap/>
            <w:hideMark/>
          </w:tcPr>
          <w:p w:rsidR="00645010" w:rsidRPr="009B72C9" w:rsidRDefault="00645010" w:rsidP="006E23C9">
            <w:pPr>
              <w:rPr>
                <w:sz w:val="22"/>
                <w:szCs w:val="22"/>
              </w:rPr>
            </w:pPr>
            <w:r w:rsidRPr="009B72C9">
              <w:rPr>
                <w:sz w:val="22"/>
                <w:szCs w:val="22"/>
              </w:rPr>
              <w:t>199,299</w:t>
            </w:r>
          </w:p>
        </w:tc>
      </w:tr>
      <w:tr w:rsidR="00645010" w:rsidRPr="009B72C9" w:rsidTr="00F76626">
        <w:trPr>
          <w:trHeight w:val="288"/>
        </w:trPr>
        <w:tc>
          <w:tcPr>
            <w:tcW w:w="925" w:type="dxa"/>
            <w:noWrap/>
            <w:hideMark/>
          </w:tcPr>
          <w:p w:rsidR="00645010" w:rsidRPr="009B72C9" w:rsidRDefault="00645010" w:rsidP="006E23C9">
            <w:pPr>
              <w:rPr>
                <w:sz w:val="22"/>
                <w:szCs w:val="22"/>
              </w:rPr>
            </w:pPr>
            <w:r w:rsidRPr="009B72C9">
              <w:rPr>
                <w:sz w:val="22"/>
                <w:szCs w:val="22"/>
              </w:rPr>
              <w:t>7</w:t>
            </w:r>
          </w:p>
        </w:tc>
        <w:tc>
          <w:tcPr>
            <w:tcW w:w="4583" w:type="dxa"/>
            <w:noWrap/>
            <w:hideMark/>
          </w:tcPr>
          <w:p w:rsidR="00645010" w:rsidRPr="009B72C9" w:rsidRDefault="00645010" w:rsidP="006E23C9">
            <w:pPr>
              <w:rPr>
                <w:sz w:val="22"/>
                <w:szCs w:val="22"/>
              </w:rPr>
            </w:pPr>
            <w:r w:rsidRPr="009B72C9">
              <w:rPr>
                <w:sz w:val="22"/>
                <w:szCs w:val="22"/>
              </w:rPr>
              <w:t>(liver[MeSH Terms] OR liver[Title/Abstract])</w:t>
            </w:r>
          </w:p>
        </w:tc>
        <w:tc>
          <w:tcPr>
            <w:tcW w:w="1170" w:type="dxa"/>
          </w:tcPr>
          <w:p w:rsidR="00645010" w:rsidRPr="009B72C9" w:rsidRDefault="00645010" w:rsidP="006E23C9">
            <w:pPr>
              <w:rPr>
                <w:sz w:val="22"/>
                <w:szCs w:val="22"/>
              </w:rPr>
            </w:pPr>
            <w:r w:rsidRPr="009B72C9">
              <w:rPr>
                <w:sz w:val="22"/>
                <w:szCs w:val="22"/>
              </w:rPr>
              <w:t>from 1990/1/1 - 3000/12/12</w:t>
            </w:r>
          </w:p>
          <w:p w:rsidR="00645010" w:rsidRPr="009B72C9" w:rsidRDefault="00645010" w:rsidP="006E23C9">
            <w:pPr>
              <w:rPr>
                <w:sz w:val="22"/>
                <w:szCs w:val="22"/>
              </w:rPr>
            </w:pPr>
          </w:p>
        </w:tc>
        <w:tc>
          <w:tcPr>
            <w:tcW w:w="1170" w:type="dxa"/>
            <w:noWrap/>
            <w:hideMark/>
          </w:tcPr>
          <w:p w:rsidR="00645010" w:rsidRPr="009B72C9" w:rsidRDefault="00645010" w:rsidP="006E23C9">
            <w:pPr>
              <w:rPr>
                <w:sz w:val="22"/>
                <w:szCs w:val="22"/>
              </w:rPr>
            </w:pPr>
            <w:r w:rsidRPr="009B72C9">
              <w:rPr>
                <w:sz w:val="22"/>
                <w:szCs w:val="22"/>
              </w:rPr>
              <w:t>731,082</w:t>
            </w:r>
          </w:p>
        </w:tc>
      </w:tr>
      <w:tr w:rsidR="00645010" w:rsidRPr="009B72C9" w:rsidTr="00F76626">
        <w:trPr>
          <w:trHeight w:val="288"/>
        </w:trPr>
        <w:tc>
          <w:tcPr>
            <w:tcW w:w="925" w:type="dxa"/>
            <w:noWrap/>
            <w:hideMark/>
          </w:tcPr>
          <w:p w:rsidR="00645010" w:rsidRPr="009B72C9" w:rsidRDefault="00645010" w:rsidP="006E23C9">
            <w:pPr>
              <w:rPr>
                <w:sz w:val="22"/>
                <w:szCs w:val="22"/>
              </w:rPr>
            </w:pPr>
            <w:r w:rsidRPr="009B72C9">
              <w:rPr>
                <w:sz w:val="22"/>
                <w:szCs w:val="22"/>
              </w:rPr>
              <w:t>6</w:t>
            </w:r>
          </w:p>
        </w:tc>
        <w:tc>
          <w:tcPr>
            <w:tcW w:w="4583" w:type="dxa"/>
            <w:noWrap/>
            <w:hideMark/>
          </w:tcPr>
          <w:p w:rsidR="00645010" w:rsidRPr="009B72C9" w:rsidRDefault="00645010" w:rsidP="006E23C9">
            <w:pPr>
              <w:rPr>
                <w:sz w:val="22"/>
                <w:szCs w:val="22"/>
              </w:rPr>
            </w:pPr>
            <w:r w:rsidRPr="009B72C9">
              <w:rPr>
                <w:sz w:val="22"/>
                <w:szCs w:val="22"/>
              </w:rPr>
              <w:t>((((((((alanine transaminase[MeSH Terms]) OR (aspartate transaminase[MeSH Terms])) OR (alanine aminotransferase[MeSH Terms])) OR (aspartate aminotransferase[MeSH Terms])) OR (hypertransaminasemia[Title/Abstract])) OR (transaminitis[Title/Abstract])) OR (cytolysis[Title/Abstract]) ) OR (transaminase[Title/Abstract])) OR (aminotransferase[Title/Abstract])</w:t>
            </w:r>
          </w:p>
        </w:tc>
        <w:tc>
          <w:tcPr>
            <w:tcW w:w="1170" w:type="dxa"/>
          </w:tcPr>
          <w:p w:rsidR="00645010" w:rsidRPr="009B72C9" w:rsidRDefault="00645010" w:rsidP="006E23C9">
            <w:pPr>
              <w:rPr>
                <w:sz w:val="22"/>
                <w:szCs w:val="22"/>
              </w:rPr>
            </w:pPr>
            <w:r w:rsidRPr="009B72C9">
              <w:rPr>
                <w:sz w:val="22"/>
                <w:szCs w:val="22"/>
              </w:rPr>
              <w:t>from 1990/1/1 - 3000/12/12</w:t>
            </w:r>
          </w:p>
          <w:p w:rsidR="00645010" w:rsidRPr="009B72C9" w:rsidRDefault="00645010" w:rsidP="006E23C9">
            <w:pPr>
              <w:rPr>
                <w:sz w:val="22"/>
                <w:szCs w:val="22"/>
              </w:rPr>
            </w:pPr>
          </w:p>
        </w:tc>
        <w:tc>
          <w:tcPr>
            <w:tcW w:w="1170" w:type="dxa"/>
            <w:noWrap/>
            <w:hideMark/>
          </w:tcPr>
          <w:p w:rsidR="00645010" w:rsidRPr="009B72C9" w:rsidRDefault="00645010" w:rsidP="006E23C9">
            <w:pPr>
              <w:rPr>
                <w:sz w:val="22"/>
                <w:szCs w:val="22"/>
              </w:rPr>
            </w:pPr>
            <w:r w:rsidRPr="009B72C9">
              <w:rPr>
                <w:sz w:val="22"/>
                <w:szCs w:val="22"/>
              </w:rPr>
              <w:t>74,979</w:t>
            </w:r>
          </w:p>
        </w:tc>
      </w:tr>
      <w:tr w:rsidR="00645010" w:rsidRPr="009B72C9" w:rsidTr="00F76626">
        <w:trPr>
          <w:trHeight w:val="288"/>
        </w:trPr>
        <w:tc>
          <w:tcPr>
            <w:tcW w:w="925" w:type="dxa"/>
            <w:noWrap/>
            <w:hideMark/>
          </w:tcPr>
          <w:p w:rsidR="00645010" w:rsidRPr="009B72C9" w:rsidRDefault="00645010" w:rsidP="006E23C9">
            <w:pPr>
              <w:rPr>
                <w:sz w:val="22"/>
                <w:szCs w:val="22"/>
              </w:rPr>
            </w:pPr>
            <w:r w:rsidRPr="009B72C9">
              <w:rPr>
                <w:sz w:val="22"/>
                <w:szCs w:val="22"/>
              </w:rPr>
              <w:t>5</w:t>
            </w:r>
          </w:p>
        </w:tc>
        <w:tc>
          <w:tcPr>
            <w:tcW w:w="4583" w:type="dxa"/>
            <w:noWrap/>
            <w:hideMark/>
          </w:tcPr>
          <w:p w:rsidR="00645010" w:rsidRPr="009B72C9" w:rsidRDefault="00645010" w:rsidP="006E23C9">
            <w:pPr>
              <w:rPr>
                <w:sz w:val="22"/>
                <w:szCs w:val="22"/>
              </w:rPr>
            </w:pPr>
            <w:r w:rsidRPr="009B72C9">
              <w:rPr>
                <w:sz w:val="22"/>
                <w:szCs w:val="22"/>
              </w:rPr>
              <w:t>#1 OR #2 OR #3 OR #4</w:t>
            </w:r>
          </w:p>
        </w:tc>
        <w:tc>
          <w:tcPr>
            <w:tcW w:w="1170" w:type="dxa"/>
          </w:tcPr>
          <w:p w:rsidR="00645010" w:rsidRPr="009B72C9" w:rsidRDefault="00645010" w:rsidP="006E23C9">
            <w:pPr>
              <w:rPr>
                <w:sz w:val="22"/>
                <w:szCs w:val="22"/>
              </w:rPr>
            </w:pPr>
            <w:r w:rsidRPr="009B72C9">
              <w:rPr>
                <w:sz w:val="22"/>
                <w:szCs w:val="22"/>
              </w:rPr>
              <w:t>from 1990/1/1 - 3000/12/12</w:t>
            </w:r>
          </w:p>
          <w:p w:rsidR="00645010" w:rsidRPr="009B72C9" w:rsidRDefault="00645010" w:rsidP="006E23C9">
            <w:pPr>
              <w:rPr>
                <w:sz w:val="22"/>
                <w:szCs w:val="22"/>
              </w:rPr>
            </w:pPr>
          </w:p>
        </w:tc>
        <w:tc>
          <w:tcPr>
            <w:tcW w:w="1170" w:type="dxa"/>
            <w:noWrap/>
            <w:hideMark/>
          </w:tcPr>
          <w:p w:rsidR="00645010" w:rsidRPr="009B72C9" w:rsidRDefault="00645010" w:rsidP="006E23C9">
            <w:pPr>
              <w:rPr>
                <w:sz w:val="22"/>
                <w:szCs w:val="22"/>
              </w:rPr>
            </w:pPr>
            <w:r w:rsidRPr="009B72C9">
              <w:rPr>
                <w:sz w:val="22"/>
                <w:szCs w:val="22"/>
              </w:rPr>
              <w:t>31,058</w:t>
            </w:r>
          </w:p>
        </w:tc>
      </w:tr>
      <w:tr w:rsidR="00645010" w:rsidRPr="009B72C9" w:rsidTr="00F76626">
        <w:trPr>
          <w:trHeight w:val="288"/>
        </w:trPr>
        <w:tc>
          <w:tcPr>
            <w:tcW w:w="925" w:type="dxa"/>
            <w:noWrap/>
            <w:hideMark/>
          </w:tcPr>
          <w:p w:rsidR="00645010" w:rsidRPr="009B72C9" w:rsidRDefault="00645010" w:rsidP="006E23C9">
            <w:pPr>
              <w:rPr>
                <w:sz w:val="22"/>
                <w:szCs w:val="22"/>
              </w:rPr>
            </w:pPr>
            <w:r w:rsidRPr="009B72C9">
              <w:rPr>
                <w:sz w:val="22"/>
                <w:szCs w:val="22"/>
              </w:rPr>
              <w:t>4</w:t>
            </w:r>
          </w:p>
        </w:tc>
        <w:tc>
          <w:tcPr>
            <w:tcW w:w="4583" w:type="dxa"/>
            <w:noWrap/>
            <w:hideMark/>
          </w:tcPr>
          <w:p w:rsidR="00645010" w:rsidRPr="009B72C9" w:rsidRDefault="00645010" w:rsidP="006E23C9">
            <w:pPr>
              <w:rPr>
                <w:sz w:val="22"/>
                <w:szCs w:val="22"/>
              </w:rPr>
            </w:pPr>
            <w:r w:rsidRPr="009B72C9">
              <w:rPr>
                <w:sz w:val="22"/>
                <w:szCs w:val="22"/>
              </w:rPr>
              <w:t>((transglutaminases[MeSH Terms]) OR (transglutaminase[Title/Abstract])) OR (antigliadin[Title/Abstract] OR antiendomysium[Title/Abstract] OR antiendomysial[Title/Abstract] OR "deamidated gliadin peptide"[Title/Abstract])</w:t>
            </w:r>
          </w:p>
        </w:tc>
        <w:tc>
          <w:tcPr>
            <w:tcW w:w="1170" w:type="dxa"/>
          </w:tcPr>
          <w:p w:rsidR="00645010" w:rsidRPr="009B72C9" w:rsidRDefault="00645010" w:rsidP="006E23C9">
            <w:pPr>
              <w:rPr>
                <w:sz w:val="22"/>
                <w:szCs w:val="22"/>
              </w:rPr>
            </w:pPr>
            <w:r w:rsidRPr="009B72C9">
              <w:rPr>
                <w:sz w:val="22"/>
                <w:szCs w:val="22"/>
              </w:rPr>
              <w:t>from 1990/1/1 - 3000/12/12</w:t>
            </w:r>
          </w:p>
          <w:p w:rsidR="00645010" w:rsidRPr="009B72C9" w:rsidRDefault="00645010" w:rsidP="006E23C9">
            <w:pPr>
              <w:rPr>
                <w:sz w:val="22"/>
                <w:szCs w:val="22"/>
              </w:rPr>
            </w:pPr>
          </w:p>
        </w:tc>
        <w:tc>
          <w:tcPr>
            <w:tcW w:w="1170" w:type="dxa"/>
            <w:noWrap/>
            <w:hideMark/>
          </w:tcPr>
          <w:p w:rsidR="00645010" w:rsidRPr="009B72C9" w:rsidRDefault="00645010" w:rsidP="006E23C9">
            <w:pPr>
              <w:rPr>
                <w:sz w:val="22"/>
                <w:szCs w:val="22"/>
              </w:rPr>
            </w:pPr>
            <w:r w:rsidRPr="009B72C9">
              <w:rPr>
                <w:sz w:val="22"/>
                <w:szCs w:val="22"/>
              </w:rPr>
              <w:t>10,794</w:t>
            </w:r>
          </w:p>
        </w:tc>
      </w:tr>
      <w:tr w:rsidR="00645010" w:rsidRPr="009B72C9" w:rsidTr="00F76626">
        <w:trPr>
          <w:trHeight w:val="288"/>
        </w:trPr>
        <w:tc>
          <w:tcPr>
            <w:tcW w:w="925" w:type="dxa"/>
            <w:noWrap/>
            <w:hideMark/>
          </w:tcPr>
          <w:p w:rsidR="00645010" w:rsidRPr="009B72C9" w:rsidRDefault="00645010" w:rsidP="006E23C9">
            <w:pPr>
              <w:rPr>
                <w:sz w:val="22"/>
                <w:szCs w:val="22"/>
              </w:rPr>
            </w:pPr>
            <w:r w:rsidRPr="009B72C9">
              <w:rPr>
                <w:sz w:val="22"/>
                <w:szCs w:val="22"/>
              </w:rPr>
              <w:t>3</w:t>
            </w:r>
          </w:p>
        </w:tc>
        <w:tc>
          <w:tcPr>
            <w:tcW w:w="4583" w:type="dxa"/>
            <w:noWrap/>
            <w:hideMark/>
          </w:tcPr>
          <w:p w:rsidR="00645010" w:rsidRPr="009B72C9" w:rsidRDefault="00645010" w:rsidP="006E23C9">
            <w:pPr>
              <w:rPr>
                <w:sz w:val="22"/>
                <w:szCs w:val="22"/>
              </w:rPr>
            </w:pPr>
            <w:r w:rsidRPr="009B72C9">
              <w:rPr>
                <w:sz w:val="22"/>
                <w:szCs w:val="22"/>
              </w:rPr>
              <w:t>(diet, gluten free[MeSH Terms]) OR (enteropathies, gluten sensitive[MeSH Terms])</w:t>
            </w:r>
          </w:p>
        </w:tc>
        <w:tc>
          <w:tcPr>
            <w:tcW w:w="1170" w:type="dxa"/>
          </w:tcPr>
          <w:p w:rsidR="00645010" w:rsidRPr="009B72C9" w:rsidRDefault="00645010" w:rsidP="006E23C9">
            <w:pPr>
              <w:rPr>
                <w:sz w:val="22"/>
                <w:szCs w:val="22"/>
              </w:rPr>
            </w:pPr>
            <w:r w:rsidRPr="009B72C9">
              <w:rPr>
                <w:sz w:val="22"/>
                <w:szCs w:val="22"/>
              </w:rPr>
              <w:t>from 1990/1/1 - 3000/12/12</w:t>
            </w:r>
          </w:p>
          <w:p w:rsidR="00645010" w:rsidRPr="009B72C9" w:rsidRDefault="00645010" w:rsidP="006E23C9">
            <w:pPr>
              <w:rPr>
                <w:sz w:val="22"/>
                <w:szCs w:val="22"/>
              </w:rPr>
            </w:pPr>
          </w:p>
        </w:tc>
        <w:tc>
          <w:tcPr>
            <w:tcW w:w="1170" w:type="dxa"/>
            <w:noWrap/>
            <w:hideMark/>
          </w:tcPr>
          <w:p w:rsidR="00645010" w:rsidRPr="009B72C9" w:rsidRDefault="00645010" w:rsidP="006E23C9">
            <w:pPr>
              <w:rPr>
                <w:sz w:val="22"/>
                <w:szCs w:val="22"/>
              </w:rPr>
            </w:pPr>
            <w:r w:rsidRPr="009B72C9">
              <w:rPr>
                <w:sz w:val="22"/>
                <w:szCs w:val="22"/>
              </w:rPr>
              <w:t>14,746</w:t>
            </w:r>
          </w:p>
        </w:tc>
      </w:tr>
      <w:tr w:rsidR="00645010" w:rsidRPr="009B72C9" w:rsidTr="00F76626">
        <w:trPr>
          <w:trHeight w:val="288"/>
        </w:trPr>
        <w:tc>
          <w:tcPr>
            <w:tcW w:w="925" w:type="dxa"/>
            <w:noWrap/>
            <w:hideMark/>
          </w:tcPr>
          <w:p w:rsidR="00645010" w:rsidRPr="009B72C9" w:rsidRDefault="00645010" w:rsidP="006E23C9">
            <w:pPr>
              <w:rPr>
                <w:sz w:val="22"/>
                <w:szCs w:val="22"/>
              </w:rPr>
            </w:pPr>
            <w:r w:rsidRPr="009B72C9">
              <w:rPr>
                <w:sz w:val="22"/>
                <w:szCs w:val="22"/>
              </w:rPr>
              <w:t>2</w:t>
            </w:r>
          </w:p>
        </w:tc>
        <w:tc>
          <w:tcPr>
            <w:tcW w:w="4583" w:type="dxa"/>
            <w:noWrap/>
            <w:hideMark/>
          </w:tcPr>
          <w:p w:rsidR="00645010" w:rsidRPr="009B72C9" w:rsidRDefault="00645010" w:rsidP="006E23C9">
            <w:pPr>
              <w:rPr>
                <w:sz w:val="22"/>
                <w:szCs w:val="22"/>
              </w:rPr>
            </w:pPr>
            <w:r w:rsidRPr="009B72C9">
              <w:rPr>
                <w:sz w:val="22"/>
                <w:szCs w:val="22"/>
              </w:rPr>
              <w:t xml:space="preserve">((glutens[MeSH Terms]) OR (gluten[Title/Abstract]) OR (gliadin[MeSH Terms]) OR (gliadin[Title/Abstract])) </w:t>
            </w:r>
          </w:p>
        </w:tc>
        <w:tc>
          <w:tcPr>
            <w:tcW w:w="1170" w:type="dxa"/>
          </w:tcPr>
          <w:p w:rsidR="00645010" w:rsidRPr="009B72C9" w:rsidRDefault="00645010" w:rsidP="006E23C9">
            <w:pPr>
              <w:rPr>
                <w:sz w:val="22"/>
                <w:szCs w:val="22"/>
              </w:rPr>
            </w:pPr>
            <w:r w:rsidRPr="009B72C9">
              <w:rPr>
                <w:sz w:val="22"/>
                <w:szCs w:val="22"/>
              </w:rPr>
              <w:t>from 1990/1/1 - 3000/12/12</w:t>
            </w:r>
          </w:p>
          <w:p w:rsidR="00645010" w:rsidRPr="009B72C9" w:rsidRDefault="00645010" w:rsidP="006E23C9">
            <w:pPr>
              <w:rPr>
                <w:sz w:val="22"/>
                <w:szCs w:val="22"/>
              </w:rPr>
            </w:pPr>
          </w:p>
        </w:tc>
        <w:tc>
          <w:tcPr>
            <w:tcW w:w="1170" w:type="dxa"/>
            <w:noWrap/>
            <w:hideMark/>
          </w:tcPr>
          <w:p w:rsidR="00645010" w:rsidRPr="009B72C9" w:rsidRDefault="00645010" w:rsidP="006E23C9">
            <w:pPr>
              <w:rPr>
                <w:sz w:val="22"/>
                <w:szCs w:val="22"/>
              </w:rPr>
            </w:pPr>
            <w:r w:rsidRPr="009B72C9">
              <w:rPr>
                <w:sz w:val="22"/>
                <w:szCs w:val="22"/>
              </w:rPr>
              <w:t>14,733</w:t>
            </w:r>
          </w:p>
        </w:tc>
      </w:tr>
      <w:tr w:rsidR="00645010" w:rsidRPr="009B72C9" w:rsidTr="00F76626">
        <w:trPr>
          <w:trHeight w:val="288"/>
        </w:trPr>
        <w:tc>
          <w:tcPr>
            <w:tcW w:w="925" w:type="dxa"/>
            <w:noWrap/>
            <w:hideMark/>
          </w:tcPr>
          <w:p w:rsidR="00645010" w:rsidRPr="009B72C9" w:rsidRDefault="00645010" w:rsidP="006E23C9">
            <w:pPr>
              <w:rPr>
                <w:sz w:val="22"/>
                <w:szCs w:val="22"/>
              </w:rPr>
            </w:pPr>
            <w:r w:rsidRPr="009B72C9">
              <w:rPr>
                <w:sz w:val="22"/>
                <w:szCs w:val="22"/>
              </w:rPr>
              <w:t>1</w:t>
            </w:r>
          </w:p>
        </w:tc>
        <w:tc>
          <w:tcPr>
            <w:tcW w:w="4583" w:type="dxa"/>
            <w:noWrap/>
            <w:hideMark/>
          </w:tcPr>
          <w:p w:rsidR="00645010" w:rsidRPr="009B72C9" w:rsidRDefault="00645010" w:rsidP="006E23C9">
            <w:pPr>
              <w:rPr>
                <w:sz w:val="22"/>
                <w:szCs w:val="22"/>
              </w:rPr>
            </w:pPr>
            <w:r w:rsidRPr="009B72C9">
              <w:rPr>
                <w:sz w:val="22"/>
                <w:szCs w:val="22"/>
              </w:rPr>
              <w:t>((celiac disease[MeSH Terms]) OR ("celiac disease"[Title/Abstract])) OR ("coeliac disease"[Title/Abstract])</w:t>
            </w:r>
          </w:p>
        </w:tc>
        <w:tc>
          <w:tcPr>
            <w:tcW w:w="1170" w:type="dxa"/>
          </w:tcPr>
          <w:p w:rsidR="00645010" w:rsidRPr="009B72C9" w:rsidRDefault="00645010" w:rsidP="006E23C9">
            <w:pPr>
              <w:rPr>
                <w:sz w:val="22"/>
                <w:szCs w:val="22"/>
              </w:rPr>
            </w:pPr>
            <w:r w:rsidRPr="009B72C9">
              <w:rPr>
                <w:sz w:val="22"/>
                <w:szCs w:val="22"/>
              </w:rPr>
              <w:t>from 1990/1/1 - 3000/12/12</w:t>
            </w:r>
          </w:p>
        </w:tc>
        <w:tc>
          <w:tcPr>
            <w:tcW w:w="1170" w:type="dxa"/>
            <w:noWrap/>
            <w:hideMark/>
          </w:tcPr>
          <w:p w:rsidR="00645010" w:rsidRPr="009B72C9" w:rsidRDefault="00645010" w:rsidP="006E23C9">
            <w:pPr>
              <w:rPr>
                <w:sz w:val="22"/>
                <w:szCs w:val="22"/>
              </w:rPr>
            </w:pPr>
            <w:r w:rsidRPr="009B72C9">
              <w:rPr>
                <w:sz w:val="22"/>
                <w:szCs w:val="22"/>
              </w:rPr>
              <w:t>18,489</w:t>
            </w:r>
          </w:p>
        </w:tc>
      </w:tr>
    </w:tbl>
    <w:p w:rsidR="00645010" w:rsidRPr="009B72C9" w:rsidRDefault="00645010" w:rsidP="00645010">
      <w:pPr>
        <w:rPr>
          <w:sz w:val="22"/>
          <w:szCs w:val="22"/>
        </w:rPr>
      </w:pPr>
    </w:p>
    <w:p w:rsidR="00645010" w:rsidRPr="001C790C" w:rsidRDefault="00171862" w:rsidP="00645010">
      <w:pPr>
        <w:rPr>
          <w:b/>
          <w:sz w:val="22"/>
          <w:szCs w:val="22"/>
        </w:rPr>
      </w:pPr>
      <w:r w:rsidRPr="001C790C">
        <w:rPr>
          <w:b/>
          <w:sz w:val="22"/>
          <w:szCs w:val="22"/>
        </w:rPr>
        <w:t xml:space="preserve">Supplementary </w:t>
      </w:r>
      <w:r w:rsidR="00AA229D" w:rsidRPr="001C790C">
        <w:rPr>
          <w:b/>
          <w:sz w:val="22"/>
          <w:szCs w:val="22"/>
        </w:rPr>
        <w:t xml:space="preserve">Digital Content </w:t>
      </w:r>
      <w:r w:rsidR="00E67D54" w:rsidRPr="001C790C">
        <w:rPr>
          <w:b/>
          <w:sz w:val="22"/>
          <w:szCs w:val="22"/>
        </w:rPr>
        <w:t>2b</w:t>
      </w:r>
      <w:r w:rsidR="00645010" w:rsidRPr="001C790C">
        <w:rPr>
          <w:b/>
          <w:sz w:val="22"/>
          <w:szCs w:val="22"/>
        </w:rPr>
        <w:t>: Search strategy for Embase</w:t>
      </w:r>
    </w:p>
    <w:p w:rsidR="00645010" w:rsidRPr="009B72C9" w:rsidRDefault="00645010" w:rsidP="00645010">
      <w:pPr>
        <w:rPr>
          <w:sz w:val="22"/>
          <w:szCs w:val="22"/>
        </w:rPr>
      </w:pPr>
    </w:p>
    <w:p w:rsidR="00645010" w:rsidRPr="009B72C9" w:rsidRDefault="00645010" w:rsidP="00645010">
      <w:pPr>
        <w:rPr>
          <w:sz w:val="22"/>
          <w:szCs w:val="22"/>
        </w:rPr>
      </w:pPr>
    </w:p>
    <w:p w:rsidR="00645010" w:rsidRPr="009B72C9" w:rsidRDefault="00645010" w:rsidP="0064501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042"/>
        <w:gridCol w:w="986"/>
      </w:tblGrid>
      <w:tr w:rsidR="00645010" w:rsidRPr="009B72C9" w:rsidTr="00F76626">
        <w:trPr>
          <w:trHeight w:val="288"/>
        </w:trPr>
        <w:tc>
          <w:tcPr>
            <w:tcW w:w="828" w:type="dxa"/>
            <w:noWrap/>
            <w:hideMark/>
          </w:tcPr>
          <w:p w:rsidR="00645010" w:rsidRPr="009B72C9" w:rsidRDefault="00645010" w:rsidP="006E23C9">
            <w:pPr>
              <w:rPr>
                <w:sz w:val="22"/>
                <w:szCs w:val="22"/>
              </w:rPr>
            </w:pPr>
            <w:r w:rsidRPr="009B72C9">
              <w:rPr>
                <w:sz w:val="22"/>
                <w:szCs w:val="22"/>
              </w:rPr>
              <w:t>#7</w:t>
            </w:r>
          </w:p>
        </w:tc>
        <w:tc>
          <w:tcPr>
            <w:tcW w:w="7042" w:type="dxa"/>
            <w:noWrap/>
            <w:hideMark/>
          </w:tcPr>
          <w:p w:rsidR="00645010" w:rsidRPr="009B72C9" w:rsidRDefault="00645010" w:rsidP="006E23C9">
            <w:pPr>
              <w:rPr>
                <w:sz w:val="22"/>
                <w:szCs w:val="22"/>
              </w:rPr>
            </w:pPr>
            <w:r w:rsidRPr="009B72C9">
              <w:rPr>
                <w:sz w:val="22"/>
                <w:szCs w:val="22"/>
              </w:rPr>
              <w:t>(#1 OR #2 OR #3 OR #4) AND (#5 OR #6)</w:t>
            </w:r>
          </w:p>
        </w:tc>
        <w:tc>
          <w:tcPr>
            <w:tcW w:w="986" w:type="dxa"/>
            <w:noWrap/>
            <w:hideMark/>
          </w:tcPr>
          <w:p w:rsidR="00645010" w:rsidRPr="009B72C9" w:rsidRDefault="00645010" w:rsidP="006E23C9">
            <w:pPr>
              <w:rPr>
                <w:sz w:val="22"/>
                <w:szCs w:val="22"/>
              </w:rPr>
            </w:pPr>
            <w:r w:rsidRPr="009B72C9">
              <w:rPr>
                <w:sz w:val="22"/>
                <w:szCs w:val="22"/>
              </w:rPr>
              <w:t>5400</w:t>
            </w:r>
          </w:p>
        </w:tc>
      </w:tr>
      <w:tr w:rsidR="00645010" w:rsidRPr="009B72C9" w:rsidTr="00F76626">
        <w:trPr>
          <w:trHeight w:val="288"/>
        </w:trPr>
        <w:tc>
          <w:tcPr>
            <w:tcW w:w="828" w:type="dxa"/>
            <w:noWrap/>
            <w:hideMark/>
          </w:tcPr>
          <w:p w:rsidR="00645010" w:rsidRPr="009B72C9" w:rsidRDefault="00645010" w:rsidP="006E23C9">
            <w:pPr>
              <w:rPr>
                <w:sz w:val="22"/>
                <w:szCs w:val="22"/>
              </w:rPr>
            </w:pPr>
            <w:r w:rsidRPr="009B72C9">
              <w:rPr>
                <w:sz w:val="22"/>
                <w:szCs w:val="22"/>
              </w:rPr>
              <w:t>#6</w:t>
            </w:r>
          </w:p>
        </w:tc>
        <w:tc>
          <w:tcPr>
            <w:tcW w:w="7042" w:type="dxa"/>
            <w:noWrap/>
            <w:hideMark/>
          </w:tcPr>
          <w:p w:rsidR="00645010" w:rsidRPr="009B72C9" w:rsidRDefault="00645010" w:rsidP="006E23C9">
            <w:pPr>
              <w:rPr>
                <w:sz w:val="22"/>
                <w:szCs w:val="22"/>
              </w:rPr>
            </w:pPr>
            <w:r w:rsidRPr="009B72C9">
              <w:rPr>
                <w:sz w:val="22"/>
                <w:szCs w:val="22"/>
              </w:rPr>
              <w:t>('liver function test'/exp OR 'liver function test' OR 'aspartate aminotransferase'/exp OR 'alanine aminotransferase'/exp OR 'transaminase' OR 'aminotransferase' OR 'hypertransaminasemia' OR 'transaminitis' OR 'cytolysis') AND [1990-2022]/py</w:t>
            </w:r>
          </w:p>
        </w:tc>
        <w:tc>
          <w:tcPr>
            <w:tcW w:w="986" w:type="dxa"/>
            <w:noWrap/>
            <w:hideMark/>
          </w:tcPr>
          <w:p w:rsidR="00645010" w:rsidRPr="009B72C9" w:rsidRDefault="00645010" w:rsidP="006E23C9">
            <w:pPr>
              <w:rPr>
                <w:sz w:val="22"/>
                <w:szCs w:val="22"/>
              </w:rPr>
            </w:pPr>
            <w:r w:rsidRPr="009B72C9">
              <w:rPr>
                <w:sz w:val="22"/>
                <w:szCs w:val="22"/>
              </w:rPr>
              <w:t>280048</w:t>
            </w:r>
          </w:p>
        </w:tc>
      </w:tr>
      <w:tr w:rsidR="00645010" w:rsidRPr="009B72C9" w:rsidTr="00F76626">
        <w:trPr>
          <w:trHeight w:val="288"/>
        </w:trPr>
        <w:tc>
          <w:tcPr>
            <w:tcW w:w="828" w:type="dxa"/>
            <w:noWrap/>
            <w:hideMark/>
          </w:tcPr>
          <w:p w:rsidR="00645010" w:rsidRPr="009B72C9" w:rsidRDefault="00645010" w:rsidP="006E23C9">
            <w:pPr>
              <w:rPr>
                <w:sz w:val="22"/>
                <w:szCs w:val="22"/>
              </w:rPr>
            </w:pPr>
            <w:r w:rsidRPr="009B72C9">
              <w:rPr>
                <w:sz w:val="22"/>
                <w:szCs w:val="22"/>
              </w:rPr>
              <w:t>#5</w:t>
            </w:r>
          </w:p>
        </w:tc>
        <w:tc>
          <w:tcPr>
            <w:tcW w:w="7042" w:type="dxa"/>
            <w:noWrap/>
            <w:hideMark/>
          </w:tcPr>
          <w:p w:rsidR="00645010" w:rsidRPr="009B72C9" w:rsidRDefault="00645010" w:rsidP="006E23C9">
            <w:pPr>
              <w:rPr>
                <w:sz w:val="22"/>
                <w:szCs w:val="22"/>
              </w:rPr>
            </w:pPr>
            <w:r w:rsidRPr="009B72C9">
              <w:rPr>
                <w:sz w:val="22"/>
                <w:szCs w:val="22"/>
              </w:rPr>
              <w:t>('liver disease'/exp OR 'liver disease' OR 'liver cirrhosis'/exp OR 'liver cirrhosis' OR 'cirrhosis'/exp OR 'cirrhosis' OR 'cirrhotic*' OR 'end stage liver disease'/exp OR 'chronic liver disease' OR 'liver failure' OR 'chronic liver failure' OR 'liver'/exp OR 'liver':ti,ab,kw) AND [1990-2022]/py</w:t>
            </w:r>
          </w:p>
        </w:tc>
        <w:tc>
          <w:tcPr>
            <w:tcW w:w="986" w:type="dxa"/>
            <w:noWrap/>
            <w:hideMark/>
          </w:tcPr>
          <w:p w:rsidR="00645010" w:rsidRPr="009B72C9" w:rsidRDefault="00645010" w:rsidP="006E23C9">
            <w:pPr>
              <w:rPr>
                <w:sz w:val="22"/>
                <w:szCs w:val="22"/>
              </w:rPr>
            </w:pPr>
            <w:r w:rsidRPr="009B72C9">
              <w:rPr>
                <w:sz w:val="22"/>
                <w:szCs w:val="22"/>
              </w:rPr>
              <w:t>1543236</w:t>
            </w:r>
          </w:p>
        </w:tc>
      </w:tr>
      <w:tr w:rsidR="00645010" w:rsidRPr="009B72C9" w:rsidTr="00F76626">
        <w:trPr>
          <w:trHeight w:val="288"/>
        </w:trPr>
        <w:tc>
          <w:tcPr>
            <w:tcW w:w="828" w:type="dxa"/>
            <w:noWrap/>
            <w:hideMark/>
          </w:tcPr>
          <w:p w:rsidR="00645010" w:rsidRPr="009B72C9" w:rsidRDefault="00645010" w:rsidP="006E23C9">
            <w:pPr>
              <w:rPr>
                <w:sz w:val="22"/>
                <w:szCs w:val="22"/>
              </w:rPr>
            </w:pPr>
            <w:r w:rsidRPr="009B72C9">
              <w:rPr>
                <w:sz w:val="22"/>
                <w:szCs w:val="22"/>
              </w:rPr>
              <w:t>#4</w:t>
            </w:r>
          </w:p>
        </w:tc>
        <w:tc>
          <w:tcPr>
            <w:tcW w:w="7042" w:type="dxa"/>
            <w:noWrap/>
            <w:hideMark/>
          </w:tcPr>
          <w:p w:rsidR="00645010" w:rsidRPr="009B72C9" w:rsidRDefault="00645010" w:rsidP="006E23C9">
            <w:pPr>
              <w:rPr>
                <w:sz w:val="22"/>
                <w:szCs w:val="22"/>
              </w:rPr>
            </w:pPr>
            <w:r w:rsidRPr="009B72C9">
              <w:rPr>
                <w:sz w:val="22"/>
                <w:szCs w:val="22"/>
              </w:rPr>
              <w:t>('gluten free diet'/exp OR 'gluten free diet':ti,ab,kw OR 'gluten-free diet') AND [1990-2022]/py</w:t>
            </w:r>
          </w:p>
        </w:tc>
        <w:tc>
          <w:tcPr>
            <w:tcW w:w="986" w:type="dxa"/>
            <w:noWrap/>
            <w:hideMark/>
          </w:tcPr>
          <w:p w:rsidR="00645010" w:rsidRPr="009B72C9" w:rsidRDefault="00645010" w:rsidP="006E23C9">
            <w:pPr>
              <w:rPr>
                <w:sz w:val="22"/>
                <w:szCs w:val="22"/>
              </w:rPr>
            </w:pPr>
            <w:r w:rsidRPr="009B72C9">
              <w:rPr>
                <w:sz w:val="22"/>
                <w:szCs w:val="22"/>
              </w:rPr>
              <w:t>11126</w:t>
            </w:r>
          </w:p>
        </w:tc>
      </w:tr>
      <w:tr w:rsidR="00645010" w:rsidRPr="009B72C9" w:rsidTr="00F76626">
        <w:trPr>
          <w:trHeight w:val="288"/>
        </w:trPr>
        <w:tc>
          <w:tcPr>
            <w:tcW w:w="828" w:type="dxa"/>
            <w:noWrap/>
            <w:hideMark/>
          </w:tcPr>
          <w:p w:rsidR="00645010" w:rsidRPr="009B72C9" w:rsidRDefault="00645010" w:rsidP="006E23C9">
            <w:pPr>
              <w:rPr>
                <w:sz w:val="22"/>
                <w:szCs w:val="22"/>
              </w:rPr>
            </w:pPr>
            <w:r w:rsidRPr="009B72C9">
              <w:rPr>
                <w:sz w:val="22"/>
                <w:szCs w:val="22"/>
              </w:rPr>
              <w:t>#3</w:t>
            </w:r>
          </w:p>
        </w:tc>
        <w:tc>
          <w:tcPr>
            <w:tcW w:w="7042" w:type="dxa"/>
            <w:noWrap/>
            <w:hideMark/>
          </w:tcPr>
          <w:p w:rsidR="00645010" w:rsidRPr="009B72C9" w:rsidRDefault="00645010" w:rsidP="006E23C9">
            <w:pPr>
              <w:rPr>
                <w:sz w:val="22"/>
                <w:szCs w:val="22"/>
              </w:rPr>
            </w:pPr>
            <w:r w:rsidRPr="009B72C9">
              <w:rPr>
                <w:sz w:val="22"/>
                <w:szCs w:val="22"/>
              </w:rPr>
              <w:t>('gliadin antibody'/exp OR 'gliadin antibody':ti,ab,kw OR 'deamidated gliadin peptide antibody'/exp OR 'deamidated gliadin peptide antibody':ti,ab,kw OR 'antigliadin':ti,ab,kw OR 'anti-gliadin':ti,ab,kw OR 'transglutaminase':ti,ab,kw OR 'endomysium':ti,ab,kw OR 'endomysial':ti,ab,kw OR 'antiendomysium':ti,ab,kw OR 'antiendomysial':ti,ab,kw OR 'anti-endomysium':ti,ab,kw OR 'anti-endomysial':ti,ab,kw OR 'gliadin antibody' OR 'deamidated gliadin peptide antibody' OR 'transglutaminase'/exp) AND [1990-2022]/py</w:t>
            </w:r>
          </w:p>
        </w:tc>
        <w:tc>
          <w:tcPr>
            <w:tcW w:w="986" w:type="dxa"/>
            <w:noWrap/>
            <w:hideMark/>
          </w:tcPr>
          <w:p w:rsidR="00645010" w:rsidRPr="009B72C9" w:rsidRDefault="00645010" w:rsidP="006E23C9">
            <w:pPr>
              <w:rPr>
                <w:sz w:val="22"/>
                <w:szCs w:val="22"/>
              </w:rPr>
            </w:pPr>
            <w:r w:rsidRPr="009B72C9">
              <w:rPr>
                <w:sz w:val="22"/>
                <w:szCs w:val="22"/>
              </w:rPr>
              <w:t>16899</w:t>
            </w:r>
          </w:p>
        </w:tc>
      </w:tr>
      <w:tr w:rsidR="00645010" w:rsidRPr="009B72C9" w:rsidTr="00F76626">
        <w:trPr>
          <w:trHeight w:val="288"/>
        </w:trPr>
        <w:tc>
          <w:tcPr>
            <w:tcW w:w="828" w:type="dxa"/>
            <w:noWrap/>
            <w:hideMark/>
          </w:tcPr>
          <w:p w:rsidR="00645010" w:rsidRPr="009B72C9" w:rsidRDefault="00645010" w:rsidP="006E23C9">
            <w:pPr>
              <w:rPr>
                <w:sz w:val="22"/>
                <w:szCs w:val="22"/>
              </w:rPr>
            </w:pPr>
            <w:r w:rsidRPr="009B72C9">
              <w:rPr>
                <w:sz w:val="22"/>
                <w:szCs w:val="22"/>
              </w:rPr>
              <w:t>#2</w:t>
            </w:r>
          </w:p>
        </w:tc>
        <w:tc>
          <w:tcPr>
            <w:tcW w:w="7042" w:type="dxa"/>
            <w:noWrap/>
            <w:hideMark/>
          </w:tcPr>
          <w:p w:rsidR="00645010" w:rsidRPr="009B72C9" w:rsidRDefault="00645010" w:rsidP="006E23C9">
            <w:pPr>
              <w:rPr>
                <w:sz w:val="22"/>
                <w:szCs w:val="22"/>
              </w:rPr>
            </w:pPr>
            <w:r w:rsidRPr="009B72C9">
              <w:rPr>
                <w:sz w:val="22"/>
                <w:szCs w:val="22"/>
              </w:rPr>
              <w:t>('gluten'/exp OR 'gliadin'/exp OR 'gluten' OR 'gliadin' OR 'gluten':ti,ab,kw OR 'gliadin':ti,ab,kw) AND [1990-2022]/py</w:t>
            </w:r>
          </w:p>
        </w:tc>
        <w:tc>
          <w:tcPr>
            <w:tcW w:w="986" w:type="dxa"/>
            <w:noWrap/>
            <w:hideMark/>
          </w:tcPr>
          <w:p w:rsidR="00645010" w:rsidRPr="009B72C9" w:rsidRDefault="00645010" w:rsidP="006E23C9">
            <w:pPr>
              <w:rPr>
                <w:sz w:val="22"/>
                <w:szCs w:val="22"/>
              </w:rPr>
            </w:pPr>
            <w:r w:rsidRPr="009B72C9">
              <w:rPr>
                <w:sz w:val="22"/>
                <w:szCs w:val="22"/>
              </w:rPr>
              <w:t>23312</w:t>
            </w:r>
          </w:p>
        </w:tc>
      </w:tr>
      <w:tr w:rsidR="00645010" w:rsidRPr="009B72C9" w:rsidTr="00F76626">
        <w:trPr>
          <w:trHeight w:val="288"/>
        </w:trPr>
        <w:tc>
          <w:tcPr>
            <w:tcW w:w="828" w:type="dxa"/>
            <w:noWrap/>
            <w:hideMark/>
          </w:tcPr>
          <w:p w:rsidR="00645010" w:rsidRPr="009B72C9" w:rsidRDefault="00645010" w:rsidP="006E23C9">
            <w:pPr>
              <w:rPr>
                <w:sz w:val="22"/>
                <w:szCs w:val="22"/>
              </w:rPr>
            </w:pPr>
            <w:r w:rsidRPr="009B72C9">
              <w:rPr>
                <w:sz w:val="22"/>
                <w:szCs w:val="22"/>
              </w:rPr>
              <w:t>#1</w:t>
            </w:r>
          </w:p>
        </w:tc>
        <w:tc>
          <w:tcPr>
            <w:tcW w:w="7042" w:type="dxa"/>
            <w:noWrap/>
            <w:hideMark/>
          </w:tcPr>
          <w:p w:rsidR="00645010" w:rsidRPr="009B72C9" w:rsidRDefault="00645010" w:rsidP="006E23C9">
            <w:pPr>
              <w:rPr>
                <w:sz w:val="22"/>
                <w:szCs w:val="22"/>
              </w:rPr>
            </w:pPr>
            <w:r w:rsidRPr="009B72C9">
              <w:rPr>
                <w:sz w:val="22"/>
                <w:szCs w:val="22"/>
              </w:rPr>
              <w:t>('celiac disease'/exp OR 'celiac disease':ti,ab,kw OR 'celiak*':ti,ab,kw OR 'coeliac disease*':ti,ab,kw OR 'coeliak*':ti,ab,kw OR 'non-tropical sprue':ti,ab,kw OR 'nontropical sprue':ti,ab,kw OR 'sprue':ti,ab,kw OR 'gluten sensitive enteropathy':ti,ab,kw OR 'gluten induced enteropathy':ti,ab,kw OR 'celiac disease' OR 'celiak*' OR 'coeliac disease' OR 'coeliak*' OR 'non-tropical sprue' OR 'nontropical sprue' OR 'sprue' OR 'gluten sensitive enteropathy' OR 'gluten induced enteropathy') AND [1990-2022]/py</w:t>
            </w:r>
          </w:p>
        </w:tc>
        <w:tc>
          <w:tcPr>
            <w:tcW w:w="986" w:type="dxa"/>
            <w:noWrap/>
            <w:hideMark/>
          </w:tcPr>
          <w:p w:rsidR="00645010" w:rsidRPr="009B72C9" w:rsidRDefault="00645010" w:rsidP="006E23C9">
            <w:pPr>
              <w:rPr>
                <w:sz w:val="22"/>
                <w:szCs w:val="22"/>
              </w:rPr>
            </w:pPr>
            <w:r w:rsidRPr="009B72C9">
              <w:rPr>
                <w:sz w:val="22"/>
                <w:szCs w:val="22"/>
              </w:rPr>
              <w:t>33590</w:t>
            </w:r>
          </w:p>
        </w:tc>
      </w:tr>
    </w:tbl>
    <w:p w:rsidR="00645010" w:rsidRPr="009B72C9" w:rsidRDefault="00645010" w:rsidP="00645010">
      <w:pPr>
        <w:rPr>
          <w:sz w:val="22"/>
          <w:szCs w:val="22"/>
        </w:rPr>
      </w:pPr>
    </w:p>
    <w:p w:rsidR="00645010" w:rsidRPr="009B72C9" w:rsidRDefault="00645010" w:rsidP="00645010">
      <w:pPr>
        <w:rPr>
          <w:sz w:val="22"/>
          <w:szCs w:val="22"/>
        </w:rPr>
      </w:pPr>
    </w:p>
    <w:p w:rsidR="00645010" w:rsidRPr="009B72C9" w:rsidRDefault="00645010" w:rsidP="00645010">
      <w:pPr>
        <w:rPr>
          <w:sz w:val="22"/>
          <w:szCs w:val="22"/>
        </w:rPr>
      </w:pPr>
    </w:p>
    <w:p w:rsidR="00645010" w:rsidRPr="009B72C9" w:rsidRDefault="00645010" w:rsidP="00645010">
      <w:pPr>
        <w:rPr>
          <w:sz w:val="22"/>
          <w:szCs w:val="22"/>
        </w:rPr>
      </w:pPr>
    </w:p>
    <w:p w:rsidR="00645010" w:rsidRPr="009B72C9" w:rsidRDefault="00645010" w:rsidP="00645010">
      <w:pPr>
        <w:rPr>
          <w:sz w:val="22"/>
          <w:szCs w:val="22"/>
        </w:rPr>
      </w:pPr>
    </w:p>
    <w:p w:rsidR="0041017B" w:rsidRPr="009B72C9" w:rsidRDefault="0041017B" w:rsidP="002402D3">
      <w:pPr>
        <w:rPr>
          <w:sz w:val="22"/>
          <w:szCs w:val="22"/>
        </w:rPr>
      </w:pPr>
    </w:p>
    <w:p w:rsidR="0041017B" w:rsidRPr="009B72C9" w:rsidRDefault="0041017B" w:rsidP="002402D3">
      <w:pPr>
        <w:rPr>
          <w:sz w:val="22"/>
          <w:szCs w:val="22"/>
        </w:rPr>
      </w:pPr>
    </w:p>
    <w:p w:rsidR="0041017B" w:rsidRPr="009B72C9" w:rsidRDefault="0041017B" w:rsidP="002402D3">
      <w:pPr>
        <w:rPr>
          <w:sz w:val="22"/>
          <w:szCs w:val="22"/>
        </w:rPr>
      </w:pPr>
    </w:p>
    <w:p w:rsidR="0041017B" w:rsidRPr="009B72C9" w:rsidRDefault="0041017B" w:rsidP="002402D3">
      <w:pPr>
        <w:rPr>
          <w:sz w:val="22"/>
          <w:szCs w:val="22"/>
        </w:rPr>
      </w:pPr>
    </w:p>
    <w:p w:rsidR="00171862" w:rsidRPr="009B72C9" w:rsidRDefault="00171862" w:rsidP="002402D3">
      <w:pPr>
        <w:rPr>
          <w:sz w:val="22"/>
          <w:szCs w:val="22"/>
        </w:rPr>
      </w:pPr>
    </w:p>
    <w:p w:rsidR="00171862" w:rsidRPr="009B72C9" w:rsidRDefault="00171862" w:rsidP="002402D3">
      <w:pPr>
        <w:rPr>
          <w:sz w:val="22"/>
          <w:szCs w:val="22"/>
        </w:rPr>
      </w:pPr>
    </w:p>
    <w:p w:rsidR="00171862" w:rsidRPr="00AA229D" w:rsidRDefault="00171862" w:rsidP="002402D3"/>
    <w:p w:rsidR="00171862" w:rsidRPr="00AA229D" w:rsidRDefault="00171862" w:rsidP="002402D3"/>
    <w:p w:rsidR="00171862" w:rsidRPr="00AA229D" w:rsidRDefault="00171862" w:rsidP="002402D3"/>
    <w:p w:rsidR="00171862" w:rsidRPr="00AA229D" w:rsidRDefault="00171862" w:rsidP="002402D3"/>
    <w:p w:rsidR="00171862" w:rsidRPr="00AA229D" w:rsidRDefault="00171862" w:rsidP="002402D3"/>
    <w:p w:rsidR="00171862" w:rsidRPr="00AA229D" w:rsidRDefault="00171862" w:rsidP="002402D3"/>
    <w:p w:rsidR="002402D3" w:rsidRPr="001C790C" w:rsidRDefault="001A6212" w:rsidP="002402D3">
      <w:pPr>
        <w:rPr>
          <w:b/>
          <w:sz w:val="22"/>
          <w:szCs w:val="22"/>
        </w:rPr>
      </w:pPr>
      <w:r w:rsidRPr="001C790C">
        <w:rPr>
          <w:b/>
          <w:sz w:val="22"/>
          <w:szCs w:val="22"/>
        </w:rPr>
        <w:t xml:space="preserve">Supplementary </w:t>
      </w:r>
      <w:r w:rsidR="00C158C5">
        <w:rPr>
          <w:b/>
          <w:sz w:val="22"/>
          <w:szCs w:val="22"/>
        </w:rPr>
        <w:t>Digital Content</w:t>
      </w:r>
      <w:r w:rsidR="00E67D54" w:rsidRPr="001C790C">
        <w:rPr>
          <w:b/>
          <w:sz w:val="22"/>
          <w:szCs w:val="22"/>
        </w:rPr>
        <w:t xml:space="preserve"> 3</w:t>
      </w:r>
      <w:r w:rsidR="002402D3" w:rsidRPr="001C790C">
        <w:rPr>
          <w:b/>
          <w:sz w:val="22"/>
          <w:szCs w:val="22"/>
        </w:rPr>
        <w:t>: Characteristics of studies included in the systematic review for cryptogenic cirrhosis</w:t>
      </w:r>
    </w:p>
    <w:p w:rsidR="00135F0B" w:rsidRPr="001C790C" w:rsidRDefault="00135F0B" w:rsidP="002402D3">
      <w:pPr>
        <w:rPr>
          <w:b/>
        </w:rPr>
      </w:pPr>
    </w:p>
    <w:tbl>
      <w:tblPr>
        <w:tblW w:w="955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
        <w:gridCol w:w="973"/>
        <w:gridCol w:w="953"/>
        <w:gridCol w:w="991"/>
        <w:gridCol w:w="976"/>
        <w:gridCol w:w="991"/>
        <w:gridCol w:w="982"/>
        <w:gridCol w:w="970"/>
        <w:gridCol w:w="970"/>
        <w:gridCol w:w="847"/>
      </w:tblGrid>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Author</w:t>
            </w:r>
          </w:p>
        </w:tc>
        <w:tc>
          <w:tcPr>
            <w:tcW w:w="1057" w:type="dxa"/>
            <w:shd w:val="clear" w:color="auto" w:fill="auto"/>
            <w:noWrap/>
            <w:hideMark/>
          </w:tcPr>
          <w:p w:rsidR="002402D3" w:rsidRPr="00AA229D" w:rsidRDefault="002402D3" w:rsidP="002402D3">
            <w:pPr>
              <w:rPr>
                <w:rFonts w:eastAsia="Calibri"/>
                <w:kern w:val="0"/>
                <w:sz w:val="12"/>
                <w:szCs w:val="12"/>
                <w:u w:val="single"/>
                <w:lang w:eastAsia="en-US"/>
              </w:rPr>
            </w:pPr>
            <w:r w:rsidRPr="00AA229D">
              <w:rPr>
                <w:rFonts w:eastAsia="Calibri"/>
                <w:kern w:val="0"/>
                <w:sz w:val="12"/>
                <w:szCs w:val="12"/>
                <w:u w:val="single"/>
                <w:lang w:eastAsia="en-US"/>
              </w:rPr>
              <w:t>Tanwar</w:t>
            </w:r>
          </w:p>
        </w:tc>
        <w:tc>
          <w:tcPr>
            <w:tcW w:w="981" w:type="dxa"/>
            <w:shd w:val="clear" w:color="auto" w:fill="auto"/>
            <w:noWrap/>
            <w:hideMark/>
          </w:tcPr>
          <w:p w:rsidR="002402D3" w:rsidRPr="00AA229D" w:rsidRDefault="002402D3" w:rsidP="002402D3">
            <w:pPr>
              <w:rPr>
                <w:rFonts w:eastAsia="Calibri"/>
                <w:kern w:val="0"/>
                <w:sz w:val="12"/>
                <w:szCs w:val="12"/>
                <w:u w:val="single"/>
                <w:lang w:eastAsia="en-US"/>
              </w:rPr>
            </w:pPr>
            <w:r w:rsidRPr="00AA229D">
              <w:rPr>
                <w:rFonts w:eastAsia="Calibri"/>
                <w:kern w:val="0"/>
                <w:sz w:val="12"/>
                <w:szCs w:val="12"/>
                <w:u w:val="single"/>
                <w:lang w:eastAsia="en-US"/>
              </w:rPr>
              <w:t xml:space="preserve">Joshi </w:t>
            </w:r>
          </w:p>
        </w:tc>
        <w:tc>
          <w:tcPr>
            <w:tcW w:w="1012" w:type="dxa"/>
            <w:shd w:val="clear" w:color="auto" w:fill="auto"/>
            <w:noWrap/>
            <w:hideMark/>
          </w:tcPr>
          <w:p w:rsidR="002402D3" w:rsidRPr="00AA229D" w:rsidRDefault="002402D3" w:rsidP="002402D3">
            <w:pPr>
              <w:rPr>
                <w:rFonts w:eastAsia="Calibri"/>
                <w:kern w:val="0"/>
                <w:sz w:val="12"/>
                <w:szCs w:val="12"/>
                <w:u w:val="single"/>
                <w:lang w:eastAsia="en-US"/>
              </w:rPr>
            </w:pPr>
            <w:r w:rsidRPr="00AA229D">
              <w:rPr>
                <w:rFonts w:eastAsia="Calibri"/>
                <w:kern w:val="0"/>
                <w:sz w:val="12"/>
                <w:szCs w:val="12"/>
                <w:u w:val="single"/>
                <w:lang w:eastAsia="en-US"/>
              </w:rPr>
              <w:t xml:space="preserve">Balkan </w:t>
            </w:r>
          </w:p>
        </w:tc>
        <w:tc>
          <w:tcPr>
            <w:tcW w:w="996" w:type="dxa"/>
            <w:shd w:val="clear" w:color="auto" w:fill="auto"/>
            <w:noWrap/>
            <w:hideMark/>
          </w:tcPr>
          <w:p w:rsidR="002402D3" w:rsidRPr="00AA229D" w:rsidRDefault="002402D3" w:rsidP="002402D3">
            <w:pPr>
              <w:rPr>
                <w:rFonts w:eastAsia="Calibri"/>
                <w:kern w:val="0"/>
                <w:sz w:val="12"/>
                <w:szCs w:val="12"/>
                <w:u w:val="single"/>
                <w:lang w:eastAsia="en-US"/>
              </w:rPr>
            </w:pPr>
            <w:r w:rsidRPr="00AA229D">
              <w:rPr>
                <w:rFonts w:eastAsia="Calibri"/>
                <w:kern w:val="0"/>
                <w:sz w:val="12"/>
                <w:szCs w:val="12"/>
                <w:u w:val="single"/>
                <w:lang w:eastAsia="en-US"/>
              </w:rPr>
              <w:t>Sood</w:t>
            </w:r>
          </w:p>
        </w:tc>
        <w:tc>
          <w:tcPr>
            <w:tcW w:w="794" w:type="dxa"/>
            <w:shd w:val="clear" w:color="auto" w:fill="auto"/>
            <w:noWrap/>
            <w:hideMark/>
          </w:tcPr>
          <w:p w:rsidR="002402D3" w:rsidRPr="00AA229D" w:rsidRDefault="002402D3" w:rsidP="002402D3">
            <w:pPr>
              <w:rPr>
                <w:rFonts w:eastAsia="Calibri"/>
                <w:kern w:val="0"/>
                <w:sz w:val="12"/>
                <w:szCs w:val="12"/>
                <w:u w:val="single"/>
                <w:lang w:eastAsia="en-US"/>
              </w:rPr>
            </w:pPr>
            <w:r w:rsidRPr="00AA229D">
              <w:rPr>
                <w:rFonts w:eastAsia="Calibri"/>
                <w:kern w:val="0"/>
                <w:sz w:val="12"/>
                <w:szCs w:val="12"/>
                <w:u w:val="single"/>
                <w:lang w:eastAsia="en-US"/>
              </w:rPr>
              <w:t>Maiwall</w:t>
            </w:r>
          </w:p>
        </w:tc>
        <w:tc>
          <w:tcPr>
            <w:tcW w:w="1027" w:type="dxa"/>
            <w:shd w:val="clear" w:color="auto" w:fill="auto"/>
            <w:noWrap/>
            <w:hideMark/>
          </w:tcPr>
          <w:p w:rsidR="002402D3" w:rsidRPr="00AA229D" w:rsidRDefault="002402D3" w:rsidP="002402D3">
            <w:pPr>
              <w:rPr>
                <w:rFonts w:eastAsia="Calibri"/>
                <w:kern w:val="0"/>
                <w:sz w:val="12"/>
                <w:szCs w:val="12"/>
                <w:u w:val="single"/>
                <w:lang w:eastAsia="en-US"/>
              </w:rPr>
            </w:pPr>
            <w:r w:rsidRPr="00AA229D">
              <w:rPr>
                <w:rFonts w:eastAsia="Calibri"/>
                <w:kern w:val="0"/>
                <w:sz w:val="12"/>
                <w:szCs w:val="12"/>
                <w:u w:val="single"/>
                <w:lang w:eastAsia="en-US"/>
              </w:rPr>
              <w:t>Wakim-Fleming</w:t>
            </w:r>
          </w:p>
        </w:tc>
        <w:tc>
          <w:tcPr>
            <w:tcW w:w="835" w:type="dxa"/>
            <w:shd w:val="clear" w:color="auto" w:fill="auto"/>
            <w:noWrap/>
            <w:hideMark/>
          </w:tcPr>
          <w:p w:rsidR="002402D3" w:rsidRPr="00AA229D" w:rsidRDefault="002402D3" w:rsidP="002402D3">
            <w:pPr>
              <w:rPr>
                <w:rFonts w:eastAsia="Calibri"/>
                <w:kern w:val="0"/>
                <w:sz w:val="12"/>
                <w:szCs w:val="12"/>
                <w:u w:val="single"/>
                <w:lang w:eastAsia="en-US"/>
              </w:rPr>
            </w:pPr>
            <w:r w:rsidRPr="00AA229D">
              <w:rPr>
                <w:rFonts w:eastAsia="Calibri"/>
                <w:kern w:val="0"/>
                <w:sz w:val="12"/>
                <w:szCs w:val="12"/>
                <w:u w:val="single"/>
                <w:lang w:eastAsia="en-US"/>
              </w:rPr>
              <w:t>Drastich</w:t>
            </w:r>
          </w:p>
        </w:tc>
        <w:tc>
          <w:tcPr>
            <w:tcW w:w="996" w:type="dxa"/>
            <w:shd w:val="clear" w:color="auto" w:fill="auto"/>
            <w:noWrap/>
            <w:hideMark/>
          </w:tcPr>
          <w:p w:rsidR="002402D3" w:rsidRPr="00AA229D" w:rsidRDefault="002402D3" w:rsidP="002402D3">
            <w:pPr>
              <w:rPr>
                <w:rFonts w:eastAsia="Calibri"/>
                <w:kern w:val="0"/>
                <w:sz w:val="12"/>
                <w:szCs w:val="12"/>
                <w:u w:val="single"/>
                <w:lang w:eastAsia="en-US"/>
              </w:rPr>
            </w:pPr>
            <w:r w:rsidRPr="00AA229D">
              <w:rPr>
                <w:rFonts w:eastAsia="Calibri"/>
                <w:kern w:val="0"/>
                <w:sz w:val="12"/>
                <w:szCs w:val="12"/>
                <w:u w:val="single"/>
                <w:lang w:eastAsia="en-US"/>
              </w:rPr>
              <w:t>Emami</w:t>
            </w:r>
          </w:p>
        </w:tc>
        <w:tc>
          <w:tcPr>
            <w:tcW w:w="864" w:type="dxa"/>
            <w:shd w:val="clear" w:color="auto" w:fill="auto"/>
            <w:noWrap/>
            <w:hideMark/>
          </w:tcPr>
          <w:p w:rsidR="002402D3" w:rsidRPr="00AA229D" w:rsidRDefault="002402D3" w:rsidP="002402D3">
            <w:pPr>
              <w:rPr>
                <w:rFonts w:eastAsia="Calibri"/>
                <w:kern w:val="0"/>
                <w:sz w:val="12"/>
                <w:szCs w:val="12"/>
                <w:u w:val="single"/>
                <w:lang w:eastAsia="en-US"/>
              </w:rPr>
            </w:pPr>
            <w:r w:rsidRPr="00AA229D">
              <w:rPr>
                <w:rFonts w:eastAsia="Calibri"/>
                <w:kern w:val="0"/>
                <w:sz w:val="12"/>
                <w:szCs w:val="12"/>
                <w:u w:val="single"/>
                <w:lang w:eastAsia="en-US"/>
              </w:rPr>
              <w:t>Kaukinen</w:t>
            </w:r>
          </w:p>
        </w:tc>
      </w:tr>
      <w:tr w:rsidR="002402D3" w:rsidRPr="00AA229D" w:rsidTr="002402D3">
        <w:trPr>
          <w:trHeight w:val="233"/>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Published</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2019</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2019</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2017</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2017</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2014</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2014</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2012</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2011</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2002</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Design</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Prospective</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Prospective</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Retrospective</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Prospective</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Prospective</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Prospective</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Retrospective</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Prospective</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Retrospective and prospective screening</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Period</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June 2017 - December 2018</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January 2015 - December 2017</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January 2010 - December 2015,</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2012 - 2014</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January 2009-December 2010</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May 2008 - May 2010</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Sera from 1994-2010 used, 2009-2010</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2003-2008</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2002</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Geographical region </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India, Asia</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India, Asia</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Turkey, Europe</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India, Asia</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India, Asia</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USA, North America</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Czech Republic, Europe</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Iran, Asia</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Finland, Europe</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Setting </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Tertiary Care</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Tertiary Care</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Tertiary Care</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Tertiary Care</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Tertiary Care</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Tertiary Care</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Tertiary Care</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Tertiary Care</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Tertiary Care</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Overall Population</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382 Consecutive patients with portal hypertension with chronic liver disease (CLD) of defined etiology (ethanol, hepatitis B or C, Budd–Chiari syndrome [BCS], autoimmune-related cirrhosis, and cCLD)</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84 Children of less than 18 years old attending Pediatric and Gastroenterology clinic with a diagnosis of CLD</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161 patients diagnosed with HBV and HCV-associated liver cirrhosis and cryptogenic liver cirrhosis in the hepatology clinic</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595 consecutive patients with chronic liver disease [defined as presence of volume</w:t>
            </w:r>
            <w:r w:rsidRPr="00AA229D">
              <w:rPr>
                <w:rFonts w:eastAsia="Calibri"/>
                <w:kern w:val="0"/>
                <w:sz w:val="12"/>
                <w:szCs w:val="12"/>
                <w:lang w:eastAsia="en-US"/>
              </w:rPr>
              <w:br/>
              <w:t>reduction or re-distribution, irregular margins, coarse texture or nodular liver, any of</w:t>
            </w:r>
            <w:r w:rsidRPr="00AA229D">
              <w:rPr>
                <w:rFonts w:eastAsia="Calibri"/>
                <w:kern w:val="0"/>
                <w:sz w:val="12"/>
                <w:szCs w:val="12"/>
                <w:lang w:eastAsia="en-US"/>
              </w:rPr>
              <w:br/>
              <w:t>the preceding changes noted in the liver on imaging (ultrasound, CT or MRI scan)</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61 patients with cirrhosis and portal hypertension </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204 consecutive cirrhotics scheduled for ugie</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523 end stage liver disease lt recipients during 1994-2010 (not mentioned as pretransplant sera)</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224 patients, presenting within the first-level screening steps with abnormal LFT </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185 patients who underwent transplantation for end-stage liver disease</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Age of overall population </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26-68years</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&lt;18 years</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57.7 ± 13 years</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51.4 ± 11.1 years</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7–67 years</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55.4± 11.4 years</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18-66 years</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39.6±1.2years for males, 38.5± 1.4years for females</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17-72years</w:t>
            </w:r>
          </w:p>
        </w:tc>
      </w:tr>
      <w:tr w:rsidR="002402D3" w:rsidRPr="00AA229D" w:rsidTr="002402D3">
        <w:trPr>
          <w:trHeight w:val="656"/>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Sample size of liver disease of interest</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147</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84</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83</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52</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47</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17</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28</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19</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20</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Females</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given</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24</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given</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given</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given</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given</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12</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given</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Not given </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Children</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None</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84</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None</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None</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None</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None</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None</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None</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None</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First level seroassay(s)</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Human TTG-IgA</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IgA anti-tTG</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Human TTG-IgA, EMA-IgA</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Human TTG-IgA</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Human TTG-IgA</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Human TTG-IgA, EMA-IgA</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Human TTG-IgA</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Human TTG-IgA</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TTG-IgA, EMA-IgA</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Second level seroassay(s)</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EMA-IgA on whom biopsy could not be done after TTG-IgA positive</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EMA-IgA and DGP-IgA</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Whether IgA level done</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Yes- with TTG-IgG</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Yes</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Yes</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Yes</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Yes</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 of seropositive</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13</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16</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15</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7</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34</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0</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No. of TTGpositive in whole sample </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13</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16</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15</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7</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34</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0</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 of AEA positive in whole sample</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applicable</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applicable</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3</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applicable</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applicable</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applicable</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applicable</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0</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Small bowel-biopsied</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13</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16</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15</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7</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34</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0</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Biopsy positive </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13</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9</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3</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3</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1</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0</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0</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Response to a GFD checked</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done</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6months- improved albumin, PT, CPS, but none in varices</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done</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done</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2 patients remained stable CTP-wise</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MELD and aminotransferases decreased- 2years</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Not applicable</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Aminotransferase decreased</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3 of 8 liver tx patients had a gfd before liver tx (2-9 months of a strict gfd), while 1 congenital fribrosispt of 8 had 11 years of a strict gfd and still underwent liver tx, the rest had no strict GFD</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Whether invasive workup used for etiological evaluation for liver disease</w:t>
            </w:r>
          </w:p>
        </w:tc>
        <w:tc>
          <w:tcPr>
            <w:tcW w:w="105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Yes</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835"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Yes</w:t>
            </w:r>
          </w:p>
        </w:tc>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No </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Diseases ruled out prior to claasifying as cryptogenic liver disease</w:t>
            </w:r>
          </w:p>
        </w:tc>
        <w:tc>
          <w:tcPr>
            <w:tcW w:w="1057"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 ethanol, hepatitis B or C, Budd–Chiari syndrome [BCS],</w:t>
            </w:r>
          </w:p>
          <w:p w:rsidR="002402D3" w:rsidRPr="00AA229D" w:rsidRDefault="002402D3" w:rsidP="002402D3">
            <w:pPr>
              <w:rPr>
                <w:rFonts w:eastAsia="Calibri"/>
                <w:sz w:val="12"/>
                <w:szCs w:val="12"/>
              </w:rPr>
            </w:pPr>
            <w:r w:rsidRPr="00AA229D">
              <w:rPr>
                <w:rFonts w:eastAsia="Calibri"/>
                <w:sz w:val="12"/>
                <w:szCs w:val="12"/>
              </w:rPr>
              <w:t xml:space="preserve">autoimmune-related cirrhosis, </w:t>
            </w:r>
          </w:p>
          <w:p w:rsidR="002402D3" w:rsidRPr="00AA229D" w:rsidRDefault="002402D3" w:rsidP="002402D3">
            <w:pPr>
              <w:rPr>
                <w:rFonts w:eastAsia="Calibri"/>
                <w:sz w:val="12"/>
                <w:szCs w:val="12"/>
              </w:rPr>
            </w:pPr>
            <w:r w:rsidRPr="00AA229D">
              <w:rPr>
                <w:rFonts w:eastAsia="Calibri"/>
                <w:sz w:val="12"/>
                <w:szCs w:val="12"/>
              </w:rPr>
              <w:t>NCPH, which included noncirrhotic portal fibrosis (NCPF) and extrahepatic portal vein</w:t>
            </w:r>
          </w:p>
          <w:p w:rsidR="002402D3" w:rsidRPr="00AA229D" w:rsidRDefault="002402D3" w:rsidP="002402D3">
            <w:pPr>
              <w:rPr>
                <w:rFonts w:eastAsia="Calibri"/>
                <w:kern w:val="0"/>
                <w:sz w:val="12"/>
                <w:szCs w:val="12"/>
                <w:lang w:eastAsia="en-US"/>
              </w:rPr>
            </w:pPr>
            <w:r w:rsidRPr="00AA229D">
              <w:rPr>
                <w:rFonts w:eastAsia="Calibri"/>
                <w:sz w:val="12"/>
                <w:szCs w:val="12"/>
              </w:rPr>
              <w:t xml:space="preserve">obstruction (EHPVO) </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ultrasound of the abdomen with portal and hepatic</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vein doppler study, serum hepatitis B surface antigen</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(HBsAg), anti-hepatitis C (HCV) antibody, auto-antibodies</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(antinucelar antibody [ANA], anti-smooth muscle antibody</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[ASMA], anti-liver kidney microsomal [LKM] antibody), serum ceruloplasmin, iron studies, and α1-antitrypsin levels.</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After excluding all the known causes of liver disease, a diagnosis of cryptogenic CLD was made and further evaluation for</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CD undertaken.</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Cryptogenic liver cirrhosis was diagnosed when tests performed on cirrhosis aetiology (preprandial blood glucose,</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cholesterol, triglyceride, HBsAg, Anti-HCV, ANA, ASMA, AMA, immunoglobulins, iron, iron binding capacity, ferritin,</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ceruloplasmin, 24 h urine copper test) and monitoring methods (portal doppler USG [in terms of vascular pathologies and</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steatosis]) were negative and chronic use of alcohol was absent</w:t>
            </w:r>
          </w:p>
        </w:tc>
        <w:tc>
          <w:tcPr>
            <w:tcW w:w="99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In patients with chronic liver disease different etiologies of liver disease were defined </w:t>
            </w:r>
          </w:p>
          <w:p w:rsidR="002402D3" w:rsidRPr="00AA229D" w:rsidRDefault="002402D3" w:rsidP="002402D3">
            <w:pPr>
              <w:rPr>
                <w:rFonts w:eastAsia="Calibri"/>
                <w:sz w:val="12"/>
                <w:szCs w:val="12"/>
              </w:rPr>
            </w:pPr>
            <w:r w:rsidRPr="00AA229D">
              <w:rPr>
                <w:rFonts w:eastAsia="Calibri"/>
                <w:sz w:val="12"/>
                <w:szCs w:val="12"/>
              </w:rPr>
              <w:t xml:space="preserve">as follows: (a) alcohol : history of significant alcohol consumption (&gt;30 g/day for &gt;10 </w:t>
            </w:r>
          </w:p>
          <w:p w:rsidR="002402D3" w:rsidRPr="00AA229D" w:rsidRDefault="002402D3" w:rsidP="002402D3">
            <w:pPr>
              <w:rPr>
                <w:rFonts w:eastAsia="Calibri"/>
                <w:sz w:val="12"/>
                <w:szCs w:val="12"/>
              </w:rPr>
            </w:pPr>
            <w:r w:rsidRPr="00AA229D">
              <w:rPr>
                <w:rFonts w:eastAsia="Calibri"/>
                <w:sz w:val="12"/>
                <w:szCs w:val="12"/>
              </w:rPr>
              <w:t xml:space="preserve">yr)(9); (b)viral : Hepatitis B : HBsAg and Hepatitis B DNA positive; Hepatitis C : anti </w:t>
            </w:r>
          </w:p>
          <w:p w:rsidR="002402D3" w:rsidRPr="00AA229D" w:rsidRDefault="002402D3" w:rsidP="002402D3">
            <w:pPr>
              <w:rPr>
                <w:rFonts w:eastAsia="Calibri"/>
                <w:sz w:val="12"/>
                <w:szCs w:val="12"/>
              </w:rPr>
            </w:pPr>
            <w:r w:rsidRPr="00AA229D">
              <w:rPr>
                <w:rFonts w:eastAsia="Calibri"/>
                <w:sz w:val="12"/>
                <w:szCs w:val="12"/>
              </w:rPr>
              <w:t xml:space="preserve">HCV and HCV-RNA positive; (c) Wilson’s disease (≥2 criteria of the following criteria </w:t>
            </w:r>
          </w:p>
          <w:p w:rsidR="002402D3" w:rsidRPr="00AA229D" w:rsidRDefault="002402D3" w:rsidP="002402D3">
            <w:pPr>
              <w:rPr>
                <w:rFonts w:eastAsia="Calibri"/>
                <w:sz w:val="12"/>
                <w:szCs w:val="12"/>
              </w:rPr>
            </w:pPr>
            <w:r w:rsidRPr="00AA229D">
              <w:rPr>
                <w:rFonts w:eastAsia="Calibri"/>
                <w:sz w:val="12"/>
                <w:szCs w:val="12"/>
              </w:rPr>
              <w:t xml:space="preserve">satisfied): low serum ceruloplasmin, elevated 24 hour urinary copper and presence </w:t>
            </w:r>
          </w:p>
          <w:p w:rsidR="002402D3" w:rsidRPr="00AA229D" w:rsidRDefault="002402D3" w:rsidP="002402D3">
            <w:pPr>
              <w:rPr>
                <w:rFonts w:eastAsia="Calibri"/>
                <w:sz w:val="12"/>
                <w:szCs w:val="12"/>
              </w:rPr>
            </w:pPr>
            <w:r w:rsidRPr="00AA229D">
              <w:rPr>
                <w:rFonts w:eastAsia="Calibri"/>
                <w:sz w:val="12"/>
                <w:szCs w:val="12"/>
              </w:rPr>
              <w:t xml:space="preserve">of Kayser Fleischer ring on slit lamp examination of eye(10);(d) autoimmune hepatitis : </w:t>
            </w:r>
          </w:p>
          <w:p w:rsidR="002402D3" w:rsidRPr="00AA229D" w:rsidRDefault="002402D3" w:rsidP="002402D3">
            <w:pPr>
              <w:rPr>
                <w:rFonts w:eastAsia="Calibri"/>
                <w:sz w:val="12"/>
                <w:szCs w:val="12"/>
              </w:rPr>
            </w:pPr>
            <w:r w:rsidRPr="00AA229D">
              <w:rPr>
                <w:rFonts w:eastAsia="Calibri"/>
                <w:sz w:val="12"/>
                <w:szCs w:val="12"/>
              </w:rPr>
              <w:t xml:space="preserve">using simplified criteria for autoimmune hepatitis (≥7 points)(11);(e) Non-alcoholic fatty </w:t>
            </w:r>
          </w:p>
          <w:p w:rsidR="002402D3" w:rsidRPr="00AA229D" w:rsidRDefault="002402D3" w:rsidP="002402D3">
            <w:pPr>
              <w:rPr>
                <w:rFonts w:eastAsia="Calibri"/>
                <w:sz w:val="12"/>
                <w:szCs w:val="12"/>
              </w:rPr>
            </w:pPr>
            <w:r w:rsidRPr="00AA229D">
              <w:rPr>
                <w:rFonts w:eastAsia="Calibri"/>
                <w:sz w:val="12"/>
                <w:szCs w:val="12"/>
              </w:rPr>
              <w:t xml:space="preserve">liver disease(NAFLD): evidence of hepatic steatosis on imaging and no other cause </w:t>
            </w:r>
          </w:p>
          <w:p w:rsidR="002402D3" w:rsidRPr="00AA229D" w:rsidRDefault="002402D3" w:rsidP="002402D3">
            <w:pPr>
              <w:rPr>
                <w:rFonts w:eastAsia="Calibri"/>
                <w:sz w:val="12"/>
                <w:szCs w:val="12"/>
              </w:rPr>
            </w:pPr>
            <w:r w:rsidRPr="00AA229D">
              <w:rPr>
                <w:rFonts w:eastAsia="Calibri"/>
                <w:sz w:val="12"/>
                <w:szCs w:val="12"/>
              </w:rPr>
              <w:t xml:space="preserve">of secondary hepatic fat accumulation like alcohol, drugs or hereditary disorders(12); </w:t>
            </w:r>
          </w:p>
          <w:p w:rsidR="002402D3" w:rsidRPr="00AA229D" w:rsidRDefault="002402D3" w:rsidP="002402D3">
            <w:pPr>
              <w:rPr>
                <w:rFonts w:eastAsia="Calibri"/>
                <w:sz w:val="12"/>
                <w:szCs w:val="12"/>
              </w:rPr>
            </w:pPr>
            <w:r w:rsidRPr="00AA229D">
              <w:rPr>
                <w:rFonts w:eastAsia="Calibri"/>
                <w:sz w:val="12"/>
                <w:szCs w:val="12"/>
              </w:rPr>
              <w:t xml:space="preserve">(f) Cryptogenic: no etiology of chronic liver disease evident after non-invasive </w:t>
            </w:r>
          </w:p>
          <w:p w:rsidR="002402D3" w:rsidRPr="00AA229D" w:rsidRDefault="002402D3" w:rsidP="002402D3">
            <w:pPr>
              <w:rPr>
                <w:rFonts w:eastAsia="Calibri"/>
                <w:kern w:val="0"/>
                <w:sz w:val="12"/>
                <w:szCs w:val="12"/>
                <w:lang w:eastAsia="en-US"/>
              </w:rPr>
            </w:pPr>
            <w:r w:rsidRPr="00AA229D">
              <w:rPr>
                <w:rFonts w:eastAsia="Calibri"/>
                <w:sz w:val="12"/>
                <w:szCs w:val="12"/>
              </w:rPr>
              <w:t>evaluation</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Alcoholic, autoimmune, metabolic liver disease, Wilsons, hemochromatosis, buddchiari, viral </w:t>
            </w:r>
          </w:p>
        </w:tc>
        <w:tc>
          <w:tcPr>
            <w:tcW w:w="1027"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HCC  </w:t>
            </w:r>
          </w:p>
          <w:p w:rsidR="002402D3" w:rsidRPr="00AA229D" w:rsidRDefault="002402D3" w:rsidP="002402D3">
            <w:pPr>
              <w:rPr>
                <w:rFonts w:eastAsia="Calibri"/>
                <w:sz w:val="12"/>
                <w:szCs w:val="12"/>
              </w:rPr>
            </w:pPr>
            <w:r w:rsidRPr="00AA229D">
              <w:rPr>
                <w:rFonts w:eastAsia="Calibri"/>
                <w:sz w:val="12"/>
                <w:szCs w:val="12"/>
              </w:rPr>
              <w:t xml:space="preserve">PBC </w:t>
            </w:r>
          </w:p>
          <w:p w:rsidR="002402D3" w:rsidRPr="00AA229D" w:rsidRDefault="002402D3" w:rsidP="002402D3">
            <w:pPr>
              <w:rPr>
                <w:rFonts w:eastAsia="Calibri"/>
                <w:sz w:val="12"/>
                <w:szCs w:val="12"/>
              </w:rPr>
            </w:pPr>
            <w:r w:rsidRPr="00AA229D">
              <w:rPr>
                <w:rFonts w:eastAsia="Calibri"/>
                <w:sz w:val="12"/>
                <w:szCs w:val="12"/>
              </w:rPr>
              <w:t xml:space="preserve">NASH </w:t>
            </w:r>
          </w:p>
          <w:p w:rsidR="002402D3" w:rsidRPr="00AA229D" w:rsidRDefault="002402D3" w:rsidP="002402D3">
            <w:pPr>
              <w:rPr>
                <w:rFonts w:eastAsia="Calibri"/>
                <w:sz w:val="12"/>
                <w:szCs w:val="12"/>
              </w:rPr>
            </w:pPr>
            <w:r w:rsidRPr="00AA229D">
              <w:rPr>
                <w:rFonts w:eastAsia="Calibri"/>
                <w:sz w:val="12"/>
                <w:szCs w:val="12"/>
              </w:rPr>
              <w:t xml:space="preserve">HCV  </w:t>
            </w:r>
          </w:p>
          <w:p w:rsidR="002402D3" w:rsidRPr="00AA229D" w:rsidRDefault="002402D3" w:rsidP="002402D3">
            <w:pPr>
              <w:rPr>
                <w:rFonts w:eastAsia="Calibri"/>
                <w:sz w:val="12"/>
                <w:szCs w:val="12"/>
              </w:rPr>
            </w:pPr>
            <w:r w:rsidRPr="00AA229D">
              <w:rPr>
                <w:rFonts w:eastAsia="Calibri"/>
                <w:sz w:val="12"/>
                <w:szCs w:val="12"/>
              </w:rPr>
              <w:t xml:space="preserve">Cryptogenic  </w:t>
            </w:r>
          </w:p>
          <w:p w:rsidR="002402D3" w:rsidRPr="00AA229D" w:rsidRDefault="002402D3" w:rsidP="002402D3">
            <w:pPr>
              <w:rPr>
                <w:rFonts w:eastAsia="Calibri"/>
                <w:sz w:val="12"/>
                <w:szCs w:val="12"/>
              </w:rPr>
            </w:pPr>
            <w:r w:rsidRPr="00AA229D">
              <w:rPr>
                <w:rFonts w:eastAsia="Calibri"/>
                <w:sz w:val="12"/>
                <w:szCs w:val="12"/>
              </w:rPr>
              <w:t xml:space="preserve">PSC </w:t>
            </w:r>
          </w:p>
          <w:p w:rsidR="002402D3" w:rsidRPr="00AA229D" w:rsidRDefault="002402D3" w:rsidP="002402D3">
            <w:pPr>
              <w:rPr>
                <w:rFonts w:eastAsia="Calibri"/>
                <w:sz w:val="12"/>
                <w:szCs w:val="12"/>
              </w:rPr>
            </w:pPr>
            <w:r w:rsidRPr="00AA229D">
              <w:rPr>
                <w:rFonts w:eastAsia="Calibri"/>
                <w:sz w:val="12"/>
                <w:szCs w:val="12"/>
              </w:rPr>
              <w:t xml:space="preserve">HBV </w:t>
            </w:r>
          </w:p>
          <w:p w:rsidR="002402D3" w:rsidRPr="00AA229D" w:rsidRDefault="002402D3" w:rsidP="002402D3">
            <w:pPr>
              <w:rPr>
                <w:rFonts w:eastAsia="Calibri"/>
                <w:sz w:val="12"/>
                <w:szCs w:val="12"/>
              </w:rPr>
            </w:pPr>
            <w:r w:rsidRPr="00AA229D">
              <w:rPr>
                <w:rFonts w:eastAsia="Calibri"/>
                <w:sz w:val="12"/>
                <w:szCs w:val="12"/>
              </w:rPr>
              <w:t xml:space="preserve">AIH  </w:t>
            </w:r>
          </w:p>
          <w:p w:rsidR="002402D3" w:rsidRPr="00AA229D" w:rsidRDefault="002402D3" w:rsidP="002402D3">
            <w:pPr>
              <w:rPr>
                <w:rFonts w:eastAsia="Calibri"/>
                <w:kern w:val="0"/>
                <w:sz w:val="12"/>
                <w:szCs w:val="12"/>
                <w:lang w:eastAsia="en-US"/>
              </w:rPr>
            </w:pPr>
            <w:r w:rsidRPr="00AA229D">
              <w:rPr>
                <w:rFonts w:eastAsia="Calibri"/>
                <w:sz w:val="12"/>
                <w:szCs w:val="12"/>
              </w:rPr>
              <w:t>Alcoholic liver disease</w:t>
            </w:r>
          </w:p>
        </w:tc>
        <w:tc>
          <w:tcPr>
            <w:tcW w:w="8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Alcoholic liver cirrhosis, </w:t>
            </w:r>
          </w:p>
          <w:p w:rsidR="002402D3" w:rsidRPr="00AA229D" w:rsidRDefault="002402D3" w:rsidP="002402D3">
            <w:pPr>
              <w:rPr>
                <w:rFonts w:eastAsia="Calibri"/>
                <w:sz w:val="12"/>
                <w:szCs w:val="12"/>
              </w:rPr>
            </w:pPr>
            <w:r w:rsidRPr="00AA229D">
              <w:rPr>
                <w:rFonts w:eastAsia="Calibri"/>
                <w:sz w:val="12"/>
                <w:szCs w:val="12"/>
              </w:rPr>
              <w:t>Autoimmune hepatitis typeⅠ</w:t>
            </w:r>
          </w:p>
          <w:p w:rsidR="002402D3" w:rsidRPr="00AA229D" w:rsidRDefault="002402D3" w:rsidP="002402D3">
            <w:pPr>
              <w:rPr>
                <w:rFonts w:eastAsia="Calibri"/>
                <w:sz w:val="12"/>
                <w:szCs w:val="12"/>
              </w:rPr>
            </w:pPr>
            <w:r w:rsidRPr="00AA229D">
              <w:rPr>
                <w:rFonts w:eastAsia="Calibri"/>
                <w:sz w:val="12"/>
                <w:szCs w:val="12"/>
              </w:rPr>
              <w:t xml:space="preserve">Viral hepatitis B Viral hepatitis C </w:t>
            </w:r>
          </w:p>
          <w:p w:rsidR="002402D3" w:rsidRPr="00AA229D" w:rsidRDefault="002402D3" w:rsidP="002402D3">
            <w:pPr>
              <w:rPr>
                <w:rFonts w:eastAsia="Calibri"/>
                <w:sz w:val="12"/>
                <w:szCs w:val="12"/>
              </w:rPr>
            </w:pPr>
            <w:r w:rsidRPr="00AA229D">
              <w:rPr>
                <w:rFonts w:eastAsia="Calibri"/>
                <w:sz w:val="12"/>
                <w:szCs w:val="12"/>
              </w:rPr>
              <w:t xml:space="preserve">Wilson’s disease Primary biliary cirrhosis Primary sclerosing cholangitis Cryptogenic liver cirrhosis Budd-Chiari syndrome </w:t>
            </w:r>
          </w:p>
          <w:p w:rsidR="002402D3" w:rsidRPr="00AA229D" w:rsidRDefault="002402D3" w:rsidP="002402D3">
            <w:pPr>
              <w:rPr>
                <w:rFonts w:eastAsia="Calibri"/>
                <w:kern w:val="0"/>
                <w:sz w:val="12"/>
                <w:szCs w:val="12"/>
                <w:lang w:eastAsia="en-US"/>
              </w:rPr>
            </w:pPr>
            <w:r w:rsidRPr="00AA229D">
              <w:rPr>
                <w:rFonts w:eastAsia="Calibri"/>
                <w:sz w:val="12"/>
                <w:szCs w:val="12"/>
              </w:rPr>
              <w:t>Polycystic liver</w:t>
            </w:r>
          </w:p>
        </w:tc>
        <w:tc>
          <w:tcPr>
            <w:tcW w:w="99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serum Cu, ceruloplasmin, Fe, TIBC, ANA, Anti-Sm</w:t>
            </w:r>
          </w:p>
          <w:p w:rsidR="002402D3" w:rsidRPr="00AA229D" w:rsidRDefault="002402D3" w:rsidP="002402D3">
            <w:pPr>
              <w:rPr>
                <w:rFonts w:eastAsia="Calibri"/>
                <w:sz w:val="12"/>
                <w:szCs w:val="12"/>
              </w:rPr>
            </w:pPr>
            <w:r w:rsidRPr="00AA229D">
              <w:rPr>
                <w:rFonts w:eastAsia="Calibri"/>
                <w:sz w:val="12"/>
                <w:szCs w:val="12"/>
              </w:rPr>
              <w:t>antibody, Anti-LKM-1 antibody, AMA, P-ANCA, serum Alpha-1 anti-tripsin level (not phenotyping since</w:t>
            </w:r>
          </w:p>
          <w:p w:rsidR="002402D3" w:rsidRPr="00AA229D" w:rsidRDefault="002402D3" w:rsidP="002402D3">
            <w:pPr>
              <w:rPr>
                <w:rFonts w:eastAsia="Calibri"/>
                <w:sz w:val="12"/>
                <w:szCs w:val="12"/>
              </w:rPr>
            </w:pPr>
            <w:r w:rsidRPr="00AA229D">
              <w:rPr>
                <w:rFonts w:eastAsia="Calibri"/>
                <w:sz w:val="12"/>
                <w:szCs w:val="12"/>
              </w:rPr>
              <w:t>it was not available), HBS Ag, HBC antibody, HCV antibody, TG, cholesterol, LDL, HDL, and liver</w:t>
            </w:r>
          </w:p>
          <w:p w:rsidR="002402D3" w:rsidRPr="00AA229D" w:rsidRDefault="002402D3" w:rsidP="002402D3">
            <w:pPr>
              <w:rPr>
                <w:rFonts w:eastAsia="Calibri"/>
                <w:kern w:val="0"/>
                <w:sz w:val="12"/>
                <w:szCs w:val="12"/>
                <w:lang w:eastAsia="en-US"/>
              </w:rPr>
            </w:pPr>
            <w:r w:rsidRPr="00AA229D">
              <w:rPr>
                <w:rFonts w:eastAsia="Calibri"/>
                <w:sz w:val="12"/>
                <w:szCs w:val="12"/>
              </w:rPr>
              <w:t>ultrasonography</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Primary biliary cirrhosis  </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Acute liver failure  </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Primary sclerosing cholangitis  </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Cirrhosis of unknown origin  </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Alcohol cirrhosis  </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Budd-Chiari syndrome  </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Hepatic malignancies  </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Autoimmune hepatitis  </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Hepatitis C  </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Toxic damage  </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Miscellaneous </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Method for evaluation of liver diseasea</w:t>
            </w:r>
          </w:p>
        </w:tc>
        <w:tc>
          <w:tcPr>
            <w:tcW w:w="1057"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Cirrhosis was</w:t>
            </w:r>
          </w:p>
          <w:p w:rsidR="002402D3" w:rsidRPr="00AA229D" w:rsidRDefault="002402D3" w:rsidP="002402D3">
            <w:pPr>
              <w:rPr>
                <w:rFonts w:eastAsia="Calibri"/>
                <w:sz w:val="12"/>
                <w:szCs w:val="12"/>
              </w:rPr>
            </w:pPr>
            <w:r w:rsidRPr="00AA229D">
              <w:rPr>
                <w:rFonts w:eastAsia="Calibri"/>
                <w:sz w:val="12"/>
                <w:szCs w:val="12"/>
              </w:rPr>
              <w:t>diagnosed on the basis of clinical, biochemical, and imaging features. Portal hypertension was defined as the presence of gastroesophageal varices (GEV) and/or high</w:t>
            </w:r>
          </w:p>
          <w:p w:rsidR="002402D3" w:rsidRPr="00AA229D" w:rsidRDefault="002402D3" w:rsidP="002402D3">
            <w:pPr>
              <w:rPr>
                <w:rFonts w:eastAsia="Calibri"/>
                <w:sz w:val="12"/>
                <w:szCs w:val="12"/>
              </w:rPr>
            </w:pPr>
            <w:r w:rsidRPr="00AA229D">
              <w:rPr>
                <w:rFonts w:eastAsia="Calibri"/>
                <w:sz w:val="12"/>
                <w:szCs w:val="12"/>
              </w:rPr>
              <w:t>gradient ascites. For etiology of portal hypertension, patients were screened for history of alcohol intake, HBsAg,</w:t>
            </w:r>
          </w:p>
          <w:p w:rsidR="002402D3" w:rsidRPr="00AA229D" w:rsidRDefault="002402D3" w:rsidP="002402D3">
            <w:pPr>
              <w:rPr>
                <w:rFonts w:eastAsia="Calibri"/>
                <w:sz w:val="12"/>
                <w:szCs w:val="12"/>
              </w:rPr>
            </w:pPr>
            <w:r w:rsidRPr="00AA229D">
              <w:rPr>
                <w:rFonts w:eastAsia="Calibri"/>
                <w:sz w:val="12"/>
                <w:szCs w:val="12"/>
              </w:rPr>
              <w:t>anti-HCV antibody, ultrasound abdomen with Doppler</w:t>
            </w:r>
          </w:p>
          <w:p w:rsidR="002402D3" w:rsidRPr="00AA229D" w:rsidRDefault="002402D3" w:rsidP="002402D3">
            <w:pPr>
              <w:rPr>
                <w:rFonts w:eastAsia="Calibri"/>
                <w:sz w:val="12"/>
                <w:szCs w:val="12"/>
              </w:rPr>
            </w:pPr>
            <w:r w:rsidRPr="00AA229D">
              <w:rPr>
                <w:rFonts w:eastAsia="Calibri"/>
                <w:sz w:val="12"/>
                <w:szCs w:val="12"/>
              </w:rPr>
              <w:t>of portal vein and hepatic veins, multiphase contrastenhanced computed tomography abdomen, IgA-tTG, autoantibodies (AMA, ASMA, LKM, ANA, IgG), and serum</w:t>
            </w:r>
          </w:p>
          <w:p w:rsidR="002402D3" w:rsidRPr="00AA229D" w:rsidRDefault="002402D3" w:rsidP="002402D3">
            <w:pPr>
              <w:rPr>
                <w:rFonts w:eastAsia="Calibri"/>
                <w:sz w:val="12"/>
                <w:szCs w:val="12"/>
              </w:rPr>
            </w:pPr>
            <w:r w:rsidRPr="00AA229D">
              <w:rPr>
                <w:rFonts w:eastAsia="Calibri"/>
                <w:sz w:val="12"/>
                <w:szCs w:val="12"/>
              </w:rPr>
              <w:t>ceruloplasmin as per clinical evaluation. Patients of CD</w:t>
            </w:r>
          </w:p>
          <w:p w:rsidR="002402D3" w:rsidRPr="00AA229D" w:rsidRDefault="002402D3" w:rsidP="002402D3">
            <w:pPr>
              <w:rPr>
                <w:rFonts w:eastAsia="Calibri"/>
                <w:sz w:val="12"/>
                <w:szCs w:val="12"/>
              </w:rPr>
            </w:pPr>
            <w:r w:rsidRPr="00AA229D">
              <w:rPr>
                <w:rFonts w:eastAsia="Calibri"/>
                <w:sz w:val="12"/>
                <w:szCs w:val="12"/>
              </w:rPr>
              <w:t>with portal hypertension (PHT) were also subjected to</w:t>
            </w:r>
          </w:p>
          <w:p w:rsidR="002402D3" w:rsidRPr="00AA229D" w:rsidRDefault="002402D3" w:rsidP="002402D3">
            <w:pPr>
              <w:rPr>
                <w:rFonts w:eastAsia="Calibri"/>
                <w:sz w:val="12"/>
                <w:szCs w:val="12"/>
              </w:rPr>
            </w:pPr>
            <w:r w:rsidRPr="00AA229D">
              <w:rPr>
                <w:rFonts w:eastAsia="Calibri"/>
                <w:sz w:val="12"/>
                <w:szCs w:val="12"/>
              </w:rPr>
              <w:t>ultrasound-guided percutaneous liver biopsy in absence</w:t>
            </w:r>
          </w:p>
          <w:p w:rsidR="002402D3" w:rsidRPr="00AA229D" w:rsidRDefault="002402D3" w:rsidP="002402D3">
            <w:pPr>
              <w:rPr>
                <w:rFonts w:eastAsia="Calibri"/>
                <w:sz w:val="12"/>
                <w:szCs w:val="12"/>
              </w:rPr>
            </w:pPr>
            <w:r w:rsidRPr="00AA229D">
              <w:rPr>
                <w:rFonts w:eastAsia="Calibri"/>
                <w:sz w:val="12"/>
                <w:szCs w:val="12"/>
              </w:rPr>
              <w:t>of absolute contraindications. Patients of cirrhosis with</w:t>
            </w:r>
          </w:p>
          <w:p w:rsidR="002402D3" w:rsidRPr="00AA229D" w:rsidRDefault="002402D3" w:rsidP="002402D3">
            <w:pPr>
              <w:rPr>
                <w:rFonts w:eastAsia="Calibri"/>
                <w:sz w:val="12"/>
                <w:szCs w:val="12"/>
              </w:rPr>
            </w:pPr>
            <w:r w:rsidRPr="00AA229D">
              <w:rPr>
                <w:rFonts w:eastAsia="Calibri"/>
                <w:sz w:val="12"/>
                <w:szCs w:val="12"/>
              </w:rPr>
              <w:t>PHT and negative evaluation for cause of liver disease</w:t>
            </w:r>
          </w:p>
          <w:p w:rsidR="002402D3" w:rsidRPr="00AA229D" w:rsidRDefault="002402D3" w:rsidP="002402D3">
            <w:pPr>
              <w:rPr>
                <w:rFonts w:eastAsia="Calibri"/>
                <w:sz w:val="12"/>
                <w:szCs w:val="12"/>
              </w:rPr>
            </w:pPr>
            <w:r w:rsidRPr="00AA229D">
              <w:rPr>
                <w:rFonts w:eastAsia="Calibri"/>
                <w:sz w:val="12"/>
                <w:szCs w:val="12"/>
              </w:rPr>
              <w:t>were defined as cCLD. NCPF was defined as the presence</w:t>
            </w:r>
          </w:p>
          <w:p w:rsidR="002402D3" w:rsidRPr="00AA229D" w:rsidRDefault="002402D3" w:rsidP="002402D3">
            <w:pPr>
              <w:rPr>
                <w:rFonts w:eastAsia="Calibri"/>
                <w:sz w:val="12"/>
                <w:szCs w:val="12"/>
              </w:rPr>
            </w:pPr>
            <w:r w:rsidRPr="00AA229D">
              <w:rPr>
                <w:rFonts w:eastAsia="Calibri"/>
                <w:sz w:val="12"/>
                <w:szCs w:val="12"/>
              </w:rPr>
              <w:t>of PHT, patient hepatic and portal veins on Doppler, no</w:t>
            </w:r>
          </w:p>
          <w:p w:rsidR="002402D3" w:rsidRPr="00AA229D" w:rsidRDefault="002402D3" w:rsidP="002402D3">
            <w:pPr>
              <w:rPr>
                <w:rFonts w:eastAsia="Calibri"/>
                <w:sz w:val="12"/>
                <w:szCs w:val="12"/>
              </w:rPr>
            </w:pPr>
            <w:r w:rsidRPr="00AA229D">
              <w:rPr>
                <w:rFonts w:eastAsia="Calibri"/>
                <w:sz w:val="12"/>
                <w:szCs w:val="12"/>
              </w:rPr>
              <w:t>identifiable etiology for liver disease, and absence of</w:t>
            </w:r>
          </w:p>
          <w:p w:rsidR="002402D3" w:rsidRPr="00AA229D" w:rsidRDefault="002402D3" w:rsidP="002402D3">
            <w:pPr>
              <w:rPr>
                <w:rFonts w:eastAsia="Calibri"/>
                <w:sz w:val="12"/>
                <w:szCs w:val="12"/>
              </w:rPr>
            </w:pPr>
            <w:r w:rsidRPr="00AA229D">
              <w:rPr>
                <w:rFonts w:eastAsia="Calibri"/>
                <w:sz w:val="12"/>
                <w:szCs w:val="12"/>
              </w:rPr>
              <w:t>cirrhosis.14 EHPVO was diagnosed in the presence of</w:t>
            </w:r>
          </w:p>
          <w:p w:rsidR="002402D3" w:rsidRPr="00AA229D" w:rsidRDefault="002402D3" w:rsidP="002402D3">
            <w:pPr>
              <w:rPr>
                <w:rFonts w:eastAsia="Calibri"/>
                <w:sz w:val="12"/>
                <w:szCs w:val="12"/>
              </w:rPr>
            </w:pPr>
            <w:r w:rsidRPr="00AA229D">
              <w:rPr>
                <w:rFonts w:eastAsia="Calibri"/>
                <w:sz w:val="12"/>
                <w:szCs w:val="12"/>
              </w:rPr>
              <w:t>PHT with obstruction of the extrahepatic portal vein</w:t>
            </w:r>
          </w:p>
          <w:p w:rsidR="002402D3" w:rsidRPr="00AA229D" w:rsidRDefault="002402D3" w:rsidP="002402D3">
            <w:pPr>
              <w:rPr>
                <w:rFonts w:eastAsia="Calibri"/>
                <w:sz w:val="12"/>
                <w:szCs w:val="12"/>
              </w:rPr>
            </w:pPr>
            <w:r w:rsidRPr="00AA229D">
              <w:rPr>
                <w:rFonts w:eastAsia="Calibri"/>
                <w:sz w:val="12"/>
                <w:szCs w:val="12"/>
              </w:rPr>
              <w:t>with or without involvement of intrahepatic portal vein</w:t>
            </w:r>
          </w:p>
          <w:p w:rsidR="002402D3" w:rsidRPr="00AA229D" w:rsidRDefault="002402D3" w:rsidP="002402D3">
            <w:pPr>
              <w:rPr>
                <w:rFonts w:eastAsia="Calibri"/>
                <w:sz w:val="12"/>
                <w:szCs w:val="12"/>
              </w:rPr>
            </w:pPr>
            <w:r w:rsidRPr="00AA229D">
              <w:rPr>
                <w:rFonts w:eastAsia="Calibri"/>
                <w:sz w:val="12"/>
                <w:szCs w:val="12"/>
              </w:rPr>
              <w:t>radicles or splenic or superior mesenteric veins with the</w:t>
            </w:r>
          </w:p>
          <w:p w:rsidR="002402D3" w:rsidRPr="00AA229D" w:rsidRDefault="002402D3" w:rsidP="002402D3">
            <w:pPr>
              <w:rPr>
                <w:rFonts w:eastAsia="Calibri"/>
                <w:sz w:val="12"/>
                <w:szCs w:val="12"/>
              </w:rPr>
            </w:pPr>
            <w:r w:rsidRPr="00AA229D">
              <w:rPr>
                <w:rFonts w:eastAsia="Calibri"/>
                <w:sz w:val="12"/>
                <w:szCs w:val="12"/>
              </w:rPr>
              <w:t>presence of portal cavernoma and absence of cirrhosis.15,16</w:t>
            </w:r>
          </w:p>
          <w:p w:rsidR="002402D3" w:rsidRPr="00AA229D" w:rsidRDefault="002402D3" w:rsidP="002402D3">
            <w:pPr>
              <w:rPr>
                <w:rFonts w:eastAsia="Calibri"/>
                <w:sz w:val="12"/>
                <w:szCs w:val="12"/>
              </w:rPr>
            </w:pPr>
            <w:r w:rsidRPr="00AA229D">
              <w:rPr>
                <w:rFonts w:eastAsia="Calibri"/>
                <w:sz w:val="12"/>
                <w:szCs w:val="12"/>
              </w:rPr>
              <w:t>Autoimmune hepatitis (AIH) was diagnosed by a simplified scoring system: probable AIH when pretreatment</w:t>
            </w:r>
          </w:p>
          <w:p w:rsidR="002402D3" w:rsidRPr="00AA229D" w:rsidRDefault="002402D3" w:rsidP="002402D3">
            <w:pPr>
              <w:rPr>
                <w:rFonts w:eastAsia="Calibri"/>
                <w:kern w:val="0"/>
                <w:sz w:val="12"/>
                <w:szCs w:val="12"/>
                <w:lang w:eastAsia="en-US"/>
              </w:rPr>
            </w:pPr>
            <w:r w:rsidRPr="00AA229D">
              <w:rPr>
                <w:rFonts w:eastAsia="Calibri"/>
                <w:sz w:val="12"/>
                <w:szCs w:val="12"/>
              </w:rPr>
              <w:t>aggregate score $6, and definite AIH</w:t>
            </w:r>
          </w:p>
        </w:tc>
        <w:tc>
          <w:tcPr>
            <w:tcW w:w="981"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ultrasound of the abdomen with portal and hepatic</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vein doppler study, serum hepatitis B surface antigen</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(HBsAg), anti-hepatitis C (HCV) antibody, auto-antibodies</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(antinucelar antibody [ANA], anti-smooth muscle antibody</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[ASMA], anti-liver kidney microsomal [LKM] antibody), serum ceruloplasmin, iron studies, and α1-antitrypsin levels.</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After excluding all the known causes of liver disease, a diagnosis of cryptogenic CLD was made and further evaluation for</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CD undertaken.</w:t>
            </w:r>
          </w:p>
        </w:tc>
        <w:tc>
          <w:tcPr>
            <w:tcW w:w="1012"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Cryptogenic liver cirrhosis was diagnosed when tests performed on cirrhosis aetiology (preprandial blood glucose,</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cholesterol, triglyceride, HBsAg, Anti-HCV, ANA, ASMA, AMA, immunoglobulins, iron, iron binding capacity, ferritin,</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ceruloplasmin, 24 h urine copper test) and monitoring methods (portal doppler USG [in terms of vascular pathologies and</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steatosis]) were negative and chronic use of alcohol was absent</w:t>
            </w:r>
          </w:p>
        </w:tc>
        <w:tc>
          <w:tcPr>
            <w:tcW w:w="99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In patients with chronic liver disease different etiologies of liver disease were defined </w:t>
            </w:r>
          </w:p>
          <w:p w:rsidR="002402D3" w:rsidRPr="00AA229D" w:rsidRDefault="002402D3" w:rsidP="002402D3">
            <w:pPr>
              <w:rPr>
                <w:rFonts w:eastAsia="Calibri"/>
                <w:sz w:val="12"/>
                <w:szCs w:val="12"/>
              </w:rPr>
            </w:pPr>
            <w:r w:rsidRPr="00AA229D">
              <w:rPr>
                <w:rFonts w:eastAsia="Calibri"/>
                <w:sz w:val="12"/>
                <w:szCs w:val="12"/>
              </w:rPr>
              <w:t xml:space="preserve">as follows: (a) alcohol : history of significant alcohol consumption (&gt;30 g/day for &gt;10 </w:t>
            </w:r>
          </w:p>
          <w:p w:rsidR="002402D3" w:rsidRPr="00AA229D" w:rsidRDefault="002402D3" w:rsidP="002402D3">
            <w:pPr>
              <w:rPr>
                <w:rFonts w:eastAsia="Calibri"/>
                <w:sz w:val="12"/>
                <w:szCs w:val="12"/>
              </w:rPr>
            </w:pPr>
            <w:r w:rsidRPr="00AA229D">
              <w:rPr>
                <w:rFonts w:eastAsia="Calibri"/>
                <w:sz w:val="12"/>
                <w:szCs w:val="12"/>
              </w:rPr>
              <w:t xml:space="preserve">yr)(9); (b)viral : Hepatitis B : HBsAg and Hepatitis B DNA positive; Hepatitis C : anti </w:t>
            </w:r>
          </w:p>
          <w:p w:rsidR="002402D3" w:rsidRPr="00AA229D" w:rsidRDefault="002402D3" w:rsidP="002402D3">
            <w:pPr>
              <w:rPr>
                <w:rFonts w:eastAsia="Calibri"/>
                <w:sz w:val="12"/>
                <w:szCs w:val="12"/>
              </w:rPr>
            </w:pPr>
            <w:r w:rsidRPr="00AA229D">
              <w:rPr>
                <w:rFonts w:eastAsia="Calibri"/>
                <w:sz w:val="12"/>
                <w:szCs w:val="12"/>
              </w:rPr>
              <w:t xml:space="preserve">HCV and HCV-RNA positive; (c) Wilson’s disease (≥2 criteria of the following criteria </w:t>
            </w:r>
          </w:p>
          <w:p w:rsidR="002402D3" w:rsidRPr="00AA229D" w:rsidRDefault="002402D3" w:rsidP="002402D3">
            <w:pPr>
              <w:rPr>
                <w:rFonts w:eastAsia="Calibri"/>
                <w:sz w:val="12"/>
                <w:szCs w:val="12"/>
              </w:rPr>
            </w:pPr>
            <w:r w:rsidRPr="00AA229D">
              <w:rPr>
                <w:rFonts w:eastAsia="Calibri"/>
                <w:sz w:val="12"/>
                <w:szCs w:val="12"/>
              </w:rPr>
              <w:t xml:space="preserve">satisfied): low serum ceruloplasmin, elevated 24 hour urinary copper and presence </w:t>
            </w:r>
          </w:p>
          <w:p w:rsidR="002402D3" w:rsidRPr="00AA229D" w:rsidRDefault="002402D3" w:rsidP="002402D3">
            <w:pPr>
              <w:rPr>
                <w:rFonts w:eastAsia="Calibri"/>
                <w:sz w:val="12"/>
                <w:szCs w:val="12"/>
              </w:rPr>
            </w:pPr>
            <w:r w:rsidRPr="00AA229D">
              <w:rPr>
                <w:rFonts w:eastAsia="Calibri"/>
                <w:sz w:val="12"/>
                <w:szCs w:val="12"/>
              </w:rPr>
              <w:t xml:space="preserve">of Kayser Fleischer ring on slit lamp examination of eye(10);(d) autoimmune hepatitis : </w:t>
            </w:r>
          </w:p>
          <w:p w:rsidR="002402D3" w:rsidRPr="00AA229D" w:rsidRDefault="002402D3" w:rsidP="002402D3">
            <w:pPr>
              <w:rPr>
                <w:rFonts w:eastAsia="Calibri"/>
                <w:sz w:val="12"/>
                <w:szCs w:val="12"/>
              </w:rPr>
            </w:pPr>
            <w:r w:rsidRPr="00AA229D">
              <w:rPr>
                <w:rFonts w:eastAsia="Calibri"/>
                <w:sz w:val="12"/>
                <w:szCs w:val="12"/>
              </w:rPr>
              <w:t xml:space="preserve">using simplified criteria for autoimmune hepatitis (≥7 points)(11);(e) Non-alcoholic fatty </w:t>
            </w:r>
          </w:p>
          <w:p w:rsidR="002402D3" w:rsidRPr="00AA229D" w:rsidRDefault="002402D3" w:rsidP="002402D3">
            <w:pPr>
              <w:rPr>
                <w:rFonts w:eastAsia="Calibri"/>
                <w:sz w:val="12"/>
                <w:szCs w:val="12"/>
              </w:rPr>
            </w:pPr>
            <w:r w:rsidRPr="00AA229D">
              <w:rPr>
                <w:rFonts w:eastAsia="Calibri"/>
                <w:sz w:val="12"/>
                <w:szCs w:val="12"/>
              </w:rPr>
              <w:t xml:space="preserve">liver disease(NAFLD): evidence of hepatic steatosis on imaging and no other cause </w:t>
            </w:r>
          </w:p>
          <w:p w:rsidR="002402D3" w:rsidRPr="00AA229D" w:rsidRDefault="002402D3" w:rsidP="002402D3">
            <w:pPr>
              <w:rPr>
                <w:rFonts w:eastAsia="Calibri"/>
                <w:sz w:val="12"/>
                <w:szCs w:val="12"/>
              </w:rPr>
            </w:pPr>
            <w:r w:rsidRPr="00AA229D">
              <w:rPr>
                <w:rFonts w:eastAsia="Calibri"/>
                <w:sz w:val="12"/>
                <w:szCs w:val="12"/>
              </w:rPr>
              <w:t xml:space="preserve">of secondary hepatic fat accumulation like alcohol, drugs or hereditary disorders(12); </w:t>
            </w:r>
          </w:p>
          <w:p w:rsidR="002402D3" w:rsidRPr="00AA229D" w:rsidRDefault="002402D3" w:rsidP="002402D3">
            <w:pPr>
              <w:rPr>
                <w:rFonts w:eastAsia="Calibri"/>
                <w:sz w:val="12"/>
                <w:szCs w:val="12"/>
              </w:rPr>
            </w:pPr>
            <w:r w:rsidRPr="00AA229D">
              <w:rPr>
                <w:rFonts w:eastAsia="Calibri"/>
                <w:sz w:val="12"/>
                <w:szCs w:val="12"/>
              </w:rPr>
              <w:t xml:space="preserve">(f) Cryptogenic: no etiology of chronic liver disease evident after non-invasive </w:t>
            </w:r>
          </w:p>
          <w:p w:rsidR="002402D3" w:rsidRPr="00AA229D" w:rsidRDefault="002402D3" w:rsidP="002402D3">
            <w:pPr>
              <w:rPr>
                <w:rFonts w:eastAsia="Calibri"/>
                <w:kern w:val="0"/>
                <w:sz w:val="12"/>
                <w:szCs w:val="12"/>
                <w:lang w:eastAsia="en-US"/>
              </w:rPr>
            </w:pPr>
            <w:r w:rsidRPr="00AA229D">
              <w:rPr>
                <w:rFonts w:eastAsia="Calibri"/>
                <w:sz w:val="12"/>
                <w:szCs w:val="12"/>
              </w:rPr>
              <w:t>evaluation</w:t>
            </w:r>
          </w:p>
        </w:tc>
        <w:tc>
          <w:tcPr>
            <w:tcW w:w="79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alcohol intake, features of metabolic syndrome (body mass index, blood sugars, lipid profile), ultrasound abdomen with Doppler of portal vein and hepatic</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venous outflow tract, HBsAg, HCV antibody, autoantibodies</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(AMA, SLA, LKM, ANA), serum ceruloplasmin, and</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iron studies. Patients with cirrhosis with portal hypertension, with negative noninvasive evaluation for cause</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of liver disease, were labelled as cryptogenic chronic liver</w:t>
            </w:r>
          </w:p>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disease.</w:t>
            </w:r>
          </w:p>
        </w:tc>
        <w:tc>
          <w:tcPr>
            <w:tcW w:w="1027"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Not given </w:t>
            </w:r>
          </w:p>
        </w:tc>
        <w:tc>
          <w:tcPr>
            <w:tcW w:w="8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diagnostic criteria for primary biliary cirrhosis </w:t>
            </w:r>
          </w:p>
          <w:p w:rsidR="002402D3" w:rsidRPr="00AA229D" w:rsidRDefault="002402D3" w:rsidP="002402D3">
            <w:pPr>
              <w:rPr>
                <w:rFonts w:eastAsia="Calibri"/>
                <w:sz w:val="12"/>
                <w:szCs w:val="12"/>
              </w:rPr>
            </w:pPr>
            <w:r w:rsidRPr="00AA229D">
              <w:rPr>
                <w:rFonts w:eastAsia="Calibri"/>
                <w:sz w:val="12"/>
                <w:szCs w:val="12"/>
              </w:rPr>
              <w:t xml:space="preserve">included clinical symptoms, clinical chemistry, exclusion </w:t>
            </w:r>
          </w:p>
          <w:p w:rsidR="002402D3" w:rsidRPr="00AA229D" w:rsidRDefault="002402D3" w:rsidP="002402D3">
            <w:pPr>
              <w:rPr>
                <w:rFonts w:eastAsia="Calibri"/>
                <w:sz w:val="12"/>
                <w:szCs w:val="12"/>
              </w:rPr>
            </w:pPr>
            <w:r w:rsidRPr="00AA229D">
              <w:rPr>
                <w:rFonts w:eastAsia="Calibri"/>
                <w:sz w:val="12"/>
                <w:szCs w:val="12"/>
              </w:rPr>
              <w:t xml:space="preserve">of infection with hepatitis viruses and evidence of antimitochondrial antibodies type M2. The diagnosis of </w:t>
            </w:r>
          </w:p>
          <w:p w:rsidR="002402D3" w:rsidRPr="00AA229D" w:rsidRDefault="002402D3" w:rsidP="002402D3">
            <w:pPr>
              <w:rPr>
                <w:rFonts w:eastAsia="Calibri"/>
                <w:sz w:val="12"/>
                <w:szCs w:val="12"/>
              </w:rPr>
            </w:pPr>
            <w:r w:rsidRPr="00AA229D">
              <w:rPr>
                <w:rFonts w:eastAsia="Calibri"/>
                <w:sz w:val="12"/>
                <w:szCs w:val="12"/>
              </w:rPr>
              <w:t xml:space="preserve">autoimmune hepatitis was based on the scoring system </w:t>
            </w:r>
          </w:p>
          <w:p w:rsidR="002402D3" w:rsidRPr="00AA229D" w:rsidRDefault="002402D3" w:rsidP="002402D3">
            <w:pPr>
              <w:rPr>
                <w:rFonts w:eastAsia="Calibri"/>
                <w:sz w:val="12"/>
                <w:szCs w:val="12"/>
              </w:rPr>
            </w:pPr>
            <w:r w:rsidRPr="00AA229D">
              <w:rPr>
                <w:rFonts w:eastAsia="Calibri"/>
                <w:sz w:val="12"/>
                <w:szCs w:val="12"/>
              </w:rPr>
              <w:t xml:space="preserve">devised by the International Autoimmune Hepatitis </w:t>
            </w:r>
          </w:p>
          <w:p w:rsidR="002402D3" w:rsidRPr="00AA229D" w:rsidRDefault="002402D3" w:rsidP="002402D3">
            <w:pPr>
              <w:rPr>
                <w:rFonts w:eastAsia="Calibri"/>
                <w:sz w:val="12"/>
                <w:szCs w:val="12"/>
              </w:rPr>
            </w:pPr>
            <w:r w:rsidRPr="00AA229D">
              <w:rPr>
                <w:rFonts w:eastAsia="Calibri"/>
                <w:sz w:val="12"/>
                <w:szCs w:val="12"/>
              </w:rPr>
              <w:t xml:space="preserve">Group and International Association for the Study of </w:t>
            </w:r>
          </w:p>
          <w:p w:rsidR="002402D3" w:rsidRPr="00AA229D" w:rsidRDefault="002402D3" w:rsidP="002402D3">
            <w:pPr>
              <w:rPr>
                <w:rFonts w:eastAsia="Calibri"/>
                <w:sz w:val="12"/>
                <w:szCs w:val="12"/>
              </w:rPr>
            </w:pPr>
            <w:r w:rsidRPr="00AA229D">
              <w:rPr>
                <w:rFonts w:eastAsia="Calibri"/>
                <w:sz w:val="12"/>
                <w:szCs w:val="12"/>
              </w:rPr>
              <w:t xml:space="preserve">the Liver[16]. The main diagnostic criteria for alcoholic </w:t>
            </w:r>
          </w:p>
          <w:p w:rsidR="002402D3" w:rsidRPr="00AA229D" w:rsidRDefault="002402D3" w:rsidP="002402D3">
            <w:pPr>
              <w:rPr>
                <w:rFonts w:eastAsia="Calibri"/>
                <w:sz w:val="12"/>
                <w:szCs w:val="12"/>
              </w:rPr>
            </w:pPr>
            <w:r w:rsidRPr="00AA229D">
              <w:rPr>
                <w:rFonts w:eastAsia="Calibri"/>
                <w:sz w:val="12"/>
                <w:szCs w:val="12"/>
              </w:rPr>
              <w:t xml:space="preserve">liver cirrhosis were the patient’s medical history, liver </w:t>
            </w:r>
          </w:p>
          <w:p w:rsidR="002402D3" w:rsidRPr="00AA229D" w:rsidRDefault="002402D3" w:rsidP="002402D3">
            <w:pPr>
              <w:rPr>
                <w:rFonts w:eastAsia="Calibri"/>
                <w:sz w:val="12"/>
                <w:szCs w:val="12"/>
              </w:rPr>
            </w:pPr>
            <w:r w:rsidRPr="00AA229D">
              <w:rPr>
                <w:rFonts w:eastAsia="Calibri"/>
                <w:sz w:val="12"/>
                <w:szCs w:val="12"/>
              </w:rPr>
              <w:t xml:space="preserve">histology, and exclusion of other causes of liver cirrhosis. Diagnosis of Wilson’s disease was based on the </w:t>
            </w:r>
          </w:p>
          <w:p w:rsidR="002402D3" w:rsidRPr="00AA229D" w:rsidRDefault="002402D3" w:rsidP="002402D3">
            <w:pPr>
              <w:rPr>
                <w:rFonts w:eastAsia="Calibri"/>
                <w:sz w:val="12"/>
                <w:szCs w:val="12"/>
              </w:rPr>
            </w:pPr>
            <w:r w:rsidRPr="00AA229D">
              <w:rPr>
                <w:rFonts w:eastAsia="Calibri"/>
                <w:sz w:val="12"/>
                <w:szCs w:val="12"/>
              </w:rPr>
              <w:t xml:space="preserve">recommendation of Kodama et al[17], and Budd-Chiari </w:t>
            </w:r>
          </w:p>
          <w:p w:rsidR="002402D3" w:rsidRPr="00AA229D" w:rsidRDefault="002402D3" w:rsidP="002402D3">
            <w:pPr>
              <w:rPr>
                <w:rFonts w:eastAsia="Calibri"/>
                <w:kern w:val="0"/>
                <w:sz w:val="12"/>
                <w:szCs w:val="12"/>
                <w:lang w:eastAsia="en-US"/>
              </w:rPr>
            </w:pPr>
            <w:r w:rsidRPr="00AA229D">
              <w:rPr>
                <w:rFonts w:eastAsia="Calibri"/>
                <w:sz w:val="12"/>
                <w:szCs w:val="12"/>
              </w:rPr>
              <w:t>syndrome in accordance with the concept of Fox et al</w:t>
            </w:r>
          </w:p>
        </w:tc>
        <w:tc>
          <w:tcPr>
            <w:tcW w:w="99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abnormal LFT not known to be related to acute drug toxicity, ischemic attack, or other</w:t>
            </w:r>
          </w:p>
          <w:p w:rsidR="002402D3" w:rsidRPr="00AA229D" w:rsidRDefault="002402D3" w:rsidP="002402D3">
            <w:pPr>
              <w:rPr>
                <w:rFonts w:eastAsia="Calibri"/>
                <w:kern w:val="0"/>
                <w:sz w:val="12"/>
                <w:szCs w:val="12"/>
                <w:lang w:eastAsia="en-US"/>
              </w:rPr>
            </w:pPr>
            <w:r w:rsidRPr="00AA229D">
              <w:rPr>
                <w:rFonts w:eastAsia="Calibri"/>
                <w:sz w:val="12"/>
                <w:szCs w:val="12"/>
              </w:rPr>
              <w:t>toxic liver insults (such as alcoholic liver injury) were included: cases included aih, nash, pbc, psc, viral hepatitis, Wilson’s</w:t>
            </w:r>
          </w:p>
        </w:tc>
        <w:tc>
          <w:tcPr>
            <w:tcW w:w="864"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Not given </w:t>
            </w:r>
          </w:p>
        </w:tc>
      </w:tr>
      <w:tr w:rsidR="002402D3" w:rsidRPr="00AA229D" w:rsidTr="002402D3">
        <w:trPr>
          <w:trHeight w:val="288"/>
        </w:trPr>
        <w:tc>
          <w:tcPr>
            <w:tcW w:w="996" w:type="dxa"/>
            <w:shd w:val="clear" w:color="auto" w:fill="auto"/>
            <w:noWrap/>
            <w:hideMark/>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Reference</w:t>
            </w:r>
          </w:p>
        </w:tc>
        <w:tc>
          <w:tcPr>
            <w:tcW w:w="1057" w:type="dxa"/>
            <w:shd w:val="clear" w:color="auto" w:fill="auto"/>
            <w:noWrap/>
            <w:hideMark/>
          </w:tcPr>
          <w:p w:rsidR="002402D3" w:rsidRPr="008F29D2" w:rsidRDefault="00BF7578" w:rsidP="002402D3">
            <w:pPr>
              <w:rPr>
                <w:rFonts w:eastAsia="Calibri"/>
                <w:kern w:val="0"/>
                <w:sz w:val="12"/>
                <w:szCs w:val="12"/>
                <w:lang w:val="en-US" w:eastAsia="en-US"/>
              </w:rPr>
            </w:pPr>
            <w:r>
              <w:rPr>
                <w:rFonts w:eastAsia="Calibri"/>
                <w:sz w:val="12"/>
                <w:szCs w:val="12"/>
                <w:u w:val="single"/>
              </w:rPr>
              <w:t xml:space="preserve">  </w:t>
            </w:r>
          </w:p>
        </w:tc>
        <w:tc>
          <w:tcPr>
            <w:tcW w:w="981" w:type="dxa"/>
            <w:shd w:val="clear" w:color="auto" w:fill="auto"/>
            <w:noWrap/>
            <w:hideMark/>
          </w:tcPr>
          <w:p w:rsidR="002402D3" w:rsidRPr="00AA229D" w:rsidRDefault="00F53C08" w:rsidP="002402D3">
            <w:pPr>
              <w:rPr>
                <w:rFonts w:eastAsia="Calibri"/>
                <w:kern w:val="0"/>
                <w:sz w:val="12"/>
                <w:szCs w:val="12"/>
                <w:lang w:eastAsia="en-US"/>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{"citationID":"omIsHUC0","properties":{"formattedCitation":"\\super 1\\nosupersub{}","plainCitation":"1","noteIndex":0},"citationItems":[{"id":22962,"uris":["http://zotero.org/users/2145280/items/MZ3PC3GH"],"itemData":{"id":22962,"type":"article-journal","note":"publisher: Indian Journal of Gastroenterology","title":"Prevalence of celiac disease among pediatric patients with cryptogenic cirrhosis and effect of gluten-free-diet","author":[{"family":"Joshi","given":"Ashish"},{"family":"Falodia","given":"Sushil"},{"family":"Kumar","given":"Naveen"}],"issued":{"date-parts":[["2018"]]}}}],"schema":"https://github.com/citation-style-language/schema/raw/master/csl-citation.json"}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1</w:t>
            </w:r>
            <w:r w:rsidRPr="00AA229D">
              <w:rPr>
                <w:rFonts w:eastAsia="Calibri"/>
                <w:sz w:val="12"/>
                <w:szCs w:val="12"/>
                <w:u w:val="single"/>
              </w:rPr>
              <w:fldChar w:fldCharType="end"/>
            </w:r>
          </w:p>
        </w:tc>
        <w:tc>
          <w:tcPr>
            <w:tcW w:w="1012" w:type="dxa"/>
            <w:shd w:val="clear" w:color="auto" w:fill="auto"/>
            <w:noWrap/>
            <w:hideMark/>
          </w:tcPr>
          <w:p w:rsidR="002402D3" w:rsidRPr="00AA229D" w:rsidRDefault="00F53C08" w:rsidP="002402D3">
            <w:pPr>
              <w:rPr>
                <w:rFonts w:eastAsia="Calibri"/>
                <w:kern w:val="0"/>
                <w:sz w:val="12"/>
                <w:szCs w:val="12"/>
                <w:lang w:eastAsia="en-US"/>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{"citationID":"OXQK9BUY","properties":{"formattedCitation":"\\super 2\\nosupersub{}","plainCitation":"2","noteIndex":0},"citationItems":[{"id":25452,"uris":["http://zotero.org/users/2145280/items/FK9XUC4P"],"itemData":{"id":25452,"type":"article-journal","abstract":"Introduction: Celiac disease (CD) is a disease that involves many organs including the liver and is caused by autoimmune enteropathy. We aimed to compare the CD frequency between the cryptogenic cirrhosis and cirrhosis due to hepatitis B virus (HBV) and hepatitis C virus (HCV). Materials and Methods: Patients with cryptogenic cirrhosis (n=83), HCV related cirrhosis (n=42) and HBV related cirrhosis patients (n=36) were enrolled to the study. Results: Abnormal celiac serology was present in 24 (14.9%) of 161 cirrhotic patients. In 6 of them (3.7%) CD was diagnosed. Remaining 18 patients had false positive celiac serology and biopsy results were not compatible with CD. The incidence of abnormal celiac serology in patients with cryptogenic cirrhosis was significantly higher than that of patients with HBV and HCV related cirrhosis (P&lt;0.004). CD was not detected in patients with HBV related cirrhosis. Among HCV-related cirrhosis patients, 3 patients (7%) were diagnosed with CD. In cryptogenic cirrhosis patients, 3 patients (3.6%) were diagnosed with CD. Anti-tissue transglutaminase (anti-tTG) and anti-endomysium (EMA) IgA values were abnormal in all of the 6 CD patients diagnosed. Marsh type 3 changes were detected in duodenal biopsies of these patients. Conclusions: The prevalence of CD in cirrhosis patients was 3 times higher than in the normal population. However, contrary to expectations, the prevalence of CD in HCV-associated cirrhotic patients was 2-fold higher than in patients with cryptogenic cirrhosis. These results show that in cryptogenic cirrhosis cases, there is no significancy of CD in etiology, but the ratio of abnormal celiac serology is increased.","container-title":"Biomedical Research","ISSN":"0970-938X (Print) | 0976-1683 (Electronic)","issue":"8","language":"en","note":"publisher: Biomedical Research","source":"www.biomedres.info","title":"Prevalence of celiac disease in patients with hepatitis B and C virus related cirrhosis and cryptogenic liver cirrhosis","URL":"https://www.biomedres.info/abstract/prevalence-of-celiac-disease-in-patients-with-hepatitis-b-and-c-virus-related-cirrhosis-and-cryptogenic-liver-cirrhosis-7189.html","volume":"28","author":[{"family":"Balkan","given":"Ayhan"},{"family":"Gulsen","given":"Murat Taner"},{"family":"Er","given":"Ramazan Erdem"},{"family":"Yildirim","given":"Abdullah Emre"},{"family":"Konduk","given":"Bugra Tolga"},{"family":"Barutcu","given":"Sezgin"}],"accessed":{"date-parts":[["2021",1,12]]},"issued":{"date-parts":[["2017",5,3]]}}}],"schema":"https://github.com/citation-style-language/schema/raw/master/csl-citation.json"}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2</w:t>
            </w:r>
            <w:r w:rsidRPr="00AA229D">
              <w:rPr>
                <w:rFonts w:eastAsia="Calibri"/>
                <w:sz w:val="12"/>
                <w:szCs w:val="12"/>
                <w:u w:val="single"/>
              </w:rPr>
              <w:fldChar w:fldCharType="end"/>
            </w:r>
          </w:p>
        </w:tc>
        <w:tc>
          <w:tcPr>
            <w:tcW w:w="996" w:type="dxa"/>
            <w:shd w:val="clear" w:color="auto" w:fill="auto"/>
            <w:noWrap/>
            <w:hideMark/>
          </w:tcPr>
          <w:p w:rsidR="002402D3" w:rsidRPr="00AA229D" w:rsidRDefault="00F53C08" w:rsidP="002402D3">
            <w:pPr>
              <w:rPr>
                <w:rFonts w:eastAsia="Calibri"/>
                <w:kern w:val="0"/>
                <w:sz w:val="12"/>
                <w:szCs w:val="12"/>
                <w:lang w:eastAsia="en-US"/>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{"citationID":"xsIJ64Av","properties":{"formattedCitation":"\\super 3\\nosupersub{}","plainCitation":"3","noteIndex":0},"citationItems":[{"id":21668,"uris":["http://zotero.org/users/2145280/items/SEFSQLPD"],"itemData":{"id":21668,"type":"article-journal","abstract":"BACKGROUND AND AIM: Celiac disease is a multi-systemic disease, which can affect any organ system including liver. However, the prevalence of celiac disease and the sensitivity and specificity of anti-tissue transglutaminase (anti-tTG) in diagnosing celiac disease in patients with cirrhosis of liver is not well established. METHODS: We screened a cohort of patients with chronic liver disease for an associated diagnosis of celiac disease. Anti-tTG was carried out in all patients, and those with a high value were subjected to duodenal biopsy for histological confirmation. In patients where biopsy was contraindicated or refused, anti-endomysial antibody (anti-EMA) was tested. RESULTS: Of a total of 595 patients with chronic liver disease, high levels of anti-tTG were noted in 150 (25.2%) patients, and celiac disease was diagnosed in 14 patients (2.4%). Celiac autoimmunity (high levels of both anti-tTG and anti-EMA) was noted in seven patients (1.2%). CONCLUSIONS: Although a large number of cirrhotic patients have high levels of anti-tTG, duodenal histology and/or anti-EMA is normal in majority of these patients. This suggests high false positivity of anti-tTG in patients with cirrhosis and highlights the need of duodenal biopsy for histological confirmation of the diagnosis of celiac disease.","container-title":"Journal of Gastroenterology and Hepatology","issue":"2","language":"eng","page":"446–450","title":"Prevalence and clinical significance of IgA anti-tissue transglutaminase antibodies in patients with chronic liver disease","volume":"32","author":[{"family":"Sood","given":"Ajit"},{"family":"Khurana","given":"Manbir Singh"},{"family":"Mahajan","given":"Ramit"},{"family":"Midha","given":"Vandana"},{"family":"Puri","given":"Sandeep"},{"family":"Kaur","given":"Amandeep"},{"family":"Gupta","given":"Nishit"},{"family":"Sharma","given":"Suresh"}],"issued":{"date-parts":[["2017"]]}}}],"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3</w:t>
            </w:r>
            <w:r w:rsidRPr="00AA229D">
              <w:rPr>
                <w:rFonts w:eastAsia="Calibri"/>
                <w:sz w:val="12"/>
                <w:szCs w:val="12"/>
                <w:u w:val="single"/>
              </w:rPr>
              <w:fldChar w:fldCharType="end"/>
            </w:r>
          </w:p>
        </w:tc>
        <w:tc>
          <w:tcPr>
            <w:tcW w:w="794" w:type="dxa"/>
            <w:shd w:val="clear" w:color="auto" w:fill="auto"/>
            <w:noWrap/>
            <w:hideMark/>
          </w:tcPr>
          <w:p w:rsidR="002402D3" w:rsidRPr="00AA229D" w:rsidRDefault="00F53C08" w:rsidP="002402D3">
            <w:pPr>
              <w:rPr>
                <w:rFonts w:eastAsia="Calibri"/>
                <w:kern w:val="0"/>
                <w:sz w:val="12"/>
                <w:szCs w:val="12"/>
                <w:lang w:eastAsia="en-US"/>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{"citationID":"UbmzCNFa","properties":{"formattedCitation":"\\super 4\\nosupersub{}","plainCitation":"4","noteIndex":0},"citationItems":[{"id":264,"uris":["http://zotero.org/users/2145280/items/Q3W3TGWQ"],"itemData":{"id":264,"type":"article-journal","abstract":"BACKGROUND: There is limited data on celiac disease in patients with cryptogenic cirrhosis or idiopathic noncirrhotic intrahepatic portal hypertension (NCIPH). Our objective was to evaluate for celiac disease in patients with portal hypertension in India.     METHODS: Consecutive patients with portal hypertension having cryptogenic chronic liver disease (cases) and hepatitis B- or C-related cirrhosis (controls) were prospectively enrolled. We studied tissue transglutaminase (tTG) antibody and duodenal histology in study patients.     RESULT: Sixty-one cases (including 14 NCIPH patients) and 59 controls were enrolled. Celiac disease was noted in six cases (including two NCIPH patients) as compared to none in controls. In a significant proportion of the remaining study subjects, duodenal biopsy showed villous atrophy, crypt hyperplasia, and lamina propria inflammation, not accompanied by raised intraepithelial lymphocytes (IELs); this was seen more commonly in cases as compared to controls. An unexpectedly high rate of tTG antibody positivity was seen in study subjects (66 %) of cases as compared to 29 % in controls (p-value &lt; 0.001), which could indicate false-positive test result.     CONCLUSION: In this study, 10 % of patients with unexplained portal hypertension (cryptogenic chronic liver disease) had associated celiac disease. In addition, an unexplained enteropathy was seen in a significant proportion of study patients, more so in patients with cryptogenic chronic liver disease. This finding warrants further investigation.","container-title":"Indian Journal of Gastroenterology: Official Journal of the Indian Society of Gastroenterology","ISSN":"0254-8860","issue":"6","journalAbbreviation":"Indian J Gastroenterol","language":"eng","page":"517-523","title":"Investigation into celiac disease in Indian patients with portal hypertension","volume":"33","author":[{"family":"Maiwall","given":"Rakhi"},{"family":"Goel","given":"Ashish"},{"family":"Pulimood","given":"Anna B."},{"family":"Babji","given":"Sudhir"},{"family":"Sophia","given":"J."},{"family":"Prasad","given":"Chaya"},{"family":"Balasubramanian","given":"K. A."},{"family":"Ramakrishna","given":"Banumathi"},{"family":"Kurian","given":"Susy"},{"family":"Fletcher","given":"G. John"},{"family":"Abraham","given":"Priya"},{"family":"Kang","given":"Gagandeep"},{"family":"Ramakrishna","given":"B. S."},{"family":"Elias","given":"Elwyn"},{"family":"Eapen","given":"C. E."}],"issued":{"date-parts":[["2014"]]}}}],"schema":"https://github.com/citation-style-language/schema/raw/master/csl-citation.json"}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4</w:t>
            </w:r>
            <w:r w:rsidRPr="00AA229D">
              <w:rPr>
                <w:rFonts w:eastAsia="Calibri"/>
                <w:sz w:val="12"/>
                <w:szCs w:val="12"/>
                <w:u w:val="single"/>
              </w:rPr>
              <w:fldChar w:fldCharType="end"/>
            </w:r>
          </w:p>
        </w:tc>
        <w:tc>
          <w:tcPr>
            <w:tcW w:w="1027" w:type="dxa"/>
            <w:shd w:val="clear" w:color="auto" w:fill="auto"/>
            <w:noWrap/>
            <w:hideMark/>
          </w:tcPr>
          <w:p w:rsidR="002402D3" w:rsidRPr="00AA229D" w:rsidRDefault="00F53C08" w:rsidP="002402D3">
            <w:pPr>
              <w:rPr>
                <w:rFonts w:eastAsia="Calibri"/>
                <w:kern w:val="0"/>
                <w:sz w:val="12"/>
                <w:szCs w:val="12"/>
                <w:lang w:eastAsia="en-US"/>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{"citationID":"aXVDL6kw","properties":{"formattedCitation":"\\super 5\\nosupersub{}","plainCitation":"5","noteIndex":0},"citationItems":[{"id":268,"uris":["http://zotero.org/users/2145280/items/AG3CEMKQ"],"itemData":{"id":268,"type":"article-journal","abstract":"BACKGROUND &amp; AIMS: Current consensus suggests CD to be a multi-systemic disease that could affect any organ system including the liver. It remains under-diagnosed in the US and its prevalence and management in cirrhotic patients has not been studied. Our aim was (1) to estimate the prevalence of CD in cirrhosis, (2) to characterize cirrhotic patients with abnormal celiac serology and normal small bowel biopsy and (3) to evaluate the effect of a GFD on the liver.     METHODS: A total of 204 consecutive patients with biopsy proven cirrhosis scheduled for an upper endoscopy (EGD) to assess and treat gastro-esophageal varices (GEV) at the Cleveland Clinic between 5/1/2008 and 5/30/2010 were enrolled in the study and followed for 2 years.     RESULTS: CD affects 2.5% of cirrhotic patients and more than twice the prevalence in the general population. Abnormal EMA &gt;1/10 and high hTTG levels &gt;20 IU can be used to diagnose CD in cirrhosis. Sensitivities and specificities are 100% for EMA and 80% and 94% for hTTG, respectively. After a GFD, patients with CD showed a return to normal levels of their celiac serology, small bowel biopsy and liver enzyme abnormalities.     CONCLUSIONS: CD is at least twice more common in cirrhotic patients than in the general population and GFD improves liver tests. CD can occur coincidentally with other liver disorders and screening may be warranted during the evaluation of patients with cirrhosis. Abnormal EMA and high hTTG levels can be used to diagnose CD in cirrhosis.","container-title":"Journal of Hepatology","ISSN":"0168-8278","issue":"3","journalAbbreviation":"J.Hepatol.","language":"eng","page":"558-563","title":"Prevalence of celiac disease in cirrhosis and outcome of cirrhosis on a gluten free diet: a prospective study","volume":"61","author":[{"family":"Wakim-Fleming","given":"Jamile"},{"family":"Pagadala","given":"Mangesh R."},{"family":"McCullough","given":"Arthur J."},{"family":"Lopez","given":"Rocio"},{"family":"Bennett","given":"Ana E."},{"family":"Barnes","given":"David S."},{"family":"Carey","given":"William D."}],"issued":{"date-parts":[["2014"]]}}}],"schema":"https://github.com/citation-style-language/schema/raw/master/csl-citation.json"}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5</w:t>
            </w:r>
            <w:r w:rsidRPr="00AA229D">
              <w:rPr>
                <w:rFonts w:eastAsia="Calibri"/>
                <w:sz w:val="12"/>
                <w:szCs w:val="12"/>
                <w:u w:val="single"/>
              </w:rPr>
              <w:fldChar w:fldCharType="end"/>
            </w:r>
          </w:p>
        </w:tc>
        <w:tc>
          <w:tcPr>
            <w:tcW w:w="835" w:type="dxa"/>
            <w:shd w:val="clear" w:color="auto" w:fill="auto"/>
            <w:noWrap/>
            <w:hideMark/>
          </w:tcPr>
          <w:p w:rsidR="002402D3" w:rsidRPr="00AA229D" w:rsidRDefault="00F53C08" w:rsidP="002402D3">
            <w:pPr>
              <w:rPr>
                <w:rFonts w:eastAsia="Calibri"/>
                <w:kern w:val="0"/>
                <w:sz w:val="12"/>
                <w:szCs w:val="12"/>
                <w:lang w:eastAsia="en-US"/>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{"citationID":"e5QC9R5P","properties":{"formattedCitation":"\\super 6\\nosupersub{}","plainCitation":"6","noteIndex":0},"citationItems":[{"id":2531,"uris":["http://zotero.org/users/2145280/items/E5RQLNYM"],"itemData":{"id":2531,"type":"article-journal","container-title":"World Journal of Gastroenterology","DOI":"10.3748/wjg.v18.i43.6255","ISSN":"1007-9327","issue":"43","language":"en","page":"6255","source":"Crossref","title":"Celiac disease markers in patients with liver diseases: A single center large scale screening study","title-short":"Celiac disease markers in patients with liver diseases","volume":"18","author":[{"family":"Drastich","given":"Pavel"}],"issued":{"date-parts":[["2012"]]}}}],"schema":"https://github.com/citation-style-language/schema/raw/master/csl-citation.json"}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6</w:t>
            </w:r>
            <w:r w:rsidRPr="00AA229D">
              <w:rPr>
                <w:rFonts w:eastAsia="Calibri"/>
                <w:sz w:val="12"/>
                <w:szCs w:val="12"/>
                <w:u w:val="single"/>
              </w:rPr>
              <w:fldChar w:fldCharType="end"/>
            </w:r>
          </w:p>
        </w:tc>
        <w:tc>
          <w:tcPr>
            <w:tcW w:w="996" w:type="dxa"/>
            <w:shd w:val="clear" w:color="auto" w:fill="auto"/>
            <w:noWrap/>
            <w:hideMark/>
          </w:tcPr>
          <w:p w:rsidR="002402D3" w:rsidRPr="00AA229D" w:rsidRDefault="00F53C08" w:rsidP="002402D3">
            <w:pPr>
              <w:rPr>
                <w:rFonts w:eastAsia="Calibri"/>
                <w:kern w:val="0"/>
                <w:sz w:val="12"/>
                <w:szCs w:val="12"/>
                <w:lang w:eastAsia="en-US"/>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{"citationID":"GskkrzXv","properties":{"formattedCitation":"\\super 7\\nosupersub{}","plainCitation":"7","noteIndex":0},"citationItems":[{"id":267,"uris":["http://zotero.org/users/2145280/items/Q9GTVTWV"],"itemData":{"id":267,"type":"article-journal","abstract":"BACKGROUND: Celiac disease (CD) has been found in up to 10% of the patients presenting with unexplained abnormal liver function tests (LFT). As there is no precise data from our country in this regard, we investigated the prevalence of CD in patients presenting with abnormal LFT.     METHODS: From 2003 to 2008, we measured IgA anti-tissue transglutaminase (t-TG) antibody (with ELISA technique) within the first-level screening steps for all patients presenting with abnormal LFT to three outpatient gastroenterology clinics in Isfahan, IRAN. All subjects with an IgA anti-tTG antibody value of &gt;10 μ/ml (seropositive) were undergone upper gastrointestinal endoscopy and duodenal biopsy. Histopathological changes were assessed according to the Marsh classification. CD was defined as being seropositive with Marsh I or above in histopathology and having a good response to gluten free diet (GFD).     RESULTS: During the study, 224 patients were evaluated, out of which, 10 patients (4.4%) were seropositive for CD. Duodenal biopsies were performed in eight patients and revealed six (2.7%) cases of Marsh I or above (four Marsh IIIA, two Marsh I), all of them had good response to GFD. The overall prevalence of CD among patients with hypertransaminasemia, autoimmune hepatitis, and cryptogenic cirrhosis was determined as 10.7% (3/28), 3.4% (2/59), and 5.3% (1/19), respectively.     CONCLUSION: Serological screening with IgA anti-tTG antibody test should be routinely performed in patients presenting with abnormal LFT and especially those with chronic liver diseases including hypertransaminasemia, autoimmune hepatitis, and cryptogenic cirrhosis.","container-title":"International Journal of Preventive Medicine","ISSN":"2008-7802 2008-8213 (electronic)","issue":"3","language":"eng","page":"167-172","title":"Should We Look for Celiac Disease among all Patients with Liver Function Test Abnormalities?","volume":"3","author":[{"family":"Emami","given":"Mohammad Hassan"},{"family":"Hashemi","given":"Marzieh"},{"family":"Kouhestani","given":"Soheila"},{"family":"Taheri","given":"Hajar"},{"family":"Karimi","given":"Somayeh"}],"issued":{"date-parts":[["2012"]]}}}],"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7</w:t>
            </w:r>
            <w:r w:rsidRPr="00AA229D">
              <w:rPr>
                <w:rFonts w:eastAsia="Calibri"/>
                <w:sz w:val="12"/>
                <w:szCs w:val="12"/>
                <w:u w:val="single"/>
              </w:rPr>
              <w:fldChar w:fldCharType="end"/>
            </w:r>
          </w:p>
        </w:tc>
        <w:tc>
          <w:tcPr>
            <w:tcW w:w="864" w:type="dxa"/>
            <w:shd w:val="clear" w:color="auto" w:fill="auto"/>
            <w:noWrap/>
            <w:hideMark/>
          </w:tcPr>
          <w:p w:rsidR="002402D3" w:rsidRPr="00AA229D" w:rsidRDefault="00F53C08" w:rsidP="002402D3">
            <w:pPr>
              <w:rPr>
                <w:rFonts w:eastAsia="Calibri"/>
                <w:kern w:val="0"/>
                <w:sz w:val="12"/>
                <w:szCs w:val="12"/>
                <w:lang w:eastAsia="en-US"/>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{"citationID":"pwwsVxDS","properties":{"formattedCitation":"\\super 8\\nosupersub{}","plainCitation":"8","noteIndex":0},"citationItems":[{"id":23336,"uris":["http://zotero.org/users/2145280/items/77DTJEXI"],"itemData":{"id":23336,"type":"article-journal","DOI":"10.1053/gast.2002.32416","page":"881–888","title":"Celiac Disease in Patients With Severe Liver Disease : Gluten-Free Diet May Reverse Hepatic Failure","author":[{"family":"2002, Red","given":"Finnish","non-dropping-particle":"kaukinen"},{"family":"Blood","given":"Cross"},{"family":"Service","given":"Transfusion"}],"issued":{"date-parts":[["2002"]]}}}],"schema":"https://github.com/citation-style-language/schema/raw/master/csl-citation.json"}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8</w:t>
            </w:r>
            <w:r w:rsidRPr="00AA229D">
              <w:rPr>
                <w:rFonts w:eastAsia="Calibri"/>
                <w:sz w:val="12"/>
                <w:szCs w:val="12"/>
                <w:u w:val="single"/>
              </w:rPr>
              <w:fldChar w:fldCharType="end"/>
            </w:r>
          </w:p>
        </w:tc>
      </w:tr>
    </w:tbl>
    <w:p w:rsidR="002402D3" w:rsidRPr="00AA229D" w:rsidRDefault="002402D3" w:rsidP="002402D3">
      <w:pPr>
        <w:rPr>
          <w:kern w:val="0"/>
          <w:sz w:val="22"/>
          <w:szCs w:val="22"/>
          <w:lang w:val="en-US" w:eastAsia="en-US"/>
        </w:rPr>
      </w:pPr>
    </w:p>
    <w:p w:rsidR="007B79E5" w:rsidRPr="00AA229D" w:rsidRDefault="007B79E5" w:rsidP="002402D3">
      <w:pPr>
        <w:rPr>
          <w:kern w:val="0"/>
          <w:sz w:val="22"/>
          <w:szCs w:val="22"/>
          <w:lang w:val="en-US" w:eastAsia="en-US"/>
        </w:rPr>
      </w:pPr>
    </w:p>
    <w:p w:rsidR="007B79E5" w:rsidRPr="00AA229D" w:rsidRDefault="007B79E5" w:rsidP="002402D3">
      <w:pPr>
        <w:rPr>
          <w:kern w:val="0"/>
          <w:sz w:val="22"/>
          <w:szCs w:val="22"/>
          <w:lang w:val="en-US" w:eastAsia="en-US"/>
        </w:rPr>
      </w:pPr>
    </w:p>
    <w:p w:rsidR="00486224" w:rsidRPr="00AA229D" w:rsidRDefault="00486224" w:rsidP="002402D3">
      <w:pPr>
        <w:rPr>
          <w:kern w:val="0"/>
          <w:sz w:val="22"/>
          <w:szCs w:val="22"/>
          <w:lang w:val="en-US" w:eastAsia="en-US"/>
        </w:rPr>
      </w:pPr>
    </w:p>
    <w:p w:rsidR="00486224" w:rsidRPr="00AA229D" w:rsidRDefault="00486224"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Default="00171862" w:rsidP="002402D3">
      <w:pPr>
        <w:rPr>
          <w:kern w:val="0"/>
          <w:sz w:val="22"/>
          <w:szCs w:val="22"/>
          <w:lang w:val="en-US" w:eastAsia="en-US"/>
        </w:rPr>
      </w:pPr>
    </w:p>
    <w:p w:rsidR="009B72C9" w:rsidRDefault="009B72C9" w:rsidP="002402D3">
      <w:pPr>
        <w:rPr>
          <w:kern w:val="0"/>
          <w:sz w:val="22"/>
          <w:szCs w:val="22"/>
          <w:lang w:val="en-US" w:eastAsia="en-US"/>
        </w:rPr>
      </w:pPr>
    </w:p>
    <w:p w:rsidR="009B72C9" w:rsidRPr="00AA229D" w:rsidRDefault="009B72C9"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171862" w:rsidRPr="00AA229D" w:rsidRDefault="00171862" w:rsidP="002402D3">
      <w:pPr>
        <w:rPr>
          <w:kern w:val="0"/>
          <w:sz w:val="22"/>
          <w:szCs w:val="22"/>
          <w:lang w:val="en-US" w:eastAsia="en-US"/>
        </w:rPr>
      </w:pPr>
    </w:p>
    <w:p w:rsidR="002402D3" w:rsidRPr="001C790C" w:rsidRDefault="00D71ED7" w:rsidP="002402D3">
      <w:pPr>
        <w:rPr>
          <w:b/>
          <w:kern w:val="0"/>
          <w:sz w:val="22"/>
          <w:szCs w:val="22"/>
          <w:lang w:val="en-US" w:eastAsia="en-US"/>
        </w:rPr>
      </w:pPr>
      <w:r w:rsidRPr="001C790C">
        <w:rPr>
          <w:b/>
          <w:kern w:val="0"/>
          <w:sz w:val="22"/>
          <w:szCs w:val="22"/>
          <w:lang w:val="en-US" w:eastAsia="en-US"/>
        </w:rPr>
        <w:t xml:space="preserve">Supplementary </w:t>
      </w:r>
      <w:r w:rsidR="00C158C5">
        <w:rPr>
          <w:b/>
        </w:rPr>
        <w:t>Digital Content</w:t>
      </w:r>
      <w:r w:rsidR="00C158C5" w:rsidRPr="008444A0">
        <w:rPr>
          <w:b/>
          <w:szCs w:val="22"/>
        </w:rPr>
        <w:t xml:space="preserve"> </w:t>
      </w:r>
      <w:r w:rsidR="00E67D54" w:rsidRPr="001C790C">
        <w:rPr>
          <w:b/>
          <w:kern w:val="0"/>
          <w:sz w:val="22"/>
          <w:szCs w:val="22"/>
          <w:lang w:val="en-US" w:eastAsia="en-US"/>
        </w:rPr>
        <w:t>4</w:t>
      </w:r>
      <w:r w:rsidR="002402D3" w:rsidRPr="001C790C">
        <w:rPr>
          <w:b/>
          <w:kern w:val="0"/>
          <w:sz w:val="22"/>
          <w:szCs w:val="22"/>
          <w:lang w:val="en-US" w:eastAsia="en-US"/>
        </w:rPr>
        <w:t>: Characteristics of the studies included in the systematic review for all-cause cirrhosis</w:t>
      </w:r>
    </w:p>
    <w:p w:rsidR="00135F0B" w:rsidRPr="00AA229D" w:rsidRDefault="00135F0B" w:rsidP="002402D3">
      <w:pPr>
        <w:rPr>
          <w:kern w:val="0"/>
          <w:sz w:val="22"/>
          <w:szCs w:val="22"/>
          <w:lang w:val="en-US" w:eastAsia="en-US"/>
        </w:rPr>
      </w:pPr>
    </w:p>
    <w:tbl>
      <w:tblPr>
        <w:tblW w:w="95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2"/>
        <w:gridCol w:w="1143"/>
        <w:gridCol w:w="1282"/>
        <w:gridCol w:w="1135"/>
        <w:gridCol w:w="1208"/>
        <w:gridCol w:w="1109"/>
        <w:gridCol w:w="1135"/>
        <w:gridCol w:w="1406"/>
      </w:tblGrid>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Author</w:t>
            </w:r>
          </w:p>
        </w:tc>
        <w:tc>
          <w:tcPr>
            <w:tcW w:w="1143"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Tanwar</w:t>
            </w:r>
          </w:p>
        </w:tc>
        <w:tc>
          <w:tcPr>
            <w:tcW w:w="1282"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Sood</w:t>
            </w:r>
          </w:p>
        </w:tc>
        <w:tc>
          <w:tcPr>
            <w:tcW w:w="1135"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Wakim-Fleming</w:t>
            </w:r>
          </w:p>
        </w:tc>
        <w:tc>
          <w:tcPr>
            <w:tcW w:w="1208"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Drastich</w:t>
            </w:r>
          </w:p>
        </w:tc>
        <w:tc>
          <w:tcPr>
            <w:tcW w:w="1109"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Germenis</w:t>
            </w:r>
          </w:p>
        </w:tc>
        <w:tc>
          <w:tcPr>
            <w:tcW w:w="1135"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Vecchi</w:t>
            </w:r>
          </w:p>
        </w:tc>
        <w:tc>
          <w:tcPr>
            <w:tcW w:w="1406"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Caroccio</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Published</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2019</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2017</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2014</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2012</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2005</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2003</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2001</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Design</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Retrospective</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Period</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June 2017 - December 2018</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2012 – 2014</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May 2008 - May 2010</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Sera from 1994-2010 used, 2009-2010</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2000-2005</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given</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September 1998 - May 1999</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Geographical region </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India, Asia</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India, Asia</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USA, North America</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Czech Republic, Europe</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Greece, Europe</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Italy, Europe</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Italy, Europe</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Setting </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Overall Population</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382 Consecutive patients with portal hypertension with chronic liver disease (CLD) of defined etiology (ethanol, hepatitis B or C, Budd–Chiari syndrome ], autoimmune-related cirrhosis, and cCLD)</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595 consecutive patients with chronic liver disease [defined as presence of volume</w:t>
            </w:r>
            <w:r w:rsidRPr="00AA229D">
              <w:rPr>
                <w:rFonts w:eastAsia="Calibri"/>
                <w:sz w:val="12"/>
                <w:szCs w:val="12"/>
              </w:rPr>
              <w:br/>
              <w:t>reduction or re-distribution, irregular margins, coarse texture or nodular liver, any of</w:t>
            </w:r>
            <w:r w:rsidRPr="00AA229D">
              <w:rPr>
                <w:rFonts w:eastAsia="Calibri"/>
                <w:sz w:val="12"/>
                <w:szCs w:val="12"/>
              </w:rPr>
              <w:br/>
              <w:t>the preceding changes noted in the liver on imaging (ultrasound, CT or MRI scan)</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204 consecutive cirrhotics scheduled for upper gastrointestinal endoscopy</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523 end stage liver disease liver transplant recipients during 1994-2010 </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738 patients with chronic liver diseases (including hepatitis, steatosis, cirrhosis)</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19 patients with cirrhosis</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98 patients with chronic hypertransaminasaemia, evaluated for the first time in a hepatology clinic</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softHyphen/>
              <w:t xml:space="preserve">Age of overall population </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26-68years</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51.4 ± 11.1 years</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55.4± 11.4 years</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18-66 years</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6-85years</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51.8 ± 9.5 years</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18–64 years</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Sample size of liver disease of interest</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382</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595</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204</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528</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146</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19</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7</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Females</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133</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107</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94</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199</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Not given </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given</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Children</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First level seroassay(s)</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 AEA-IgA</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and TTG-IgA and Guinea Pig TTG-IgA and AEA-IgA</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and TTG-IgA and Guinea Pig TTG-IgA and AEA-IgA</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Second level seroassay(s)</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AEA-IgA on whom biopsy could not be done after TTG-IgA positive</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EMA-IgA and DGP-IgA</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1406" w:type="dxa"/>
            <w:shd w:val="clear" w:color="auto" w:fill="auto"/>
            <w:noWrap/>
            <w:hideMark/>
          </w:tcPr>
          <w:p w:rsidR="002402D3" w:rsidRPr="00AA229D" w:rsidRDefault="002402D3" w:rsidP="002402D3">
            <w:pPr>
              <w:rPr>
                <w:rFonts w:eastAsia="Calibri"/>
                <w:sz w:val="12"/>
                <w:szCs w:val="12"/>
              </w:rPr>
            </w:pP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Whether IgA level done</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 of seropositive</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29</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150</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16</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10</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23</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11</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7</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No. of TTG positive in whole sample </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29</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150</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15</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10</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23</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11</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 of AEA positive in whole sample</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0</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0</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Small bowel-biopsied</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29</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85</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16</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23</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done</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Biopsy positive </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17</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14</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0</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0</w:t>
            </w:r>
          </w:p>
        </w:tc>
      </w:tr>
      <w:tr w:rsidR="002402D3" w:rsidRPr="00AA229D" w:rsidTr="002402D3">
        <w:trPr>
          <w:trHeight w:val="602"/>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Response to a GFD checked</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done</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6months- improved albumin, PT, CPS, but none in varices</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MELD and aminotransferases decreased- 2years</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done</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Whether invasive workup used for etiological evaluation for liver disease</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Liver diseases included in all-cause cirrhosis group</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Cirrhosis was</w:t>
            </w:r>
          </w:p>
          <w:p w:rsidR="002402D3" w:rsidRPr="00AA229D" w:rsidRDefault="002402D3" w:rsidP="002402D3">
            <w:pPr>
              <w:rPr>
                <w:rFonts w:eastAsia="Calibri"/>
                <w:sz w:val="12"/>
                <w:szCs w:val="12"/>
              </w:rPr>
            </w:pPr>
            <w:r w:rsidRPr="00AA229D">
              <w:rPr>
                <w:rFonts w:eastAsia="Calibri"/>
                <w:sz w:val="12"/>
                <w:szCs w:val="12"/>
              </w:rPr>
              <w:t>diagnosed on the basis of clinical, biochemical, and imaging features. Portal hypertension was defined as the presence of gastroesophageal varices (GEV) and/or high</w:t>
            </w:r>
          </w:p>
          <w:p w:rsidR="002402D3" w:rsidRPr="00AA229D" w:rsidRDefault="002402D3" w:rsidP="002402D3">
            <w:pPr>
              <w:rPr>
                <w:rFonts w:eastAsia="Calibri"/>
                <w:sz w:val="12"/>
                <w:szCs w:val="12"/>
              </w:rPr>
            </w:pPr>
            <w:r w:rsidRPr="00AA229D">
              <w:rPr>
                <w:rFonts w:eastAsia="Calibri"/>
                <w:sz w:val="12"/>
                <w:szCs w:val="12"/>
              </w:rPr>
              <w:t>gradient ascites. For etiology of portal hypertension, patients were screened for history of alcohol intake, HBsAg,</w:t>
            </w:r>
          </w:p>
          <w:p w:rsidR="002402D3" w:rsidRPr="00AA229D" w:rsidRDefault="002402D3" w:rsidP="002402D3">
            <w:pPr>
              <w:rPr>
                <w:rFonts w:eastAsia="Calibri"/>
                <w:sz w:val="12"/>
                <w:szCs w:val="12"/>
              </w:rPr>
            </w:pPr>
            <w:r w:rsidRPr="00AA229D">
              <w:rPr>
                <w:rFonts w:eastAsia="Calibri"/>
                <w:sz w:val="12"/>
                <w:szCs w:val="12"/>
              </w:rPr>
              <w:t>anti-HCV antibody, ultrasound abdomen with Doppler</w:t>
            </w:r>
          </w:p>
          <w:p w:rsidR="002402D3" w:rsidRPr="00AA229D" w:rsidRDefault="002402D3" w:rsidP="002402D3">
            <w:pPr>
              <w:rPr>
                <w:rFonts w:eastAsia="Calibri"/>
                <w:sz w:val="12"/>
                <w:szCs w:val="12"/>
              </w:rPr>
            </w:pPr>
            <w:r w:rsidRPr="00AA229D">
              <w:rPr>
                <w:rFonts w:eastAsia="Calibri"/>
                <w:sz w:val="12"/>
                <w:szCs w:val="12"/>
              </w:rPr>
              <w:t>of portal vein and hepatic veins, multiphase contrastenhanced computed tomography abdomen, IgA-tTG, autoantibodies (AMA, ASMA, LKM, ANA, IgG), and serum</w:t>
            </w:r>
          </w:p>
          <w:p w:rsidR="002402D3" w:rsidRPr="00AA229D" w:rsidRDefault="002402D3" w:rsidP="002402D3">
            <w:pPr>
              <w:rPr>
                <w:rFonts w:eastAsia="Calibri"/>
                <w:sz w:val="12"/>
                <w:szCs w:val="12"/>
              </w:rPr>
            </w:pPr>
            <w:r w:rsidRPr="00AA229D">
              <w:rPr>
                <w:rFonts w:eastAsia="Calibri"/>
                <w:sz w:val="12"/>
                <w:szCs w:val="12"/>
              </w:rPr>
              <w:t>ceruloplasmin as per clinical evaluation. Patients of CD</w:t>
            </w:r>
          </w:p>
          <w:p w:rsidR="002402D3" w:rsidRPr="00AA229D" w:rsidRDefault="002402D3" w:rsidP="002402D3">
            <w:pPr>
              <w:rPr>
                <w:rFonts w:eastAsia="Calibri"/>
                <w:sz w:val="12"/>
                <w:szCs w:val="12"/>
              </w:rPr>
            </w:pPr>
            <w:r w:rsidRPr="00AA229D">
              <w:rPr>
                <w:rFonts w:eastAsia="Calibri"/>
                <w:sz w:val="12"/>
                <w:szCs w:val="12"/>
              </w:rPr>
              <w:t>with portal hypertension (PHT) were also subjected to</w:t>
            </w:r>
          </w:p>
          <w:p w:rsidR="002402D3" w:rsidRPr="00AA229D" w:rsidRDefault="002402D3" w:rsidP="002402D3">
            <w:pPr>
              <w:rPr>
                <w:rFonts w:eastAsia="Calibri"/>
                <w:sz w:val="12"/>
                <w:szCs w:val="12"/>
              </w:rPr>
            </w:pPr>
            <w:r w:rsidRPr="00AA229D">
              <w:rPr>
                <w:rFonts w:eastAsia="Calibri"/>
                <w:sz w:val="12"/>
                <w:szCs w:val="12"/>
              </w:rPr>
              <w:t>ultrasound-guided percutaneous liver biopsy in absence</w:t>
            </w:r>
          </w:p>
          <w:p w:rsidR="002402D3" w:rsidRPr="00AA229D" w:rsidRDefault="002402D3" w:rsidP="002402D3">
            <w:pPr>
              <w:rPr>
                <w:rFonts w:eastAsia="Calibri"/>
                <w:sz w:val="12"/>
                <w:szCs w:val="12"/>
              </w:rPr>
            </w:pPr>
            <w:r w:rsidRPr="00AA229D">
              <w:rPr>
                <w:rFonts w:eastAsia="Calibri"/>
                <w:sz w:val="12"/>
                <w:szCs w:val="12"/>
              </w:rPr>
              <w:t>of absolute contraindications. Patients of cirrhosis with</w:t>
            </w:r>
          </w:p>
          <w:p w:rsidR="002402D3" w:rsidRPr="00AA229D" w:rsidRDefault="002402D3" w:rsidP="002402D3">
            <w:pPr>
              <w:rPr>
                <w:rFonts w:eastAsia="Calibri"/>
                <w:sz w:val="12"/>
                <w:szCs w:val="12"/>
              </w:rPr>
            </w:pPr>
            <w:r w:rsidRPr="00AA229D">
              <w:rPr>
                <w:rFonts w:eastAsia="Calibri"/>
                <w:sz w:val="12"/>
                <w:szCs w:val="12"/>
              </w:rPr>
              <w:t>PHT and negative evaluation for cause of liver disease</w:t>
            </w:r>
          </w:p>
          <w:p w:rsidR="002402D3" w:rsidRPr="00AA229D" w:rsidRDefault="002402D3" w:rsidP="002402D3">
            <w:pPr>
              <w:rPr>
                <w:rFonts w:eastAsia="Calibri"/>
                <w:sz w:val="12"/>
                <w:szCs w:val="12"/>
              </w:rPr>
            </w:pPr>
            <w:r w:rsidRPr="00AA229D">
              <w:rPr>
                <w:rFonts w:eastAsia="Calibri"/>
                <w:sz w:val="12"/>
                <w:szCs w:val="12"/>
              </w:rPr>
              <w:t>were defined as cCLD. NCPF was defined as the presence</w:t>
            </w:r>
          </w:p>
          <w:p w:rsidR="002402D3" w:rsidRPr="00AA229D" w:rsidRDefault="002402D3" w:rsidP="002402D3">
            <w:pPr>
              <w:rPr>
                <w:rFonts w:eastAsia="Calibri"/>
                <w:sz w:val="12"/>
                <w:szCs w:val="12"/>
              </w:rPr>
            </w:pPr>
            <w:r w:rsidRPr="00AA229D">
              <w:rPr>
                <w:rFonts w:eastAsia="Calibri"/>
                <w:sz w:val="12"/>
                <w:szCs w:val="12"/>
              </w:rPr>
              <w:t>of PHT, patient hepatic and portal veins on Doppler, no</w:t>
            </w:r>
          </w:p>
          <w:p w:rsidR="002402D3" w:rsidRPr="00AA229D" w:rsidRDefault="002402D3" w:rsidP="002402D3">
            <w:pPr>
              <w:rPr>
                <w:rFonts w:eastAsia="Calibri"/>
                <w:sz w:val="12"/>
                <w:szCs w:val="12"/>
              </w:rPr>
            </w:pPr>
            <w:r w:rsidRPr="00AA229D">
              <w:rPr>
                <w:rFonts w:eastAsia="Calibri"/>
                <w:sz w:val="12"/>
                <w:szCs w:val="12"/>
              </w:rPr>
              <w:t>identifiable etiology for liver disease, and absence of</w:t>
            </w:r>
          </w:p>
          <w:p w:rsidR="002402D3" w:rsidRPr="00AA229D" w:rsidRDefault="002402D3" w:rsidP="002402D3">
            <w:pPr>
              <w:rPr>
                <w:rFonts w:eastAsia="Calibri"/>
                <w:sz w:val="12"/>
                <w:szCs w:val="12"/>
              </w:rPr>
            </w:pPr>
            <w:r w:rsidRPr="00AA229D">
              <w:rPr>
                <w:rFonts w:eastAsia="Calibri"/>
                <w:sz w:val="12"/>
                <w:szCs w:val="12"/>
              </w:rPr>
              <w:t>cirrhosis.14 EHPVO was diagnosed in the presence of</w:t>
            </w:r>
          </w:p>
          <w:p w:rsidR="002402D3" w:rsidRPr="00AA229D" w:rsidRDefault="002402D3" w:rsidP="002402D3">
            <w:pPr>
              <w:rPr>
                <w:rFonts w:eastAsia="Calibri"/>
                <w:sz w:val="12"/>
                <w:szCs w:val="12"/>
              </w:rPr>
            </w:pPr>
            <w:r w:rsidRPr="00AA229D">
              <w:rPr>
                <w:rFonts w:eastAsia="Calibri"/>
                <w:sz w:val="12"/>
                <w:szCs w:val="12"/>
              </w:rPr>
              <w:t>PHT with obstruction of the extrahepatic portal vein</w:t>
            </w:r>
          </w:p>
          <w:p w:rsidR="002402D3" w:rsidRPr="00AA229D" w:rsidRDefault="002402D3" w:rsidP="002402D3">
            <w:pPr>
              <w:rPr>
                <w:rFonts w:eastAsia="Calibri"/>
                <w:sz w:val="12"/>
                <w:szCs w:val="12"/>
              </w:rPr>
            </w:pPr>
            <w:r w:rsidRPr="00AA229D">
              <w:rPr>
                <w:rFonts w:eastAsia="Calibri"/>
                <w:sz w:val="12"/>
                <w:szCs w:val="12"/>
              </w:rPr>
              <w:t>with or without involvement of intrahepatic portal vein</w:t>
            </w:r>
          </w:p>
          <w:p w:rsidR="002402D3" w:rsidRPr="00AA229D" w:rsidRDefault="002402D3" w:rsidP="002402D3">
            <w:pPr>
              <w:rPr>
                <w:rFonts w:eastAsia="Calibri"/>
                <w:sz w:val="12"/>
                <w:szCs w:val="12"/>
              </w:rPr>
            </w:pPr>
            <w:r w:rsidRPr="00AA229D">
              <w:rPr>
                <w:rFonts w:eastAsia="Calibri"/>
                <w:sz w:val="12"/>
                <w:szCs w:val="12"/>
              </w:rPr>
              <w:t>radicles or splenic or superior mesenteric veins with the</w:t>
            </w:r>
          </w:p>
          <w:p w:rsidR="002402D3" w:rsidRPr="00AA229D" w:rsidRDefault="002402D3" w:rsidP="002402D3">
            <w:pPr>
              <w:rPr>
                <w:rFonts w:eastAsia="Calibri"/>
                <w:sz w:val="12"/>
                <w:szCs w:val="12"/>
              </w:rPr>
            </w:pPr>
            <w:r w:rsidRPr="00AA229D">
              <w:rPr>
                <w:rFonts w:eastAsia="Calibri"/>
                <w:sz w:val="12"/>
                <w:szCs w:val="12"/>
              </w:rPr>
              <w:t>presence of portal cavernoma and absence of cirrhosis.15,16</w:t>
            </w:r>
          </w:p>
          <w:p w:rsidR="002402D3" w:rsidRPr="00AA229D" w:rsidRDefault="002402D3" w:rsidP="002402D3">
            <w:pPr>
              <w:rPr>
                <w:rFonts w:eastAsia="Calibri"/>
                <w:sz w:val="12"/>
                <w:szCs w:val="12"/>
              </w:rPr>
            </w:pPr>
            <w:r w:rsidRPr="00AA229D">
              <w:rPr>
                <w:rFonts w:eastAsia="Calibri"/>
                <w:sz w:val="12"/>
                <w:szCs w:val="12"/>
              </w:rPr>
              <w:t>Autoimmune hepatitis (AIH) was diagnosed by a simplified scoring system: probable AIH when pretreatment</w:t>
            </w:r>
          </w:p>
          <w:p w:rsidR="002402D3" w:rsidRPr="00AA229D" w:rsidRDefault="002402D3" w:rsidP="002402D3">
            <w:pPr>
              <w:rPr>
                <w:rFonts w:eastAsia="Calibri"/>
                <w:sz w:val="12"/>
                <w:szCs w:val="12"/>
              </w:rPr>
            </w:pPr>
            <w:r w:rsidRPr="00AA229D">
              <w:rPr>
                <w:rFonts w:eastAsia="Calibri"/>
                <w:sz w:val="12"/>
                <w:szCs w:val="12"/>
              </w:rPr>
              <w:t>aggregate score $6, and definite AIH with score $7</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In patients with chronic liver disease different etiologies of liver disease were defined </w:t>
            </w:r>
          </w:p>
          <w:p w:rsidR="002402D3" w:rsidRPr="00AA229D" w:rsidRDefault="002402D3" w:rsidP="002402D3">
            <w:pPr>
              <w:rPr>
                <w:rFonts w:eastAsia="Calibri"/>
                <w:sz w:val="12"/>
                <w:szCs w:val="12"/>
              </w:rPr>
            </w:pPr>
            <w:r w:rsidRPr="00AA229D">
              <w:rPr>
                <w:rFonts w:eastAsia="Calibri"/>
                <w:sz w:val="12"/>
                <w:szCs w:val="12"/>
              </w:rPr>
              <w:t xml:space="preserve">as follows: (a) alcohol : history of significant alcohol consumption (&gt;30 g/day for &gt;10 </w:t>
            </w:r>
          </w:p>
          <w:p w:rsidR="002402D3" w:rsidRPr="00AA229D" w:rsidRDefault="002402D3" w:rsidP="002402D3">
            <w:pPr>
              <w:rPr>
                <w:rFonts w:eastAsia="Calibri"/>
                <w:sz w:val="12"/>
                <w:szCs w:val="12"/>
              </w:rPr>
            </w:pPr>
            <w:r w:rsidRPr="00AA229D">
              <w:rPr>
                <w:rFonts w:eastAsia="Calibri"/>
                <w:sz w:val="12"/>
                <w:szCs w:val="12"/>
              </w:rPr>
              <w:t xml:space="preserve">yr)(9); (b)viral : Hepatitis B : HBsAg and Hepatitis B DNA positive; Hepatitis C : anti </w:t>
            </w:r>
          </w:p>
          <w:p w:rsidR="002402D3" w:rsidRPr="00AA229D" w:rsidRDefault="002402D3" w:rsidP="002402D3">
            <w:pPr>
              <w:rPr>
                <w:rFonts w:eastAsia="Calibri"/>
                <w:sz w:val="12"/>
                <w:szCs w:val="12"/>
              </w:rPr>
            </w:pPr>
            <w:r w:rsidRPr="00AA229D">
              <w:rPr>
                <w:rFonts w:eastAsia="Calibri"/>
                <w:sz w:val="12"/>
                <w:szCs w:val="12"/>
              </w:rPr>
              <w:t xml:space="preserve">HCV and HCV-RNA positive; (c) Wilson’s disease (≥2 criteria of the following criteria </w:t>
            </w:r>
          </w:p>
          <w:p w:rsidR="002402D3" w:rsidRPr="00AA229D" w:rsidRDefault="002402D3" w:rsidP="002402D3">
            <w:pPr>
              <w:rPr>
                <w:rFonts w:eastAsia="Calibri"/>
                <w:sz w:val="12"/>
                <w:szCs w:val="12"/>
              </w:rPr>
            </w:pPr>
            <w:r w:rsidRPr="00AA229D">
              <w:rPr>
                <w:rFonts w:eastAsia="Calibri"/>
                <w:sz w:val="12"/>
                <w:szCs w:val="12"/>
              </w:rPr>
              <w:t xml:space="preserve">satisfied): low serum ceruloplasmin, elevated 24 hour urinary copper and presence </w:t>
            </w:r>
          </w:p>
          <w:p w:rsidR="002402D3" w:rsidRPr="00AA229D" w:rsidRDefault="002402D3" w:rsidP="002402D3">
            <w:pPr>
              <w:rPr>
                <w:rFonts w:eastAsia="Calibri"/>
                <w:sz w:val="12"/>
                <w:szCs w:val="12"/>
              </w:rPr>
            </w:pPr>
            <w:r w:rsidRPr="00AA229D">
              <w:rPr>
                <w:rFonts w:eastAsia="Calibri"/>
                <w:sz w:val="12"/>
                <w:szCs w:val="12"/>
              </w:rPr>
              <w:t xml:space="preserve">of Kayser Fleischer ring on slit lamp examination of eye(10);(d) autoimmune hepatitis : </w:t>
            </w:r>
          </w:p>
          <w:p w:rsidR="002402D3" w:rsidRPr="00AA229D" w:rsidRDefault="002402D3" w:rsidP="002402D3">
            <w:pPr>
              <w:rPr>
                <w:rFonts w:eastAsia="Calibri"/>
                <w:sz w:val="12"/>
                <w:szCs w:val="12"/>
              </w:rPr>
            </w:pPr>
            <w:r w:rsidRPr="00AA229D">
              <w:rPr>
                <w:rFonts w:eastAsia="Calibri"/>
                <w:sz w:val="12"/>
                <w:szCs w:val="12"/>
              </w:rPr>
              <w:t xml:space="preserve">using simplified criteria for autoimmune hepatitis (≥7 points)(11);(e) Non-alcoholic fatty </w:t>
            </w:r>
          </w:p>
          <w:p w:rsidR="002402D3" w:rsidRPr="00AA229D" w:rsidRDefault="002402D3" w:rsidP="002402D3">
            <w:pPr>
              <w:rPr>
                <w:rFonts w:eastAsia="Calibri"/>
                <w:sz w:val="12"/>
                <w:szCs w:val="12"/>
              </w:rPr>
            </w:pPr>
            <w:r w:rsidRPr="00AA229D">
              <w:rPr>
                <w:rFonts w:eastAsia="Calibri"/>
                <w:sz w:val="12"/>
                <w:szCs w:val="12"/>
              </w:rPr>
              <w:t xml:space="preserve">liver disease(NAFLD): evidence of hepatic steatosis on imaging and no other cause </w:t>
            </w:r>
          </w:p>
          <w:p w:rsidR="002402D3" w:rsidRPr="00AA229D" w:rsidRDefault="002402D3" w:rsidP="002402D3">
            <w:pPr>
              <w:rPr>
                <w:rFonts w:eastAsia="Calibri"/>
                <w:sz w:val="12"/>
                <w:szCs w:val="12"/>
              </w:rPr>
            </w:pPr>
            <w:r w:rsidRPr="00AA229D">
              <w:rPr>
                <w:rFonts w:eastAsia="Calibri"/>
                <w:sz w:val="12"/>
                <w:szCs w:val="12"/>
              </w:rPr>
              <w:t xml:space="preserve">of secondary hepatic fat accumulation like alcohol, drugs or hereditary disorders(12); </w:t>
            </w:r>
          </w:p>
          <w:p w:rsidR="002402D3" w:rsidRPr="00AA229D" w:rsidRDefault="002402D3" w:rsidP="002402D3">
            <w:pPr>
              <w:rPr>
                <w:rFonts w:eastAsia="Calibri"/>
                <w:sz w:val="12"/>
                <w:szCs w:val="12"/>
              </w:rPr>
            </w:pPr>
            <w:r w:rsidRPr="00AA229D">
              <w:rPr>
                <w:rFonts w:eastAsia="Calibri"/>
                <w:sz w:val="12"/>
                <w:szCs w:val="12"/>
              </w:rPr>
              <w:t xml:space="preserve">(f) Cryptogenic: no etiology of chronic liver disease evident after non-invasive </w:t>
            </w:r>
          </w:p>
          <w:p w:rsidR="002402D3" w:rsidRPr="00AA229D" w:rsidRDefault="002402D3" w:rsidP="002402D3">
            <w:pPr>
              <w:rPr>
                <w:rFonts w:eastAsia="Calibri"/>
                <w:sz w:val="12"/>
                <w:szCs w:val="12"/>
              </w:rPr>
            </w:pPr>
            <w:r w:rsidRPr="00AA229D">
              <w:rPr>
                <w:rFonts w:eastAsia="Calibri"/>
                <w:sz w:val="12"/>
                <w:szCs w:val="12"/>
              </w:rPr>
              <w:t>evaluation</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HCC  </w:t>
            </w:r>
          </w:p>
          <w:p w:rsidR="002402D3" w:rsidRPr="00AA229D" w:rsidRDefault="002402D3" w:rsidP="002402D3">
            <w:pPr>
              <w:rPr>
                <w:rFonts w:eastAsia="Calibri"/>
                <w:sz w:val="12"/>
                <w:szCs w:val="12"/>
              </w:rPr>
            </w:pPr>
            <w:r w:rsidRPr="00AA229D">
              <w:rPr>
                <w:rFonts w:eastAsia="Calibri"/>
                <w:sz w:val="12"/>
                <w:szCs w:val="12"/>
              </w:rPr>
              <w:t xml:space="preserve">PBC </w:t>
            </w:r>
          </w:p>
          <w:p w:rsidR="002402D3" w:rsidRPr="00AA229D" w:rsidRDefault="002402D3" w:rsidP="002402D3">
            <w:pPr>
              <w:rPr>
                <w:rFonts w:eastAsia="Calibri"/>
                <w:sz w:val="12"/>
                <w:szCs w:val="12"/>
              </w:rPr>
            </w:pPr>
            <w:r w:rsidRPr="00AA229D">
              <w:rPr>
                <w:rFonts w:eastAsia="Calibri"/>
                <w:sz w:val="12"/>
                <w:szCs w:val="12"/>
              </w:rPr>
              <w:t xml:space="preserve">NASH </w:t>
            </w:r>
          </w:p>
          <w:p w:rsidR="002402D3" w:rsidRPr="00AA229D" w:rsidRDefault="002402D3" w:rsidP="002402D3">
            <w:pPr>
              <w:rPr>
                <w:rFonts w:eastAsia="Calibri"/>
                <w:sz w:val="12"/>
                <w:szCs w:val="12"/>
              </w:rPr>
            </w:pPr>
            <w:r w:rsidRPr="00AA229D">
              <w:rPr>
                <w:rFonts w:eastAsia="Calibri"/>
                <w:sz w:val="12"/>
                <w:szCs w:val="12"/>
              </w:rPr>
              <w:t xml:space="preserve">HCV  </w:t>
            </w:r>
          </w:p>
          <w:p w:rsidR="002402D3" w:rsidRPr="00AA229D" w:rsidRDefault="002402D3" w:rsidP="002402D3">
            <w:pPr>
              <w:rPr>
                <w:rFonts w:eastAsia="Calibri"/>
                <w:sz w:val="12"/>
                <w:szCs w:val="12"/>
              </w:rPr>
            </w:pPr>
            <w:r w:rsidRPr="00AA229D">
              <w:rPr>
                <w:rFonts w:eastAsia="Calibri"/>
                <w:sz w:val="12"/>
                <w:szCs w:val="12"/>
              </w:rPr>
              <w:t xml:space="preserve">Cryptogenic  </w:t>
            </w:r>
          </w:p>
          <w:p w:rsidR="002402D3" w:rsidRPr="00AA229D" w:rsidRDefault="002402D3" w:rsidP="002402D3">
            <w:pPr>
              <w:rPr>
                <w:rFonts w:eastAsia="Calibri"/>
                <w:sz w:val="12"/>
                <w:szCs w:val="12"/>
              </w:rPr>
            </w:pPr>
            <w:r w:rsidRPr="00AA229D">
              <w:rPr>
                <w:rFonts w:eastAsia="Calibri"/>
                <w:sz w:val="12"/>
                <w:szCs w:val="12"/>
              </w:rPr>
              <w:t xml:space="preserve">PSC </w:t>
            </w:r>
          </w:p>
          <w:p w:rsidR="002402D3" w:rsidRPr="00AA229D" w:rsidRDefault="002402D3" w:rsidP="002402D3">
            <w:pPr>
              <w:rPr>
                <w:rFonts w:eastAsia="Calibri"/>
                <w:sz w:val="12"/>
                <w:szCs w:val="12"/>
              </w:rPr>
            </w:pPr>
            <w:r w:rsidRPr="00AA229D">
              <w:rPr>
                <w:rFonts w:eastAsia="Calibri"/>
                <w:sz w:val="12"/>
                <w:szCs w:val="12"/>
              </w:rPr>
              <w:t xml:space="preserve">HBV </w:t>
            </w:r>
          </w:p>
          <w:p w:rsidR="002402D3" w:rsidRPr="00AA229D" w:rsidRDefault="002402D3" w:rsidP="002402D3">
            <w:pPr>
              <w:rPr>
                <w:rFonts w:eastAsia="Calibri"/>
                <w:sz w:val="12"/>
                <w:szCs w:val="12"/>
              </w:rPr>
            </w:pPr>
            <w:r w:rsidRPr="00AA229D">
              <w:rPr>
                <w:rFonts w:eastAsia="Calibri"/>
                <w:sz w:val="12"/>
                <w:szCs w:val="12"/>
              </w:rPr>
              <w:t xml:space="preserve">AIH  </w:t>
            </w:r>
          </w:p>
          <w:p w:rsidR="002402D3" w:rsidRPr="00AA229D" w:rsidRDefault="002402D3" w:rsidP="002402D3">
            <w:pPr>
              <w:rPr>
                <w:rFonts w:eastAsia="Calibri"/>
                <w:sz w:val="12"/>
                <w:szCs w:val="12"/>
              </w:rPr>
            </w:pPr>
            <w:r w:rsidRPr="00AA229D">
              <w:rPr>
                <w:rFonts w:eastAsia="Calibri"/>
                <w:sz w:val="12"/>
                <w:szCs w:val="12"/>
              </w:rPr>
              <w:t>Alcoholic liver disease</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Alcoholic liver cirrhosis, </w:t>
            </w:r>
          </w:p>
          <w:p w:rsidR="002402D3" w:rsidRPr="00AA229D" w:rsidRDefault="002402D3" w:rsidP="002402D3">
            <w:pPr>
              <w:rPr>
                <w:rFonts w:eastAsia="Calibri"/>
                <w:sz w:val="12"/>
                <w:szCs w:val="12"/>
              </w:rPr>
            </w:pPr>
            <w:r w:rsidRPr="00AA229D">
              <w:rPr>
                <w:rFonts w:eastAsia="Calibri"/>
                <w:sz w:val="12"/>
                <w:szCs w:val="12"/>
              </w:rPr>
              <w:t>Autoimmune hepatitis typeⅠ</w:t>
            </w:r>
          </w:p>
          <w:p w:rsidR="002402D3" w:rsidRPr="00AA229D" w:rsidRDefault="002402D3" w:rsidP="002402D3">
            <w:pPr>
              <w:rPr>
                <w:rFonts w:eastAsia="Calibri"/>
                <w:sz w:val="12"/>
                <w:szCs w:val="12"/>
              </w:rPr>
            </w:pPr>
            <w:r w:rsidRPr="00AA229D">
              <w:rPr>
                <w:rFonts w:eastAsia="Calibri"/>
                <w:sz w:val="12"/>
                <w:szCs w:val="12"/>
              </w:rPr>
              <w:t xml:space="preserve">Viral hepatitis B Viral hepatitis C </w:t>
            </w:r>
          </w:p>
          <w:p w:rsidR="002402D3" w:rsidRPr="00AA229D" w:rsidRDefault="002402D3" w:rsidP="002402D3">
            <w:pPr>
              <w:rPr>
                <w:rFonts w:eastAsia="Calibri"/>
                <w:sz w:val="12"/>
                <w:szCs w:val="12"/>
              </w:rPr>
            </w:pPr>
            <w:r w:rsidRPr="00AA229D">
              <w:rPr>
                <w:rFonts w:eastAsia="Calibri"/>
                <w:sz w:val="12"/>
                <w:szCs w:val="12"/>
              </w:rPr>
              <w:t xml:space="preserve">Wilson’s disease Primary biliary cirrhosis Primary sclerosing cholangitis Cryptogenic liver cirrhosis Budd-Chiari syndrome </w:t>
            </w:r>
          </w:p>
          <w:p w:rsidR="002402D3" w:rsidRPr="00AA229D" w:rsidRDefault="002402D3" w:rsidP="002402D3">
            <w:pPr>
              <w:rPr>
                <w:rFonts w:eastAsia="Calibri"/>
                <w:sz w:val="12"/>
                <w:szCs w:val="12"/>
              </w:rPr>
            </w:pPr>
            <w:r w:rsidRPr="00AA229D">
              <w:rPr>
                <w:rFonts w:eastAsia="Calibri"/>
                <w:sz w:val="12"/>
                <w:szCs w:val="12"/>
              </w:rPr>
              <w:t>Polycystic liver</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Viral , autoimmune, nafld, alcoholic, wilson’s disease, </w:t>
            </w:r>
          </w:p>
          <w:p w:rsidR="002402D3" w:rsidRPr="00AA229D" w:rsidRDefault="002402D3" w:rsidP="002402D3">
            <w:pPr>
              <w:rPr>
                <w:rFonts w:eastAsia="Calibri"/>
                <w:sz w:val="12"/>
                <w:szCs w:val="12"/>
              </w:rPr>
            </w:pPr>
            <w:r w:rsidRPr="00AA229D">
              <w:rPr>
                <w:rFonts w:eastAsia="Calibri"/>
                <w:sz w:val="12"/>
                <w:szCs w:val="12"/>
              </w:rPr>
              <w:t>transaminasemia due to hyperthyroidism, and  miscellaneous disorders</w:t>
            </w:r>
          </w:p>
          <w:p w:rsidR="002402D3" w:rsidRPr="00AA229D" w:rsidRDefault="002402D3" w:rsidP="002402D3">
            <w:pPr>
              <w:rPr>
                <w:rFonts w:eastAsia="Calibri"/>
                <w:sz w:val="12"/>
                <w:szCs w:val="12"/>
              </w:rPr>
            </w:pPr>
            <w:r w:rsidRPr="00AA229D">
              <w:rPr>
                <w:rFonts w:eastAsia="Calibri"/>
                <w:sz w:val="12"/>
                <w:szCs w:val="12"/>
              </w:rPr>
              <w:t>such as mitochondrial disease, benign cholestasis of pregnancy, dysfunction of</w:t>
            </w:r>
          </w:p>
          <w:p w:rsidR="002402D3" w:rsidRPr="00AA229D" w:rsidRDefault="002402D3" w:rsidP="002402D3">
            <w:pPr>
              <w:rPr>
                <w:rFonts w:eastAsia="Calibri"/>
                <w:sz w:val="12"/>
                <w:szCs w:val="12"/>
              </w:rPr>
            </w:pPr>
            <w:r w:rsidRPr="00AA229D">
              <w:rPr>
                <w:rFonts w:eastAsia="Calibri"/>
                <w:sz w:val="12"/>
                <w:szCs w:val="12"/>
              </w:rPr>
              <w:t>the sphincter of Oddi, 1-antithrypsin deficiency, drug-induced hepatitis, Gilbert</w:t>
            </w:r>
          </w:p>
          <w:p w:rsidR="002402D3" w:rsidRPr="00AA229D" w:rsidRDefault="002402D3" w:rsidP="002402D3">
            <w:pPr>
              <w:rPr>
                <w:rFonts w:eastAsia="Calibri"/>
                <w:sz w:val="12"/>
                <w:szCs w:val="12"/>
              </w:rPr>
            </w:pPr>
            <w:r w:rsidRPr="00AA229D">
              <w:rPr>
                <w:rFonts w:eastAsia="Calibri"/>
                <w:sz w:val="12"/>
                <w:szCs w:val="12"/>
              </w:rPr>
              <w:t>syndrome, and secondary hemochromatosis</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HBV, HCV, alcohol, sclerosing cholangitis</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94/98 patienst were positive for hepatitis markers</w:t>
            </w: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Methodology for evaluation of liver diseases</w:t>
            </w:r>
          </w:p>
        </w:tc>
        <w:tc>
          <w:tcPr>
            <w:tcW w:w="1143"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Cirrhosis was</w:t>
            </w:r>
          </w:p>
          <w:p w:rsidR="002402D3" w:rsidRPr="00AA229D" w:rsidRDefault="002402D3" w:rsidP="002402D3">
            <w:pPr>
              <w:rPr>
                <w:rFonts w:eastAsia="Calibri"/>
                <w:sz w:val="12"/>
                <w:szCs w:val="12"/>
              </w:rPr>
            </w:pPr>
            <w:r w:rsidRPr="00AA229D">
              <w:rPr>
                <w:rFonts w:eastAsia="Calibri"/>
                <w:sz w:val="12"/>
                <w:szCs w:val="12"/>
              </w:rPr>
              <w:t>diagnosed on the basis of clinical, biochemical, and imaging features. Portal hypertension was defined as the presence of gastroesophageal varices (GEV) and/or high</w:t>
            </w:r>
          </w:p>
          <w:p w:rsidR="002402D3" w:rsidRPr="00AA229D" w:rsidRDefault="002402D3" w:rsidP="002402D3">
            <w:pPr>
              <w:rPr>
                <w:rFonts w:eastAsia="Calibri"/>
                <w:sz w:val="12"/>
                <w:szCs w:val="12"/>
              </w:rPr>
            </w:pPr>
            <w:r w:rsidRPr="00AA229D">
              <w:rPr>
                <w:rFonts w:eastAsia="Calibri"/>
                <w:sz w:val="12"/>
                <w:szCs w:val="12"/>
              </w:rPr>
              <w:t>gradient ascites. For etiology of portal hypertension, patients were screened for history of alcohol intake, HBsAg,</w:t>
            </w:r>
          </w:p>
          <w:p w:rsidR="002402D3" w:rsidRPr="00AA229D" w:rsidRDefault="002402D3" w:rsidP="002402D3">
            <w:pPr>
              <w:rPr>
                <w:rFonts w:eastAsia="Calibri"/>
                <w:sz w:val="12"/>
                <w:szCs w:val="12"/>
              </w:rPr>
            </w:pPr>
            <w:r w:rsidRPr="00AA229D">
              <w:rPr>
                <w:rFonts w:eastAsia="Calibri"/>
                <w:sz w:val="12"/>
                <w:szCs w:val="12"/>
              </w:rPr>
              <w:t>anti-HCV antibody, ultrasound abdomen with Doppler</w:t>
            </w:r>
          </w:p>
          <w:p w:rsidR="002402D3" w:rsidRPr="00AA229D" w:rsidRDefault="002402D3" w:rsidP="002402D3">
            <w:pPr>
              <w:rPr>
                <w:rFonts w:eastAsia="Calibri"/>
                <w:sz w:val="12"/>
                <w:szCs w:val="12"/>
              </w:rPr>
            </w:pPr>
            <w:r w:rsidRPr="00AA229D">
              <w:rPr>
                <w:rFonts w:eastAsia="Calibri"/>
                <w:sz w:val="12"/>
                <w:szCs w:val="12"/>
              </w:rPr>
              <w:t>of portal vein and hepatic veins, multiphase contrastenhanced computed tomography abdomen, IgA-tTG, autoantibodies (AMA, ASMA, LKM, ANA, IgG), and serum</w:t>
            </w:r>
          </w:p>
          <w:p w:rsidR="002402D3" w:rsidRPr="00AA229D" w:rsidRDefault="002402D3" w:rsidP="002402D3">
            <w:pPr>
              <w:rPr>
                <w:rFonts w:eastAsia="Calibri"/>
                <w:sz w:val="12"/>
                <w:szCs w:val="12"/>
              </w:rPr>
            </w:pPr>
            <w:r w:rsidRPr="00AA229D">
              <w:rPr>
                <w:rFonts w:eastAsia="Calibri"/>
                <w:sz w:val="12"/>
                <w:szCs w:val="12"/>
              </w:rPr>
              <w:t>ceruloplasmin as per clinical evaluation. Patients of CD</w:t>
            </w:r>
          </w:p>
          <w:p w:rsidR="002402D3" w:rsidRPr="00AA229D" w:rsidRDefault="002402D3" w:rsidP="002402D3">
            <w:pPr>
              <w:rPr>
                <w:rFonts w:eastAsia="Calibri"/>
                <w:sz w:val="12"/>
                <w:szCs w:val="12"/>
              </w:rPr>
            </w:pPr>
            <w:r w:rsidRPr="00AA229D">
              <w:rPr>
                <w:rFonts w:eastAsia="Calibri"/>
                <w:sz w:val="12"/>
                <w:szCs w:val="12"/>
              </w:rPr>
              <w:t>with portal hypertension (PHT) were also subjected to</w:t>
            </w:r>
          </w:p>
          <w:p w:rsidR="002402D3" w:rsidRPr="00AA229D" w:rsidRDefault="002402D3" w:rsidP="002402D3">
            <w:pPr>
              <w:rPr>
                <w:rFonts w:eastAsia="Calibri"/>
                <w:sz w:val="12"/>
                <w:szCs w:val="12"/>
              </w:rPr>
            </w:pPr>
            <w:r w:rsidRPr="00AA229D">
              <w:rPr>
                <w:rFonts w:eastAsia="Calibri"/>
                <w:sz w:val="12"/>
                <w:szCs w:val="12"/>
              </w:rPr>
              <w:t>ultrasound-guided percutaneous liver biopsy in absence</w:t>
            </w:r>
          </w:p>
          <w:p w:rsidR="002402D3" w:rsidRPr="00AA229D" w:rsidRDefault="002402D3" w:rsidP="002402D3">
            <w:pPr>
              <w:rPr>
                <w:rFonts w:eastAsia="Calibri"/>
                <w:sz w:val="12"/>
                <w:szCs w:val="12"/>
              </w:rPr>
            </w:pPr>
            <w:r w:rsidRPr="00AA229D">
              <w:rPr>
                <w:rFonts w:eastAsia="Calibri"/>
                <w:sz w:val="12"/>
                <w:szCs w:val="12"/>
              </w:rPr>
              <w:t>of absolute contraindications. Patients of cirrhosis with</w:t>
            </w:r>
          </w:p>
          <w:p w:rsidR="002402D3" w:rsidRPr="00AA229D" w:rsidRDefault="002402D3" w:rsidP="002402D3">
            <w:pPr>
              <w:rPr>
                <w:rFonts w:eastAsia="Calibri"/>
                <w:sz w:val="12"/>
                <w:szCs w:val="12"/>
              </w:rPr>
            </w:pPr>
            <w:r w:rsidRPr="00AA229D">
              <w:rPr>
                <w:rFonts w:eastAsia="Calibri"/>
                <w:sz w:val="12"/>
                <w:szCs w:val="12"/>
              </w:rPr>
              <w:t>PHT and negative evaluation for cause of liver disease</w:t>
            </w:r>
          </w:p>
          <w:p w:rsidR="002402D3" w:rsidRPr="00AA229D" w:rsidRDefault="002402D3" w:rsidP="002402D3">
            <w:pPr>
              <w:rPr>
                <w:rFonts w:eastAsia="Calibri"/>
                <w:sz w:val="12"/>
                <w:szCs w:val="12"/>
              </w:rPr>
            </w:pPr>
            <w:r w:rsidRPr="00AA229D">
              <w:rPr>
                <w:rFonts w:eastAsia="Calibri"/>
                <w:sz w:val="12"/>
                <w:szCs w:val="12"/>
              </w:rPr>
              <w:t>were defined as cCLD. NCPF was defined as the presence</w:t>
            </w:r>
          </w:p>
          <w:p w:rsidR="002402D3" w:rsidRPr="00AA229D" w:rsidRDefault="002402D3" w:rsidP="002402D3">
            <w:pPr>
              <w:rPr>
                <w:rFonts w:eastAsia="Calibri"/>
                <w:sz w:val="12"/>
                <w:szCs w:val="12"/>
              </w:rPr>
            </w:pPr>
            <w:r w:rsidRPr="00AA229D">
              <w:rPr>
                <w:rFonts w:eastAsia="Calibri"/>
                <w:sz w:val="12"/>
                <w:szCs w:val="12"/>
              </w:rPr>
              <w:t>of PHT, patient hepatic and portal veins on Doppler, no</w:t>
            </w:r>
          </w:p>
          <w:p w:rsidR="002402D3" w:rsidRPr="00AA229D" w:rsidRDefault="002402D3" w:rsidP="002402D3">
            <w:pPr>
              <w:rPr>
                <w:rFonts w:eastAsia="Calibri"/>
                <w:sz w:val="12"/>
                <w:szCs w:val="12"/>
              </w:rPr>
            </w:pPr>
            <w:r w:rsidRPr="00AA229D">
              <w:rPr>
                <w:rFonts w:eastAsia="Calibri"/>
                <w:sz w:val="12"/>
                <w:szCs w:val="12"/>
              </w:rPr>
              <w:t>identifiable etiology for liver disease, and absence of</w:t>
            </w:r>
          </w:p>
          <w:p w:rsidR="002402D3" w:rsidRPr="00AA229D" w:rsidRDefault="002402D3" w:rsidP="002402D3">
            <w:pPr>
              <w:rPr>
                <w:rFonts w:eastAsia="Calibri"/>
                <w:sz w:val="12"/>
                <w:szCs w:val="12"/>
              </w:rPr>
            </w:pPr>
            <w:r w:rsidRPr="00AA229D">
              <w:rPr>
                <w:rFonts w:eastAsia="Calibri"/>
                <w:sz w:val="12"/>
                <w:szCs w:val="12"/>
              </w:rPr>
              <w:t>cirrhosis.14 EHPVO was diagnosed in the presence of</w:t>
            </w:r>
          </w:p>
          <w:p w:rsidR="002402D3" w:rsidRPr="00AA229D" w:rsidRDefault="002402D3" w:rsidP="002402D3">
            <w:pPr>
              <w:rPr>
                <w:rFonts w:eastAsia="Calibri"/>
                <w:sz w:val="12"/>
                <w:szCs w:val="12"/>
              </w:rPr>
            </w:pPr>
            <w:r w:rsidRPr="00AA229D">
              <w:rPr>
                <w:rFonts w:eastAsia="Calibri"/>
                <w:sz w:val="12"/>
                <w:szCs w:val="12"/>
              </w:rPr>
              <w:t>PHT with obstruction of the extrahepatic portal vein</w:t>
            </w:r>
          </w:p>
          <w:p w:rsidR="002402D3" w:rsidRPr="00AA229D" w:rsidRDefault="002402D3" w:rsidP="002402D3">
            <w:pPr>
              <w:rPr>
                <w:rFonts w:eastAsia="Calibri"/>
                <w:sz w:val="12"/>
                <w:szCs w:val="12"/>
              </w:rPr>
            </w:pPr>
            <w:r w:rsidRPr="00AA229D">
              <w:rPr>
                <w:rFonts w:eastAsia="Calibri"/>
                <w:sz w:val="12"/>
                <w:szCs w:val="12"/>
              </w:rPr>
              <w:t>with or without involvement of intrahepatic portal vein</w:t>
            </w:r>
          </w:p>
          <w:p w:rsidR="002402D3" w:rsidRPr="00AA229D" w:rsidRDefault="002402D3" w:rsidP="002402D3">
            <w:pPr>
              <w:rPr>
                <w:rFonts w:eastAsia="Calibri"/>
                <w:sz w:val="12"/>
                <w:szCs w:val="12"/>
              </w:rPr>
            </w:pPr>
            <w:r w:rsidRPr="00AA229D">
              <w:rPr>
                <w:rFonts w:eastAsia="Calibri"/>
                <w:sz w:val="12"/>
                <w:szCs w:val="12"/>
              </w:rPr>
              <w:t>radicles or splenic or superior mesenteric veins with the</w:t>
            </w:r>
          </w:p>
          <w:p w:rsidR="002402D3" w:rsidRPr="00AA229D" w:rsidRDefault="002402D3" w:rsidP="002402D3">
            <w:pPr>
              <w:rPr>
                <w:rFonts w:eastAsia="Calibri"/>
                <w:sz w:val="12"/>
                <w:szCs w:val="12"/>
              </w:rPr>
            </w:pPr>
            <w:r w:rsidRPr="00AA229D">
              <w:rPr>
                <w:rFonts w:eastAsia="Calibri"/>
                <w:sz w:val="12"/>
                <w:szCs w:val="12"/>
              </w:rPr>
              <w:t>presence of portal cavernoma and absence of cirrhosis.15,16</w:t>
            </w:r>
          </w:p>
          <w:p w:rsidR="002402D3" w:rsidRPr="00AA229D" w:rsidRDefault="002402D3" w:rsidP="002402D3">
            <w:pPr>
              <w:rPr>
                <w:rFonts w:eastAsia="Calibri"/>
                <w:sz w:val="12"/>
                <w:szCs w:val="12"/>
              </w:rPr>
            </w:pPr>
            <w:r w:rsidRPr="00AA229D">
              <w:rPr>
                <w:rFonts w:eastAsia="Calibri"/>
                <w:sz w:val="12"/>
                <w:szCs w:val="12"/>
              </w:rPr>
              <w:t>Autoimmune hepatitis (AIH) was diagnosed by a simplified scoring system: probable AIH when pretreatment</w:t>
            </w:r>
          </w:p>
          <w:p w:rsidR="002402D3" w:rsidRPr="00AA229D" w:rsidRDefault="002402D3" w:rsidP="002402D3">
            <w:pPr>
              <w:rPr>
                <w:rFonts w:eastAsia="Calibri"/>
                <w:sz w:val="12"/>
                <w:szCs w:val="12"/>
              </w:rPr>
            </w:pPr>
            <w:r w:rsidRPr="00AA229D">
              <w:rPr>
                <w:rFonts w:eastAsia="Calibri"/>
                <w:sz w:val="12"/>
                <w:szCs w:val="12"/>
              </w:rPr>
              <w:t>aggregate score $6, and definite AIH with score 7</w:t>
            </w:r>
          </w:p>
        </w:tc>
        <w:tc>
          <w:tcPr>
            <w:tcW w:w="1282"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In patients with chronic liver disease different etiologies of liver disease were de</w:t>
            </w:r>
            <w:r w:rsidR="00F26D3E" w:rsidRPr="00AA229D">
              <w:rPr>
                <w:rFonts w:eastAsia="Calibri"/>
                <w:sz w:val="12"/>
                <w:szCs w:val="12"/>
              </w:rPr>
              <w:t>ta</w:t>
            </w:r>
            <w:r w:rsidRPr="00AA229D">
              <w:rPr>
                <w:rFonts w:eastAsia="Calibri"/>
                <w:sz w:val="12"/>
                <w:szCs w:val="12"/>
              </w:rPr>
              <w:t>d</w:t>
            </w:r>
          </w:p>
          <w:p w:rsidR="002402D3" w:rsidRPr="00AA229D" w:rsidRDefault="002402D3" w:rsidP="002402D3">
            <w:pPr>
              <w:rPr>
                <w:rFonts w:eastAsia="Calibri"/>
                <w:sz w:val="12"/>
                <w:szCs w:val="12"/>
              </w:rPr>
            </w:pPr>
            <w:r w:rsidRPr="00AA229D">
              <w:rPr>
                <w:rFonts w:eastAsia="Calibri"/>
                <w:sz w:val="12"/>
                <w:szCs w:val="12"/>
              </w:rPr>
              <w:t xml:space="preserve">as follows: (a) alcohol : history of significant alcohol consumption (&gt;30 g/day for &gt;10 </w:t>
            </w:r>
          </w:p>
          <w:p w:rsidR="002402D3" w:rsidRPr="00AA229D" w:rsidRDefault="002402D3" w:rsidP="002402D3">
            <w:pPr>
              <w:rPr>
                <w:rFonts w:eastAsia="Calibri"/>
                <w:sz w:val="12"/>
                <w:szCs w:val="12"/>
              </w:rPr>
            </w:pPr>
            <w:r w:rsidRPr="00AA229D">
              <w:rPr>
                <w:rFonts w:eastAsia="Calibri"/>
                <w:sz w:val="12"/>
                <w:szCs w:val="12"/>
              </w:rPr>
              <w:t xml:space="preserve">yr)(9); (b)viral : Hepatitis B : HBsAgand Hepatitis B DNA positive; Hepatitis C : anti </w:t>
            </w:r>
          </w:p>
          <w:p w:rsidR="002402D3" w:rsidRPr="00AA229D" w:rsidRDefault="002402D3" w:rsidP="002402D3">
            <w:pPr>
              <w:rPr>
                <w:rFonts w:eastAsia="Calibri"/>
                <w:sz w:val="12"/>
                <w:szCs w:val="12"/>
              </w:rPr>
            </w:pPr>
            <w:r w:rsidRPr="00AA229D">
              <w:rPr>
                <w:rFonts w:eastAsia="Calibri"/>
                <w:sz w:val="12"/>
                <w:szCs w:val="12"/>
              </w:rPr>
              <w:t xml:space="preserve">HCV and HCV-RNA positive; (c) Wilson’s disease (≥2 criteria of the following criteria </w:t>
            </w:r>
          </w:p>
          <w:p w:rsidR="002402D3" w:rsidRPr="00AA229D" w:rsidRDefault="002402D3" w:rsidP="002402D3">
            <w:pPr>
              <w:rPr>
                <w:rFonts w:eastAsia="Calibri"/>
                <w:sz w:val="12"/>
                <w:szCs w:val="12"/>
              </w:rPr>
            </w:pPr>
            <w:r w:rsidRPr="00AA229D">
              <w:rPr>
                <w:rFonts w:eastAsia="Calibri"/>
                <w:sz w:val="12"/>
                <w:szCs w:val="12"/>
              </w:rPr>
              <w:t xml:space="preserve">satisfied): low serum ceruloplasmin, elevated 24 hour urinary copper and presence </w:t>
            </w:r>
          </w:p>
          <w:p w:rsidR="002402D3" w:rsidRPr="00AA229D" w:rsidRDefault="002402D3" w:rsidP="002402D3">
            <w:pPr>
              <w:rPr>
                <w:rFonts w:eastAsia="Calibri"/>
                <w:sz w:val="12"/>
                <w:szCs w:val="12"/>
              </w:rPr>
            </w:pPr>
            <w:r w:rsidRPr="00AA229D">
              <w:rPr>
                <w:rFonts w:eastAsia="Calibri"/>
                <w:sz w:val="12"/>
                <w:szCs w:val="12"/>
              </w:rPr>
              <w:t xml:space="preserve">of Kayser Fleischer ring on slit lamp examination of eye(10);(d) autoimmune hepatitis : </w:t>
            </w:r>
          </w:p>
          <w:p w:rsidR="002402D3" w:rsidRPr="00AA229D" w:rsidRDefault="002402D3" w:rsidP="002402D3">
            <w:pPr>
              <w:rPr>
                <w:rFonts w:eastAsia="Calibri"/>
                <w:sz w:val="12"/>
                <w:szCs w:val="12"/>
              </w:rPr>
            </w:pPr>
            <w:r w:rsidRPr="00AA229D">
              <w:rPr>
                <w:rFonts w:eastAsia="Calibri"/>
                <w:sz w:val="12"/>
                <w:szCs w:val="12"/>
              </w:rPr>
              <w:t xml:space="preserve">using simplified criteria for autoimmune hepatitis (≥7 points)(11);(e) Non-alcoholic fatty </w:t>
            </w:r>
          </w:p>
          <w:p w:rsidR="002402D3" w:rsidRPr="00AA229D" w:rsidRDefault="002402D3" w:rsidP="002402D3">
            <w:pPr>
              <w:rPr>
                <w:rFonts w:eastAsia="Calibri"/>
                <w:sz w:val="12"/>
                <w:szCs w:val="12"/>
              </w:rPr>
            </w:pPr>
            <w:r w:rsidRPr="00AA229D">
              <w:rPr>
                <w:rFonts w:eastAsia="Calibri"/>
                <w:sz w:val="12"/>
                <w:szCs w:val="12"/>
              </w:rPr>
              <w:t xml:space="preserve">liver disease(NAFLD): evidence of hepatic steatosis on imaging and no other cause </w:t>
            </w:r>
          </w:p>
          <w:p w:rsidR="002402D3" w:rsidRPr="00AA229D" w:rsidRDefault="002402D3" w:rsidP="002402D3">
            <w:pPr>
              <w:rPr>
                <w:rFonts w:eastAsia="Calibri"/>
                <w:sz w:val="12"/>
                <w:szCs w:val="12"/>
              </w:rPr>
            </w:pPr>
            <w:r w:rsidRPr="00AA229D">
              <w:rPr>
                <w:rFonts w:eastAsia="Calibri"/>
                <w:sz w:val="12"/>
                <w:szCs w:val="12"/>
              </w:rPr>
              <w:t xml:space="preserve">of secondary hepatic fat accumulation like alcohol, drugs or hereditary disorders(12); </w:t>
            </w:r>
          </w:p>
          <w:p w:rsidR="002402D3" w:rsidRPr="00AA229D" w:rsidRDefault="002402D3" w:rsidP="002402D3">
            <w:pPr>
              <w:rPr>
                <w:rFonts w:eastAsia="Calibri"/>
                <w:sz w:val="12"/>
                <w:szCs w:val="12"/>
              </w:rPr>
            </w:pPr>
            <w:r w:rsidRPr="00AA229D">
              <w:rPr>
                <w:rFonts w:eastAsia="Calibri"/>
                <w:sz w:val="12"/>
                <w:szCs w:val="12"/>
              </w:rPr>
              <w:t xml:space="preserve">(f) Cryptogenic: no etiology of chronic liver disease evident after non-invasive </w:t>
            </w:r>
          </w:p>
          <w:p w:rsidR="002402D3" w:rsidRPr="00AA229D" w:rsidRDefault="002402D3" w:rsidP="002402D3">
            <w:pPr>
              <w:rPr>
                <w:rFonts w:eastAsia="Calibri"/>
                <w:sz w:val="12"/>
                <w:szCs w:val="12"/>
              </w:rPr>
            </w:pPr>
            <w:r w:rsidRPr="00AA229D">
              <w:rPr>
                <w:rFonts w:eastAsia="Calibri"/>
                <w:sz w:val="12"/>
                <w:szCs w:val="12"/>
              </w:rPr>
              <w:t>evaluation</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Not given </w:t>
            </w:r>
          </w:p>
        </w:tc>
        <w:tc>
          <w:tcPr>
            <w:tcW w:w="1208"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diagnostic criteria for primary biliary cirrhosis </w:t>
            </w:r>
          </w:p>
          <w:p w:rsidR="002402D3" w:rsidRPr="00AA229D" w:rsidRDefault="002402D3" w:rsidP="002402D3">
            <w:pPr>
              <w:rPr>
                <w:rFonts w:eastAsia="Calibri"/>
                <w:sz w:val="12"/>
                <w:szCs w:val="12"/>
              </w:rPr>
            </w:pPr>
            <w:r w:rsidRPr="00AA229D">
              <w:rPr>
                <w:rFonts w:eastAsia="Calibri"/>
                <w:sz w:val="12"/>
                <w:szCs w:val="12"/>
              </w:rPr>
              <w:t xml:space="preserve">included clinical symptoms, clinical chemistry, exclusion </w:t>
            </w:r>
          </w:p>
          <w:p w:rsidR="002402D3" w:rsidRPr="00AA229D" w:rsidRDefault="002402D3" w:rsidP="002402D3">
            <w:pPr>
              <w:rPr>
                <w:rFonts w:eastAsia="Calibri"/>
                <w:sz w:val="12"/>
                <w:szCs w:val="12"/>
              </w:rPr>
            </w:pPr>
            <w:r w:rsidRPr="00AA229D">
              <w:rPr>
                <w:rFonts w:eastAsia="Calibri"/>
                <w:sz w:val="12"/>
                <w:szCs w:val="12"/>
              </w:rPr>
              <w:t xml:space="preserve">of infection with hepatitis viruses and evidence of antimitochondrial antibodies type M2. The diagnosis of </w:t>
            </w:r>
          </w:p>
          <w:p w:rsidR="002402D3" w:rsidRPr="00AA229D" w:rsidRDefault="002402D3" w:rsidP="002402D3">
            <w:pPr>
              <w:rPr>
                <w:rFonts w:eastAsia="Calibri"/>
                <w:sz w:val="12"/>
                <w:szCs w:val="12"/>
              </w:rPr>
            </w:pPr>
            <w:r w:rsidRPr="00AA229D">
              <w:rPr>
                <w:rFonts w:eastAsia="Calibri"/>
                <w:sz w:val="12"/>
                <w:szCs w:val="12"/>
              </w:rPr>
              <w:t xml:space="preserve">autoimmune hepatitis was based on the scoring system </w:t>
            </w:r>
          </w:p>
          <w:p w:rsidR="002402D3" w:rsidRPr="00AA229D" w:rsidRDefault="002402D3" w:rsidP="002402D3">
            <w:pPr>
              <w:rPr>
                <w:rFonts w:eastAsia="Calibri"/>
                <w:sz w:val="12"/>
                <w:szCs w:val="12"/>
              </w:rPr>
            </w:pPr>
            <w:r w:rsidRPr="00AA229D">
              <w:rPr>
                <w:rFonts w:eastAsia="Calibri"/>
                <w:sz w:val="12"/>
                <w:szCs w:val="12"/>
              </w:rPr>
              <w:t xml:space="preserve">devised by the International Autoimmune Hepatitis </w:t>
            </w:r>
          </w:p>
          <w:p w:rsidR="002402D3" w:rsidRPr="00AA229D" w:rsidRDefault="002402D3" w:rsidP="002402D3">
            <w:pPr>
              <w:rPr>
                <w:rFonts w:eastAsia="Calibri"/>
                <w:sz w:val="12"/>
                <w:szCs w:val="12"/>
              </w:rPr>
            </w:pPr>
            <w:r w:rsidRPr="00AA229D">
              <w:rPr>
                <w:rFonts w:eastAsia="Calibri"/>
                <w:sz w:val="12"/>
                <w:szCs w:val="12"/>
              </w:rPr>
              <w:t xml:space="preserve">Group and International Association for the Study of </w:t>
            </w:r>
          </w:p>
          <w:p w:rsidR="002402D3" w:rsidRPr="00AA229D" w:rsidRDefault="002402D3" w:rsidP="002402D3">
            <w:pPr>
              <w:rPr>
                <w:rFonts w:eastAsia="Calibri"/>
                <w:sz w:val="12"/>
                <w:szCs w:val="12"/>
              </w:rPr>
            </w:pPr>
            <w:r w:rsidRPr="00AA229D">
              <w:rPr>
                <w:rFonts w:eastAsia="Calibri"/>
                <w:sz w:val="12"/>
                <w:szCs w:val="12"/>
              </w:rPr>
              <w:t xml:space="preserve">the Liver[16]. The main diagnostic criteria for alcoholic </w:t>
            </w:r>
          </w:p>
          <w:p w:rsidR="002402D3" w:rsidRPr="00AA229D" w:rsidRDefault="002402D3" w:rsidP="002402D3">
            <w:pPr>
              <w:rPr>
                <w:rFonts w:eastAsia="Calibri"/>
                <w:sz w:val="12"/>
                <w:szCs w:val="12"/>
              </w:rPr>
            </w:pPr>
            <w:r w:rsidRPr="00AA229D">
              <w:rPr>
                <w:rFonts w:eastAsia="Calibri"/>
                <w:sz w:val="12"/>
                <w:szCs w:val="12"/>
              </w:rPr>
              <w:t xml:space="preserve">liver cirrhosis were the patient’s medical history, liver </w:t>
            </w:r>
          </w:p>
          <w:p w:rsidR="002402D3" w:rsidRPr="00AA229D" w:rsidRDefault="002402D3" w:rsidP="002402D3">
            <w:pPr>
              <w:rPr>
                <w:rFonts w:eastAsia="Calibri"/>
                <w:sz w:val="12"/>
                <w:szCs w:val="12"/>
              </w:rPr>
            </w:pPr>
            <w:r w:rsidRPr="00AA229D">
              <w:rPr>
                <w:rFonts w:eastAsia="Calibri"/>
                <w:sz w:val="12"/>
                <w:szCs w:val="12"/>
              </w:rPr>
              <w:t xml:space="preserve">histology, and exclusion of other causes of liver cirrhosis. Diagnosis of Wilson’s disease was based on the </w:t>
            </w:r>
          </w:p>
          <w:p w:rsidR="002402D3" w:rsidRPr="00AA229D" w:rsidRDefault="002402D3" w:rsidP="002402D3">
            <w:pPr>
              <w:rPr>
                <w:rFonts w:eastAsia="Calibri"/>
                <w:sz w:val="12"/>
                <w:szCs w:val="12"/>
              </w:rPr>
            </w:pPr>
            <w:r w:rsidRPr="00AA229D">
              <w:rPr>
                <w:rFonts w:eastAsia="Calibri"/>
                <w:sz w:val="12"/>
                <w:szCs w:val="12"/>
              </w:rPr>
              <w:t xml:space="preserve">recommendation of Kodama et al[17], and Budd-Chiari </w:t>
            </w:r>
          </w:p>
          <w:p w:rsidR="002402D3" w:rsidRPr="00AA229D" w:rsidRDefault="002402D3" w:rsidP="002402D3">
            <w:pPr>
              <w:rPr>
                <w:rFonts w:eastAsia="Calibri"/>
                <w:sz w:val="12"/>
                <w:szCs w:val="12"/>
              </w:rPr>
            </w:pPr>
            <w:r w:rsidRPr="00AA229D">
              <w:rPr>
                <w:rFonts w:eastAsia="Calibri"/>
                <w:sz w:val="12"/>
                <w:szCs w:val="12"/>
              </w:rPr>
              <w:t>syndrome in accordance with the concept of Fox et al</w:t>
            </w:r>
          </w:p>
        </w:tc>
        <w:tc>
          <w:tcPr>
            <w:tcW w:w="1109"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(PBC) met the following criteria: positivity for anti-mitochondrial antibodies</w:t>
            </w:r>
          </w:p>
          <w:p w:rsidR="002402D3" w:rsidRPr="00AA229D" w:rsidRDefault="002402D3" w:rsidP="002402D3">
            <w:pPr>
              <w:rPr>
                <w:rFonts w:eastAsia="Calibri"/>
                <w:sz w:val="12"/>
                <w:szCs w:val="12"/>
              </w:rPr>
            </w:pPr>
            <w:r w:rsidRPr="00AA229D">
              <w:rPr>
                <w:rFonts w:eastAsia="Calibri"/>
                <w:sz w:val="12"/>
                <w:szCs w:val="12"/>
              </w:rPr>
              <w:t>(AMA) detected at titers of , elevated cholestatic enzymes, and histological</w:t>
            </w:r>
          </w:p>
          <w:p w:rsidR="002402D3" w:rsidRPr="00AA229D" w:rsidRDefault="002402D3" w:rsidP="002402D3">
            <w:pPr>
              <w:rPr>
                <w:rFonts w:eastAsia="Calibri"/>
                <w:sz w:val="12"/>
                <w:szCs w:val="12"/>
              </w:rPr>
            </w:pPr>
            <w:r w:rsidRPr="00AA229D">
              <w:rPr>
                <w:rFonts w:eastAsia="Calibri"/>
                <w:sz w:val="12"/>
                <w:szCs w:val="12"/>
              </w:rPr>
              <w:t>lesions suggestive of PBC (35). The diagnosis of primary sclerosing cholangitis</w:t>
            </w:r>
          </w:p>
          <w:p w:rsidR="002402D3" w:rsidRPr="00AA229D" w:rsidRDefault="002402D3" w:rsidP="002402D3">
            <w:pPr>
              <w:rPr>
                <w:rFonts w:eastAsia="Calibri"/>
                <w:sz w:val="12"/>
                <w:szCs w:val="12"/>
              </w:rPr>
            </w:pPr>
            <w:r w:rsidRPr="00AA229D">
              <w:rPr>
                <w:rFonts w:eastAsia="Calibri"/>
                <w:sz w:val="12"/>
                <w:szCs w:val="12"/>
              </w:rPr>
              <w:t>(PSC) was based on biochemical and/or clinical signs of cholestasis, compatible</w:t>
            </w:r>
          </w:p>
          <w:p w:rsidR="002402D3" w:rsidRPr="00AA229D" w:rsidRDefault="002402D3" w:rsidP="002402D3">
            <w:pPr>
              <w:rPr>
                <w:rFonts w:eastAsia="Calibri"/>
                <w:sz w:val="12"/>
                <w:szCs w:val="12"/>
              </w:rPr>
            </w:pPr>
            <w:r w:rsidRPr="00AA229D">
              <w:rPr>
                <w:rFonts w:eastAsia="Calibri"/>
                <w:sz w:val="12"/>
                <w:szCs w:val="12"/>
              </w:rPr>
              <w:t>liver histology, and typical findings on endoscopic retrograde cholangio-pancreatography or magnetic resonance cholangiography (35). Patients with overlapping syndromes fulfilled the criteria for the diagnosis of AIH, as well as those for</w:t>
            </w:r>
          </w:p>
          <w:p w:rsidR="002402D3" w:rsidRPr="00AA229D" w:rsidRDefault="002402D3" w:rsidP="002402D3">
            <w:pPr>
              <w:rPr>
                <w:rFonts w:eastAsia="Calibri"/>
                <w:sz w:val="12"/>
                <w:szCs w:val="12"/>
              </w:rPr>
            </w:pPr>
            <w:r w:rsidRPr="00AA229D">
              <w:rPr>
                <w:rFonts w:eastAsia="Calibri"/>
                <w:sz w:val="12"/>
                <w:szCs w:val="12"/>
              </w:rPr>
              <w:t>the diagnosis of either PBC or PSC (2, 35). The diagnosis of nonalcoholic fatty</w:t>
            </w:r>
          </w:p>
          <w:p w:rsidR="002402D3" w:rsidRPr="00AA229D" w:rsidRDefault="002402D3" w:rsidP="002402D3">
            <w:pPr>
              <w:rPr>
                <w:rFonts w:eastAsia="Calibri"/>
                <w:sz w:val="12"/>
                <w:szCs w:val="12"/>
              </w:rPr>
            </w:pPr>
            <w:r w:rsidRPr="00AA229D">
              <w:rPr>
                <w:rFonts w:eastAsia="Calibri"/>
                <w:sz w:val="12"/>
                <w:szCs w:val="12"/>
              </w:rPr>
              <w:t>liver disease was based on the presence of metabolic syndrome and exclusion of</w:t>
            </w:r>
          </w:p>
          <w:p w:rsidR="002402D3" w:rsidRPr="00AA229D" w:rsidRDefault="002402D3" w:rsidP="002402D3">
            <w:pPr>
              <w:rPr>
                <w:rFonts w:eastAsia="Calibri"/>
                <w:sz w:val="12"/>
                <w:szCs w:val="12"/>
              </w:rPr>
            </w:pPr>
            <w:r w:rsidRPr="00AA229D">
              <w:rPr>
                <w:rFonts w:eastAsia="Calibri"/>
                <w:sz w:val="12"/>
                <w:szCs w:val="12"/>
              </w:rPr>
              <w:t>other causes of chronic liver disease, including alcohol abuse, and compatible</w:t>
            </w:r>
          </w:p>
          <w:p w:rsidR="002402D3" w:rsidRPr="00AA229D" w:rsidRDefault="002402D3" w:rsidP="002402D3">
            <w:pPr>
              <w:rPr>
                <w:rFonts w:eastAsia="Calibri"/>
                <w:sz w:val="12"/>
                <w:szCs w:val="12"/>
              </w:rPr>
            </w:pPr>
            <w:r w:rsidRPr="00AA229D">
              <w:rPr>
                <w:rFonts w:eastAsia="Calibri"/>
                <w:sz w:val="12"/>
                <w:szCs w:val="12"/>
              </w:rPr>
              <w:t>liver histology (32), while alcoholic liver disease was diagnosed on the grounds of</w:t>
            </w:r>
          </w:p>
          <w:p w:rsidR="002402D3" w:rsidRPr="00AA229D" w:rsidRDefault="002402D3" w:rsidP="002402D3">
            <w:pPr>
              <w:rPr>
                <w:rFonts w:eastAsia="Calibri"/>
                <w:sz w:val="12"/>
                <w:szCs w:val="12"/>
              </w:rPr>
            </w:pPr>
            <w:r w:rsidRPr="00AA229D">
              <w:rPr>
                <w:rFonts w:eastAsia="Calibri"/>
                <w:sz w:val="12"/>
                <w:szCs w:val="12"/>
              </w:rPr>
              <w:t>a history of increased alcohol consumption; viral markers</w:t>
            </w:r>
          </w:p>
        </w:tc>
        <w:tc>
          <w:tcPr>
            <w:tcW w:w="1135"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Not given </w:t>
            </w:r>
          </w:p>
        </w:tc>
        <w:tc>
          <w:tcPr>
            <w:tcW w:w="1406"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Alcohol intake, use of drugs,</w:t>
            </w:r>
          </w:p>
          <w:p w:rsidR="002402D3" w:rsidRPr="00AA229D" w:rsidRDefault="002402D3" w:rsidP="002402D3">
            <w:pPr>
              <w:rPr>
                <w:rFonts w:eastAsia="Calibri"/>
                <w:sz w:val="12"/>
                <w:szCs w:val="12"/>
              </w:rPr>
            </w:pPr>
            <w:r w:rsidRPr="00AA229D">
              <w:rPr>
                <w:rFonts w:eastAsia="Calibri"/>
                <w:sz w:val="12"/>
                <w:szCs w:val="12"/>
              </w:rPr>
              <w:t>and exposure to potential hepatic toxins were</w:t>
            </w:r>
          </w:p>
          <w:p w:rsidR="002402D3" w:rsidRPr="00AA229D" w:rsidRDefault="002402D3" w:rsidP="002402D3">
            <w:pPr>
              <w:rPr>
                <w:rFonts w:eastAsia="Calibri"/>
                <w:sz w:val="12"/>
                <w:szCs w:val="12"/>
              </w:rPr>
            </w:pPr>
            <w:r w:rsidRPr="00AA229D">
              <w:rPr>
                <w:rFonts w:eastAsia="Calibri"/>
                <w:sz w:val="12"/>
                <w:szCs w:val="12"/>
              </w:rPr>
              <w:t>investigated. Laboratory investigations included routine liver and kidney function tests.</w:t>
            </w:r>
          </w:p>
          <w:p w:rsidR="002402D3" w:rsidRPr="00AA229D" w:rsidRDefault="002402D3" w:rsidP="002402D3">
            <w:pPr>
              <w:rPr>
                <w:rFonts w:eastAsia="Calibri"/>
                <w:sz w:val="12"/>
                <w:szCs w:val="12"/>
              </w:rPr>
            </w:pPr>
            <w:r w:rsidRPr="00AA229D">
              <w:rPr>
                <w:rFonts w:eastAsia="Calibri"/>
                <w:sz w:val="12"/>
                <w:szCs w:val="12"/>
              </w:rPr>
              <w:t xml:space="preserve">Immunoglobulin levels were </w:t>
            </w:r>
          </w:p>
          <w:p w:rsidR="002402D3" w:rsidRPr="00AA229D" w:rsidRDefault="002402D3" w:rsidP="002402D3">
            <w:pPr>
              <w:rPr>
                <w:rFonts w:eastAsia="Calibri"/>
                <w:sz w:val="12"/>
                <w:szCs w:val="12"/>
              </w:rPr>
            </w:pPr>
            <w:r w:rsidRPr="00AA229D">
              <w:rPr>
                <w:rFonts w:eastAsia="Calibri"/>
                <w:sz w:val="12"/>
                <w:szCs w:val="12"/>
              </w:rPr>
              <w:t>underwent serological screening for viral</w:t>
            </w:r>
          </w:p>
          <w:p w:rsidR="002402D3" w:rsidRPr="00AA229D" w:rsidRDefault="002402D3" w:rsidP="002402D3">
            <w:pPr>
              <w:rPr>
                <w:rFonts w:eastAsia="Calibri"/>
                <w:sz w:val="12"/>
                <w:szCs w:val="12"/>
              </w:rPr>
            </w:pPr>
            <w:r w:rsidRPr="00AA229D">
              <w:rPr>
                <w:rFonts w:eastAsia="Calibri"/>
                <w:sz w:val="12"/>
                <w:szCs w:val="12"/>
              </w:rPr>
              <w:t xml:space="preserve">hepatitis B and C (HCV); anti-HCV immune reactivity </w:t>
            </w:r>
          </w:p>
          <w:p w:rsidR="002402D3" w:rsidRPr="00AA229D" w:rsidRDefault="002402D3" w:rsidP="002402D3">
            <w:pPr>
              <w:rPr>
                <w:rFonts w:eastAsia="Calibri"/>
                <w:sz w:val="12"/>
                <w:szCs w:val="12"/>
              </w:rPr>
            </w:pPr>
            <w:r w:rsidRPr="00AA229D">
              <w:rPr>
                <w:rFonts w:eastAsia="Calibri"/>
                <w:sz w:val="12"/>
                <w:szCs w:val="12"/>
              </w:rPr>
              <w:t>Sera were also tested for</w:t>
            </w:r>
          </w:p>
          <w:p w:rsidR="002402D3" w:rsidRPr="00AA229D" w:rsidRDefault="002402D3" w:rsidP="002402D3">
            <w:pPr>
              <w:rPr>
                <w:rFonts w:eastAsia="Calibri"/>
                <w:sz w:val="12"/>
                <w:szCs w:val="12"/>
              </w:rPr>
            </w:pPr>
            <w:r w:rsidRPr="00AA229D">
              <w:rPr>
                <w:rFonts w:eastAsia="Calibri"/>
                <w:sz w:val="12"/>
                <w:szCs w:val="12"/>
              </w:rPr>
              <w:t>hepatitis B surface antigen using a commercial</w:t>
            </w:r>
          </w:p>
          <w:p w:rsidR="002402D3" w:rsidRPr="00AA229D" w:rsidRDefault="002402D3" w:rsidP="002402D3">
            <w:pPr>
              <w:rPr>
                <w:rFonts w:eastAsia="Calibri"/>
                <w:sz w:val="12"/>
                <w:szCs w:val="12"/>
              </w:rPr>
            </w:pPr>
            <w:r w:rsidRPr="00AA229D">
              <w:rPr>
                <w:rFonts w:eastAsia="Calibri"/>
                <w:sz w:val="12"/>
                <w:szCs w:val="12"/>
              </w:rPr>
              <w:t xml:space="preserve">ELISA. </w:t>
            </w:r>
          </w:p>
          <w:p w:rsidR="002402D3" w:rsidRPr="00AA229D" w:rsidRDefault="002402D3" w:rsidP="002402D3">
            <w:pPr>
              <w:rPr>
                <w:rFonts w:eastAsia="Calibri"/>
                <w:sz w:val="12"/>
                <w:szCs w:val="12"/>
              </w:rPr>
            </w:pPr>
            <w:r w:rsidRPr="00AA229D">
              <w:rPr>
                <w:rFonts w:eastAsia="Calibri"/>
                <w:sz w:val="12"/>
                <w:szCs w:val="12"/>
              </w:rPr>
              <w:t>ANA  antimitochondrial (AMA),</w:t>
            </w:r>
          </w:p>
          <w:p w:rsidR="002402D3" w:rsidRPr="00AA229D" w:rsidRDefault="002402D3" w:rsidP="002402D3">
            <w:pPr>
              <w:rPr>
                <w:rFonts w:eastAsia="Calibri"/>
                <w:sz w:val="12"/>
                <w:szCs w:val="12"/>
              </w:rPr>
            </w:pPr>
            <w:r w:rsidRPr="00AA229D">
              <w:rPr>
                <w:rFonts w:eastAsia="Calibri"/>
                <w:sz w:val="12"/>
                <w:szCs w:val="12"/>
              </w:rPr>
              <w:t>antismooth muscle (ASMA), microsomal (anti-LKM) antibodies was</w:t>
            </w:r>
          </w:p>
          <w:p w:rsidR="002402D3" w:rsidRPr="00AA229D" w:rsidRDefault="002402D3" w:rsidP="002402D3">
            <w:pPr>
              <w:rPr>
                <w:rFonts w:eastAsia="Calibri"/>
                <w:sz w:val="12"/>
                <w:szCs w:val="12"/>
              </w:rPr>
            </w:pPr>
            <w:r w:rsidRPr="00AA229D">
              <w:rPr>
                <w:rFonts w:eastAsia="Calibri"/>
                <w:sz w:val="12"/>
                <w:szCs w:val="12"/>
              </w:rPr>
              <w:t>also evaluated by indirect immunofluorescence</w:t>
            </w:r>
          </w:p>
          <w:p w:rsidR="002402D3" w:rsidRPr="00AA229D" w:rsidRDefault="002402D3" w:rsidP="002402D3">
            <w:pPr>
              <w:rPr>
                <w:rFonts w:eastAsia="Calibri"/>
                <w:sz w:val="12"/>
                <w:szCs w:val="12"/>
              </w:rPr>
            </w:pPr>
          </w:p>
        </w:tc>
      </w:tr>
      <w:tr w:rsidR="002402D3" w:rsidRPr="00AA229D" w:rsidTr="002402D3">
        <w:trPr>
          <w:trHeight w:val="288"/>
        </w:trPr>
        <w:tc>
          <w:tcPr>
            <w:tcW w:w="1122"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Reference</w:t>
            </w:r>
          </w:p>
        </w:tc>
        <w:tc>
          <w:tcPr>
            <w:tcW w:w="1143"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{"citationID":"2SUapl9X","properties":{"formattedCitation":"\\super 9\\nosupersub{}","plainCitation":"9","noteIndex":0},"citationItems":[{"id":25450,"uris":["http://zotero.org/users/2145280/items/PI7LFSPK"],"itemData":{"id":25450,"type":"article-journal","abstract":"Introduction: Celiac disease (CD) has been linked to portal hypertension (PHT) of varied etiology, but the causality association has never been proved. We aim to study the prevalence of CD in patients of PHT of different etiology.\nMethods: A prospective observational study was conducted from June 2017 to December 2018 involving all the cases of PHT of varied etiology. Consecutive patients of PHT with chronic liver disease (CLD) of defined etiology like ethanol, viral hepatitis (B or C), Budd-Chiari syndrome (BCS), autoimmune-related cirrhosis, and cryptogenic CLD (cCLD) (group A) and those with noncirrhotic PHT (NCPHT), which included noncirrhotic portal fibrosis (NCPF) and extrahepatic portal vein obstruction (EHPVO) (group B), were screened for CD by IgA anti-tTG antibody followed by duodenal biopsy in serology-positive patients.\nResults: Out of a total of 464 patients, group A constituted 382 patients, CLD related to ethanol (155), cCLD (147), hepatitis B (42), hepatitis C (21), autoimmune (10), and BCS (7), whereas 82 patients were in group B with NCPF (64) and EHPVO (18). Total 29 patients were diagnosed with CD in both groups, 17 in group A (4.5%) and 12 in group B (14.6%). In group A, 13 patients with cCLD, two with HBV-related CLD, one with BCS, and one with autoimmune-related CLD were concomitantly diagnosed as CD. In group B, CD was diagnosed in 12 patients of NCPF (11) and EHPVO (1). Liver histology showed chronic hepatitis in two patients and was normal in three patients.\nConclusion: CD is common in PHT of different etiology, especially in cCLD, NCPH and autoimmune hepatitis; however, the etiological basis for this association is still to be defined. The likelihood of CD is higher in liver disease than the general population, and these patients should be screened for CD.","container-title":"Journal of Clinical and Experimental Hepatology","DOI":"10.1016/j.jceh.2019.11.005","ISSN":"0973-6883","issue":"4","journalAbbreviation":"J Clin Exp Hepatol","language":"eng","note":"PMID: 32655231\nPMCID: PMC7335706","page":"290-295","source":"PubMed","title":"Celiac Disease and Portal Hypertension: A Causal Association or Just a Coincidence?","title-short":"Celiac Disease and Portal Hypertension","volume":"10","author":[{"family":"Tanwar","given":"Amit"},{"family":"Gupta","given":"Gaurav K."},{"family":"Chauhan","given":"Virender"},{"family":"Sharma","given":"Deepak"},{"family":"Jain","given":"Mukesh K."},{"family":"Bhardwaj","given":"Hemendra"},{"family":"Jhajharia","given":"Ashok"},{"family":"Nijhawan","given":"Sandeep"}],"issued":{"date-parts":[["2020",8]]}}}],"schema":"https://github.com/citation-style-language/schema/raw/master/csl-citation.json"}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9</w:t>
            </w:r>
            <w:r w:rsidRPr="00AA229D">
              <w:rPr>
                <w:rFonts w:eastAsia="Calibri"/>
                <w:sz w:val="12"/>
                <w:szCs w:val="12"/>
                <w:u w:val="single"/>
              </w:rPr>
              <w:fldChar w:fldCharType="end"/>
            </w:r>
          </w:p>
        </w:tc>
        <w:tc>
          <w:tcPr>
            <w:tcW w:w="1282"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{"citationID":"uHWlB3lU","properties":{"formattedCitation":"\\super 3\\nosupersub{}","plainCitation":"3","noteIndex":0},"citationItems":[{"id":21668,"uris":["http://zotero.org/users/2145280/items/SEFSQLPD"],"itemData":{"id":21668,"type":"article-journal","abstract":"BACKGROUND AND AIM: Celiac disease is a multi-systemic disease, which can affect any organ system including liver. However, the prevalence of celiac disease and the sensitivity and specificity of anti-tissue transglutaminase (anti-tTG) in diagnosing celiac disease in patients with cirrhosis of liver is not well established. METHODS: We screened a cohort of patients with chronic liver disease for an associated diagnosis of celiac disease. Anti-tTG was carried out in all patients, and those with a high value were subjected to duodenal biopsy for histological confirmation. In patients where biopsy was contraindicated or refused, anti-endomysial antibody (anti-EMA) was tested. RESULTS: Of a total of 595 patients with chronic liver disease, high levels of anti-tTG were noted in 150 (25.2%) patients, and celiac disease was diagnosed in 14 patients (2.4%). Celiac autoimmunity (high levels of both anti-tTG and anti-EMA) was noted in seven patients (1.2%). CONCLUSIONS: Although a large number of cirrhotic patients have high levels of anti-tTG, duodenal histology and/or anti-EMA is normal in majority of these patients. This suggests high false positivity of anti-tTG in patients with cirrhosis and highlights the need of duodenal biopsy for histological confirmation of the diagnosis of celiac disease.","container-title":"Journal of Gastroenterology and Hepatology","issue":"2","language":"eng","page":"446–450","title":"Prevalence and clinical significance of IgA anti-tissue transglutaminase antibodies in patients with chronic liver disease","volume":"32","author":[{"family":"Sood","given":"Ajit"},{"family":"Khurana","given":"Manbir Singh"},{"family":"Mahajan","given":"Ramit"},{"family":"Midha","given":"Vandana"},{"family":"Puri","given":"Sandeep"},{"family":"Kaur","given":"Amandeep"},{"family":"Gupta","given":"Nishit"},{"family":"Sharma","given":"Suresh"}],"issued":{"date-parts":[["2017"]]}}}],"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3</w:t>
            </w:r>
            <w:r w:rsidRPr="00AA229D">
              <w:rPr>
                <w:rFonts w:eastAsia="Calibri"/>
                <w:sz w:val="12"/>
                <w:szCs w:val="12"/>
                <w:u w:val="single"/>
              </w:rPr>
              <w:fldChar w:fldCharType="end"/>
            </w:r>
          </w:p>
        </w:tc>
        <w:tc>
          <w:tcPr>
            <w:tcW w:w="1135"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{"citationID":"749TXM0f","properties":{"formattedCitation":"\\super 5\\nosupersub{}","plainCitation":"5","noteIndex":0},"citationItems":[{"id":268,"uris":["http://zotero.org/users/2145280/items/AG3CEMKQ"],"itemData":{"id":268,"type":"article-journal","abstract":"BACKGROUND &amp; AIMS: Current consensus suggests CD to be a multi-systemic disease that could affect any organ system including the liver. It remains under-diagnosed in the US and its prevalence and management in cirrhotic patients has not been studied. Our aim was (1) to estimate the prevalence of CD in cirrhosis, (2) to characterize cirrhotic patients with abnormal celiac serology and normal small bowel biopsy and (3) to evaluate the effect of a GFD on the liver.     METHODS: A total of 204 consecutive patients with biopsy proven cirrhosis scheduled for an upper endoscopy (EGD) to assess and treat gastro-esophageal varices (GEV) at the Cleveland Clinic between 5/1/2008 and 5/30/2010 were enrolled in the study and followed for 2 years.     RESULTS: CD affects 2.5% of cirrhotic patients and more than twice the prevalence in the general population. Abnormal EMA &gt;1/10 and high hTTG levels &gt;20 IU can be used to diagnose CD in cirrhosis. Sensitivities and specificities are 100% for EMA and 80% and 94% for hTTG, respectively. After a GFD, patients with CD showed a return to normal levels of their celiac serology, small bowel biopsy and liver enzyme abnormalities.     CONCLUSIONS: CD is at least twice more common in cirrhotic patients than in the general population and GFD improves liver tests. CD can occur coincidentally with other liver disorders and screening may be warranted during the evaluation of patients with cirrhosis. Abnormal EMA and high hTTG levels can be used to diagnose CD in cirrhosis.","container-title":"Journal of Hepatology","ISSN":"0168-8278","issue":"3","journalAbbreviation":"J.Hepatol.","language":"eng","page":"558-563","title":"Prevalence of celiac disease in cirrhosis and outcome of cirrhosis on a gluten free diet: a prospective study","volume":"61","author":[{"family":"Wakim-Fleming","given":"Jamile"},{"family":"Pagadala","given":"Mangesh R."},{"family":"McCullough","given":"Arthur J."},{"family":"Lopez","given":"Rocio"},{"family":"Bennett","given":"Ana E."},{"family":"Barnes","given":"David S."},{"family":"Carey","given":"William D."}],"issued":{"date-parts":[["2014"]]}}}],"schema":"https://github.com/citation-style-language/schema/raw/master/csl-citation.json"}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5</w:t>
            </w:r>
            <w:r w:rsidRPr="00AA229D">
              <w:rPr>
                <w:rFonts w:eastAsia="Calibri"/>
                <w:sz w:val="12"/>
                <w:szCs w:val="12"/>
                <w:u w:val="single"/>
              </w:rPr>
              <w:fldChar w:fldCharType="end"/>
            </w:r>
          </w:p>
        </w:tc>
        <w:tc>
          <w:tcPr>
            <w:tcW w:w="1208"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{"citationID":"PTfxTCPD","properties":{"formattedCitation":"\\super 6\\nosupersub{}","plainCitation":"6","noteIndex":0},"citationItems":[{"id":2531,"uris":["http://zotero.org/users/2145280/items/E5RQLNYM"],"itemData":{"id":2531,"type":"article-journal","container-title":"World Journal of Gastroenterology","DOI":"10.3748/wjg.v18.i43.6255","ISSN":"1007-9327","issue":"43","language":"en","page":"6255","source":"Crossref","title":"Celiac disease markers in patients with liver diseases: A single center large scale screening study","title-short":"Celiac disease markers in patients with liver diseases","volume":"18","author":[{"family":"Drastich","given":"Pavel"}],"issued":{"date-parts":[["2012"]]}}}],"schema":"https://github.com/citation-style-language/schema/raw/master/csl-citation.json"} </w:instrText>
            </w:r>
            <w:r w:rsidRPr="00AA229D">
              <w:rPr>
                <w:rFonts w:eastAsia="Calibri"/>
                <w:sz w:val="12"/>
                <w:szCs w:val="12"/>
                <w:u w:val="single"/>
              </w:rPr>
              <w:fldChar w:fldCharType="separate"/>
            </w:r>
            <w:r w:rsidR="008F29D2" w:rsidRPr="008F29D2">
              <w:rPr>
                <w:sz w:val="12"/>
                <w:szCs w:val="24"/>
                <w:vertAlign w:val="superscript"/>
              </w:rPr>
              <w:t>6</w:t>
            </w:r>
            <w:r w:rsidRPr="00AA229D">
              <w:rPr>
                <w:rFonts w:eastAsia="Calibri"/>
                <w:sz w:val="12"/>
                <w:szCs w:val="12"/>
                <w:u w:val="single"/>
              </w:rPr>
              <w:fldChar w:fldCharType="end"/>
            </w:r>
          </w:p>
        </w:tc>
        <w:tc>
          <w:tcPr>
            <w:tcW w:w="1109"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{"citationID":"zlFXsPdS","properties":{"formattedCitation":"\\super 10\\nosupersub{}","plainCitation":"10","noteIndex":0},"citationItems":[{"id":259,"uris":["http://zotero.org/users/2145280/items/8WRNBV2A"],"itemData":{"id":259,"type":"article-journal","abstract":"The prevalence of celiac disease (CD) and the prevalence and clinical significance of anti-tissue transglutaminase (tTG) antibodies (tTGAbs) in a large series of patients with chronic liver diseases were assessed. We studied 738 patients (462 with chronic viral hepatitis, 117 with autoimmune liver diseases, 113 with alcoholic or nonalcoholic fatty liver disease, and 46 with other liver disorders) and 1,350 healthy controls (HC). Immunoglobulin A (IgA) tTGAbs were measured by enzyme-linked immunosorbent assay and a microsphere-based flow cytometric assay. Positive sera were investigated for IgA antiendomysial antibodies (EmA). IgA tTGAb-positive subjects were invited to undergo a small-intestinal biopsy and HLA-DQ allele typing. Four of 1,350 HC (0.3%) tested tTGAb(+) EmA(+) and underwent a biopsy (CD confirmation in all). Four of 738 liver disease patients tested tTGAbs(+) EmA(+) (0.54%; not statistically significant). Two were HCV infected (1.24%; not statistically significant), and two had transaminasemia of unknown origin. Forty-three patients tested tTGAbs(+) EmA(-) (5.8%; P&lt;0.001 compared to HC). Inhibition experiments verified the existence of specific IgA anti-tTG reactivity. Twenty-six of 43 patients underwent a biopsy (all negative for CD). Binary logistic regression analysis revealed age (P=0.008), cirrhosis (P=0.004), alkaline phosphatase (P=0.026), and antinuclear antibodies (P=0.012) as independent risk factors for tTGAb reactivity among the patients. It was concluded that CD prevalence is the same in HC and patients with chronic liver diseases. The prevalence of tTGAbs is higher in hepatic patients compared to HC, but their specificity for CD diagnosis in this group of patients is low. tTGAbs in patients appear to be associated with the presence of autoimmunity, cirrhosis, and cholestasis, irrespective of the origin of the liver disease.","container-title":"Clinical and Diagnostic Laboratory Immunology","ISSN":"1071-412X","issue":"8","language":"eng","page":"941-948","title":"Prevalence and clinical significance of immunoglobulin A antibodies against tissue transglutaminase in patients with diverse chronic liver diseases","volume":"12","author":[{"family":"Germenis","given":"Anastasios E."},{"family":"Yiannaki","given":"Efthalia E."},{"family":"Zachou","given":"Kalliopi"},{"family":"Roka","given":"Violeta"},{"family":"Barbanis","given":"Sotirios"},{"family":"Liaskos","given":"Christos"},{"family":"Adam","given":"Kalliopi"},{"family":"Kapsoritakis","given":"Andreas N."},{"family":"Potamianos","given":"Spyros"},{"family":"Dalekos","given":"Georgios N."}],"issued":{"date-parts":[["2005"]]}}}],"schema":"https://github.com/citation-style-language/schema/raw/master/csl-citation.json"} </w:instrText>
            </w:r>
            <w:r w:rsidRPr="00AA229D">
              <w:rPr>
                <w:rFonts w:eastAsia="Calibri"/>
                <w:sz w:val="12"/>
                <w:szCs w:val="12"/>
                <w:u w:val="single"/>
              </w:rPr>
              <w:fldChar w:fldCharType="separate"/>
            </w:r>
            <w:r w:rsidR="002402D3" w:rsidRPr="00AA229D">
              <w:rPr>
                <w:sz w:val="12"/>
                <w:szCs w:val="24"/>
                <w:vertAlign w:val="superscript"/>
              </w:rPr>
              <w:t>10</w:t>
            </w:r>
            <w:r w:rsidRPr="00AA229D">
              <w:rPr>
                <w:rFonts w:eastAsia="Calibri"/>
                <w:sz w:val="12"/>
                <w:szCs w:val="12"/>
                <w:u w:val="single"/>
              </w:rPr>
              <w:fldChar w:fldCharType="end"/>
            </w:r>
          </w:p>
        </w:tc>
        <w:tc>
          <w:tcPr>
            <w:tcW w:w="1135"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{"citationID":"qGxLjGN2","properties":{"formattedCitation":"\\super 11\\nosupersub{}","plainCitation":"11","noteIndex":0},"citationItems":[{"id":569,"uris":["http://zotero.org/users/2145280/items/3EHTTAAJ"],"itemData":{"id":569,"type":"article-journal","abstract":"BACKGROUND: Since the recognition of tissue transglutaminase (tTG) as the target antigen of anti-endomysium antibodies, several ELISA assays using either guinea pig or human recombinant tTG have been developed. The aim of the study was to compare the behaviour of anti-tTG and anti-endomysium antibodies assays in coeliacs and in patients with chronic liver disease.\nMETHODS: 34 patients (24 women, 34.9 +/- 12.5 years) with coeliac disease and 41 with chronic liver disease (14 women, 57 +/- 11.2 years), including 19 cirrhotics, were evaluated for anti-endomysium antibodies by indirect immunofluorescence and for anti-tTG IgA antibodies by ELISA, using guinea pig liver or human recombinant transglutaminase.\nRESULTS: The prevalences of anti-tTG and anti-endomysium antibodies were 100% in patients with coeliac disease at diagnosis, 75% and 64.3% in patients on a gluten-free diet. All liver disease patients were negative for anti-endomysium antibodies, while 11 (26.8%) were positive for anti-tTG. All these patients had liver cirrhosis and represented 57.9% of all cirrhotics. The presence of anti-tTG was associated with higher Child-Pugh scores. The use of human transglutaminase determined a reduction in the rate of positive results; however, the rate of positive anti-tTG was still 17.1% in all liver disease patients and 31.6% in cirrhotics.\nCONCLUSIONS: Our data confirm that anti-tTG have a similar sensitivity compared with anti-endomysium antibodies assay in coeliacs. However, a high prevalence of positive anti-tTG results is observed in cirrhotic patients, even when human recombinant tTG is used. The high prevalence of positive results among cirrhotic patients is associated with more advanced liver disease.","container-title":"Scandinavian Journal of Gastroenterology","ISSN":"0036-5521","issue":"1","journalAbbreviation":"Scand. J. Gastroenterol.","language":"eng","page":"50-54","source":"PubMed","title":"High rate of positive anti-tissue transglutaminase antibodies in chronic liver disease. Role of liver decompensation and of the antigen source","volume":"38","author":[{"family":"Vecchi","given":"M."},{"family":"Folli","given":"C."},{"family":"Donato","given":"M. F."},{"family":"Formenti","given":"S."},{"family":"Arosio","given":"E."},{"family":"Franchis","given":"R.","non-dropping-particle":"de"}],"issued":{"date-parts":[["2003",1]]}}}],"schema":"https://github.com/citation-style-language/schema/raw/master/csl-citation.json"} </w:instrText>
            </w:r>
            <w:r w:rsidRPr="00AA229D">
              <w:rPr>
                <w:rFonts w:eastAsia="Calibri"/>
                <w:sz w:val="12"/>
                <w:szCs w:val="12"/>
                <w:u w:val="single"/>
              </w:rPr>
              <w:fldChar w:fldCharType="separate"/>
            </w:r>
            <w:r w:rsidR="002402D3" w:rsidRPr="00AA229D">
              <w:rPr>
                <w:sz w:val="12"/>
                <w:szCs w:val="24"/>
                <w:vertAlign w:val="superscript"/>
              </w:rPr>
              <w:t>11</w:t>
            </w:r>
            <w:r w:rsidRPr="00AA229D">
              <w:rPr>
                <w:rFonts w:eastAsia="Calibri"/>
                <w:sz w:val="12"/>
                <w:szCs w:val="12"/>
                <w:u w:val="single"/>
              </w:rPr>
              <w:fldChar w:fldCharType="end"/>
            </w:r>
          </w:p>
        </w:tc>
        <w:tc>
          <w:tcPr>
            <w:tcW w:w="1406"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{"citationID":"1B20xSCJ","properties":{"formattedCitation":"\\super 12\\nosupersub{}","plainCitation":"12","noteIndex":0},"citationItems":[{"id":930,"uris":["http://zotero.org/users/2145280/items/SM6D8NXM"],"itemData":{"id":930,"type":"article-journal","abstract":"BACKGROUND It has been suggested that serological screening for coeliac disease (CD) should be performed in patients with chronic unexplained hypertransaminasaemia.\nAIMS To evaluate the specificity for CD diagnosis of serum IgA antitissue transglutaminase (tTG) determination in consecutive patients with chronic hypertransaminasaemia using the most widely utilised ELISA based on tTG from guinea pig as the antigen.\nPATIENTS AND METHODS We studied 98 patients with chronic hypertransaminasaemia, evaluated for the first time in a hepatology clinic. Serum anti-tTG and antiendomysial (EmA) assays were performed. Patients positive for EmA and/or anti-tTG were proposed for intestinal biopsy. Finally, all sera were reassayed for anti-tTG using an ELISA based on human recombinant tTG as the antigen.\nRESULTS A total of 94/98 hypertransaminasaemic patients were positive for hepatitis virus markers, with 82/98 (83%) positive for anti-hepatitis C virus. Liver histology showed that most patients had mild or moderate chronic hepatitis while severe fibrosis or overt liver cirrhosis was found in 20/98. CD screening showed that 15/98 (16%) hypertransaminasaemic subjects had anti-tTG values in the same range as CD patients; however, IgA EmA were positive in only 2/98 (2%). Distal duodenal biopsy, performed in nine patients, showed subtotal villous atrophy in the two EmA+/anti-tTG+ patients but was normal in 7/7 EmA−/anti-tTG+ subjects. The presence of anti-tTG+ values in EmA− patients was unrelated to particular gastrointestinal symptoms, other associated diseases, severity of liver histology, or distribution of viral hepatitis markers. There was a significantly higher frequency of positive serum autoantibodies (antinuclear, antimitochondrial, antismooth muscle, and anti-liver-kidney microsomal antibodies) in anti-tTG+/EmA− patients than in the other subjects (9/13v 10/83; p&lt;0.003). Also, a correlation was found between serum gamma globulin and anti-tTG values (p&lt;0.01). When sera were tested with the ELISA based on human tTG as the antigen, no false positive results were observed: only the two EmA+ patients with atrophy of the intestinal mucosa were positive for anti-tTG while all others were negative, including those false positive in the ELISA based on guinea pig tTG as the antigen.\nCONCLUSIONS In patients with elevated transaminases and chronic liver disease there was a high frequency of false positive anti-tTG results using the ELISA based on tTG from guinea pig as the antigen. Indeed, the presence of anti-tTG did not correlate with the presence of EmA or CD. These false positives depend on the presence of hepatic proteins in the commercial tTG obtained from guinea pig liver and disappear when human tTG is used as the antigen in the ELISA system. We suggest that the commonly used tTG ELISA based on guinea pig antigen should not be used as a screening tool for CD in patients with chronic liver disease.","container-title":"Gut","DOI":"10.1136/gut.49.4.506","ISSN":"0017-5749, 1468-3288","issue":"4","language":"en","page":"506-511","source":"gut.bmj.com","title":"Guinea pig transglutaminase immunolinked assay does not predict coeliac disease in patients with chronic liver disease","volume":"49","author":[{"family":"Carroccio","given":"A."},{"family":"Giannitrapani","given":"L."},{"family":"Soresi","given":"M."},{"family":"Not","given":"T."},{"family":"Iacono","given":"G."},{"family":"Rosa","given":"C. Di"},{"family":"Panfili","given":"E."},{"family":"Notarbartolo","given":"A."},{"family":"Montalto","given":"G."}],"issued":{"date-parts":[["2001",10,1]]}}}],"schema":"https://github.com/citation-style-language/schema/raw/master/csl-citation.json"} </w:instrText>
            </w:r>
            <w:r w:rsidRPr="00AA229D">
              <w:rPr>
                <w:rFonts w:eastAsia="Calibri"/>
                <w:sz w:val="12"/>
                <w:szCs w:val="12"/>
                <w:u w:val="single"/>
              </w:rPr>
              <w:fldChar w:fldCharType="separate"/>
            </w:r>
            <w:r w:rsidR="002402D3" w:rsidRPr="00AA229D">
              <w:rPr>
                <w:sz w:val="12"/>
                <w:szCs w:val="24"/>
                <w:vertAlign w:val="superscript"/>
              </w:rPr>
              <w:t>12</w:t>
            </w:r>
            <w:r w:rsidRPr="00AA229D">
              <w:rPr>
                <w:rFonts w:eastAsia="Calibri"/>
                <w:sz w:val="12"/>
                <w:szCs w:val="12"/>
                <w:u w:val="single"/>
              </w:rPr>
              <w:fldChar w:fldCharType="end"/>
            </w:r>
          </w:p>
        </w:tc>
      </w:tr>
    </w:tbl>
    <w:p w:rsidR="002402D3" w:rsidRPr="00AA229D" w:rsidRDefault="002402D3" w:rsidP="002402D3"/>
    <w:p w:rsidR="002402D3" w:rsidRPr="00AA229D" w:rsidRDefault="002402D3" w:rsidP="002402D3"/>
    <w:p w:rsidR="002402D3" w:rsidRPr="00AA229D" w:rsidRDefault="002402D3" w:rsidP="002402D3"/>
    <w:p w:rsidR="002402D3" w:rsidRPr="00AA229D" w:rsidRDefault="002402D3" w:rsidP="002402D3"/>
    <w:p w:rsidR="002402D3" w:rsidRPr="001C790C" w:rsidRDefault="00E67D54" w:rsidP="002402D3">
      <w:pPr>
        <w:rPr>
          <w:b/>
          <w:sz w:val="22"/>
          <w:szCs w:val="22"/>
        </w:rPr>
      </w:pPr>
      <w:r w:rsidRPr="001C790C">
        <w:rPr>
          <w:b/>
          <w:sz w:val="22"/>
          <w:szCs w:val="22"/>
        </w:rPr>
        <w:t xml:space="preserve">Supplementary </w:t>
      </w:r>
      <w:r w:rsidR="00C158C5">
        <w:rPr>
          <w:b/>
        </w:rPr>
        <w:t xml:space="preserve">Digital Content </w:t>
      </w:r>
      <w:r w:rsidRPr="001C790C">
        <w:rPr>
          <w:b/>
          <w:sz w:val="22"/>
          <w:szCs w:val="22"/>
        </w:rPr>
        <w:t xml:space="preserve"> 5</w:t>
      </w:r>
      <w:r w:rsidR="002402D3" w:rsidRPr="001C790C">
        <w:rPr>
          <w:b/>
          <w:sz w:val="22"/>
          <w:szCs w:val="22"/>
        </w:rPr>
        <w:t>: Characteristics of the studies included in the systematic review for cryptogenic hypertransaminasemia</w:t>
      </w:r>
    </w:p>
    <w:p w:rsidR="00135F0B" w:rsidRPr="00AA229D" w:rsidRDefault="00135F0B" w:rsidP="002402D3">
      <w:pPr>
        <w:rPr>
          <w:sz w:val="22"/>
          <w:szCs w:val="22"/>
        </w:rPr>
      </w:pPr>
    </w:p>
    <w:tbl>
      <w:tblPr>
        <w:tblW w:w="963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900"/>
        <w:gridCol w:w="810"/>
        <w:gridCol w:w="720"/>
        <w:gridCol w:w="810"/>
        <w:gridCol w:w="900"/>
        <w:gridCol w:w="720"/>
        <w:gridCol w:w="720"/>
        <w:gridCol w:w="810"/>
        <w:gridCol w:w="810"/>
        <w:gridCol w:w="810"/>
        <w:gridCol w:w="630"/>
      </w:tblGrid>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Author</w:t>
            </w:r>
          </w:p>
        </w:tc>
        <w:tc>
          <w:tcPr>
            <w:tcW w:w="900"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Ghozzi</w:t>
            </w:r>
          </w:p>
        </w:tc>
        <w:tc>
          <w:tcPr>
            <w:tcW w:w="810"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Emami</w:t>
            </w:r>
          </w:p>
        </w:tc>
        <w:tc>
          <w:tcPr>
            <w:tcW w:w="720"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Drastich</w:t>
            </w:r>
          </w:p>
        </w:tc>
        <w:tc>
          <w:tcPr>
            <w:tcW w:w="810"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Shahbazkhani</w:t>
            </w:r>
          </w:p>
        </w:tc>
        <w:tc>
          <w:tcPr>
            <w:tcW w:w="900"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Iacono</w:t>
            </w:r>
          </w:p>
        </w:tc>
        <w:tc>
          <w:tcPr>
            <w:tcW w:w="720"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Germenis</w:t>
            </w:r>
          </w:p>
        </w:tc>
        <w:tc>
          <w:tcPr>
            <w:tcW w:w="720"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Vivas</w:t>
            </w:r>
          </w:p>
        </w:tc>
        <w:tc>
          <w:tcPr>
            <w:tcW w:w="810"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Mugica</w:t>
            </w:r>
          </w:p>
        </w:tc>
        <w:tc>
          <w:tcPr>
            <w:tcW w:w="810"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Volta</w:t>
            </w:r>
          </w:p>
        </w:tc>
        <w:tc>
          <w:tcPr>
            <w:tcW w:w="810"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Soresi</w:t>
            </w:r>
          </w:p>
        </w:tc>
        <w:tc>
          <w:tcPr>
            <w:tcW w:w="630" w:type="dxa"/>
            <w:shd w:val="clear" w:color="auto" w:fill="auto"/>
            <w:noWrap/>
            <w:hideMark/>
          </w:tcPr>
          <w:p w:rsidR="002402D3" w:rsidRPr="00AA229D" w:rsidRDefault="002402D3" w:rsidP="002402D3">
            <w:pPr>
              <w:rPr>
                <w:rFonts w:eastAsia="Calibri"/>
                <w:sz w:val="12"/>
                <w:szCs w:val="12"/>
                <w:u w:val="single"/>
              </w:rPr>
            </w:pPr>
            <w:r w:rsidRPr="00AA229D">
              <w:rPr>
                <w:rFonts w:eastAsia="Calibri"/>
                <w:sz w:val="12"/>
                <w:szCs w:val="12"/>
                <w:u w:val="single"/>
              </w:rPr>
              <w:t>Bardella</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Published</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2017</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2011</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2012</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2010</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2005</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2005</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2003</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2001</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2001</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2001</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1999</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Design</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Retrospective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Prospective</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Period</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given</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2003-2008</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2009-2010</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given</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January 1997 - December 2003</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2000-2005</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June 2000 - September 2001</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May 1998 - December 2000.</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September 1995 - Dec 1999</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given</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January 1996 - March 1997</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Geographical region </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Tunisia, Africa</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Iran, Asia</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Czech Republic, Europe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Iran, Asia</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Italy, Europe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Greece, Europe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Spain, Europe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Spain, Europe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Italy, Europe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Italy, Europe</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Italy, Europe</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Setting </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Primary Care</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Tertiary Care</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Overall Population</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 56 patients with raised aminotransferases unrelated to viral/autoimmune/other liver insults (drug, alcoholic)</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224 patients, presenting within the first-level screening steps with abnormal LFT </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523 end stage liver disease lt recipients during 1994-2010 (not mentioned as pretransplant sera)</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100 patients with liver enzymes with unknown cause for more than 6  months, after excluding viral hepatitis, autoimmune, hemochromatosis, Wilson, Fatty liver, Alcoholic liver and drug causes</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168 consecutive patients of NAFLD or cryptogenic chronic hepatitis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738 patients with chronic liver diseases (including hepatitis, steatosis, cirrhosis)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90 patients with chronic unexplained transaminasemia</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 147 consecutive patients with chronic hypertransaminasemia (alcoholic, drugs, viral, autoimmune, hemochromatosis, alfal-antitrypsin deficiency, Wilson’s disease, congestive liver excluded).</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110 patients consecutively classified as cryptogenic hypertransaminasaemia</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258 subjects with cryptogenic hypertransaminasemia</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140 consecutive patients with chronic unexplained hypertransaminasemia</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Age of overall population </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16-80 years</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39.6±1.2years for males, 38.5±1.4years for females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18-66 years</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39.79±16.77 years</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40.7 ± 12.6 years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6-85years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14–66years</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18-78years</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16-56years </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34.4 ± 12.0 years</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21-62 years</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Sample size of liver disease of interest</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56</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28</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35</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100</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47</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29</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90</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125</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82</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258</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140</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Females</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33</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Not given </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Not given </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45</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Not given </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given</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21</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21</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given</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94</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47</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Children</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None</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First level seroassay(s)</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 and AEA TTG-IgA and AEA-IgA</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Human TTG-IgA, AEA-IgA</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AEA-IgA</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Guinea pig TTG-IgA, AEA-IgA</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Guinea pig TTG-IgA, AEA-IgA</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AEA-IgA</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Second level seroassay(s)</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AEA-IgA and DGP-IgA</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No </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Whether IgA level done</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 of seropositive</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7</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6</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6</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10</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13</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No. of TTG positive in whole sample </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7</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6</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6</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10</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12</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No. of AEA positive in whole sample</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applicable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10</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12</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Small bowel-biopsied</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5</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6</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6</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10</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13</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 xml:space="preserve">Biopsy positive </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3</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6</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4</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10</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13</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Response to a GFD checked</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2 of 3 patients on a strict GFD- aminotransferases decreased</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Aminotransferases decreased</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Not done </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done</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done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done</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Aminotransferases decreased</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Aminotransferases decreased</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Aminotransferases decreased in 9 of 10 patients on a GFD </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Aminotransferases decreased with 3 months of a GFD</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Aminotransferases decreased with 12 months of a GFD in 12/13 patients</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Whether invasive workup used for etiological evaluation of liver disease</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Yes</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Methodology for evaluation of liver diseases</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Not explained </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serum Cu, ceruloplasmin, Fe, TIBC, ANA, Anti-Sm</w:t>
            </w:r>
          </w:p>
          <w:p w:rsidR="002402D3" w:rsidRPr="00AA229D" w:rsidRDefault="002402D3" w:rsidP="002402D3">
            <w:pPr>
              <w:rPr>
                <w:rFonts w:eastAsia="Calibri"/>
                <w:sz w:val="12"/>
                <w:szCs w:val="12"/>
              </w:rPr>
            </w:pPr>
            <w:r w:rsidRPr="00AA229D">
              <w:rPr>
                <w:rFonts w:eastAsia="Calibri"/>
                <w:sz w:val="12"/>
                <w:szCs w:val="12"/>
              </w:rPr>
              <w:t>antibody, Anti-LKM-1 antibody, AMA, P-ANCA, serum Alpha-1 anti-tripsin level (not phenotyping since</w:t>
            </w:r>
          </w:p>
          <w:p w:rsidR="002402D3" w:rsidRPr="00AA229D" w:rsidRDefault="002402D3" w:rsidP="002402D3">
            <w:pPr>
              <w:rPr>
                <w:rFonts w:eastAsia="Calibri"/>
                <w:sz w:val="12"/>
                <w:szCs w:val="12"/>
              </w:rPr>
            </w:pPr>
            <w:r w:rsidRPr="00AA229D">
              <w:rPr>
                <w:rFonts w:eastAsia="Calibri"/>
                <w:sz w:val="12"/>
                <w:szCs w:val="12"/>
              </w:rPr>
              <w:t>it was not available), HBS Ag, HBC antibody, HCV antibody, TG, cholesterol, LDL, HDL, and liver</w:t>
            </w:r>
          </w:p>
          <w:p w:rsidR="002402D3" w:rsidRPr="00AA229D" w:rsidRDefault="002402D3" w:rsidP="002402D3">
            <w:pPr>
              <w:rPr>
                <w:rFonts w:eastAsia="Calibri"/>
                <w:sz w:val="12"/>
                <w:szCs w:val="12"/>
              </w:rPr>
            </w:pPr>
            <w:r w:rsidRPr="00AA229D">
              <w:rPr>
                <w:rFonts w:eastAsia="Calibri"/>
                <w:sz w:val="12"/>
                <w:szCs w:val="12"/>
              </w:rPr>
              <w:t>ultrasonography</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diagnostic criteria for primary biliary cirrhosis </w:t>
            </w:r>
          </w:p>
          <w:p w:rsidR="002402D3" w:rsidRPr="00AA229D" w:rsidRDefault="002402D3" w:rsidP="002402D3">
            <w:pPr>
              <w:rPr>
                <w:rFonts w:eastAsia="Calibri"/>
                <w:sz w:val="12"/>
                <w:szCs w:val="12"/>
              </w:rPr>
            </w:pPr>
            <w:r w:rsidRPr="00AA229D">
              <w:rPr>
                <w:rFonts w:eastAsia="Calibri"/>
                <w:sz w:val="12"/>
                <w:szCs w:val="12"/>
              </w:rPr>
              <w:t xml:space="preserve">included clinical symptoms, clinical chemistry, exclusion </w:t>
            </w:r>
          </w:p>
          <w:p w:rsidR="002402D3" w:rsidRPr="00AA229D" w:rsidRDefault="002402D3" w:rsidP="002402D3">
            <w:pPr>
              <w:rPr>
                <w:rFonts w:eastAsia="Calibri"/>
                <w:sz w:val="12"/>
                <w:szCs w:val="12"/>
              </w:rPr>
            </w:pPr>
            <w:r w:rsidRPr="00AA229D">
              <w:rPr>
                <w:rFonts w:eastAsia="Calibri"/>
                <w:sz w:val="12"/>
                <w:szCs w:val="12"/>
              </w:rPr>
              <w:t xml:space="preserve">of infection with hepatitis viruses and evidence of antimitochondrial antibodies type M2. The diagnosis of </w:t>
            </w:r>
          </w:p>
          <w:p w:rsidR="002402D3" w:rsidRPr="00AA229D" w:rsidRDefault="002402D3" w:rsidP="002402D3">
            <w:pPr>
              <w:rPr>
                <w:rFonts w:eastAsia="Calibri"/>
                <w:sz w:val="12"/>
                <w:szCs w:val="12"/>
              </w:rPr>
            </w:pPr>
            <w:r w:rsidRPr="00AA229D">
              <w:rPr>
                <w:rFonts w:eastAsia="Calibri"/>
                <w:sz w:val="12"/>
                <w:szCs w:val="12"/>
              </w:rPr>
              <w:t xml:space="preserve">autoimmune hepatitis was based on the scoring system </w:t>
            </w:r>
          </w:p>
          <w:p w:rsidR="002402D3" w:rsidRPr="00AA229D" w:rsidRDefault="002402D3" w:rsidP="002402D3">
            <w:pPr>
              <w:rPr>
                <w:rFonts w:eastAsia="Calibri"/>
                <w:sz w:val="12"/>
                <w:szCs w:val="12"/>
              </w:rPr>
            </w:pPr>
            <w:r w:rsidRPr="00AA229D">
              <w:rPr>
                <w:rFonts w:eastAsia="Calibri"/>
                <w:sz w:val="12"/>
                <w:szCs w:val="12"/>
              </w:rPr>
              <w:t xml:space="preserve">devised by the International Autoimmune Hepatitis </w:t>
            </w:r>
          </w:p>
          <w:p w:rsidR="002402D3" w:rsidRPr="00AA229D" w:rsidRDefault="002402D3" w:rsidP="002402D3">
            <w:pPr>
              <w:rPr>
                <w:rFonts w:eastAsia="Calibri"/>
                <w:sz w:val="12"/>
                <w:szCs w:val="12"/>
              </w:rPr>
            </w:pPr>
            <w:r w:rsidRPr="00AA229D">
              <w:rPr>
                <w:rFonts w:eastAsia="Calibri"/>
                <w:sz w:val="12"/>
                <w:szCs w:val="12"/>
              </w:rPr>
              <w:t xml:space="preserve">Group and International Association for the Study of </w:t>
            </w:r>
          </w:p>
          <w:p w:rsidR="002402D3" w:rsidRPr="00AA229D" w:rsidRDefault="002402D3" w:rsidP="002402D3">
            <w:pPr>
              <w:rPr>
                <w:rFonts w:eastAsia="Calibri"/>
                <w:sz w:val="12"/>
                <w:szCs w:val="12"/>
              </w:rPr>
            </w:pPr>
            <w:r w:rsidRPr="00AA229D">
              <w:rPr>
                <w:rFonts w:eastAsia="Calibri"/>
                <w:sz w:val="12"/>
                <w:szCs w:val="12"/>
              </w:rPr>
              <w:t xml:space="preserve">the Liver[16]. The main diagnostic criteria for alcoholic </w:t>
            </w:r>
          </w:p>
          <w:p w:rsidR="002402D3" w:rsidRPr="00AA229D" w:rsidRDefault="002402D3" w:rsidP="002402D3">
            <w:pPr>
              <w:rPr>
                <w:rFonts w:eastAsia="Calibri"/>
                <w:sz w:val="12"/>
                <w:szCs w:val="12"/>
              </w:rPr>
            </w:pPr>
            <w:r w:rsidRPr="00AA229D">
              <w:rPr>
                <w:rFonts w:eastAsia="Calibri"/>
                <w:sz w:val="12"/>
                <w:szCs w:val="12"/>
              </w:rPr>
              <w:t xml:space="preserve">liver cirrhosis were the patient’s medical history, liver </w:t>
            </w:r>
          </w:p>
          <w:p w:rsidR="002402D3" w:rsidRPr="00AA229D" w:rsidRDefault="002402D3" w:rsidP="002402D3">
            <w:pPr>
              <w:rPr>
                <w:rFonts w:eastAsia="Calibri"/>
                <w:sz w:val="12"/>
                <w:szCs w:val="12"/>
              </w:rPr>
            </w:pPr>
            <w:r w:rsidRPr="00AA229D">
              <w:rPr>
                <w:rFonts w:eastAsia="Calibri"/>
                <w:sz w:val="12"/>
                <w:szCs w:val="12"/>
              </w:rPr>
              <w:t xml:space="preserve">histology, and exclusion of other causes of liver cirrhosis. Diagnosis of Wilson’s disease was based on the </w:t>
            </w:r>
          </w:p>
          <w:p w:rsidR="002402D3" w:rsidRPr="00AA229D" w:rsidRDefault="002402D3" w:rsidP="002402D3">
            <w:pPr>
              <w:rPr>
                <w:rFonts w:eastAsia="Calibri"/>
                <w:sz w:val="12"/>
                <w:szCs w:val="12"/>
              </w:rPr>
            </w:pPr>
            <w:r w:rsidRPr="00AA229D">
              <w:rPr>
                <w:rFonts w:eastAsia="Calibri"/>
                <w:sz w:val="12"/>
                <w:szCs w:val="12"/>
              </w:rPr>
              <w:t xml:space="preserve">recommendation of Kodama et al[17], and Budd-Chiari </w:t>
            </w:r>
          </w:p>
          <w:p w:rsidR="002402D3" w:rsidRPr="00AA229D" w:rsidRDefault="002402D3" w:rsidP="002402D3">
            <w:pPr>
              <w:rPr>
                <w:rFonts w:eastAsia="Calibri"/>
                <w:sz w:val="12"/>
                <w:szCs w:val="12"/>
              </w:rPr>
            </w:pPr>
            <w:r w:rsidRPr="00AA229D">
              <w:rPr>
                <w:rFonts w:eastAsia="Calibri"/>
                <w:sz w:val="12"/>
                <w:szCs w:val="12"/>
              </w:rPr>
              <w:t>syndrome in accordance with the concept of Fox et al</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Not explained</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following criteria were applied to exclude the most</w:t>
            </w:r>
          </w:p>
          <w:p w:rsidR="002402D3" w:rsidRPr="00AA229D" w:rsidRDefault="002402D3" w:rsidP="002402D3">
            <w:pPr>
              <w:rPr>
                <w:rFonts w:eastAsia="Calibri"/>
                <w:sz w:val="12"/>
                <w:szCs w:val="12"/>
              </w:rPr>
            </w:pPr>
            <w:r w:rsidRPr="00AA229D">
              <w:rPr>
                <w:rFonts w:eastAsia="Calibri"/>
                <w:sz w:val="12"/>
                <w:szCs w:val="12"/>
              </w:rPr>
              <w:t>frequent etiologies of chronic liver disease:</w:t>
            </w:r>
          </w:p>
          <w:p w:rsidR="002402D3" w:rsidRPr="00AA229D" w:rsidRDefault="002402D3" w:rsidP="002402D3">
            <w:pPr>
              <w:rPr>
                <w:rFonts w:eastAsia="Calibri"/>
                <w:sz w:val="12"/>
                <w:szCs w:val="12"/>
              </w:rPr>
            </w:pPr>
            <w:r w:rsidRPr="00AA229D">
              <w:rPr>
                <w:rFonts w:eastAsia="Calibri"/>
                <w:sz w:val="12"/>
                <w:szCs w:val="12"/>
              </w:rPr>
              <w:t xml:space="preserve"> viral: HBsAg and HBV-DNA negative; anti-HCV and</w:t>
            </w:r>
          </w:p>
          <w:p w:rsidR="002402D3" w:rsidRPr="00AA229D" w:rsidRDefault="002402D3" w:rsidP="002402D3">
            <w:pPr>
              <w:rPr>
                <w:rFonts w:eastAsia="Calibri"/>
                <w:sz w:val="12"/>
                <w:szCs w:val="12"/>
              </w:rPr>
            </w:pPr>
            <w:r w:rsidRPr="00AA229D">
              <w:rPr>
                <w:rFonts w:eastAsia="Calibri"/>
                <w:sz w:val="12"/>
                <w:szCs w:val="12"/>
              </w:rPr>
              <w:t>HCV-RNA negative; HIV negative (by commercial tests)  autoimmune: ANA, AMA, SMA, LKM assay negative (indirect immunofluorescence);  metabolic: BMI &lt; 30 kg/m2; normal serum levels of ceruloplasmin andα1-antitripsin; transferrin saturation&lt;45%;  toxic: alcohol intake &lt; 20 g per day, no current or past</w:t>
            </w:r>
          </w:p>
          <w:p w:rsidR="002402D3" w:rsidRPr="00AA229D" w:rsidRDefault="002402D3" w:rsidP="002402D3">
            <w:pPr>
              <w:rPr>
                <w:rFonts w:eastAsia="Calibri"/>
                <w:sz w:val="12"/>
                <w:szCs w:val="12"/>
              </w:rPr>
            </w:pPr>
            <w:r w:rsidRPr="00AA229D">
              <w:rPr>
                <w:rFonts w:eastAsia="Calibri"/>
                <w:sz w:val="12"/>
                <w:szCs w:val="12"/>
              </w:rPr>
              <w:t>chronic drug use, no professional exposure to hepatotoxins.</w:t>
            </w:r>
          </w:p>
          <w:p w:rsidR="002402D3" w:rsidRPr="00AA229D" w:rsidRDefault="002402D3" w:rsidP="002402D3">
            <w:pPr>
              <w:rPr>
                <w:rFonts w:eastAsia="Calibri"/>
                <w:sz w:val="12"/>
                <w:szCs w:val="12"/>
              </w:rPr>
            </w:pPr>
            <w:r w:rsidRPr="00AA229D">
              <w:rPr>
                <w:rFonts w:eastAsia="Calibri"/>
                <w:sz w:val="12"/>
                <w:szCs w:val="12"/>
              </w:rPr>
              <w:t>All patients underwent liver biopsy by Menghini type (1.6</w:t>
            </w:r>
          </w:p>
          <w:p w:rsidR="002402D3" w:rsidRPr="00AA229D" w:rsidRDefault="002402D3" w:rsidP="002402D3">
            <w:pPr>
              <w:rPr>
                <w:rFonts w:eastAsia="Calibri"/>
                <w:sz w:val="12"/>
                <w:szCs w:val="12"/>
              </w:rPr>
            </w:pPr>
            <w:r w:rsidRPr="00AA229D">
              <w:rPr>
                <w:rFonts w:eastAsia="Calibri"/>
                <w:sz w:val="12"/>
                <w:szCs w:val="12"/>
              </w:rPr>
              <w:t>mm) to evaluate histological damage (inflammation, fibrosis,</w:t>
            </w:r>
          </w:p>
          <w:p w:rsidR="002402D3" w:rsidRPr="00AA229D" w:rsidRDefault="002402D3" w:rsidP="002402D3">
            <w:pPr>
              <w:rPr>
                <w:rFonts w:eastAsia="Calibri"/>
                <w:sz w:val="12"/>
                <w:szCs w:val="12"/>
              </w:rPr>
            </w:pPr>
            <w:r w:rsidRPr="00AA229D">
              <w:rPr>
                <w:rFonts w:eastAsia="Calibri"/>
                <w:sz w:val="12"/>
                <w:szCs w:val="12"/>
              </w:rPr>
              <w:t>and steatosis). Histological findings (grading and staging)</w:t>
            </w:r>
          </w:p>
          <w:p w:rsidR="002402D3" w:rsidRPr="00AA229D" w:rsidRDefault="002402D3" w:rsidP="002402D3">
            <w:pPr>
              <w:rPr>
                <w:rFonts w:eastAsia="Calibri"/>
                <w:sz w:val="12"/>
                <w:szCs w:val="12"/>
              </w:rPr>
            </w:pPr>
            <w:r w:rsidRPr="00AA229D">
              <w:rPr>
                <w:rFonts w:eastAsia="Calibri"/>
                <w:sz w:val="12"/>
                <w:szCs w:val="12"/>
              </w:rPr>
              <w:t>and steatosis were classified</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(PBC) met the following criteria: positivity for anti-mitochondrial antibodies</w:t>
            </w:r>
          </w:p>
          <w:p w:rsidR="002402D3" w:rsidRPr="00AA229D" w:rsidRDefault="002402D3" w:rsidP="002402D3">
            <w:pPr>
              <w:rPr>
                <w:rFonts w:eastAsia="Calibri"/>
                <w:sz w:val="12"/>
                <w:szCs w:val="12"/>
              </w:rPr>
            </w:pPr>
            <w:r w:rsidRPr="00AA229D">
              <w:rPr>
                <w:rFonts w:eastAsia="Calibri"/>
                <w:sz w:val="12"/>
                <w:szCs w:val="12"/>
              </w:rPr>
              <w:t>(AMA) detected at titers of 1/40, elevated cholestatic enzymes, and histological</w:t>
            </w:r>
          </w:p>
          <w:p w:rsidR="002402D3" w:rsidRPr="00AA229D" w:rsidRDefault="002402D3" w:rsidP="002402D3">
            <w:pPr>
              <w:rPr>
                <w:rFonts w:eastAsia="Calibri"/>
                <w:sz w:val="12"/>
                <w:szCs w:val="12"/>
              </w:rPr>
            </w:pPr>
            <w:r w:rsidRPr="00AA229D">
              <w:rPr>
                <w:rFonts w:eastAsia="Calibri"/>
                <w:sz w:val="12"/>
                <w:szCs w:val="12"/>
              </w:rPr>
              <w:t>lesions suggestive of PBC (35). The diagnosis of primary sclerosing cholangitis</w:t>
            </w:r>
          </w:p>
          <w:p w:rsidR="002402D3" w:rsidRPr="00AA229D" w:rsidRDefault="002402D3" w:rsidP="002402D3">
            <w:pPr>
              <w:rPr>
                <w:rFonts w:eastAsia="Calibri"/>
                <w:sz w:val="12"/>
                <w:szCs w:val="12"/>
              </w:rPr>
            </w:pPr>
            <w:r w:rsidRPr="00AA229D">
              <w:rPr>
                <w:rFonts w:eastAsia="Calibri"/>
                <w:sz w:val="12"/>
                <w:szCs w:val="12"/>
              </w:rPr>
              <w:t>(PSC) was based on biochemical and/or clinical signs of cholestasis, compatible</w:t>
            </w:r>
          </w:p>
          <w:p w:rsidR="002402D3" w:rsidRPr="00AA229D" w:rsidRDefault="002402D3" w:rsidP="002402D3">
            <w:pPr>
              <w:rPr>
                <w:rFonts w:eastAsia="Calibri"/>
                <w:sz w:val="12"/>
                <w:szCs w:val="12"/>
              </w:rPr>
            </w:pPr>
            <w:r w:rsidRPr="00AA229D">
              <w:rPr>
                <w:rFonts w:eastAsia="Calibri"/>
                <w:sz w:val="12"/>
                <w:szCs w:val="12"/>
              </w:rPr>
              <w:t>liver histology, and typical findings on endoscopic retrograde cholangio-pancreatography or magnetic resonance cholangiography (35). Patients with overlapping syndromes fulfilled the criteria for the diagnosis of AIH, as well as those for</w:t>
            </w:r>
          </w:p>
          <w:p w:rsidR="002402D3" w:rsidRPr="00AA229D" w:rsidRDefault="002402D3" w:rsidP="002402D3">
            <w:pPr>
              <w:rPr>
                <w:rFonts w:eastAsia="Calibri"/>
                <w:sz w:val="12"/>
                <w:szCs w:val="12"/>
              </w:rPr>
            </w:pPr>
            <w:r w:rsidRPr="00AA229D">
              <w:rPr>
                <w:rFonts w:eastAsia="Calibri"/>
                <w:sz w:val="12"/>
                <w:szCs w:val="12"/>
              </w:rPr>
              <w:t>the diagnosis of either PBC or PSC (2, 35). The diagnosis of nonalcoholic fatty</w:t>
            </w:r>
          </w:p>
          <w:p w:rsidR="002402D3" w:rsidRPr="00AA229D" w:rsidRDefault="002402D3" w:rsidP="002402D3">
            <w:pPr>
              <w:rPr>
                <w:rFonts w:eastAsia="Calibri"/>
                <w:sz w:val="12"/>
                <w:szCs w:val="12"/>
              </w:rPr>
            </w:pPr>
            <w:r w:rsidRPr="00AA229D">
              <w:rPr>
                <w:rFonts w:eastAsia="Calibri"/>
                <w:sz w:val="12"/>
                <w:szCs w:val="12"/>
              </w:rPr>
              <w:t>liver disease was based on the presence of metabolic syndrome and exclusion of</w:t>
            </w:r>
          </w:p>
          <w:p w:rsidR="002402D3" w:rsidRPr="00AA229D" w:rsidRDefault="002402D3" w:rsidP="002402D3">
            <w:pPr>
              <w:rPr>
                <w:rFonts w:eastAsia="Calibri"/>
                <w:sz w:val="12"/>
                <w:szCs w:val="12"/>
              </w:rPr>
            </w:pPr>
            <w:r w:rsidRPr="00AA229D">
              <w:rPr>
                <w:rFonts w:eastAsia="Calibri"/>
                <w:sz w:val="12"/>
                <w:szCs w:val="12"/>
              </w:rPr>
              <w:t>other causes of chronic liver disease, including alcohol abuse, and compatible</w:t>
            </w:r>
          </w:p>
          <w:p w:rsidR="002402D3" w:rsidRPr="00AA229D" w:rsidRDefault="002402D3" w:rsidP="002402D3">
            <w:pPr>
              <w:rPr>
                <w:rFonts w:eastAsia="Calibri"/>
                <w:sz w:val="12"/>
                <w:szCs w:val="12"/>
              </w:rPr>
            </w:pPr>
            <w:r w:rsidRPr="00AA229D">
              <w:rPr>
                <w:rFonts w:eastAsia="Calibri"/>
                <w:sz w:val="12"/>
                <w:szCs w:val="12"/>
              </w:rPr>
              <w:t>liver histology (32), while alcoholic liver disease was diagnosed on the grounds of</w:t>
            </w:r>
          </w:p>
          <w:p w:rsidR="002402D3" w:rsidRPr="00AA229D" w:rsidRDefault="002402D3" w:rsidP="002402D3">
            <w:pPr>
              <w:rPr>
                <w:rFonts w:eastAsia="Calibri"/>
                <w:sz w:val="12"/>
                <w:szCs w:val="12"/>
              </w:rPr>
            </w:pPr>
            <w:r w:rsidRPr="00AA229D">
              <w:rPr>
                <w:rFonts w:eastAsia="Calibri"/>
                <w:sz w:val="12"/>
                <w:szCs w:val="12"/>
              </w:rPr>
              <w:t>a history of increased alcohol consumption; viral markers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All were negative for hepatitis B (hepatitis B surface</w:t>
            </w:r>
          </w:p>
          <w:p w:rsidR="002402D3" w:rsidRPr="00AA229D" w:rsidRDefault="002402D3" w:rsidP="002402D3">
            <w:pPr>
              <w:rPr>
                <w:rFonts w:eastAsia="Calibri"/>
                <w:sz w:val="12"/>
                <w:szCs w:val="12"/>
              </w:rPr>
            </w:pPr>
            <w:r w:rsidRPr="00AA229D">
              <w:rPr>
                <w:rFonts w:eastAsia="Calibri"/>
                <w:sz w:val="12"/>
                <w:szCs w:val="12"/>
              </w:rPr>
              <w:t>antigen), hepatitis C (antibody and RNA) and hepatitis</w:t>
            </w:r>
          </w:p>
          <w:p w:rsidR="002402D3" w:rsidRPr="00AA229D" w:rsidRDefault="002402D3" w:rsidP="002402D3">
            <w:pPr>
              <w:rPr>
                <w:rFonts w:eastAsia="Calibri"/>
                <w:sz w:val="12"/>
                <w:szCs w:val="12"/>
              </w:rPr>
            </w:pPr>
            <w:r w:rsidRPr="00AA229D">
              <w:rPr>
                <w:rFonts w:eastAsia="Calibri"/>
                <w:sz w:val="12"/>
                <w:szCs w:val="12"/>
              </w:rPr>
              <w:t>G. Antinuclear, anti-mitochondria, anti-smooth-muscle,</w:t>
            </w:r>
          </w:p>
          <w:p w:rsidR="002402D3" w:rsidRPr="00AA229D" w:rsidRDefault="002402D3" w:rsidP="002402D3">
            <w:pPr>
              <w:rPr>
                <w:rFonts w:eastAsia="Calibri"/>
                <w:sz w:val="12"/>
                <w:szCs w:val="12"/>
              </w:rPr>
            </w:pPr>
            <w:r w:rsidRPr="00AA229D">
              <w:rPr>
                <w:rFonts w:eastAsia="Calibri"/>
                <w:sz w:val="12"/>
                <w:szCs w:val="12"/>
              </w:rPr>
              <w:t>anti-liver–kidney and anti-neutrophil cytoplasmic autoantibodies were all negative. Metabolic hepatic disease</w:t>
            </w:r>
          </w:p>
          <w:p w:rsidR="002402D3" w:rsidRPr="00AA229D" w:rsidRDefault="002402D3" w:rsidP="002402D3">
            <w:pPr>
              <w:rPr>
                <w:rFonts w:eastAsia="Calibri"/>
                <w:sz w:val="12"/>
                <w:szCs w:val="12"/>
              </w:rPr>
            </w:pPr>
            <w:r w:rsidRPr="00AA229D">
              <w:rPr>
                <w:rFonts w:eastAsia="Calibri"/>
                <w:sz w:val="12"/>
                <w:szCs w:val="12"/>
              </w:rPr>
              <w:t>was excluded by testing for serum iron, total ironbinding capacity, transferrin saturation, ferritin, ceruloplasmin and alpha-1-anti-trypsin. drug use, ethanol or toxins abuse, or any</w:t>
            </w:r>
          </w:p>
          <w:p w:rsidR="002402D3" w:rsidRPr="00AA229D" w:rsidRDefault="002402D3" w:rsidP="002402D3">
            <w:pPr>
              <w:rPr>
                <w:rFonts w:eastAsia="Calibri"/>
                <w:sz w:val="12"/>
                <w:szCs w:val="12"/>
              </w:rPr>
            </w:pPr>
            <w:r w:rsidRPr="00AA229D">
              <w:rPr>
                <w:rFonts w:eastAsia="Calibri"/>
                <w:sz w:val="12"/>
                <w:szCs w:val="12"/>
              </w:rPr>
              <w:t>other cause that could explain hypertransaminasaemia were ruled out</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Ingestion of ethanol &gt; 60 g/daily in male patients</w:t>
            </w:r>
          </w:p>
          <w:p w:rsidR="002402D3" w:rsidRPr="00AA229D" w:rsidRDefault="002402D3" w:rsidP="002402D3">
            <w:pPr>
              <w:rPr>
                <w:rFonts w:eastAsia="Calibri"/>
                <w:sz w:val="12"/>
                <w:szCs w:val="12"/>
              </w:rPr>
            </w:pPr>
            <w:r w:rsidRPr="00AA229D">
              <w:rPr>
                <w:rFonts w:eastAsia="Calibri"/>
                <w:sz w:val="12"/>
                <w:szCs w:val="12"/>
              </w:rPr>
              <w:t>and 30 g/daily in females (16); b) use of potentially hepa -</w:t>
            </w:r>
          </w:p>
          <w:p w:rsidR="002402D3" w:rsidRPr="00AA229D" w:rsidRDefault="002402D3" w:rsidP="002402D3">
            <w:pPr>
              <w:rPr>
                <w:rFonts w:eastAsia="Calibri"/>
                <w:sz w:val="12"/>
                <w:szCs w:val="12"/>
              </w:rPr>
            </w:pPr>
            <w:r w:rsidRPr="00AA229D">
              <w:rPr>
                <w:rFonts w:eastAsia="Calibri"/>
                <w:sz w:val="12"/>
                <w:szCs w:val="12"/>
              </w:rPr>
              <w:t>totoxic drugs and toxins; c) positive testing in assays for</w:t>
            </w:r>
          </w:p>
          <w:p w:rsidR="002402D3" w:rsidRPr="00AA229D" w:rsidRDefault="002402D3" w:rsidP="002402D3">
            <w:pPr>
              <w:rPr>
                <w:rFonts w:eastAsia="Calibri"/>
                <w:sz w:val="12"/>
                <w:szCs w:val="12"/>
              </w:rPr>
            </w:pPr>
            <w:r w:rsidRPr="00AA229D">
              <w:rPr>
                <w:rFonts w:eastAsia="Calibri"/>
                <w:sz w:val="12"/>
                <w:szCs w:val="12"/>
              </w:rPr>
              <w:t>hepatitis B surface antigen, antibody to hepatitis C virus</w:t>
            </w:r>
          </w:p>
          <w:p w:rsidR="002402D3" w:rsidRPr="00AA229D" w:rsidRDefault="002402D3" w:rsidP="002402D3">
            <w:pPr>
              <w:rPr>
                <w:rFonts w:eastAsia="Calibri"/>
                <w:sz w:val="12"/>
                <w:szCs w:val="12"/>
              </w:rPr>
            </w:pPr>
            <w:r w:rsidRPr="00AA229D">
              <w:rPr>
                <w:rFonts w:eastAsia="Calibri"/>
                <w:sz w:val="12"/>
                <w:szCs w:val="12"/>
              </w:rPr>
              <w:t>or serum HCV-RNA; d) positive testing in assays for anti -</w:t>
            </w:r>
          </w:p>
          <w:p w:rsidR="002402D3" w:rsidRPr="00AA229D" w:rsidRDefault="002402D3" w:rsidP="002402D3">
            <w:pPr>
              <w:rPr>
                <w:rFonts w:eastAsia="Calibri"/>
                <w:sz w:val="12"/>
                <w:szCs w:val="12"/>
              </w:rPr>
            </w:pPr>
            <w:r w:rsidRPr="00AA229D">
              <w:rPr>
                <w:rFonts w:eastAsia="Calibri"/>
                <w:sz w:val="12"/>
                <w:szCs w:val="12"/>
              </w:rPr>
              <w:t>mitochondria, antinuclear, anti-smooth muscle or anti-li -</w:t>
            </w:r>
          </w:p>
          <w:p w:rsidR="002402D3" w:rsidRPr="00AA229D" w:rsidRDefault="002402D3" w:rsidP="002402D3">
            <w:pPr>
              <w:rPr>
                <w:rFonts w:eastAsia="Calibri"/>
                <w:sz w:val="12"/>
                <w:szCs w:val="12"/>
              </w:rPr>
            </w:pPr>
            <w:r w:rsidRPr="00AA229D">
              <w:rPr>
                <w:rFonts w:eastAsia="Calibri"/>
                <w:sz w:val="12"/>
                <w:szCs w:val="12"/>
              </w:rPr>
              <w:t>ver-kidney microsome auto-antibodies at readings of &gt;</w:t>
            </w:r>
          </w:p>
          <w:p w:rsidR="002402D3" w:rsidRPr="00AA229D" w:rsidRDefault="002402D3" w:rsidP="002402D3">
            <w:pPr>
              <w:rPr>
                <w:rFonts w:eastAsia="Calibri"/>
                <w:sz w:val="12"/>
                <w:szCs w:val="12"/>
              </w:rPr>
            </w:pPr>
            <w:r w:rsidRPr="00AA229D">
              <w:rPr>
                <w:rFonts w:eastAsia="Calibri"/>
                <w:sz w:val="12"/>
                <w:szCs w:val="12"/>
              </w:rPr>
              <w:t>1/40 on more than one occasion; e) hemochromatosis,</w:t>
            </w:r>
          </w:p>
          <w:p w:rsidR="002402D3" w:rsidRPr="00AA229D" w:rsidRDefault="002402D3" w:rsidP="002402D3">
            <w:pPr>
              <w:rPr>
                <w:rFonts w:eastAsia="Calibri"/>
                <w:sz w:val="12"/>
                <w:szCs w:val="12"/>
              </w:rPr>
            </w:pPr>
            <w:r w:rsidRPr="00AA229D">
              <w:rPr>
                <w:rFonts w:eastAsia="Calibri"/>
                <w:sz w:val="12"/>
                <w:szCs w:val="12"/>
              </w:rPr>
              <w:t>Wilson’s disease or alpha1-antitripsin deficiency; f)</w:t>
            </w:r>
          </w:p>
          <w:p w:rsidR="002402D3" w:rsidRPr="00AA229D" w:rsidRDefault="002402D3" w:rsidP="002402D3">
            <w:pPr>
              <w:rPr>
                <w:rFonts w:eastAsia="Calibri"/>
                <w:sz w:val="12"/>
                <w:szCs w:val="12"/>
              </w:rPr>
            </w:pPr>
            <w:r w:rsidRPr="00AA229D">
              <w:rPr>
                <w:rFonts w:eastAsia="Calibri"/>
                <w:sz w:val="12"/>
                <w:szCs w:val="12"/>
              </w:rPr>
              <w:t>echography showing lesions of the biliary tract or hepa -</w:t>
            </w:r>
          </w:p>
          <w:p w:rsidR="002402D3" w:rsidRPr="00AA229D" w:rsidRDefault="002402D3" w:rsidP="002402D3">
            <w:pPr>
              <w:rPr>
                <w:rFonts w:eastAsia="Calibri"/>
                <w:sz w:val="12"/>
                <w:szCs w:val="12"/>
              </w:rPr>
            </w:pPr>
            <w:r w:rsidRPr="00AA229D">
              <w:rPr>
                <w:rFonts w:eastAsia="Calibri"/>
                <w:sz w:val="12"/>
                <w:szCs w:val="12"/>
              </w:rPr>
              <w:t>tic veins, or with space-occupying lesions; g) AST or ALT</w:t>
            </w:r>
          </w:p>
          <w:p w:rsidR="002402D3" w:rsidRPr="00AA229D" w:rsidRDefault="002402D3" w:rsidP="002402D3">
            <w:pPr>
              <w:rPr>
                <w:rFonts w:eastAsia="Calibri"/>
                <w:sz w:val="12"/>
                <w:szCs w:val="12"/>
              </w:rPr>
            </w:pPr>
            <w:r w:rsidRPr="00AA229D">
              <w:rPr>
                <w:rFonts w:eastAsia="Calibri"/>
                <w:sz w:val="12"/>
                <w:szCs w:val="12"/>
              </w:rPr>
              <w:t>&gt; 500 UI/l; h) congestive heart failure; i) uncompensated</w:t>
            </w:r>
          </w:p>
          <w:p w:rsidR="002402D3" w:rsidRPr="00AA229D" w:rsidRDefault="002402D3" w:rsidP="002402D3">
            <w:pPr>
              <w:rPr>
                <w:rFonts w:eastAsia="Calibri"/>
                <w:sz w:val="12"/>
                <w:szCs w:val="12"/>
              </w:rPr>
            </w:pPr>
            <w:r w:rsidRPr="00AA229D">
              <w:rPr>
                <w:rFonts w:eastAsia="Calibri"/>
                <w:sz w:val="12"/>
                <w:szCs w:val="12"/>
              </w:rPr>
              <w:t>liver disease.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viral aetiology was </w:t>
            </w:r>
          </w:p>
          <w:p w:rsidR="002402D3" w:rsidRPr="00AA229D" w:rsidRDefault="002402D3" w:rsidP="002402D3">
            <w:pPr>
              <w:rPr>
                <w:rFonts w:eastAsia="Calibri"/>
                <w:sz w:val="12"/>
                <w:szCs w:val="12"/>
              </w:rPr>
            </w:pPr>
            <w:r w:rsidRPr="00AA229D">
              <w:rPr>
                <w:rFonts w:eastAsia="Calibri"/>
                <w:sz w:val="12"/>
                <w:szCs w:val="12"/>
              </w:rPr>
              <w:t xml:space="preserve">ruled out by tests for hepatitis B surface antigen (some </w:t>
            </w:r>
          </w:p>
          <w:p w:rsidR="002402D3" w:rsidRPr="00AA229D" w:rsidRDefault="002402D3" w:rsidP="002402D3">
            <w:pPr>
              <w:rPr>
                <w:rFonts w:eastAsia="Calibri"/>
                <w:sz w:val="12"/>
                <w:szCs w:val="12"/>
              </w:rPr>
            </w:pPr>
            <w:r w:rsidRPr="00AA229D">
              <w:rPr>
                <w:rFonts w:eastAsia="Calibri"/>
                <w:sz w:val="12"/>
                <w:szCs w:val="12"/>
              </w:rPr>
              <w:t xml:space="preserve">were tested and found negative for anti-HBc), antibodies to hepatitis C virus (HCV), HCV-RNA, and hepatitis G virus-RNA by nested reverse transcription (RT) </w:t>
            </w:r>
          </w:p>
          <w:p w:rsidR="002402D3" w:rsidRPr="00AA229D" w:rsidRDefault="002402D3" w:rsidP="002402D3">
            <w:pPr>
              <w:rPr>
                <w:rFonts w:eastAsia="Calibri"/>
                <w:sz w:val="12"/>
                <w:szCs w:val="12"/>
              </w:rPr>
            </w:pPr>
            <w:r w:rsidRPr="00AA229D">
              <w:rPr>
                <w:rFonts w:eastAsia="Calibri"/>
                <w:sz w:val="12"/>
                <w:szCs w:val="12"/>
              </w:rPr>
              <w:t xml:space="preserve">polymerase chain reaction (PCR). Autoimmune liver </w:t>
            </w:r>
          </w:p>
          <w:p w:rsidR="002402D3" w:rsidRPr="00AA229D" w:rsidRDefault="002402D3" w:rsidP="002402D3">
            <w:pPr>
              <w:rPr>
                <w:rFonts w:eastAsia="Calibri"/>
                <w:sz w:val="12"/>
                <w:szCs w:val="12"/>
              </w:rPr>
            </w:pPr>
            <w:r w:rsidRPr="00AA229D">
              <w:rPr>
                <w:rFonts w:eastAsia="Calibri"/>
                <w:sz w:val="12"/>
                <w:szCs w:val="12"/>
              </w:rPr>
              <w:t xml:space="preserve">disease - namely type-l and type-2 autoimmune hepatitis, as well as primary biliary cirrhosis - was excluded by negativity for non-organ specific autoantibodies (antibodies to nuclei, smooth muscle, liver-kidney microsomes, liver cytosol, and mitochondria), detected at 1:40 dilution by indirect immunofluorescence </w:t>
            </w:r>
          </w:p>
          <w:p w:rsidR="002402D3" w:rsidRPr="00AA229D" w:rsidRDefault="002402D3" w:rsidP="002402D3">
            <w:pPr>
              <w:rPr>
                <w:rFonts w:eastAsia="Calibri"/>
                <w:sz w:val="12"/>
                <w:szCs w:val="12"/>
              </w:rPr>
            </w:pPr>
            <w:r w:rsidRPr="00AA229D">
              <w:rPr>
                <w:rFonts w:eastAsia="Calibri"/>
                <w:sz w:val="12"/>
                <w:szCs w:val="12"/>
              </w:rPr>
              <w:t xml:space="preserve">(IFL) on rodent tissues. A condition of enzyme deficiency was ruled out by normal values of caeruloplasmin and al-antitrypsin. Toxic and over-load-related </w:t>
            </w:r>
          </w:p>
          <w:p w:rsidR="002402D3" w:rsidRPr="00AA229D" w:rsidRDefault="002402D3" w:rsidP="002402D3">
            <w:pPr>
              <w:rPr>
                <w:rFonts w:eastAsia="Calibri"/>
                <w:sz w:val="12"/>
                <w:szCs w:val="12"/>
              </w:rPr>
            </w:pPr>
            <w:r w:rsidRPr="00AA229D">
              <w:rPr>
                <w:rFonts w:eastAsia="Calibri"/>
                <w:sz w:val="12"/>
                <w:szCs w:val="12"/>
              </w:rPr>
              <w:t xml:space="preserve">causes (alcohol, drugs, iron) were also excluded, as </w:t>
            </w:r>
          </w:p>
          <w:p w:rsidR="002402D3" w:rsidRPr="00AA229D" w:rsidRDefault="002402D3" w:rsidP="002402D3">
            <w:pPr>
              <w:rPr>
                <w:rFonts w:eastAsia="Calibri"/>
                <w:sz w:val="12"/>
                <w:szCs w:val="12"/>
              </w:rPr>
            </w:pPr>
            <w:r w:rsidRPr="00AA229D">
              <w:rPr>
                <w:rFonts w:eastAsia="Calibri"/>
                <w:sz w:val="12"/>
                <w:szCs w:val="12"/>
              </w:rPr>
              <w:t xml:space="preserve">well as normal thyroid function observed in all cases. </w:t>
            </w:r>
          </w:p>
          <w:p w:rsidR="002402D3" w:rsidRPr="00AA229D" w:rsidRDefault="002402D3" w:rsidP="002402D3">
            <w:pPr>
              <w:rPr>
                <w:rFonts w:eastAsia="Calibri"/>
                <w:sz w:val="12"/>
                <w:szCs w:val="12"/>
              </w:rPr>
            </w:pPr>
            <w:r w:rsidRPr="00AA229D">
              <w:rPr>
                <w:rFonts w:eastAsia="Calibri"/>
                <w:sz w:val="12"/>
                <w:szCs w:val="12"/>
              </w:rPr>
              <w:t xml:space="preserve">Assessment of liver and absorption tests including </w:t>
            </w:r>
          </w:p>
          <w:p w:rsidR="002402D3" w:rsidRPr="00AA229D" w:rsidRDefault="002402D3" w:rsidP="002402D3">
            <w:pPr>
              <w:rPr>
                <w:rFonts w:eastAsia="Calibri"/>
                <w:sz w:val="12"/>
                <w:szCs w:val="12"/>
              </w:rPr>
            </w:pPr>
            <w:r w:rsidRPr="00AA229D">
              <w:rPr>
                <w:rFonts w:eastAsia="Calibri"/>
                <w:sz w:val="12"/>
                <w:szCs w:val="12"/>
              </w:rPr>
              <w:t xml:space="preserve">ALT, AST, AP, y-GT, serum albumin and gamma globulins, prothrombin time, iron, transfer&amp; ferritin, calcium, vitamin B~z, and folic acid, was performed in all </w:t>
            </w:r>
          </w:p>
          <w:p w:rsidR="002402D3" w:rsidRPr="00AA229D" w:rsidRDefault="002402D3" w:rsidP="002402D3">
            <w:pPr>
              <w:rPr>
                <w:rFonts w:eastAsia="Calibri"/>
                <w:sz w:val="12"/>
                <w:szCs w:val="12"/>
              </w:rPr>
            </w:pPr>
            <w:r w:rsidRPr="00AA229D">
              <w:rPr>
                <w:rFonts w:eastAsia="Calibri"/>
                <w:sz w:val="12"/>
                <w:szCs w:val="12"/>
              </w:rPr>
              <w:t xml:space="preserve">cases with hypertransaminasaemia of unknown origin. </w:t>
            </w:r>
          </w:p>
          <w:p w:rsidR="002402D3" w:rsidRPr="00AA229D" w:rsidRDefault="002402D3" w:rsidP="002402D3">
            <w:pPr>
              <w:rPr>
                <w:rFonts w:eastAsia="Calibri"/>
                <w:sz w:val="12"/>
                <w:szCs w:val="12"/>
              </w:rPr>
            </w:pPr>
            <w:r w:rsidRPr="00AA229D">
              <w:rPr>
                <w:rFonts w:eastAsia="Calibri"/>
                <w:sz w:val="12"/>
                <w:szCs w:val="12"/>
              </w:rPr>
              <w:t xml:space="preserve">Liver ultrasonography was also carried out. </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Laboratory investigations included hemogram and tests of the</w:t>
            </w:r>
          </w:p>
          <w:p w:rsidR="002402D3" w:rsidRPr="00AA229D" w:rsidRDefault="002402D3" w:rsidP="002402D3">
            <w:pPr>
              <w:rPr>
                <w:rFonts w:eastAsia="Calibri"/>
                <w:sz w:val="12"/>
                <w:szCs w:val="12"/>
              </w:rPr>
            </w:pPr>
            <w:r w:rsidRPr="00AA229D">
              <w:rPr>
                <w:rFonts w:eastAsia="Calibri"/>
                <w:sz w:val="12"/>
                <w:szCs w:val="12"/>
              </w:rPr>
              <w:t>main parameters of liver and kidney functions. Immunoglobulin levels were evaluated to exclude IgA deficiency. The presence of hemochromatosis was determined on the basis of serum and total ironbinding capacity, transferrin saturation percentage, and serum ferritin levels. Furthermore, all subjects underwent serological screening</w:t>
            </w:r>
          </w:p>
          <w:p w:rsidR="002402D3" w:rsidRPr="00AA229D" w:rsidRDefault="002402D3" w:rsidP="002402D3">
            <w:pPr>
              <w:rPr>
                <w:rFonts w:eastAsia="Calibri"/>
                <w:sz w:val="12"/>
                <w:szCs w:val="12"/>
              </w:rPr>
            </w:pPr>
            <w:r w:rsidRPr="00AA229D">
              <w:rPr>
                <w:rFonts w:eastAsia="Calibri"/>
                <w:sz w:val="12"/>
                <w:szCs w:val="12"/>
              </w:rPr>
              <w:t>for viral hepatitis B and C. The presence of anti-HCV antibodies was</w:t>
            </w:r>
          </w:p>
          <w:p w:rsidR="002402D3" w:rsidRPr="00AA229D" w:rsidRDefault="002402D3" w:rsidP="002402D3">
            <w:pPr>
              <w:rPr>
                <w:rFonts w:eastAsia="Calibri"/>
                <w:sz w:val="12"/>
                <w:szCs w:val="12"/>
              </w:rPr>
            </w:pPr>
            <w:r w:rsidRPr="00AA229D">
              <w:rPr>
                <w:rFonts w:eastAsia="Calibri"/>
                <w:sz w:val="12"/>
                <w:szCs w:val="12"/>
              </w:rPr>
              <w:t>determined by a third-generation enzyme immunoassay (EIA 3,</w:t>
            </w:r>
          </w:p>
          <w:p w:rsidR="002402D3" w:rsidRPr="00AA229D" w:rsidRDefault="002402D3" w:rsidP="002402D3">
            <w:pPr>
              <w:rPr>
                <w:rFonts w:eastAsia="Calibri"/>
                <w:sz w:val="12"/>
                <w:szCs w:val="12"/>
              </w:rPr>
            </w:pPr>
            <w:r w:rsidRPr="00AA229D">
              <w:rPr>
                <w:rFonts w:eastAsia="Calibri"/>
                <w:sz w:val="12"/>
                <w:szCs w:val="12"/>
              </w:rPr>
              <w:t>Ortho HCV 3rd generation; Ortho Diagnostic Systems, Raritan,</w:t>
            </w:r>
          </w:p>
          <w:p w:rsidR="002402D3" w:rsidRPr="00AA229D" w:rsidRDefault="002402D3" w:rsidP="002402D3">
            <w:pPr>
              <w:rPr>
                <w:rFonts w:eastAsia="Calibri"/>
                <w:sz w:val="12"/>
                <w:szCs w:val="12"/>
              </w:rPr>
            </w:pPr>
            <w:r w:rsidRPr="00AA229D">
              <w:rPr>
                <w:rFonts w:eastAsia="Calibri"/>
                <w:sz w:val="12"/>
                <w:szCs w:val="12"/>
              </w:rPr>
              <w:t>N.J.) in accordance with the manufacturer’s instructions. Sera were</w:t>
            </w:r>
          </w:p>
          <w:p w:rsidR="002402D3" w:rsidRPr="00AA229D" w:rsidRDefault="002402D3" w:rsidP="002402D3">
            <w:pPr>
              <w:rPr>
                <w:rFonts w:eastAsia="Calibri"/>
                <w:sz w:val="12"/>
                <w:szCs w:val="12"/>
              </w:rPr>
            </w:pPr>
            <w:r w:rsidRPr="00AA229D">
              <w:rPr>
                <w:rFonts w:eastAsia="Calibri"/>
                <w:sz w:val="12"/>
                <w:szCs w:val="12"/>
              </w:rPr>
              <w:t>also tested for HBsAg by a commercial enzyme-linked immunosorbent assay (Abbott Diagnostics, North Chicago, Ill., USA). In all subjects, the presence of antinuclear antibodies, antimitochondrial antibodies, anti-smooth muscle antibodies, and anti-liver-kidney-microsomal antibodies was also evaluated by indirect immunofluorescence, using commercial kits.</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 current or past medical treatment, illicit drug use, ethanol</w:t>
            </w:r>
          </w:p>
          <w:p w:rsidR="002402D3" w:rsidRPr="00AA229D" w:rsidRDefault="002402D3" w:rsidP="002402D3">
            <w:pPr>
              <w:rPr>
                <w:rFonts w:eastAsia="Calibri"/>
                <w:sz w:val="12"/>
                <w:szCs w:val="12"/>
              </w:rPr>
            </w:pPr>
            <w:r w:rsidRPr="00AA229D">
              <w:rPr>
                <w:rFonts w:eastAsia="Calibri"/>
                <w:sz w:val="12"/>
                <w:szCs w:val="12"/>
              </w:rPr>
              <w:t>abuse, and professional exposure to hepatotoxins that could account</w:t>
            </w:r>
          </w:p>
          <w:p w:rsidR="002402D3" w:rsidRPr="00AA229D" w:rsidRDefault="002402D3" w:rsidP="002402D3">
            <w:pPr>
              <w:rPr>
                <w:rFonts w:eastAsia="Calibri"/>
                <w:sz w:val="12"/>
                <w:szCs w:val="12"/>
              </w:rPr>
            </w:pPr>
            <w:r w:rsidRPr="00AA229D">
              <w:rPr>
                <w:rFonts w:eastAsia="Calibri"/>
                <w:sz w:val="12"/>
                <w:szCs w:val="12"/>
              </w:rPr>
              <w:t>for the hypertransaminasemia.</w:t>
            </w:r>
          </w:p>
          <w:p w:rsidR="002402D3" w:rsidRPr="00AA229D" w:rsidRDefault="002402D3" w:rsidP="002402D3">
            <w:pPr>
              <w:rPr>
                <w:rFonts w:eastAsia="Calibri"/>
                <w:sz w:val="12"/>
                <w:szCs w:val="12"/>
              </w:rPr>
            </w:pPr>
            <w:r w:rsidRPr="00AA229D">
              <w:rPr>
                <w:rFonts w:eastAsia="Calibri"/>
                <w:sz w:val="12"/>
                <w:szCs w:val="12"/>
              </w:rPr>
              <w:t>3) Negativity of the following tests to exclude viral infection:</w:t>
            </w:r>
          </w:p>
          <w:p w:rsidR="002402D3" w:rsidRPr="00AA229D" w:rsidRDefault="002402D3" w:rsidP="002402D3">
            <w:pPr>
              <w:rPr>
                <w:rFonts w:eastAsia="Calibri"/>
                <w:sz w:val="12"/>
                <w:szCs w:val="12"/>
              </w:rPr>
            </w:pPr>
            <w:r w:rsidRPr="00AA229D">
              <w:rPr>
                <w:rFonts w:eastAsia="Calibri"/>
                <w:sz w:val="12"/>
                <w:szCs w:val="12"/>
              </w:rPr>
              <w:t>hepatitis B surface antigen (HBsAg; radioimmunoassay, Abbott</w:t>
            </w:r>
          </w:p>
          <w:p w:rsidR="002402D3" w:rsidRPr="00AA229D" w:rsidRDefault="002402D3" w:rsidP="002402D3">
            <w:pPr>
              <w:rPr>
                <w:rFonts w:eastAsia="Calibri"/>
                <w:sz w:val="12"/>
                <w:szCs w:val="12"/>
              </w:rPr>
            </w:pPr>
            <w:r w:rsidRPr="00AA229D">
              <w:rPr>
                <w:rFonts w:eastAsia="Calibri"/>
                <w:sz w:val="12"/>
                <w:szCs w:val="12"/>
              </w:rPr>
              <w:t>Laboratories, North Chicago, IL), antibody to hepatitis C virus</w:t>
            </w:r>
          </w:p>
          <w:p w:rsidR="002402D3" w:rsidRPr="00AA229D" w:rsidRDefault="002402D3" w:rsidP="002402D3">
            <w:pPr>
              <w:rPr>
                <w:rFonts w:eastAsia="Calibri"/>
                <w:sz w:val="12"/>
                <w:szCs w:val="12"/>
              </w:rPr>
            </w:pPr>
            <w:r w:rsidRPr="00AA229D">
              <w:rPr>
                <w:rFonts w:eastAsia="Calibri"/>
                <w:sz w:val="12"/>
                <w:szCs w:val="12"/>
              </w:rPr>
              <w:t>(HCV; recombinant immunoblot assay; RIBA II; Ortho Diagnostic</w:t>
            </w:r>
          </w:p>
          <w:p w:rsidR="002402D3" w:rsidRPr="00AA229D" w:rsidRDefault="002402D3" w:rsidP="002402D3">
            <w:pPr>
              <w:rPr>
                <w:rFonts w:eastAsia="Calibri"/>
                <w:sz w:val="12"/>
                <w:szCs w:val="12"/>
              </w:rPr>
            </w:pPr>
            <w:r w:rsidRPr="00AA229D">
              <w:rPr>
                <w:rFonts w:eastAsia="Calibri"/>
                <w:sz w:val="12"/>
                <w:szCs w:val="12"/>
              </w:rPr>
              <w:t>System, Milan, Italy), serum HCV-RNA (reverse-transcriptase polymerase chain reaction; Amplicat HCV test, Hoffman-La Roche,</w:t>
            </w:r>
          </w:p>
          <w:p w:rsidR="002402D3" w:rsidRPr="00AA229D" w:rsidRDefault="002402D3" w:rsidP="002402D3">
            <w:pPr>
              <w:rPr>
                <w:rFonts w:eastAsia="Calibri"/>
                <w:sz w:val="12"/>
                <w:szCs w:val="12"/>
              </w:rPr>
            </w:pPr>
            <w:r w:rsidRPr="00AA229D">
              <w:rPr>
                <w:rFonts w:eastAsia="Calibri"/>
                <w:sz w:val="12"/>
                <w:szCs w:val="12"/>
              </w:rPr>
              <w:t>Basel, Switzerland), hepatitis G virus RNA (HGV-RNA; PCR DIG</w:t>
            </w:r>
          </w:p>
          <w:p w:rsidR="002402D3" w:rsidRPr="00AA229D" w:rsidRDefault="002402D3" w:rsidP="002402D3">
            <w:pPr>
              <w:rPr>
                <w:rFonts w:eastAsia="Calibri"/>
                <w:sz w:val="12"/>
                <w:szCs w:val="12"/>
              </w:rPr>
            </w:pPr>
            <w:r w:rsidRPr="00AA229D">
              <w:rPr>
                <w:rFonts w:eastAsia="Calibri"/>
                <w:sz w:val="12"/>
                <w:szCs w:val="12"/>
              </w:rPr>
              <w:t>Labelling Mix, Boehringer Mannheim, Mannheim, Germany) and</w:t>
            </w:r>
          </w:p>
          <w:p w:rsidR="002402D3" w:rsidRPr="00AA229D" w:rsidRDefault="002402D3" w:rsidP="002402D3">
            <w:pPr>
              <w:rPr>
                <w:rFonts w:eastAsia="Calibri"/>
                <w:sz w:val="12"/>
                <w:szCs w:val="12"/>
              </w:rPr>
            </w:pPr>
            <w:r w:rsidRPr="00AA229D">
              <w:rPr>
                <w:rFonts w:eastAsia="Calibri"/>
                <w:sz w:val="12"/>
                <w:szCs w:val="12"/>
              </w:rPr>
              <w:t>anticytomegalovirus (standard immunoenzymatic method).</w:t>
            </w:r>
          </w:p>
          <w:p w:rsidR="002402D3" w:rsidRPr="00AA229D" w:rsidRDefault="002402D3" w:rsidP="002402D3">
            <w:pPr>
              <w:rPr>
                <w:rFonts w:eastAsia="Calibri"/>
                <w:sz w:val="12"/>
                <w:szCs w:val="12"/>
              </w:rPr>
            </w:pPr>
            <w:r w:rsidRPr="00AA229D">
              <w:rPr>
                <w:rFonts w:eastAsia="Calibri"/>
                <w:sz w:val="12"/>
                <w:szCs w:val="12"/>
              </w:rPr>
              <w:t>4) Negativity of the assays for antinuclear, antimitochondria,</w:t>
            </w:r>
          </w:p>
          <w:p w:rsidR="002402D3" w:rsidRPr="00AA229D" w:rsidRDefault="002402D3" w:rsidP="002402D3">
            <w:pPr>
              <w:rPr>
                <w:rFonts w:eastAsia="Calibri"/>
                <w:sz w:val="12"/>
                <w:szCs w:val="12"/>
              </w:rPr>
            </w:pPr>
            <w:r w:rsidRPr="00AA229D">
              <w:rPr>
                <w:rFonts w:eastAsia="Calibri"/>
                <w:sz w:val="12"/>
                <w:szCs w:val="12"/>
              </w:rPr>
              <w:t>antismooth muscle, antiliver–kidney microsomes, antineutrophil</w:t>
            </w:r>
          </w:p>
          <w:p w:rsidR="002402D3" w:rsidRPr="00AA229D" w:rsidRDefault="002402D3" w:rsidP="002402D3">
            <w:pPr>
              <w:rPr>
                <w:rFonts w:eastAsia="Calibri"/>
                <w:sz w:val="12"/>
                <w:szCs w:val="12"/>
              </w:rPr>
            </w:pPr>
            <w:r w:rsidRPr="00AA229D">
              <w:rPr>
                <w:rFonts w:eastAsia="Calibri"/>
                <w:sz w:val="12"/>
                <w:szCs w:val="12"/>
              </w:rPr>
              <w:t>cytoplasmic autoantibodies (indirect immunofluorescence).</w:t>
            </w:r>
          </w:p>
          <w:p w:rsidR="002402D3" w:rsidRPr="00AA229D" w:rsidRDefault="002402D3" w:rsidP="002402D3">
            <w:pPr>
              <w:rPr>
                <w:rFonts w:eastAsia="Calibri"/>
                <w:sz w:val="12"/>
                <w:szCs w:val="12"/>
              </w:rPr>
            </w:pPr>
            <w:r w:rsidRPr="00AA229D">
              <w:rPr>
                <w:rFonts w:eastAsia="Calibri"/>
                <w:sz w:val="12"/>
                <w:szCs w:val="12"/>
              </w:rPr>
              <w:t>5) No evidence of hemochromatosis on the basis of serum iron</w:t>
            </w:r>
          </w:p>
          <w:p w:rsidR="002402D3" w:rsidRPr="00AA229D" w:rsidRDefault="002402D3" w:rsidP="002402D3">
            <w:pPr>
              <w:rPr>
                <w:rFonts w:eastAsia="Calibri"/>
                <w:sz w:val="12"/>
                <w:szCs w:val="12"/>
              </w:rPr>
            </w:pPr>
            <w:r w:rsidRPr="00AA229D">
              <w:rPr>
                <w:rFonts w:eastAsia="Calibri"/>
                <w:sz w:val="12"/>
                <w:szCs w:val="12"/>
              </w:rPr>
              <w:t>and total iron binding capacity, transferrin saturation percent, and</w:t>
            </w:r>
          </w:p>
          <w:p w:rsidR="002402D3" w:rsidRPr="00AA229D" w:rsidRDefault="002402D3" w:rsidP="002402D3">
            <w:pPr>
              <w:rPr>
                <w:rFonts w:eastAsia="Calibri"/>
                <w:sz w:val="12"/>
                <w:szCs w:val="12"/>
              </w:rPr>
            </w:pPr>
            <w:r w:rsidRPr="00AA229D">
              <w:rPr>
                <w:rFonts w:eastAsia="Calibri"/>
                <w:sz w:val="12"/>
                <w:szCs w:val="12"/>
              </w:rPr>
              <w:t>serum ferritin levelsNormal plasma levels of a1-antitrypsin and caeruloplasmin</w:t>
            </w:r>
          </w:p>
          <w:p w:rsidR="002402D3" w:rsidRPr="00AA229D" w:rsidRDefault="002402D3" w:rsidP="002402D3">
            <w:pPr>
              <w:rPr>
                <w:rFonts w:eastAsia="Calibri"/>
                <w:sz w:val="12"/>
                <w:szCs w:val="12"/>
              </w:rPr>
            </w:pPr>
            <w:r w:rsidRPr="00AA229D">
              <w:rPr>
                <w:rFonts w:eastAsia="Calibri"/>
                <w:sz w:val="12"/>
                <w:szCs w:val="12"/>
              </w:rPr>
              <w:t>levels.</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Diseases ruled out prior to classifying as cryptogenic liver disease</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viral hepatitis</w:t>
            </w:r>
          </w:p>
          <w:p w:rsidR="002402D3" w:rsidRPr="00AA229D" w:rsidRDefault="002402D3" w:rsidP="002402D3">
            <w:pPr>
              <w:rPr>
                <w:rFonts w:eastAsia="Calibri"/>
                <w:sz w:val="12"/>
                <w:szCs w:val="12"/>
              </w:rPr>
            </w:pPr>
            <w:r w:rsidRPr="00AA229D">
              <w:rPr>
                <w:rFonts w:eastAsia="Calibri"/>
                <w:sz w:val="12"/>
                <w:szCs w:val="12"/>
              </w:rPr>
              <w:t>or autoimmune hepatitis or other liver insults (drug toxicity,</w:t>
            </w:r>
          </w:p>
          <w:p w:rsidR="002402D3" w:rsidRPr="00AA229D" w:rsidRDefault="002402D3" w:rsidP="002402D3">
            <w:pPr>
              <w:rPr>
                <w:rFonts w:eastAsia="Calibri"/>
                <w:sz w:val="12"/>
                <w:szCs w:val="12"/>
              </w:rPr>
            </w:pPr>
            <w:r w:rsidRPr="00AA229D">
              <w:rPr>
                <w:rFonts w:eastAsia="Calibri"/>
                <w:sz w:val="12"/>
                <w:szCs w:val="12"/>
              </w:rPr>
              <w:t>alcoholic liver injury)</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abnormal LFT not known to be related to acute drug toxicity, ischemic attack, or other</w:t>
            </w:r>
          </w:p>
          <w:p w:rsidR="002402D3" w:rsidRPr="00AA229D" w:rsidRDefault="002402D3" w:rsidP="002402D3">
            <w:pPr>
              <w:rPr>
                <w:rFonts w:eastAsia="Calibri"/>
                <w:sz w:val="12"/>
                <w:szCs w:val="12"/>
              </w:rPr>
            </w:pPr>
            <w:r w:rsidRPr="00AA229D">
              <w:rPr>
                <w:rFonts w:eastAsia="Calibri"/>
                <w:sz w:val="12"/>
                <w:szCs w:val="12"/>
              </w:rPr>
              <w:t>toxic liver insults (such as alcoholic liver injury) were included: cases included aih, nash, pbc, psc, viral hepatitis, Wilson’s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lcoholic liver cirrhosis, </w:t>
            </w:r>
          </w:p>
          <w:p w:rsidR="002402D3" w:rsidRPr="00AA229D" w:rsidRDefault="002402D3" w:rsidP="002402D3">
            <w:pPr>
              <w:rPr>
                <w:rFonts w:eastAsia="Calibri"/>
                <w:sz w:val="12"/>
                <w:szCs w:val="12"/>
              </w:rPr>
            </w:pPr>
            <w:r w:rsidRPr="00AA229D">
              <w:rPr>
                <w:rFonts w:eastAsia="Calibri"/>
                <w:sz w:val="12"/>
                <w:szCs w:val="12"/>
              </w:rPr>
              <w:t>Autoimmune hepatitis typeⅠ</w:t>
            </w:r>
          </w:p>
          <w:p w:rsidR="002402D3" w:rsidRPr="00AA229D" w:rsidRDefault="002402D3" w:rsidP="002402D3">
            <w:pPr>
              <w:rPr>
                <w:rFonts w:eastAsia="Calibri"/>
                <w:sz w:val="12"/>
                <w:szCs w:val="12"/>
              </w:rPr>
            </w:pPr>
            <w:r w:rsidRPr="00AA229D">
              <w:rPr>
                <w:rFonts w:eastAsia="Calibri"/>
                <w:sz w:val="12"/>
                <w:szCs w:val="12"/>
              </w:rPr>
              <w:t xml:space="preserve">Viral hepatitis B Viral hepatitis C </w:t>
            </w:r>
          </w:p>
          <w:p w:rsidR="002402D3" w:rsidRPr="00AA229D" w:rsidRDefault="002402D3" w:rsidP="002402D3">
            <w:pPr>
              <w:rPr>
                <w:rFonts w:eastAsia="Calibri"/>
                <w:sz w:val="12"/>
                <w:szCs w:val="12"/>
              </w:rPr>
            </w:pPr>
            <w:r w:rsidRPr="00AA229D">
              <w:rPr>
                <w:rFonts w:eastAsia="Calibri"/>
                <w:sz w:val="12"/>
                <w:szCs w:val="12"/>
              </w:rPr>
              <w:t xml:space="preserve">Wilson’s disease Primary biliary cirrhosis Primary sclerosing cholangitis Cryptogenic liver cirrhosis Budd-Chiari syndrome </w:t>
            </w:r>
          </w:p>
          <w:p w:rsidR="002402D3" w:rsidRPr="00AA229D" w:rsidRDefault="002402D3" w:rsidP="002402D3">
            <w:pPr>
              <w:rPr>
                <w:rFonts w:eastAsia="Calibri"/>
                <w:sz w:val="12"/>
                <w:szCs w:val="12"/>
              </w:rPr>
            </w:pPr>
            <w:r w:rsidRPr="00AA229D">
              <w:rPr>
                <w:rFonts w:eastAsia="Calibri"/>
                <w:sz w:val="12"/>
                <w:szCs w:val="12"/>
              </w:rPr>
              <w:t xml:space="preserve">Polycystic liver </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viral hepatitis, autoimmune, hemochromatosis, Wilson, Fatty liver, Alcoholic liver and drug causes</w:t>
            </w:r>
          </w:p>
        </w:tc>
        <w:tc>
          <w:tcPr>
            <w:tcW w:w="90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Viral, metabolic, autoimmune, toxic causes </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Viral , autoimmune, nafld, alcoholic, wilson’s disease, 2 with</w:t>
            </w:r>
          </w:p>
          <w:p w:rsidR="002402D3" w:rsidRPr="00AA229D" w:rsidRDefault="002402D3" w:rsidP="002402D3">
            <w:pPr>
              <w:rPr>
                <w:rFonts w:eastAsia="Calibri"/>
                <w:sz w:val="12"/>
                <w:szCs w:val="12"/>
              </w:rPr>
            </w:pPr>
            <w:r w:rsidRPr="00AA229D">
              <w:rPr>
                <w:rFonts w:eastAsia="Calibri"/>
                <w:sz w:val="12"/>
                <w:szCs w:val="12"/>
              </w:rPr>
              <w:t>transaminasemiadue to hyperthyroidism, and 7 with miscellaneous disorders</w:t>
            </w:r>
          </w:p>
          <w:p w:rsidR="002402D3" w:rsidRPr="00AA229D" w:rsidRDefault="002402D3" w:rsidP="002402D3">
            <w:pPr>
              <w:rPr>
                <w:rFonts w:eastAsia="Calibri"/>
                <w:sz w:val="12"/>
                <w:szCs w:val="12"/>
              </w:rPr>
            </w:pPr>
            <w:r w:rsidRPr="00AA229D">
              <w:rPr>
                <w:rFonts w:eastAsia="Calibri"/>
                <w:sz w:val="12"/>
                <w:szCs w:val="12"/>
              </w:rPr>
              <w:t>such as mitochondrial disease, benign cholestasis of pregnancy, dysfunction of</w:t>
            </w:r>
          </w:p>
          <w:p w:rsidR="002402D3" w:rsidRPr="00AA229D" w:rsidRDefault="002402D3" w:rsidP="002402D3">
            <w:pPr>
              <w:rPr>
                <w:rFonts w:eastAsia="Calibri"/>
                <w:sz w:val="12"/>
                <w:szCs w:val="12"/>
              </w:rPr>
            </w:pPr>
            <w:r w:rsidRPr="00AA229D">
              <w:rPr>
                <w:rFonts w:eastAsia="Calibri"/>
                <w:sz w:val="12"/>
                <w:szCs w:val="12"/>
              </w:rPr>
              <w:t>the sphincter of Oddi, 1-antithrypsin deficiency, drug-induced hepatitis, Gilbert</w:t>
            </w:r>
          </w:p>
          <w:p w:rsidR="002402D3" w:rsidRPr="00AA229D" w:rsidRDefault="002402D3" w:rsidP="002402D3">
            <w:pPr>
              <w:rPr>
                <w:rFonts w:eastAsia="Calibri"/>
                <w:sz w:val="12"/>
                <w:szCs w:val="12"/>
              </w:rPr>
            </w:pPr>
            <w:r w:rsidRPr="00AA229D">
              <w:rPr>
                <w:rFonts w:eastAsia="Calibri"/>
                <w:sz w:val="12"/>
                <w:szCs w:val="12"/>
              </w:rPr>
              <w:t>syndrome, and secondary hemochromatosis</w:t>
            </w:r>
          </w:p>
        </w:tc>
        <w:tc>
          <w:tcPr>
            <w:tcW w:w="72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All were negative for hepatitis B (hepatitis B surface</w:t>
            </w:r>
          </w:p>
          <w:p w:rsidR="002402D3" w:rsidRPr="00AA229D" w:rsidRDefault="002402D3" w:rsidP="002402D3">
            <w:pPr>
              <w:rPr>
                <w:rFonts w:eastAsia="Calibri"/>
                <w:sz w:val="12"/>
                <w:szCs w:val="12"/>
              </w:rPr>
            </w:pPr>
            <w:r w:rsidRPr="00AA229D">
              <w:rPr>
                <w:rFonts w:eastAsia="Calibri"/>
                <w:sz w:val="12"/>
                <w:szCs w:val="12"/>
              </w:rPr>
              <w:t>antigen), hepatitis C (antibody and RNA) and hepatitis</w:t>
            </w:r>
          </w:p>
          <w:p w:rsidR="002402D3" w:rsidRPr="00AA229D" w:rsidRDefault="002402D3" w:rsidP="002402D3">
            <w:pPr>
              <w:rPr>
                <w:rFonts w:eastAsia="Calibri"/>
                <w:sz w:val="12"/>
                <w:szCs w:val="12"/>
              </w:rPr>
            </w:pPr>
            <w:r w:rsidRPr="00AA229D">
              <w:rPr>
                <w:rFonts w:eastAsia="Calibri"/>
                <w:sz w:val="12"/>
                <w:szCs w:val="12"/>
              </w:rPr>
              <w:t>G. Antinuclear, anti-mitochondria, anti-smooth-muscle,</w:t>
            </w:r>
          </w:p>
          <w:p w:rsidR="002402D3" w:rsidRPr="00AA229D" w:rsidRDefault="002402D3" w:rsidP="002402D3">
            <w:pPr>
              <w:rPr>
                <w:rFonts w:eastAsia="Calibri"/>
                <w:sz w:val="12"/>
                <w:szCs w:val="12"/>
              </w:rPr>
            </w:pPr>
            <w:r w:rsidRPr="00AA229D">
              <w:rPr>
                <w:rFonts w:eastAsia="Calibri"/>
                <w:sz w:val="12"/>
                <w:szCs w:val="12"/>
              </w:rPr>
              <w:t>anti-liver–kidney and anti-neutrophil cytoplasmic autoantibodies were all negative. Metabolic hepatic disease</w:t>
            </w:r>
          </w:p>
          <w:p w:rsidR="002402D3" w:rsidRPr="00AA229D" w:rsidRDefault="002402D3" w:rsidP="002402D3">
            <w:pPr>
              <w:rPr>
                <w:rFonts w:eastAsia="Calibri"/>
                <w:sz w:val="12"/>
                <w:szCs w:val="12"/>
              </w:rPr>
            </w:pPr>
            <w:r w:rsidRPr="00AA229D">
              <w:rPr>
                <w:rFonts w:eastAsia="Calibri"/>
                <w:sz w:val="12"/>
                <w:szCs w:val="12"/>
              </w:rPr>
              <w:t>was excluded by testing for serum iron, total ironbinding capacity, transferrin saturation, ferritin, ceruloplasmin and alpha-1-anti-trypsin.</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Ingestion of ethanol &gt; 60 g/daily in male patients</w:t>
            </w:r>
          </w:p>
          <w:p w:rsidR="002402D3" w:rsidRPr="00AA229D" w:rsidRDefault="002402D3" w:rsidP="002402D3">
            <w:pPr>
              <w:rPr>
                <w:rFonts w:eastAsia="Calibri"/>
                <w:sz w:val="12"/>
                <w:szCs w:val="12"/>
              </w:rPr>
            </w:pPr>
            <w:r w:rsidRPr="00AA229D">
              <w:rPr>
                <w:rFonts w:eastAsia="Calibri"/>
                <w:sz w:val="12"/>
                <w:szCs w:val="12"/>
              </w:rPr>
              <w:t>and 30 g/daily in females (16); b) use of potentially hepa -</w:t>
            </w:r>
          </w:p>
          <w:p w:rsidR="002402D3" w:rsidRPr="00AA229D" w:rsidRDefault="002402D3" w:rsidP="002402D3">
            <w:pPr>
              <w:rPr>
                <w:rFonts w:eastAsia="Calibri"/>
                <w:sz w:val="12"/>
                <w:szCs w:val="12"/>
              </w:rPr>
            </w:pPr>
            <w:r w:rsidRPr="00AA229D">
              <w:rPr>
                <w:rFonts w:eastAsia="Calibri"/>
                <w:sz w:val="12"/>
                <w:szCs w:val="12"/>
              </w:rPr>
              <w:t>totoxic drugs and toxins; c) positive testing in assays for</w:t>
            </w:r>
          </w:p>
          <w:p w:rsidR="002402D3" w:rsidRPr="00AA229D" w:rsidRDefault="002402D3" w:rsidP="002402D3">
            <w:pPr>
              <w:rPr>
                <w:rFonts w:eastAsia="Calibri"/>
                <w:sz w:val="12"/>
                <w:szCs w:val="12"/>
              </w:rPr>
            </w:pPr>
            <w:r w:rsidRPr="00AA229D">
              <w:rPr>
                <w:rFonts w:eastAsia="Calibri"/>
                <w:sz w:val="12"/>
                <w:szCs w:val="12"/>
              </w:rPr>
              <w:t>hepatitis B surface antigen, antibody to hepatitis C virus</w:t>
            </w:r>
          </w:p>
          <w:p w:rsidR="002402D3" w:rsidRPr="00AA229D" w:rsidRDefault="002402D3" w:rsidP="002402D3">
            <w:pPr>
              <w:rPr>
                <w:rFonts w:eastAsia="Calibri"/>
                <w:sz w:val="12"/>
                <w:szCs w:val="12"/>
              </w:rPr>
            </w:pPr>
            <w:r w:rsidRPr="00AA229D">
              <w:rPr>
                <w:rFonts w:eastAsia="Calibri"/>
                <w:sz w:val="12"/>
                <w:szCs w:val="12"/>
              </w:rPr>
              <w:t>or serum HCV-RNA; d) positive testing in assays for anti -</w:t>
            </w:r>
          </w:p>
          <w:p w:rsidR="002402D3" w:rsidRPr="00AA229D" w:rsidRDefault="002402D3" w:rsidP="002402D3">
            <w:pPr>
              <w:rPr>
                <w:rFonts w:eastAsia="Calibri"/>
                <w:sz w:val="12"/>
                <w:szCs w:val="12"/>
              </w:rPr>
            </w:pPr>
            <w:r w:rsidRPr="00AA229D">
              <w:rPr>
                <w:rFonts w:eastAsia="Calibri"/>
                <w:sz w:val="12"/>
                <w:szCs w:val="12"/>
              </w:rPr>
              <w:t>mitochondria, antinuclear, anti-smooth muscle or anti-li -</w:t>
            </w:r>
          </w:p>
          <w:p w:rsidR="002402D3" w:rsidRPr="00AA229D" w:rsidRDefault="002402D3" w:rsidP="002402D3">
            <w:pPr>
              <w:rPr>
                <w:rFonts w:eastAsia="Calibri"/>
                <w:sz w:val="12"/>
                <w:szCs w:val="12"/>
              </w:rPr>
            </w:pPr>
            <w:r w:rsidRPr="00AA229D">
              <w:rPr>
                <w:rFonts w:eastAsia="Calibri"/>
                <w:sz w:val="12"/>
                <w:szCs w:val="12"/>
              </w:rPr>
              <w:t>ver-kidney microsome auto-antibodies at readings of &gt;</w:t>
            </w:r>
          </w:p>
          <w:p w:rsidR="002402D3" w:rsidRPr="00AA229D" w:rsidRDefault="002402D3" w:rsidP="002402D3">
            <w:pPr>
              <w:rPr>
                <w:rFonts w:eastAsia="Calibri"/>
                <w:sz w:val="12"/>
                <w:szCs w:val="12"/>
              </w:rPr>
            </w:pPr>
            <w:r w:rsidRPr="00AA229D">
              <w:rPr>
                <w:rFonts w:eastAsia="Calibri"/>
                <w:sz w:val="12"/>
                <w:szCs w:val="12"/>
              </w:rPr>
              <w:t>1/40 on more than one occasion; e) hemochromatosis,</w:t>
            </w:r>
          </w:p>
          <w:p w:rsidR="002402D3" w:rsidRPr="00AA229D" w:rsidRDefault="002402D3" w:rsidP="002402D3">
            <w:pPr>
              <w:rPr>
                <w:rFonts w:eastAsia="Calibri"/>
                <w:sz w:val="12"/>
                <w:szCs w:val="12"/>
              </w:rPr>
            </w:pPr>
            <w:r w:rsidRPr="00AA229D">
              <w:rPr>
                <w:rFonts w:eastAsia="Calibri"/>
                <w:sz w:val="12"/>
                <w:szCs w:val="12"/>
              </w:rPr>
              <w:t>Wilson’s disease or alpha1-antitripsin deficiency; f)</w:t>
            </w:r>
          </w:p>
          <w:p w:rsidR="002402D3" w:rsidRPr="00AA229D" w:rsidRDefault="002402D3" w:rsidP="002402D3">
            <w:pPr>
              <w:rPr>
                <w:rFonts w:eastAsia="Calibri"/>
                <w:sz w:val="12"/>
                <w:szCs w:val="12"/>
              </w:rPr>
            </w:pPr>
            <w:r w:rsidRPr="00AA229D">
              <w:rPr>
                <w:rFonts w:eastAsia="Calibri"/>
                <w:sz w:val="12"/>
                <w:szCs w:val="12"/>
              </w:rPr>
              <w:t>echography showing lesions of the biliary tract or hepa -</w:t>
            </w:r>
          </w:p>
          <w:p w:rsidR="002402D3" w:rsidRPr="00AA229D" w:rsidRDefault="002402D3" w:rsidP="002402D3">
            <w:pPr>
              <w:rPr>
                <w:rFonts w:eastAsia="Calibri"/>
                <w:sz w:val="12"/>
                <w:szCs w:val="12"/>
              </w:rPr>
            </w:pPr>
            <w:r w:rsidRPr="00AA229D">
              <w:rPr>
                <w:rFonts w:eastAsia="Calibri"/>
                <w:sz w:val="12"/>
                <w:szCs w:val="12"/>
              </w:rPr>
              <w:t>tic veins, or with space-occupying lesions; g) AST or ALT</w:t>
            </w:r>
          </w:p>
          <w:p w:rsidR="002402D3" w:rsidRPr="00AA229D" w:rsidRDefault="002402D3" w:rsidP="002402D3">
            <w:pPr>
              <w:rPr>
                <w:rFonts w:eastAsia="Calibri"/>
                <w:sz w:val="12"/>
                <w:szCs w:val="12"/>
              </w:rPr>
            </w:pPr>
            <w:r w:rsidRPr="00AA229D">
              <w:rPr>
                <w:rFonts w:eastAsia="Calibri"/>
                <w:sz w:val="12"/>
                <w:szCs w:val="12"/>
              </w:rPr>
              <w:t>&gt; 500 UI/l; h) congestive heart failure; i) uncompensated</w:t>
            </w:r>
          </w:p>
          <w:p w:rsidR="002402D3" w:rsidRPr="00AA229D" w:rsidRDefault="002402D3" w:rsidP="002402D3">
            <w:pPr>
              <w:rPr>
                <w:rFonts w:eastAsia="Calibri"/>
                <w:sz w:val="12"/>
                <w:szCs w:val="12"/>
              </w:rPr>
            </w:pPr>
            <w:r w:rsidRPr="00AA229D">
              <w:rPr>
                <w:rFonts w:eastAsia="Calibri"/>
                <w:sz w:val="12"/>
                <w:szCs w:val="12"/>
              </w:rPr>
              <w:t>liver disease.</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 xml:space="preserve">viral aetiology was </w:t>
            </w:r>
          </w:p>
          <w:p w:rsidR="002402D3" w:rsidRPr="00AA229D" w:rsidRDefault="002402D3" w:rsidP="002402D3">
            <w:pPr>
              <w:rPr>
                <w:rFonts w:eastAsia="Calibri"/>
                <w:sz w:val="12"/>
                <w:szCs w:val="12"/>
              </w:rPr>
            </w:pPr>
            <w:r w:rsidRPr="00AA229D">
              <w:rPr>
                <w:rFonts w:eastAsia="Calibri"/>
                <w:sz w:val="12"/>
                <w:szCs w:val="12"/>
              </w:rPr>
              <w:t xml:space="preserve">ruled out by tests for hepatitis B surface antigen (some </w:t>
            </w:r>
          </w:p>
          <w:p w:rsidR="002402D3" w:rsidRPr="00AA229D" w:rsidRDefault="002402D3" w:rsidP="002402D3">
            <w:pPr>
              <w:rPr>
                <w:rFonts w:eastAsia="Calibri"/>
                <w:sz w:val="12"/>
                <w:szCs w:val="12"/>
              </w:rPr>
            </w:pPr>
            <w:r w:rsidRPr="00AA229D">
              <w:rPr>
                <w:rFonts w:eastAsia="Calibri"/>
                <w:sz w:val="12"/>
                <w:szCs w:val="12"/>
              </w:rPr>
              <w:t xml:space="preserve">were tested and found negative for anti-HBc), antibodies to hepatitis C virus (HCV), HCV-RNA, and hepatitis G virus-RNA by nested reverse transcription (RT) </w:t>
            </w:r>
          </w:p>
          <w:p w:rsidR="002402D3" w:rsidRPr="00AA229D" w:rsidRDefault="002402D3" w:rsidP="002402D3">
            <w:pPr>
              <w:rPr>
                <w:rFonts w:eastAsia="Calibri"/>
                <w:sz w:val="12"/>
                <w:szCs w:val="12"/>
              </w:rPr>
            </w:pPr>
            <w:r w:rsidRPr="00AA229D">
              <w:rPr>
                <w:rFonts w:eastAsia="Calibri"/>
                <w:sz w:val="12"/>
                <w:szCs w:val="12"/>
              </w:rPr>
              <w:t xml:space="preserve">polymerase chain reaction (PCR). Autoimmune liver </w:t>
            </w:r>
          </w:p>
          <w:p w:rsidR="002402D3" w:rsidRPr="00AA229D" w:rsidRDefault="002402D3" w:rsidP="002402D3">
            <w:pPr>
              <w:rPr>
                <w:rFonts w:eastAsia="Calibri"/>
                <w:sz w:val="12"/>
                <w:szCs w:val="12"/>
              </w:rPr>
            </w:pPr>
            <w:r w:rsidRPr="00AA229D">
              <w:rPr>
                <w:rFonts w:eastAsia="Calibri"/>
                <w:sz w:val="12"/>
                <w:szCs w:val="12"/>
              </w:rPr>
              <w:t xml:space="preserve">disease - namely type-l and type-2 autoimmune hepatitis, as well as primary biliary cirrhosis - was excluded by negativity for non-organ specific autoantibodies (antibodies to nuclei, smooth muscle, liver-kidney microsomes, liver cytosol, and mitochondria), detected at 1:40 dilution by indirect immunofluorescence </w:t>
            </w:r>
          </w:p>
          <w:p w:rsidR="002402D3" w:rsidRPr="00AA229D" w:rsidRDefault="002402D3" w:rsidP="002402D3">
            <w:pPr>
              <w:rPr>
                <w:rFonts w:eastAsia="Calibri"/>
                <w:sz w:val="12"/>
                <w:szCs w:val="12"/>
              </w:rPr>
            </w:pPr>
            <w:r w:rsidRPr="00AA229D">
              <w:rPr>
                <w:rFonts w:eastAsia="Calibri"/>
                <w:sz w:val="12"/>
                <w:szCs w:val="12"/>
              </w:rPr>
              <w:t xml:space="preserve">(IFL) on rodent tissues. A condition of enzyme deficiency was ruled out by normal values of caeruloplasmin and al-antitrypsin. Toxic and over-load-related </w:t>
            </w:r>
          </w:p>
          <w:p w:rsidR="002402D3" w:rsidRPr="00AA229D" w:rsidRDefault="002402D3" w:rsidP="002402D3">
            <w:pPr>
              <w:rPr>
                <w:rFonts w:eastAsia="Calibri"/>
                <w:sz w:val="12"/>
                <w:szCs w:val="12"/>
              </w:rPr>
            </w:pPr>
            <w:r w:rsidRPr="00AA229D">
              <w:rPr>
                <w:rFonts w:eastAsia="Calibri"/>
                <w:sz w:val="12"/>
                <w:szCs w:val="12"/>
              </w:rPr>
              <w:t xml:space="preserve">causes (alcohol, drugs, iron) were also excluded, as </w:t>
            </w:r>
          </w:p>
          <w:p w:rsidR="002402D3" w:rsidRPr="00AA229D" w:rsidRDefault="002402D3" w:rsidP="002402D3">
            <w:pPr>
              <w:rPr>
                <w:rFonts w:eastAsia="Calibri"/>
                <w:sz w:val="12"/>
                <w:szCs w:val="12"/>
              </w:rPr>
            </w:pPr>
            <w:r w:rsidRPr="00AA229D">
              <w:rPr>
                <w:rFonts w:eastAsia="Calibri"/>
                <w:sz w:val="12"/>
                <w:szCs w:val="12"/>
              </w:rPr>
              <w:t xml:space="preserve">well as normal thyroid function observed in all cases. </w:t>
            </w:r>
          </w:p>
          <w:p w:rsidR="002402D3" w:rsidRPr="00AA229D" w:rsidRDefault="002402D3" w:rsidP="002402D3">
            <w:pPr>
              <w:rPr>
                <w:rFonts w:eastAsia="Calibri"/>
                <w:sz w:val="12"/>
                <w:szCs w:val="12"/>
              </w:rPr>
            </w:pPr>
            <w:r w:rsidRPr="00AA229D">
              <w:rPr>
                <w:rFonts w:eastAsia="Calibri"/>
                <w:sz w:val="12"/>
                <w:szCs w:val="12"/>
              </w:rPr>
              <w:t xml:space="preserve">Assessment of liver and absorption tests including </w:t>
            </w:r>
          </w:p>
          <w:p w:rsidR="002402D3" w:rsidRPr="00AA229D" w:rsidRDefault="002402D3" w:rsidP="002402D3">
            <w:pPr>
              <w:rPr>
                <w:rFonts w:eastAsia="Calibri"/>
                <w:sz w:val="12"/>
                <w:szCs w:val="12"/>
              </w:rPr>
            </w:pPr>
            <w:r w:rsidRPr="00AA229D">
              <w:rPr>
                <w:rFonts w:eastAsia="Calibri"/>
                <w:sz w:val="12"/>
                <w:szCs w:val="12"/>
              </w:rPr>
              <w:t xml:space="preserve">ALT, AST, AP, y-GT, serum albumin and gamma globulins, prothrombin time, iron, transfer&amp; ferritin, calcium, vitamin B~z, and folic acid, was performed in all </w:t>
            </w:r>
          </w:p>
          <w:p w:rsidR="002402D3" w:rsidRPr="00AA229D" w:rsidRDefault="002402D3" w:rsidP="002402D3">
            <w:pPr>
              <w:rPr>
                <w:rFonts w:eastAsia="Calibri"/>
                <w:sz w:val="12"/>
                <w:szCs w:val="12"/>
              </w:rPr>
            </w:pPr>
            <w:r w:rsidRPr="00AA229D">
              <w:rPr>
                <w:rFonts w:eastAsia="Calibri"/>
                <w:sz w:val="12"/>
                <w:szCs w:val="12"/>
              </w:rPr>
              <w:t xml:space="preserve">cases with hypertransaminasaemia of unknown origin. </w:t>
            </w:r>
          </w:p>
          <w:p w:rsidR="002402D3" w:rsidRPr="00AA229D" w:rsidRDefault="002402D3" w:rsidP="002402D3">
            <w:pPr>
              <w:rPr>
                <w:rFonts w:eastAsia="Calibri"/>
                <w:sz w:val="12"/>
                <w:szCs w:val="12"/>
              </w:rPr>
            </w:pPr>
            <w:r w:rsidRPr="00AA229D">
              <w:rPr>
                <w:rFonts w:eastAsia="Calibri"/>
                <w:sz w:val="12"/>
                <w:szCs w:val="12"/>
              </w:rPr>
              <w:t xml:space="preserve">Liver ultrasonography was also carried out. </w:t>
            </w:r>
          </w:p>
        </w:tc>
        <w:tc>
          <w:tcPr>
            <w:tcW w:w="81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Laboratory investigations included hemogram and tests of the</w:t>
            </w:r>
          </w:p>
          <w:p w:rsidR="002402D3" w:rsidRPr="00AA229D" w:rsidRDefault="002402D3" w:rsidP="002402D3">
            <w:pPr>
              <w:rPr>
                <w:rFonts w:eastAsia="Calibri"/>
                <w:sz w:val="12"/>
                <w:szCs w:val="12"/>
              </w:rPr>
            </w:pPr>
            <w:r w:rsidRPr="00AA229D">
              <w:rPr>
                <w:rFonts w:eastAsia="Calibri"/>
                <w:sz w:val="12"/>
                <w:szCs w:val="12"/>
              </w:rPr>
              <w:t>main parameters of liver and kidney functions. Immunoglobulin levels were evaluated to exclude IgA deficiency. The presence of hemochromatosis was determined on the basis of serum and total ironbinding capacity, transferrin saturation percentage, and serum ferritin levels. Furthermore, all subjects underwent serological screening</w:t>
            </w:r>
          </w:p>
          <w:p w:rsidR="002402D3" w:rsidRPr="00AA229D" w:rsidRDefault="002402D3" w:rsidP="002402D3">
            <w:pPr>
              <w:rPr>
                <w:rFonts w:eastAsia="Calibri"/>
                <w:sz w:val="12"/>
                <w:szCs w:val="12"/>
              </w:rPr>
            </w:pPr>
            <w:r w:rsidRPr="00AA229D">
              <w:rPr>
                <w:rFonts w:eastAsia="Calibri"/>
                <w:sz w:val="12"/>
                <w:szCs w:val="12"/>
              </w:rPr>
              <w:t>for viral hepatitis B and C. The presence of anti-HCV antibodies was</w:t>
            </w:r>
          </w:p>
          <w:p w:rsidR="002402D3" w:rsidRPr="00AA229D" w:rsidRDefault="002402D3" w:rsidP="002402D3">
            <w:pPr>
              <w:rPr>
                <w:rFonts w:eastAsia="Calibri"/>
                <w:sz w:val="12"/>
                <w:szCs w:val="12"/>
              </w:rPr>
            </w:pPr>
            <w:r w:rsidRPr="00AA229D">
              <w:rPr>
                <w:rFonts w:eastAsia="Calibri"/>
                <w:sz w:val="12"/>
                <w:szCs w:val="12"/>
              </w:rPr>
              <w:t>determined by a third-generation enzyme immunoassay (EIA 3,</w:t>
            </w:r>
          </w:p>
          <w:p w:rsidR="002402D3" w:rsidRPr="00AA229D" w:rsidRDefault="002402D3" w:rsidP="002402D3">
            <w:pPr>
              <w:rPr>
                <w:rFonts w:eastAsia="Calibri"/>
                <w:sz w:val="12"/>
                <w:szCs w:val="12"/>
              </w:rPr>
            </w:pPr>
            <w:r w:rsidRPr="00AA229D">
              <w:rPr>
                <w:rFonts w:eastAsia="Calibri"/>
                <w:sz w:val="12"/>
                <w:szCs w:val="12"/>
              </w:rPr>
              <w:t>Ortho HCV 3rd generation; Ortho Diagnostic Systems, Raritan,</w:t>
            </w:r>
          </w:p>
          <w:p w:rsidR="002402D3" w:rsidRPr="00AA229D" w:rsidRDefault="002402D3" w:rsidP="002402D3">
            <w:pPr>
              <w:rPr>
                <w:rFonts w:eastAsia="Calibri"/>
                <w:sz w:val="12"/>
                <w:szCs w:val="12"/>
              </w:rPr>
            </w:pPr>
            <w:r w:rsidRPr="00AA229D">
              <w:rPr>
                <w:rFonts w:eastAsia="Calibri"/>
                <w:sz w:val="12"/>
                <w:szCs w:val="12"/>
              </w:rPr>
              <w:t>N.J.) in accordance with the manufacturer’s instructions. Sera were</w:t>
            </w:r>
          </w:p>
          <w:p w:rsidR="002402D3" w:rsidRPr="00AA229D" w:rsidRDefault="002402D3" w:rsidP="002402D3">
            <w:pPr>
              <w:rPr>
                <w:rFonts w:eastAsia="Calibri"/>
                <w:sz w:val="12"/>
                <w:szCs w:val="12"/>
              </w:rPr>
            </w:pPr>
            <w:r w:rsidRPr="00AA229D">
              <w:rPr>
                <w:rFonts w:eastAsia="Calibri"/>
                <w:sz w:val="12"/>
                <w:szCs w:val="12"/>
              </w:rPr>
              <w:t>also tested for HBsAg by a commercial enzyme-linked immunosorbent assay (Abbott Diagnostics, North Chicago, Ill., USA). In all subjects, the presence of antinuclear antibodies, antimitochondrial antibodies, anti-smooth muscle antibodies, and anti-liver-kidney-microsomal antibodies was also evaluated by indirect immunofluorescence, using commercial kits.</w:t>
            </w:r>
          </w:p>
        </w:tc>
        <w:tc>
          <w:tcPr>
            <w:tcW w:w="630" w:type="dxa"/>
            <w:shd w:val="clear" w:color="auto" w:fill="auto"/>
            <w:noWrap/>
            <w:hideMark/>
          </w:tcPr>
          <w:p w:rsidR="002402D3" w:rsidRPr="00AA229D" w:rsidRDefault="002402D3" w:rsidP="002402D3">
            <w:pPr>
              <w:rPr>
                <w:rFonts w:eastAsia="Calibri"/>
                <w:sz w:val="12"/>
                <w:szCs w:val="12"/>
              </w:rPr>
            </w:pPr>
            <w:r w:rsidRPr="00AA229D">
              <w:rPr>
                <w:rFonts w:eastAsia="Calibri"/>
                <w:sz w:val="12"/>
                <w:szCs w:val="12"/>
              </w:rPr>
              <w:t>No current or past medical treatment, illicit drug use, ethanol</w:t>
            </w:r>
          </w:p>
          <w:p w:rsidR="002402D3" w:rsidRPr="00AA229D" w:rsidRDefault="002402D3" w:rsidP="002402D3">
            <w:pPr>
              <w:rPr>
                <w:rFonts w:eastAsia="Calibri"/>
                <w:sz w:val="12"/>
                <w:szCs w:val="12"/>
              </w:rPr>
            </w:pPr>
            <w:r w:rsidRPr="00AA229D">
              <w:rPr>
                <w:rFonts w:eastAsia="Calibri"/>
                <w:sz w:val="12"/>
                <w:szCs w:val="12"/>
              </w:rPr>
              <w:t>abuse, and professional exposure to hepatotoxins that could account</w:t>
            </w:r>
          </w:p>
          <w:p w:rsidR="002402D3" w:rsidRPr="00AA229D" w:rsidRDefault="002402D3" w:rsidP="002402D3">
            <w:pPr>
              <w:rPr>
                <w:rFonts w:eastAsia="Calibri"/>
                <w:sz w:val="12"/>
                <w:szCs w:val="12"/>
              </w:rPr>
            </w:pPr>
            <w:r w:rsidRPr="00AA229D">
              <w:rPr>
                <w:rFonts w:eastAsia="Calibri"/>
                <w:sz w:val="12"/>
                <w:szCs w:val="12"/>
              </w:rPr>
              <w:t>for the hypertransaminasemia.</w:t>
            </w:r>
          </w:p>
          <w:p w:rsidR="002402D3" w:rsidRPr="00AA229D" w:rsidRDefault="002402D3" w:rsidP="002402D3">
            <w:pPr>
              <w:rPr>
                <w:rFonts w:eastAsia="Calibri"/>
                <w:sz w:val="12"/>
                <w:szCs w:val="12"/>
              </w:rPr>
            </w:pPr>
            <w:r w:rsidRPr="00AA229D">
              <w:rPr>
                <w:rFonts w:eastAsia="Calibri"/>
                <w:sz w:val="12"/>
                <w:szCs w:val="12"/>
              </w:rPr>
              <w:t>3) Negativity of the following tests to exclude viral infection:</w:t>
            </w:r>
          </w:p>
          <w:p w:rsidR="002402D3" w:rsidRPr="00AA229D" w:rsidRDefault="002402D3" w:rsidP="002402D3">
            <w:pPr>
              <w:rPr>
                <w:rFonts w:eastAsia="Calibri"/>
                <w:sz w:val="12"/>
                <w:szCs w:val="12"/>
              </w:rPr>
            </w:pPr>
            <w:r w:rsidRPr="00AA229D">
              <w:rPr>
                <w:rFonts w:eastAsia="Calibri"/>
                <w:sz w:val="12"/>
                <w:szCs w:val="12"/>
              </w:rPr>
              <w:t>hepatitis B surface antigen (HBsAg; radioimmunoassay, Abbott</w:t>
            </w:r>
          </w:p>
          <w:p w:rsidR="002402D3" w:rsidRPr="00AA229D" w:rsidRDefault="002402D3" w:rsidP="002402D3">
            <w:pPr>
              <w:rPr>
                <w:rFonts w:eastAsia="Calibri"/>
                <w:sz w:val="12"/>
                <w:szCs w:val="12"/>
              </w:rPr>
            </w:pPr>
            <w:r w:rsidRPr="00AA229D">
              <w:rPr>
                <w:rFonts w:eastAsia="Calibri"/>
                <w:sz w:val="12"/>
                <w:szCs w:val="12"/>
              </w:rPr>
              <w:t>Laboratories, North Chicago, IL), antibody to hepatitis C virus</w:t>
            </w:r>
          </w:p>
          <w:p w:rsidR="002402D3" w:rsidRPr="00AA229D" w:rsidRDefault="002402D3" w:rsidP="002402D3">
            <w:pPr>
              <w:rPr>
                <w:rFonts w:eastAsia="Calibri"/>
                <w:sz w:val="12"/>
                <w:szCs w:val="12"/>
              </w:rPr>
            </w:pPr>
            <w:r w:rsidRPr="00AA229D">
              <w:rPr>
                <w:rFonts w:eastAsia="Calibri"/>
                <w:sz w:val="12"/>
                <w:szCs w:val="12"/>
              </w:rPr>
              <w:t>(HCV; recombinant immunoblot assay; RIBA II; Ortho Diagnostic</w:t>
            </w:r>
          </w:p>
          <w:p w:rsidR="002402D3" w:rsidRPr="00AA229D" w:rsidRDefault="002402D3" w:rsidP="002402D3">
            <w:pPr>
              <w:rPr>
                <w:rFonts w:eastAsia="Calibri"/>
                <w:sz w:val="12"/>
                <w:szCs w:val="12"/>
              </w:rPr>
            </w:pPr>
            <w:r w:rsidRPr="00AA229D">
              <w:rPr>
                <w:rFonts w:eastAsia="Calibri"/>
                <w:sz w:val="12"/>
                <w:szCs w:val="12"/>
              </w:rPr>
              <w:t>System, Milan, Italy), serum HCV-RNA (reverse-transcriptase polymerase chain reaction; Amplicat HCV test, Hoffman-La Roche,</w:t>
            </w:r>
          </w:p>
          <w:p w:rsidR="002402D3" w:rsidRPr="00AA229D" w:rsidRDefault="002402D3" w:rsidP="002402D3">
            <w:pPr>
              <w:rPr>
                <w:rFonts w:eastAsia="Calibri"/>
                <w:sz w:val="12"/>
                <w:szCs w:val="12"/>
              </w:rPr>
            </w:pPr>
            <w:r w:rsidRPr="00AA229D">
              <w:rPr>
                <w:rFonts w:eastAsia="Calibri"/>
                <w:sz w:val="12"/>
                <w:szCs w:val="12"/>
              </w:rPr>
              <w:t>Basel, Switzerland), hepatitis G virus RNA (HGV-RNA; PCR DIG</w:t>
            </w:r>
          </w:p>
          <w:p w:rsidR="002402D3" w:rsidRPr="00AA229D" w:rsidRDefault="002402D3" w:rsidP="002402D3">
            <w:pPr>
              <w:rPr>
                <w:rFonts w:eastAsia="Calibri"/>
                <w:sz w:val="12"/>
                <w:szCs w:val="12"/>
              </w:rPr>
            </w:pPr>
            <w:r w:rsidRPr="00AA229D">
              <w:rPr>
                <w:rFonts w:eastAsia="Calibri"/>
                <w:sz w:val="12"/>
                <w:szCs w:val="12"/>
              </w:rPr>
              <w:t>Labelling Mix, Boehringer Mannheim, Mannheim, Germany) and</w:t>
            </w:r>
          </w:p>
          <w:p w:rsidR="002402D3" w:rsidRPr="00AA229D" w:rsidRDefault="002402D3" w:rsidP="002402D3">
            <w:pPr>
              <w:rPr>
                <w:rFonts w:eastAsia="Calibri"/>
                <w:sz w:val="12"/>
                <w:szCs w:val="12"/>
              </w:rPr>
            </w:pPr>
            <w:r w:rsidRPr="00AA229D">
              <w:rPr>
                <w:rFonts w:eastAsia="Calibri"/>
                <w:sz w:val="12"/>
                <w:szCs w:val="12"/>
              </w:rPr>
              <w:t>anticytomegalovirus (standard immunoenzymatic method).</w:t>
            </w:r>
          </w:p>
          <w:p w:rsidR="002402D3" w:rsidRPr="00AA229D" w:rsidRDefault="002402D3" w:rsidP="002402D3">
            <w:pPr>
              <w:rPr>
                <w:rFonts w:eastAsia="Calibri"/>
                <w:sz w:val="12"/>
                <w:szCs w:val="12"/>
              </w:rPr>
            </w:pPr>
            <w:r w:rsidRPr="00AA229D">
              <w:rPr>
                <w:rFonts w:eastAsia="Calibri"/>
                <w:sz w:val="12"/>
                <w:szCs w:val="12"/>
              </w:rPr>
              <w:t>4) Negativity of the assays for antinuclear, antimitochondria,</w:t>
            </w:r>
          </w:p>
          <w:p w:rsidR="002402D3" w:rsidRPr="00AA229D" w:rsidRDefault="002402D3" w:rsidP="002402D3">
            <w:pPr>
              <w:rPr>
                <w:rFonts w:eastAsia="Calibri"/>
                <w:sz w:val="12"/>
                <w:szCs w:val="12"/>
              </w:rPr>
            </w:pPr>
            <w:r w:rsidRPr="00AA229D">
              <w:rPr>
                <w:rFonts w:eastAsia="Calibri"/>
                <w:sz w:val="12"/>
                <w:szCs w:val="12"/>
              </w:rPr>
              <w:t>antismooth muscle, antiliver–kidney microsomes, antineutrophil</w:t>
            </w:r>
          </w:p>
          <w:p w:rsidR="002402D3" w:rsidRPr="00AA229D" w:rsidRDefault="002402D3" w:rsidP="002402D3">
            <w:pPr>
              <w:rPr>
                <w:rFonts w:eastAsia="Calibri"/>
                <w:sz w:val="12"/>
                <w:szCs w:val="12"/>
              </w:rPr>
            </w:pPr>
            <w:r w:rsidRPr="00AA229D">
              <w:rPr>
                <w:rFonts w:eastAsia="Calibri"/>
                <w:sz w:val="12"/>
                <w:szCs w:val="12"/>
              </w:rPr>
              <w:t>cytoplasmic autoantibodies (indirect immunofluorescence).</w:t>
            </w:r>
          </w:p>
          <w:p w:rsidR="002402D3" w:rsidRPr="00AA229D" w:rsidRDefault="002402D3" w:rsidP="002402D3">
            <w:pPr>
              <w:rPr>
                <w:rFonts w:eastAsia="Calibri"/>
                <w:sz w:val="12"/>
                <w:szCs w:val="12"/>
              </w:rPr>
            </w:pPr>
            <w:r w:rsidRPr="00AA229D">
              <w:rPr>
                <w:rFonts w:eastAsia="Calibri"/>
                <w:sz w:val="12"/>
                <w:szCs w:val="12"/>
              </w:rPr>
              <w:t>5) No evidence of hemochromatosis on the basis of serum iron</w:t>
            </w:r>
          </w:p>
          <w:p w:rsidR="002402D3" w:rsidRPr="00AA229D" w:rsidRDefault="002402D3" w:rsidP="002402D3">
            <w:pPr>
              <w:rPr>
                <w:rFonts w:eastAsia="Calibri"/>
                <w:sz w:val="12"/>
                <w:szCs w:val="12"/>
              </w:rPr>
            </w:pPr>
            <w:r w:rsidRPr="00AA229D">
              <w:rPr>
                <w:rFonts w:eastAsia="Calibri"/>
                <w:sz w:val="12"/>
                <w:szCs w:val="12"/>
              </w:rPr>
              <w:t>and total iron binding capacity, transferrin saturation percent, and</w:t>
            </w:r>
          </w:p>
          <w:p w:rsidR="002402D3" w:rsidRPr="00AA229D" w:rsidRDefault="002402D3" w:rsidP="002402D3">
            <w:pPr>
              <w:rPr>
                <w:rFonts w:eastAsia="Calibri"/>
                <w:sz w:val="12"/>
                <w:szCs w:val="12"/>
              </w:rPr>
            </w:pPr>
            <w:r w:rsidRPr="00AA229D">
              <w:rPr>
                <w:rFonts w:eastAsia="Calibri"/>
                <w:sz w:val="12"/>
                <w:szCs w:val="12"/>
              </w:rPr>
              <w:t>serum ferritin levelsNormal plasma levels of a1-antitrypsin and caeruloplasmin</w:t>
            </w:r>
          </w:p>
          <w:p w:rsidR="002402D3" w:rsidRPr="00AA229D" w:rsidRDefault="002402D3" w:rsidP="002402D3">
            <w:pPr>
              <w:rPr>
                <w:rFonts w:eastAsia="Calibri"/>
                <w:sz w:val="12"/>
                <w:szCs w:val="12"/>
              </w:rPr>
            </w:pPr>
            <w:r w:rsidRPr="00AA229D">
              <w:rPr>
                <w:rFonts w:eastAsia="Calibri"/>
                <w:sz w:val="12"/>
                <w:szCs w:val="12"/>
              </w:rPr>
              <w:t>levels.</w:t>
            </w:r>
          </w:p>
        </w:tc>
      </w:tr>
      <w:tr w:rsidR="002402D3" w:rsidRPr="00AA229D" w:rsidTr="002402D3">
        <w:trPr>
          <w:trHeight w:val="288"/>
        </w:trPr>
        <w:tc>
          <w:tcPr>
            <w:tcW w:w="990" w:type="dxa"/>
            <w:shd w:val="clear" w:color="auto" w:fill="auto"/>
          </w:tcPr>
          <w:p w:rsidR="002402D3" w:rsidRPr="00AA229D" w:rsidRDefault="002402D3" w:rsidP="002402D3">
            <w:pPr>
              <w:rPr>
                <w:rFonts w:eastAsia="Calibri"/>
                <w:kern w:val="0"/>
                <w:sz w:val="12"/>
                <w:szCs w:val="12"/>
                <w:lang w:eastAsia="en-US"/>
              </w:rPr>
            </w:pPr>
            <w:r w:rsidRPr="00AA229D">
              <w:rPr>
                <w:rFonts w:eastAsia="Calibri"/>
                <w:kern w:val="0"/>
                <w:sz w:val="12"/>
                <w:szCs w:val="12"/>
                <w:lang w:eastAsia="en-US"/>
              </w:rPr>
              <w:t>Reference</w:t>
            </w:r>
          </w:p>
        </w:tc>
        <w:tc>
          <w:tcPr>
            <w:tcW w:w="900"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rPr>
              <w:fldChar w:fldCharType="begin"/>
            </w:r>
            <w:r w:rsidR="008F29D2">
              <w:rPr>
                <w:rFonts w:eastAsia="Calibri"/>
                <w:sz w:val="12"/>
                <w:szCs w:val="12"/>
              </w:rPr>
              <w:instrText xml:space="preserve"> ADDIN ZOTERO_ITEM CSL_CITATION {"citationID":"kzZDgMlm","properties":{"formattedCitation":"\\super 13\\nosupersub{}","plainCitation":"13","noteIndex":0},"citationItems":[{"id":758,"uris":["http://zotero.org/users/2145280/items/JT9P9PIN"],"itemData":{"id":758,"type":"article-journal","abstract":"OBJECTIVE: To do a serological screening for celiac disease in patients with unexplained liver cytolysis.\nMATERIALS AND METHODS: Fifty-six patients with liver cytolysis without known aetiology were studied. Endomysial antibodies were determined by indirect immunofluorescence on human umbilical cord. Two thousand and five hundred blood donors served as control group. For statistical analysis, we used Chi-square or Fisher's exact test.\nRESULTS: The frequency of IgA endomysial antibodies in our patients was significantly higher than in the control group (8.92% vs. 0.28%, p &lt; .001). In female, endomysial antibodies were significantly more frequent in patients than in healthy subjects (12.12% vs. 0.4%; p &lt; .001). In male, endomysial antibodies were significantly more frequent in patients than in healthy subjects (4.34% vs. 0.22%; p = .006). The frequency of positive EMA in female patients was higher than in male, but the difference was not statistically significant (12.12% vs. 4.43%; p = .6). Two patients were non-compliant with the gluten-free diet. One patient was out of touch. For the two other patients, transaminase levels reverted to normal level within six months of strict gluten withdrawal.\nCONCLUSIONS: A screening for celiac disease should be included within the diagnosis protocol of liver cytolysis.","container-title":"Scandinavian Journal of Clinical and Laboratory Investigation","DOI":"10.1080/00365513.2017.1338746","ISSN":"1502-7686","issue":"6","journalAbbreviation":"Scand. J. Clin. Lab. Invest.","language":"eng","note":"PMID: 28632434","page":"454-457","source":"PubMed","title":"Screening for celiac disease, by endomysial antibodies, in patients with unexplained hypertransaminasaemia","volume":"77","author":[{"family":"Ghozzi","given":"Mariam"},{"family":"Ben Salem","given":"Mohamed Ali"},{"family":"Mbarki","given":"Fatma"},{"family":"Jmaa","given":"Ali"},{"family":"Baccouch","given":"Azza"},{"family":"Sakly","given":"Nabil"},{"family":"Ben Jazia","given":"Elhem"},{"family":"Ghedira","given":"Ibtissem"}],"issued":{"date-parts":[["2017",10]]}}}],"schema":"https://github.com/citation-style-language/schema/raw/master/csl-citation.json"} </w:instrText>
            </w:r>
            <w:r w:rsidRPr="00AA229D">
              <w:rPr>
                <w:rFonts w:eastAsia="Calibri"/>
                <w:sz w:val="12"/>
                <w:szCs w:val="12"/>
              </w:rPr>
              <w:fldChar w:fldCharType="separate"/>
            </w:r>
            <w:r w:rsidR="002402D3" w:rsidRPr="00AA229D">
              <w:rPr>
                <w:sz w:val="12"/>
                <w:szCs w:val="24"/>
                <w:vertAlign w:val="superscript"/>
              </w:rPr>
              <w:t>13</w:t>
            </w:r>
            <w:r w:rsidRPr="00AA229D">
              <w:rPr>
                <w:rFonts w:eastAsia="Calibri"/>
                <w:sz w:val="12"/>
                <w:szCs w:val="12"/>
              </w:rPr>
              <w:fldChar w:fldCharType="end"/>
            </w:r>
          </w:p>
        </w:tc>
        <w:tc>
          <w:tcPr>
            <w:tcW w:w="810"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rPr>
              <w:fldChar w:fldCharType="begin"/>
            </w:r>
            <w:r w:rsidR="008F29D2">
              <w:rPr>
                <w:rFonts w:eastAsia="Calibri"/>
                <w:sz w:val="12"/>
                <w:szCs w:val="12"/>
              </w:rPr>
              <w:instrText xml:space="preserve"> ADDIN ZOTERO_ITEM CSL_CITATION {"citationID":"wOVt2Zlm","properties":{"formattedCitation":"\\super 7\\nosupersub{}","plainCitation":"7","noteIndex":0},"citationItems":[{"id":267,"uris":["http://zotero.org/users/2145280/items/Q9GTVTWV"],"itemData":{"id":267,"type":"article-journal","abstract":"BACKGROUND: Celiac disease (CD) has been found in up to 10% of the patients presenting with unexplained abnormal liver function tests (LFT). As there is no precise data from our country in this regard, we investigated the prevalence of CD in patients presenting with abnormal LFT.     METHODS: From 2003 to 2008, we measured IgA anti-tissue transglutaminase (t-TG) antibody (with ELISA technique) within the first-level screening steps for all patients presenting with abnormal LFT to three outpatient gastroenterology clinics in Isfahan, IRAN. All subjects with an IgA anti-tTG antibody value of &gt;10 μ/ml (seropositive) were undergone upper gastrointestinal endoscopy and duodenal biopsy. Histopathological changes were assessed according to the Marsh classification. CD was defined as being seropositive with Marsh I or above in histopathology and having a good response to gluten free diet (GFD).     RESULTS: During the study, 224 patients were evaluated, out of which, 10 patients (4.4%) were seropositive for CD. Duodenal biopsies were performed in eight patients and revealed six (2.7%) cases of Marsh I or above (four Marsh IIIA, two Marsh I), all of them had good response to GFD. The overall prevalence of CD among patients with hypertransaminasemia, autoimmune hepatitis, and cryptogenic cirrhosis was determined as 10.7% (3/28), 3.4% (2/59), and 5.3% (1/19), respectively.     CONCLUSION: Serological screening with IgA anti-tTG antibody test should be routinely performed in patients presenting with abnormal LFT and especially those with chronic liver diseases including hypertransaminasemia, autoimmune hepatitis, and cryptogenic cirrhosis.","container-title":"International Journal of Preventive Medicine","ISSN":"2008-7802 2008-8213 (electronic)","issue":"3","language":"eng","page":"167-172","title":"Should We Look for Celiac Disease among all Patients with Liver Function Test Abnormalities?","volume":"3","author":[{"family":"Emami","given":"Mohammad Hassan"},{"family":"Hashemi","given":"Marzieh"},{"family":"Kouhestani","given":"Soheila"},{"family":"Taheri","given":"Hajar"},{"family":"Karimi","given":"Somayeh"}],"issued":{"date-parts":[["2012"]]}}}],"schema":"https://github.com/citation-style-language/schema/raw/master/csl-citation.json"} </w:instrText>
            </w:r>
            <w:r w:rsidRPr="00AA229D">
              <w:rPr>
                <w:rFonts w:eastAsia="Calibri"/>
                <w:sz w:val="12"/>
                <w:szCs w:val="12"/>
              </w:rPr>
              <w:fldChar w:fldCharType="separate"/>
            </w:r>
            <w:r w:rsidR="008F29D2" w:rsidRPr="008F29D2">
              <w:rPr>
                <w:sz w:val="12"/>
                <w:szCs w:val="24"/>
                <w:vertAlign w:val="superscript"/>
              </w:rPr>
              <w:t>7</w:t>
            </w:r>
            <w:r w:rsidRPr="00AA229D">
              <w:rPr>
                <w:rFonts w:eastAsia="Calibri"/>
                <w:sz w:val="12"/>
                <w:szCs w:val="12"/>
              </w:rPr>
              <w:fldChar w:fldCharType="end"/>
            </w:r>
          </w:p>
        </w:tc>
        <w:tc>
          <w:tcPr>
            <w:tcW w:w="720"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rPr>
              <w:fldChar w:fldCharType="begin"/>
            </w:r>
            <w:r w:rsidR="008F29D2">
              <w:rPr>
                <w:rFonts w:eastAsia="Calibri"/>
                <w:sz w:val="12"/>
                <w:szCs w:val="12"/>
              </w:rPr>
              <w:instrText xml:space="preserve"> ADDIN ZOTERO_ITEM CSL_CITATION {"citationID":"ivp51yDV","properties":{"formattedCitation":"\\super 6\\nosupersub{}","plainCitation":"6","noteIndex":0},"citationItems":[{"id":2531,"uris":["http://zotero.org/users/2145280/items/E5RQLNYM"],"itemData":{"id":2531,"type":"article-journal","container-title":"World Journal of Gastroenterology","DOI":"10.3748/wjg.v18.i43.6255","ISSN":"1007-9327","issue":"43","language":"en","page":"6255","source":"Crossref","title":"Celiac disease markers in patients with liver diseases: A single center large scale screening study","title-short":"Celiac disease markers in patients with liver diseases","volume":"18","author":[{"family":"Drastich","given":"Pavel"}],"issued":{"date-parts":[["2012"]]}}}],"schema":"https://github.com/citation-style-language/schema/raw/master/csl-citation.json"} </w:instrText>
            </w:r>
            <w:r w:rsidRPr="00AA229D">
              <w:rPr>
                <w:rFonts w:eastAsia="Calibri"/>
                <w:sz w:val="12"/>
                <w:szCs w:val="12"/>
              </w:rPr>
              <w:fldChar w:fldCharType="separate"/>
            </w:r>
            <w:r w:rsidR="008F29D2" w:rsidRPr="008F29D2">
              <w:rPr>
                <w:sz w:val="12"/>
                <w:szCs w:val="24"/>
                <w:vertAlign w:val="superscript"/>
              </w:rPr>
              <w:t>6</w:t>
            </w:r>
            <w:r w:rsidRPr="00AA229D">
              <w:rPr>
                <w:rFonts w:eastAsia="Calibri"/>
                <w:sz w:val="12"/>
                <w:szCs w:val="12"/>
              </w:rPr>
              <w:fldChar w:fldCharType="end"/>
            </w:r>
          </w:p>
        </w:tc>
        <w:tc>
          <w:tcPr>
            <w:tcW w:w="810"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{"citationID":"lVFHTChr","properties":{"formattedCitation":"\\super 14\\nosupersub{}","plainCitation":"14","noteIndex":0},"citationItems":[{"id":19738,"uris":["http://zotero.org/users/2145280/items/I8YNGKBR"],"itemData":{"id":19738,"type":"webpage","abstract":"Background: In the patients with chronic liver disease chronic increase in serum transaminases may remain of undetermined cause despite thorough investigations. Celiac disease (non tropical sprue) has been reported as one of the causes of elevated levels of serum transaminases. The aim of this cross sectional study was to evaluate the frequency of celiac disease among patients with liver disease with chronic unexplained hypertransaminasemia. Methods: One hundred patients with unexplained elevated liver enzymes who referred to gastroenterology and hepatology clinic of Imam Khomeini Hospital in Tehran, Iran from March 2009 to March 2010, and no cause were found for this elevation after initial clinical and paraclinical assessments and tests were enrolled in a cross sectional study. After measurement of Anti tTG IgA antibody in the serum of the patients, the biopsy of second part of duodenum were performed in cases with positive results and were assessed regarding evidences of celiac and finally the diagnosis of celiac diseas was confirmed. Results: The mean age of patients was 39.79±16.77 and 55% of patients were male. The celiac disease was confirmed in 6% of patients (CI: 95%: 2.78- 12.48%). There were no significant differences between frequency of both sexes and means of age, ALT, and AST in the study patients. Conclusion: In our study, the frequency of celiac disease among patients with chronic liver disease with unknown elevated liver enzymes was 6% which is near the frequency derived from other studies that has been reported.","container-title":"embase","language":"persian","title":"Celiac disease in cryptogenic hypertransaminasemia","URL":"https://www.embase.com/a/#/search/results?subaction=viewrecord&amp;rid=12&amp;page=1&amp;id=L359954461","author":[{"literal":"Shahbazkhani B"}],"accessed":{"date-parts":[["2020",5,16]]}}}],"schema":"https://github.com/citation-style-language/schema/raw/master/csl-citation.json"} </w:instrText>
            </w:r>
            <w:r w:rsidRPr="00AA229D">
              <w:rPr>
                <w:rFonts w:eastAsia="Calibri"/>
                <w:sz w:val="12"/>
                <w:szCs w:val="12"/>
                <w:u w:val="single"/>
              </w:rPr>
              <w:fldChar w:fldCharType="separate"/>
            </w:r>
            <w:r w:rsidR="002402D3" w:rsidRPr="00AA229D">
              <w:rPr>
                <w:sz w:val="12"/>
                <w:szCs w:val="24"/>
                <w:vertAlign w:val="superscript"/>
              </w:rPr>
              <w:t>14</w:t>
            </w:r>
            <w:r w:rsidRPr="00AA229D">
              <w:rPr>
                <w:rFonts w:eastAsia="Calibri"/>
                <w:sz w:val="12"/>
                <w:szCs w:val="12"/>
                <w:u w:val="single"/>
              </w:rPr>
              <w:fldChar w:fldCharType="end"/>
            </w:r>
          </w:p>
        </w:tc>
        <w:tc>
          <w:tcPr>
            <w:tcW w:w="900"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{"citationID":"aVDt4lfT","properties":{"formattedCitation":"\\super 15\\nosupersub{}","plainCitation":"15","noteIndex":0},"citationItems":[{"id":24639,"uris":["http://zotero.org/users/2145280/items/3ZNQ2G8I"],"itemData":{"id":24639,"type":"article-journal","DOI":"10.1111/j.1572-0241.2005.00244.x","page":"2472–2477","title":"Anti-Tissue Transglutaminase Antibodies in Patients with Abnormal Liver Tests : Is It Always Coeliac Disease ?","author":[{"family":"Iacono","given":"Oreste Lo"},{"family":"Petta","given":"Salvatore"},{"family":"Venezia","given":"Giovanna"},{"family":"Marco","given":"Vito Di"},{"family":"Tarantino","given":"Giuseppe"},{"family":"Barbaria","given":"Francesco"},{"family":"Mineo","given":"Claudia"},{"family":"Lisi","given":"Stefania De"},{"family":"Almasio","given":"Piero Luigi"},{"family":"Crax","given":"Antonio"}],"issued":{"date-parts":[["2005"]]}}}],"schema":"https://github.com/citation-style-language/schema/raw/master/csl-citation.json"} </w:instrText>
            </w:r>
            <w:r w:rsidRPr="00AA229D">
              <w:rPr>
                <w:rFonts w:eastAsia="Calibri"/>
                <w:sz w:val="12"/>
                <w:szCs w:val="12"/>
                <w:u w:val="single"/>
              </w:rPr>
              <w:fldChar w:fldCharType="separate"/>
            </w:r>
            <w:r w:rsidR="002402D3" w:rsidRPr="00AA229D">
              <w:rPr>
                <w:sz w:val="12"/>
                <w:szCs w:val="24"/>
                <w:vertAlign w:val="superscript"/>
              </w:rPr>
              <w:t>15</w:t>
            </w:r>
            <w:r w:rsidRPr="00AA229D">
              <w:rPr>
                <w:rFonts w:eastAsia="Calibri"/>
                <w:sz w:val="12"/>
                <w:szCs w:val="12"/>
                <w:u w:val="single"/>
              </w:rPr>
              <w:fldChar w:fldCharType="end"/>
            </w:r>
          </w:p>
        </w:tc>
        <w:tc>
          <w:tcPr>
            <w:tcW w:w="720"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{"citationID":"2Bbks3iA","properties":{"formattedCitation":"\\super 10\\nosupersub{}","plainCitation":"10","noteIndex":0},"citationItems":[{"id":259,"uris":["http://zotero.org/users/2145280/items/8WRNBV2A"],"itemData":{"id":259,"type":"article-journal","abstract":"The prevalence of celiac disease (CD) and the prevalence and clinical significance of anti-tissue transglutaminase (tTG) antibodies (tTGAbs) in a large series of patients with chronic liver diseases were assessed. We studied 738 patients (462 with chronic viral hepatitis, 117 with autoimmune liver diseases, 113 with alcoholic or nonalcoholic fatty liver disease, and 46 with other liver disorders) and 1,350 healthy controls (HC). Immunoglobulin A (IgA) tTGAbs were measured by enzyme-linked immunosorbent assay and a microsphere-based flow cytometric assay. Positive sera were investigated for IgA antiendomysial antibodies (EmA). IgA tTGAb-positive subjects were invited to undergo a small-intestinal biopsy and HLA-DQ allele typing. Four of 1,350 HC (0.3%) tested tTGAb(+) EmA(+) and underwent a biopsy (CD confirmation in all). Four of 738 liver disease patients tested tTGAbs(+) EmA(+) (0.54%; not statistically significant). Two were HCV infected (1.24%; not statistically significant), and two had transaminasemia of unknown origin. Forty-three patients tested tTGAbs(+) EmA(-) (5.8%; P&lt;0.001 compared to HC). Inhibition experiments verified the existence of specific IgA anti-tTG reactivity. Twenty-six of 43 patients underwent a biopsy (all negative for CD). Binary logistic regression analysis revealed age (P=0.008), cirrhosis (P=0.004), alkaline phosphatase (P=0.026), and antinuclear antibodies (P=0.012) as independent risk factors for tTGAb reactivity among the patients. It was concluded that CD prevalence is the same in HC and patients with chronic liver diseases. The prevalence of tTGAbs is higher in hepatic patients compared to HC, but their specificity for CD diagnosis in this group of patients is low. tTGAbs in patients appear to be associated with the presence of autoimmunity, cirrhosis, and cholestasis, irrespective of the origin of the liver disease.","container-title":"Clinical and Diagnostic Laboratory Immunology","ISSN":"1071-412X","issue":"8","language":"eng","page":"941-948","title":"Prevalence and clinical significance of immunoglobulin A antibodies against tissue transglutaminase in patients with diverse chronic liver diseases","volume":"12","author":[{"family":"Germenis","given":"Anastasios E."},{"family":"Yiannaki","given":"Efthalia E."},{"family":"Zachou","given":"Kalliopi"},{"family":"Roka","given":"Violeta"},{"family":"Barbanis","given":"Sotirios"},{"family":"Liaskos","given":"Christos"},{"family":"Adam","given":"Kalliopi"},{"family":"Kapsoritakis","given":"Andreas N."},{"family":"Potamianos","given":"Spyros"},{"family":"Dalekos","given":"Georgios N."}],"issued":{"date-parts":[["2005"]]}}}],"schema":"https://github.com/citation-style-language/schema/raw/master/csl-citation.json"} </w:instrText>
            </w:r>
            <w:r w:rsidRPr="00AA229D">
              <w:rPr>
                <w:rFonts w:eastAsia="Calibri"/>
                <w:sz w:val="12"/>
                <w:szCs w:val="12"/>
                <w:u w:val="single"/>
              </w:rPr>
              <w:fldChar w:fldCharType="separate"/>
            </w:r>
            <w:r w:rsidR="002402D3" w:rsidRPr="00AA229D">
              <w:rPr>
                <w:sz w:val="12"/>
                <w:szCs w:val="24"/>
                <w:vertAlign w:val="superscript"/>
              </w:rPr>
              <w:t>10</w:t>
            </w:r>
            <w:r w:rsidRPr="00AA229D">
              <w:rPr>
                <w:rFonts w:eastAsia="Calibri"/>
                <w:sz w:val="12"/>
                <w:szCs w:val="12"/>
                <w:u w:val="single"/>
              </w:rPr>
              <w:fldChar w:fldCharType="end"/>
            </w:r>
          </w:p>
        </w:tc>
        <w:tc>
          <w:tcPr>
            <w:tcW w:w="720"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{"citationID":"sPihXlEf","properties":{"formattedCitation":"\\super 16\\nosupersub{}","plainCitation":"16","noteIndex":0},"citationItems":[{"id":221,"uris":["http://zotero.org/users/2145280/items/3Q7REG5F"],"itemData":{"id":221,"type":"article-journal","abstract":"BACKGROUND: Functional dyspepsia, unexplained chronic hypertransaminasaemia (CHT) and hepatitis C virus (HCV) are common gastrointestinal situations that have been related to coeliac disease. Antibodies to tissue transglutaminase (tTG) have been claimed recently to be highly effective as a screening method for coeliac disease.\nAIM: To assess the prevalence of coeliac disease by means of detection of antibodies against human tTG in the above-mentioned groups of patients.\nPATIENTS AND METHODS: A control group consisted of 165 normal blood donors. Patient groups comprised 90 CHT patients, 102 HCV patients and 92 functional dyspepsia patients. All patients were tested for anti-tTG (immunoglobulin A, IgA) antibodies. Anti-endomysium (IgA) antibodies (AEA) and antigliadin (IgA) antibodies (AGA) and antigliadin (immunoglobulin G, IgG) antibodies (AGG) were also tested. When anti-tTG or AEA was positive, a duodenal biopsy was recommended.\nRESULTS: One of 165 blood donors, three of 92 functional dyspepsia patients, four of 90 CHT patients and none of 102 HCV patients were positive for anti-tTG antibodies. In the anti-tTG-positive group, all but one were AEA-positive. There were no AEA- or AGA IgA-positives that revealed a negative anti-tTG test. Duodenal biopsy confirmed a diagnosis of coeliac disease in all the cases. Statistically significant differences were found between the controls and the functional dyspepsia group and between the controls and the CHT group, but not between the controls and the HCV group.\nCONCLUSIONS: Both CHT and functional dyspepsia may represent a true oligosymptomatic form of coeliac disease. In such conditions, the detection of anti-tTG antibodies is useful as a screening method. Coeliac disease is not an autoimmune manifestation of HCV, so screening for coeliac disease in HCV patients cannot be recommended.","container-title":"European Journal of Gastroenterology &amp; Hepatology","DOI":"10.1097/01.meg.0000059104.41030.1c","ISSN":"0954-691X","issue":"5","journalAbbreviation":"Eur J Gastroenterol Hepatol","language":"eng","note":"PMID: 12702903","page":"479-483","source":"PubMed","title":"Human recombinant anti-transglutaminase antibody testing is useful in the diagnosis of silent coeliac disease in a selected group of at-risk patients","volume":"15","author":[{"family":"Vivas","given":"Santiago"},{"family":"Ruiz de Morales","given":"Jose M."},{"family":"Martinez","given":"Julio"},{"family":"González","given":"Maria Cruz"},{"family":"Martín","given":"Sara"},{"family":"Martín","given":"Juan"},{"family":"Cechini","given":"Carlos"},{"family":"Olcoz","given":"Jose Luis"}],"issued":{"date-parts":[["2003",5]]}}}],"schema":"https://github.com/citation-style-language/schema/raw/master/csl-citation.json"} </w:instrText>
            </w:r>
            <w:r w:rsidRPr="00AA229D">
              <w:rPr>
                <w:rFonts w:eastAsia="Calibri"/>
                <w:sz w:val="12"/>
                <w:szCs w:val="12"/>
                <w:u w:val="single"/>
              </w:rPr>
              <w:fldChar w:fldCharType="separate"/>
            </w:r>
            <w:r w:rsidR="002402D3" w:rsidRPr="00AA229D">
              <w:rPr>
                <w:sz w:val="12"/>
                <w:szCs w:val="24"/>
                <w:vertAlign w:val="superscript"/>
              </w:rPr>
              <w:t>16</w:t>
            </w:r>
            <w:r w:rsidRPr="00AA229D">
              <w:rPr>
                <w:rFonts w:eastAsia="Calibri"/>
                <w:sz w:val="12"/>
                <w:szCs w:val="12"/>
                <w:u w:val="single"/>
              </w:rPr>
              <w:fldChar w:fldCharType="end"/>
            </w:r>
          </w:p>
        </w:tc>
        <w:tc>
          <w:tcPr>
            <w:tcW w:w="810"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{"citationID":"KJJIVzCs","properties":{"formattedCitation":"\\super 17\\nosupersub{}","plainCitation":"17","noteIndex":0},"citationItems":[{"id":273,"uris":["http://zotero.org/users/2145280/items/7ZAFCKMR"],"itemData":{"id":273,"type":"article-journal","abstract":"OBJECTIVE: To determine the prevalence of coeliac disease amongst the population with unexplained chronic hypertransaminasemia in our region.\nPATIENTS AND METHODS: A prospective study was carried out on 147 consecutive patients with chronic hypertransaminasemia, having previously discarded alcoholic cause, hepatotoxic drugs, B, C and Delta viral infections, autoimmune hepatitis, primary biliary cirrhosis, Jemochromatosis, alfal-antitrypsin deficiency, Wilson's disease, congestive liver and illicit drug use. Serum Ig A to gliadin and endomysium antibodies were determined. Intestinal biopsy was carried out in cases those positive for one or both antibodies.\nRESULTS: One patient was positive for both IgA to gliadin and to endonisyum antibodies, whereas another three patients were positive to IgA to gliadin only. A duodenal biopsy proved normal in two, a total villous atrophy in one and subtotal atrophy in other.\nCONCLUSIONS: 1. The prevalence of coeliac disease amongst the population with unexplained chronic hypertransaminasemia in our region is 1.4%. 2. In our region, screening for coeliac disease in unexplained chronic hypransaminasemia should take a secondary place.","container-title":"Revista Espanola De Enfermedades Digestivas: Organo Oficial De La Sociedad Espanola De Patologia Digestiva","ISSN":"1130-0108","issue":"11","journalAbbreviation":"Rev Esp Enferm Dig","language":"eng, spa","note":"PMID: 11995370","page":"707-714","source":"PubMed","title":"Prevalence of coeliac disease in unexplained chronic hypertransaminasemia","volume":"93","author":[{"family":"Múgica","given":"F."},{"family":"Castiella","given":"A."},{"family":"Otazua","given":"P."},{"family":"Muñagorri","given":"A."},{"family":"Recasens","given":"M."},{"family":"Barrio","given":"J."},{"family":"Elosegui","given":"E."}],"issued":{"date-parts":[["2001",11]]}}}],"schema":"https://github.com/citation-style-language/schema/raw/master/csl-citation.json"} </w:instrText>
            </w:r>
            <w:r w:rsidRPr="00AA229D">
              <w:rPr>
                <w:rFonts w:eastAsia="Calibri"/>
                <w:sz w:val="12"/>
                <w:szCs w:val="12"/>
                <w:u w:val="single"/>
              </w:rPr>
              <w:fldChar w:fldCharType="separate"/>
            </w:r>
            <w:r w:rsidR="002402D3" w:rsidRPr="00AA229D">
              <w:rPr>
                <w:sz w:val="12"/>
                <w:szCs w:val="24"/>
                <w:vertAlign w:val="superscript"/>
              </w:rPr>
              <w:t>17</w:t>
            </w:r>
            <w:r w:rsidRPr="00AA229D">
              <w:rPr>
                <w:rFonts w:eastAsia="Calibri"/>
                <w:sz w:val="12"/>
                <w:szCs w:val="12"/>
                <w:u w:val="single"/>
              </w:rPr>
              <w:fldChar w:fldCharType="end"/>
            </w:r>
          </w:p>
        </w:tc>
        <w:tc>
          <w:tcPr>
            <w:tcW w:w="810"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{"citationID":"Ae80pzEr","properties":{"formattedCitation":"\\super 18\\nosupersub{}","plainCitation":"18","noteIndex":0},"citationItems":[{"id":961,"uris":["http://zotero.org/users/2145280/items/ANCVA7K2"],"itemData":{"id":961,"type":"article-journal","abstract":"BACKGROUND: Unexplained hypertransaminasaemia can be regarded as an extraintestinal presentation of coeliac disease.\nAIM: To evaluate the reliability of immunoglobulin A anti tissue transglutaminase antibodies for identifying coeliac disease in those patients with raised transaminases of unknown origin.\nPATIENTS: Of 1,120 consecutive patients referred to the outpatient clinic for liver disease due to raised transaminases from September 1995 to December 1999, 110 were classified as having cryptogenic hypertransaminasaemia after the exclusion of every known cause of liver disease.\nMETHODS: These 110 patients were tested for immunoglobulin A anti tissue transglutaminase and antiendomysial antibodies by enzyme-linked immunosorbent assay and indirect immunofluorescence, respectively.\nRESULTS: Ten patients resulted positive for both antibodies; in all of them duodenal biopsy showed a subtotal villous atrophy consistent with coeliac disease. They did not complain of any gastrointestinal symptom. Liver biopsy, performed in five, showed a histological picture of non-specific reactive hepatitis.\nCONCLUSIONS: Due to the high proportion (9.15%) of patients with cryptogenic hypertransaminasaemia affected by symptomless coeliac disease, serological screening for gluten-sensitive enteropathy must be included in the work-up of these patients. In this respect, anti tissue transglutaminase antibodies represent a valid alternative to antiendomysial antibodies with the advantage of being feasible everywhere thanks to the worldwide availability of enzyme-linked immunosorbent assay.","container-title":"Digestive and Liver Disease: Official Journal of the Italian Society of Gastroenterology and the Italian Association for the Study of the Liver","ISSN":"1590-8658","issue":"5","journalAbbreviation":"Dig Liver Dis","language":"eng","page":"420-425","source":"PubMed","title":"Anti tissue transglutaminase antibodies as predictors of silent coeliac disease in patients with hypertransaminasaemia of unknown origin","volume":"33","author":[{"family":"Volta","given":"U."},{"family":"Granito","given":"A."},{"family":"De Franceschi","given":"L."},{"family":"Petrolini","given":"N."},{"family":"Bianchi","given":"F. B."}],"issued":{"date-parts":[["2001",7]]}}}],"schema":"https://github.com/citation-style-language/schema/raw/master/csl-citation.json"} </w:instrText>
            </w:r>
            <w:r w:rsidRPr="00AA229D">
              <w:rPr>
                <w:rFonts w:eastAsia="Calibri"/>
                <w:sz w:val="12"/>
                <w:szCs w:val="12"/>
                <w:u w:val="single"/>
              </w:rPr>
              <w:fldChar w:fldCharType="separate"/>
            </w:r>
            <w:r w:rsidR="002402D3" w:rsidRPr="00AA229D">
              <w:rPr>
                <w:sz w:val="12"/>
                <w:szCs w:val="24"/>
                <w:vertAlign w:val="superscript"/>
              </w:rPr>
              <w:t>18</w:t>
            </w:r>
            <w:r w:rsidRPr="00AA229D">
              <w:rPr>
                <w:rFonts w:eastAsia="Calibri"/>
                <w:sz w:val="12"/>
                <w:szCs w:val="12"/>
                <w:u w:val="single"/>
              </w:rPr>
              <w:fldChar w:fldCharType="end"/>
            </w:r>
          </w:p>
        </w:tc>
        <w:tc>
          <w:tcPr>
            <w:tcW w:w="810" w:type="dxa"/>
            <w:shd w:val="clear" w:color="auto" w:fill="auto"/>
            <w:noWrap/>
            <w:hideMark/>
          </w:tcPr>
          <w:p w:rsidR="002402D3" w:rsidRPr="00AA229D" w:rsidRDefault="00F53C08" w:rsidP="002402D3">
            <w:pPr>
              <w:rPr>
                <w:rFonts w:eastAsia="Calibri"/>
                <w:sz w:val="12"/>
                <w:szCs w:val="12"/>
              </w:rPr>
            </w:pPr>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{"citationID":"RJa3rjN4","properties":{"formattedCitation":"\\super 19\\nosupersub{}","plainCitation":"19","noteIndex":0},"citationItems":[{"id":219,"uris":["http://zotero.org/users/2145280/items/FCUVAQHD"],"itemData":{"id":219,"type":"article-journal","abstract":"Patients with chronic cryptogenic hypertransaminasemia are at high risk of developing celiac disease (CD). In fact, among the various serological disorders, CD patients at onset frequently present hypertransaminasemia. In this study, we evaluated usefulness and reliability of the new test for antitissue transglutaminase (tTG) in screening for CD as well as in estimating the prevalence of CD in a population of blood donors presenting unexplained hypertransaminasemia at donation. Controls were 180 consecutive healthy donors without hypertransaminasemia and 20 CD patients with known antiendomysial antibody (EmA) positivity. Out of 22,204 blood donors over a period of 2 years, we found 258 subjects (1.2%) with cryptogenic hypertransaminasemia. Four of these subjects (1.5%) were positive for anti-tTG, but only 3 of them were positive for EmA. EmA were negative in all the remaining hypertransaminasemia subjects. In the control groups, anti-tTG antibodies were negative in all the 180 healthy donors without hypertransaminasemia, but positive in all the CD patients known to be EmA positive. 3 of the 4 subjects positive for anti-tTG, including 2 who were also EmA positive, underwent biopsy of the distal duodenal mucosa which showed a picture compatible with CD only in the 2 patients with concomitant EmA positivity. After 3 months of gluten-free diet, the serum transaminase values normalized in these 2 patients. In conclusion, the prevalence of CD in our blood bank population was lower than that reported in other similar studies, but the new test for anti-tTG showed a good sensitivity and reliability, and, therefore, it can be proposed as a first-level test in screening for CD in selected populations such as subjects with hypertransaminasemia.","container-title":"Digestion","DOI":"10.1159/000048845","ISSN":"0012-2823","issue":"2","journalAbbreviation":"Digestion","language":"eng","note":"PMID: 11684821","page":"87-91","source":"PubMed","title":"Screening for autoantibodies to tissue transglutaminase reveals a low prevalence of celiac disease in blood donors with cryptogenic hypertransaminasemia","volume":"64","author":[{"family":"Soresi","given":"M."},{"family":"Amplo","given":"M."},{"family":"Agliastro","given":"R."},{"family":"Sesti","given":"R."},{"family":"Di Giovanni","given":"G."},{"family":"Magliarisi","given":"C."},{"family":"Belvedere","given":"M."},{"family":"Carroccio","given":"A."},{"family":"Montalto","given":"G."}],"issued":{"date-parts":[["2001"]]}}}],"schema":"https://github.com/citation-style-language/schema/raw/master/csl-citation.json"} </w:instrText>
            </w:r>
            <w:r w:rsidRPr="00AA229D">
              <w:rPr>
                <w:rFonts w:eastAsia="Calibri"/>
                <w:sz w:val="12"/>
                <w:szCs w:val="12"/>
                <w:u w:val="single"/>
              </w:rPr>
              <w:fldChar w:fldCharType="separate"/>
            </w:r>
            <w:r w:rsidR="002402D3" w:rsidRPr="00AA229D">
              <w:rPr>
                <w:sz w:val="12"/>
                <w:szCs w:val="24"/>
                <w:vertAlign w:val="superscript"/>
              </w:rPr>
              <w:t>19</w:t>
            </w:r>
            <w:r w:rsidRPr="00AA229D">
              <w:rPr>
                <w:rFonts w:eastAsia="Calibri"/>
                <w:sz w:val="12"/>
                <w:szCs w:val="12"/>
                <w:u w:val="single"/>
              </w:rPr>
              <w:fldChar w:fldCharType="end"/>
            </w:r>
          </w:p>
        </w:tc>
        <w:tc>
          <w:tcPr>
            <w:tcW w:w="630" w:type="dxa"/>
            <w:shd w:val="clear" w:color="auto" w:fill="auto"/>
            <w:noWrap/>
            <w:hideMark/>
          </w:tcPr>
          <w:p w:rsidR="002402D3" w:rsidRPr="00AA229D" w:rsidRDefault="00F53C08" w:rsidP="002402D3">
            <w:r w:rsidRPr="00AA229D">
              <w:rPr>
                <w:rFonts w:eastAsia="Calibri"/>
                <w:sz w:val="12"/>
                <w:szCs w:val="12"/>
                <w:u w:val="single"/>
              </w:rPr>
              <w:fldChar w:fldCharType="begin"/>
            </w:r>
            <w:r w:rsidR="008F29D2">
              <w:rPr>
                <w:rFonts w:eastAsia="Calibri"/>
                <w:sz w:val="12"/>
                <w:szCs w:val="12"/>
                <w:u w:val="single"/>
              </w:rPr>
              <w:instrText xml:space="preserve"> ADDIN ZOTERO_ITEM CSL_CITATION {"citationID":"o5Psz7Ye","properties":{"formattedCitation":"\\super 20\\nosupersub{}","plainCitation":"20","noteIndex":0},"citationItems":[{"id":973,"uris":["http://zotero.org/users/2145280/items/G6V5ECBN"],"itemData":{"id":973,"type":"article-journal","abstract":"In a subset of patients attending liver units, a chronic increase in serum transaminases may remain of undetermined cause despite thorough investigations. On the other hand, elevated levels of serum transaminases have been reported in about 40% of adult celiac patients. To evaluate the prevalence of subclinical celiac disease in patients with chronic unexplained hypertransaminasemia in comparison with that in the general population (0.5%), 140 consecutive patients with chronic increases of serum transaminases levels of unknown cause were tested for antigliadin and antiendomysium IgA antibodies. All patients with positive antibody tests were offered upper gastrointestinal endoscopy with distal duodenal biopsy. Thirteen patients (9.3%, 95% confidence interval 5. 0-15.4) had positive antigliadin and antiendomysium antibodies. The prevalence of antibodies was 17% in women and 5.4% in men (8/47 vs. 5/93 respectively; relative risk 3.2, 95% confidence interval 1.1-9. 1). Distal duodenal biopsy performed in all but one of the patients showed mild villous atrophy with increased intraepithelial lymphocytes in three cases, subtotal villous atrophy in six, and total villous atrophy in three. The prevalence of celiac disease in the patient group was significantly higher than that in the general population (P &lt;.001) with a relative risk of 18.6 (95% confidence interval 11.1-31.2). On the basis of the present findings, screening for celiac disease is an important tool in the initial diagnostic work-up of patients with chronic unexplained hypertransaminasemia.","container-title":"Hepatology (Baltimore, Md.)","DOI":"10.1002/hep.510290318","ISSN":"0270-9139","issue":"3","journalAbbreviation":"Hepatology","language":"eng","page":"654-657","source":"PubMed","title":"Chronic unexplained hypertransaminasemia may be caused by occult celiac disease","volume":"29","author":[{"family":"Bardella","given":"M. T."},{"family":"Vecchi","given":"M."},{"family":"Conte","given":"D."},{"family":"Del Ninno","given":"E."},{"family":"Fraquelli","given":"M."},{"family":"Pacchetti","given":"S."},{"family":"Minola","given":"E."},{"family":"Landoni","given":"M."},{"family":"Cesana","given":"B. M."},{"family":"De Franchis","given":"R."}],"issued":{"date-parts":[["1999",3]]}}}],"schema":"https://github.com/citation-style-language/schema/raw/master/csl-citation.json"} </w:instrText>
            </w:r>
            <w:r w:rsidRPr="00AA229D">
              <w:rPr>
                <w:rFonts w:eastAsia="Calibri"/>
                <w:sz w:val="12"/>
                <w:szCs w:val="12"/>
                <w:u w:val="single"/>
              </w:rPr>
              <w:fldChar w:fldCharType="separate"/>
            </w:r>
            <w:r w:rsidR="002402D3" w:rsidRPr="00AA229D">
              <w:rPr>
                <w:sz w:val="12"/>
                <w:szCs w:val="24"/>
                <w:vertAlign w:val="superscript"/>
              </w:rPr>
              <w:t>20</w:t>
            </w:r>
            <w:r w:rsidRPr="00AA229D">
              <w:rPr>
                <w:rFonts w:eastAsia="Calibri"/>
                <w:sz w:val="12"/>
                <w:szCs w:val="12"/>
                <w:u w:val="single"/>
              </w:rPr>
              <w:fldChar w:fldCharType="end"/>
            </w:r>
          </w:p>
          <w:p w:rsidR="002402D3" w:rsidRPr="00AA229D" w:rsidRDefault="002402D3" w:rsidP="002402D3">
            <w:pPr>
              <w:rPr>
                <w:rFonts w:eastAsia="Calibri"/>
                <w:sz w:val="12"/>
                <w:szCs w:val="12"/>
              </w:rPr>
            </w:pPr>
          </w:p>
        </w:tc>
      </w:tr>
    </w:tbl>
    <w:p w:rsidR="002402D3" w:rsidRPr="00AA229D" w:rsidRDefault="002402D3" w:rsidP="002402D3"/>
    <w:p w:rsidR="00854D05" w:rsidRPr="00AA229D" w:rsidRDefault="00854D05" w:rsidP="002402D3"/>
    <w:p w:rsidR="0004302D" w:rsidRPr="00AA229D" w:rsidRDefault="0004302D" w:rsidP="002402D3"/>
    <w:p w:rsidR="0004302D" w:rsidRPr="00AA229D" w:rsidRDefault="0004302D" w:rsidP="002402D3"/>
    <w:p w:rsidR="00325B9F" w:rsidRPr="00AA229D" w:rsidRDefault="00325B9F" w:rsidP="00854D05"/>
    <w:p w:rsidR="00325B9F" w:rsidRPr="00AA229D" w:rsidRDefault="00325B9F" w:rsidP="00854D05"/>
    <w:p w:rsidR="00325B9F" w:rsidRPr="00AA229D" w:rsidRDefault="00325B9F" w:rsidP="00854D05"/>
    <w:p w:rsidR="00325B9F" w:rsidRPr="00AA229D" w:rsidRDefault="00325B9F" w:rsidP="00854D05"/>
    <w:p w:rsidR="00325B9F" w:rsidRPr="00AA229D" w:rsidRDefault="00325B9F" w:rsidP="00854D05"/>
    <w:p w:rsidR="00325B9F" w:rsidRPr="00AA229D" w:rsidRDefault="00325B9F" w:rsidP="00854D05"/>
    <w:p w:rsidR="00325B9F" w:rsidRPr="00AA229D" w:rsidRDefault="00325B9F" w:rsidP="00854D05"/>
    <w:p w:rsidR="00854D05" w:rsidRPr="001C790C" w:rsidRDefault="00C158C5" w:rsidP="00854D05">
      <w:pPr>
        <w:rPr>
          <w:b/>
          <w:sz w:val="22"/>
          <w:szCs w:val="22"/>
        </w:rPr>
      </w:pPr>
      <w:r>
        <w:rPr>
          <w:b/>
          <w:sz w:val="22"/>
          <w:szCs w:val="22"/>
        </w:rPr>
        <w:t>Supplementary Digital Content</w:t>
      </w:r>
      <w:r w:rsidR="00E67D54" w:rsidRPr="001C790C">
        <w:rPr>
          <w:b/>
          <w:sz w:val="22"/>
          <w:szCs w:val="22"/>
        </w:rPr>
        <w:t xml:space="preserve"> 6</w:t>
      </w:r>
      <w:r w:rsidR="00854D05" w:rsidRPr="001C790C">
        <w:rPr>
          <w:b/>
          <w:sz w:val="22"/>
          <w:szCs w:val="22"/>
        </w:rPr>
        <w:t>: Characteristics of the studies included in the systematic review for all-cause hypertransaminasemia</w:t>
      </w:r>
    </w:p>
    <w:p w:rsidR="00135F0B" w:rsidRPr="00AA229D" w:rsidRDefault="00135F0B" w:rsidP="00854D05"/>
    <w:tbl>
      <w:tblPr>
        <w:tblW w:w="89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6"/>
        <w:gridCol w:w="1980"/>
        <w:gridCol w:w="1890"/>
        <w:gridCol w:w="1800"/>
        <w:gridCol w:w="1944"/>
      </w:tblGrid>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Author</w:t>
            </w:r>
          </w:p>
        </w:tc>
        <w:tc>
          <w:tcPr>
            <w:tcW w:w="1980" w:type="dxa"/>
            <w:shd w:val="clear" w:color="auto" w:fill="auto"/>
            <w:noWrap/>
            <w:hideMark/>
          </w:tcPr>
          <w:p w:rsidR="00854D05" w:rsidRPr="00AA229D" w:rsidRDefault="00854D05" w:rsidP="006E23C9">
            <w:pPr>
              <w:rPr>
                <w:rFonts w:eastAsia="Calibri"/>
                <w:sz w:val="12"/>
                <w:szCs w:val="12"/>
                <w:u w:val="single"/>
              </w:rPr>
            </w:pPr>
            <w:r w:rsidRPr="00AA229D">
              <w:rPr>
                <w:rFonts w:eastAsia="Calibri"/>
                <w:sz w:val="12"/>
                <w:szCs w:val="12"/>
                <w:u w:val="single"/>
              </w:rPr>
              <w:t>Yuan</w:t>
            </w:r>
          </w:p>
        </w:tc>
        <w:tc>
          <w:tcPr>
            <w:tcW w:w="1890" w:type="dxa"/>
            <w:shd w:val="clear" w:color="auto" w:fill="auto"/>
            <w:noWrap/>
            <w:hideMark/>
          </w:tcPr>
          <w:p w:rsidR="00854D05" w:rsidRPr="00AA229D" w:rsidRDefault="00854D05" w:rsidP="006E23C9">
            <w:pPr>
              <w:rPr>
                <w:rFonts w:eastAsia="Calibri"/>
                <w:sz w:val="12"/>
                <w:szCs w:val="12"/>
                <w:u w:val="single"/>
              </w:rPr>
            </w:pPr>
            <w:r w:rsidRPr="00AA229D">
              <w:rPr>
                <w:rFonts w:eastAsia="Calibri"/>
                <w:sz w:val="12"/>
                <w:szCs w:val="12"/>
                <w:u w:val="single"/>
              </w:rPr>
              <w:t>Emami</w:t>
            </w:r>
          </w:p>
        </w:tc>
        <w:tc>
          <w:tcPr>
            <w:tcW w:w="1800" w:type="dxa"/>
            <w:shd w:val="clear" w:color="auto" w:fill="auto"/>
            <w:noWrap/>
            <w:hideMark/>
          </w:tcPr>
          <w:p w:rsidR="00854D05" w:rsidRPr="00AA229D" w:rsidRDefault="00854D05" w:rsidP="006E23C9">
            <w:pPr>
              <w:rPr>
                <w:rFonts w:eastAsia="Calibri"/>
                <w:sz w:val="12"/>
                <w:szCs w:val="12"/>
                <w:u w:val="single"/>
              </w:rPr>
            </w:pPr>
            <w:r w:rsidRPr="00AA229D">
              <w:rPr>
                <w:rFonts w:eastAsia="Calibri"/>
                <w:sz w:val="12"/>
                <w:szCs w:val="12"/>
                <w:u w:val="single"/>
              </w:rPr>
              <w:t>Carroccio</w:t>
            </w:r>
          </w:p>
        </w:tc>
        <w:tc>
          <w:tcPr>
            <w:tcW w:w="2070" w:type="dxa"/>
          </w:tcPr>
          <w:p w:rsidR="00854D05" w:rsidRPr="00AA229D" w:rsidRDefault="00854D05" w:rsidP="006E23C9">
            <w:pPr>
              <w:rPr>
                <w:rFonts w:eastAsia="Calibri"/>
                <w:sz w:val="12"/>
                <w:szCs w:val="12"/>
                <w:u w:val="single"/>
              </w:rPr>
            </w:pPr>
            <w:r w:rsidRPr="00AA229D">
              <w:rPr>
                <w:rFonts w:eastAsia="Calibri"/>
                <w:sz w:val="12"/>
                <w:szCs w:val="12"/>
                <w:u w:val="single"/>
              </w:rPr>
              <w:t xml:space="preserve">Aggarwal </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Published</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2015</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2012</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2001</w:t>
            </w:r>
          </w:p>
        </w:tc>
        <w:tc>
          <w:tcPr>
            <w:tcW w:w="2070" w:type="dxa"/>
          </w:tcPr>
          <w:p w:rsidR="00854D05" w:rsidRPr="00AA229D" w:rsidRDefault="00854D05" w:rsidP="006E23C9">
            <w:pPr>
              <w:rPr>
                <w:rFonts w:eastAsia="Calibri"/>
                <w:sz w:val="12"/>
                <w:szCs w:val="12"/>
              </w:rPr>
            </w:pPr>
            <w:r w:rsidRPr="00AA229D">
              <w:rPr>
                <w:rFonts w:eastAsia="Calibri"/>
                <w:sz w:val="12"/>
                <w:szCs w:val="12"/>
              </w:rPr>
              <w:t>2019</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Design</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Prospective</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Prospective</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Prospective</w:t>
            </w:r>
          </w:p>
        </w:tc>
        <w:tc>
          <w:tcPr>
            <w:tcW w:w="2070" w:type="dxa"/>
          </w:tcPr>
          <w:p w:rsidR="00854D05" w:rsidRPr="00AA229D" w:rsidRDefault="00854D05" w:rsidP="006E23C9">
            <w:pPr>
              <w:rPr>
                <w:rFonts w:eastAsia="Calibri"/>
                <w:sz w:val="12"/>
                <w:szCs w:val="12"/>
              </w:rPr>
            </w:pPr>
            <w:r w:rsidRPr="00AA229D">
              <w:rPr>
                <w:rFonts w:eastAsia="Calibri"/>
                <w:sz w:val="12"/>
                <w:szCs w:val="12"/>
              </w:rPr>
              <w:t>Retrosepctive</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Period</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September 2010 - October 2010</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2003-2008</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September 1998 - May 1999</w:t>
            </w:r>
          </w:p>
        </w:tc>
        <w:tc>
          <w:tcPr>
            <w:tcW w:w="2070" w:type="dxa"/>
          </w:tcPr>
          <w:p w:rsidR="00854D05" w:rsidRPr="00AA229D" w:rsidRDefault="00854D05" w:rsidP="006E23C9">
            <w:pPr>
              <w:rPr>
                <w:rFonts w:eastAsia="Calibri"/>
                <w:sz w:val="12"/>
                <w:szCs w:val="12"/>
              </w:rPr>
            </w:pP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 xml:space="preserve">Geographical region </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China, Asia</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Iran, Asia</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Italy, Europe</w:t>
            </w:r>
          </w:p>
        </w:tc>
        <w:tc>
          <w:tcPr>
            <w:tcW w:w="2070" w:type="dxa"/>
          </w:tcPr>
          <w:p w:rsidR="00854D05" w:rsidRPr="00AA229D" w:rsidRDefault="00854D05" w:rsidP="006E23C9">
            <w:pPr>
              <w:rPr>
                <w:rFonts w:eastAsia="Calibri"/>
                <w:sz w:val="12"/>
                <w:szCs w:val="12"/>
              </w:rPr>
            </w:pPr>
            <w:r w:rsidRPr="00AA229D">
              <w:rPr>
                <w:rFonts w:eastAsia="Calibri"/>
                <w:sz w:val="12"/>
                <w:szCs w:val="12"/>
              </w:rPr>
              <w:t>India</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 xml:space="preserve">Setting </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Community</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Tertiary Care</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Tertiary Care</w:t>
            </w:r>
          </w:p>
        </w:tc>
        <w:tc>
          <w:tcPr>
            <w:tcW w:w="2070" w:type="dxa"/>
          </w:tcPr>
          <w:p w:rsidR="00854D05" w:rsidRPr="00AA229D" w:rsidRDefault="00854D05" w:rsidP="006E23C9">
            <w:pPr>
              <w:rPr>
                <w:rFonts w:eastAsia="Calibri"/>
                <w:sz w:val="12"/>
                <w:szCs w:val="12"/>
              </w:rPr>
            </w:pPr>
            <w:r w:rsidRPr="00AA229D">
              <w:rPr>
                <w:rFonts w:eastAsia="Calibri"/>
                <w:sz w:val="12"/>
                <w:szCs w:val="12"/>
              </w:rPr>
              <w:t>Community</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Overall Population</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Subjects with elevated transaminases from students who underwent routine physical examinations at the School Hospital</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 xml:space="preserve">224 patients, presenting within the first-level screening steps with abnormal LFT </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98 patients with chronic hypertransaminasaemia, evaluated for the first time in a hepatology clinic</w:t>
            </w:r>
          </w:p>
        </w:tc>
        <w:tc>
          <w:tcPr>
            <w:tcW w:w="2070" w:type="dxa"/>
          </w:tcPr>
          <w:p w:rsidR="00854D05" w:rsidRPr="00AA229D" w:rsidRDefault="00854D05" w:rsidP="006E23C9">
            <w:pPr>
              <w:rPr>
                <w:rFonts w:eastAsia="Calibri"/>
                <w:sz w:val="12"/>
                <w:szCs w:val="12"/>
              </w:rPr>
            </w:pPr>
            <w:r w:rsidRPr="00AA229D">
              <w:rPr>
                <w:rFonts w:eastAsia="Calibri"/>
                <w:sz w:val="12"/>
                <w:szCs w:val="12"/>
              </w:rPr>
              <w:t>1246 patients with elevated ALT among 6209 individuals that consented to provide blood samples for testing for CeD.</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 xml:space="preserve">Age of overall population </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17-21years</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39.6±1.2years for males, 38.5±1.4years for females</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18–64 years</w:t>
            </w:r>
          </w:p>
        </w:tc>
        <w:tc>
          <w:tcPr>
            <w:tcW w:w="2070" w:type="dxa"/>
          </w:tcPr>
          <w:p w:rsidR="00854D05" w:rsidRPr="00AA229D" w:rsidRDefault="00854D05" w:rsidP="006E23C9">
            <w:pPr>
              <w:rPr>
                <w:rFonts w:eastAsia="Calibri"/>
                <w:sz w:val="12"/>
                <w:szCs w:val="12"/>
              </w:rPr>
            </w:pPr>
            <w:r w:rsidRPr="00AA229D">
              <w:rPr>
                <w:rFonts w:eastAsia="Calibri"/>
                <w:sz w:val="12"/>
                <w:szCs w:val="12"/>
              </w:rPr>
              <w:t>18-? Years</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Sample size of liver disease of interest</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125</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224</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98</w:t>
            </w:r>
          </w:p>
        </w:tc>
        <w:tc>
          <w:tcPr>
            <w:tcW w:w="2070" w:type="dxa"/>
          </w:tcPr>
          <w:p w:rsidR="00854D05" w:rsidRPr="00AA229D" w:rsidRDefault="00854D05" w:rsidP="006E23C9">
            <w:pPr>
              <w:rPr>
                <w:rFonts w:eastAsia="Calibri"/>
                <w:sz w:val="12"/>
                <w:szCs w:val="12"/>
              </w:rPr>
            </w:pPr>
            <w:r w:rsidRPr="00AA229D">
              <w:rPr>
                <w:rFonts w:eastAsia="Calibri"/>
                <w:sz w:val="12"/>
                <w:szCs w:val="12"/>
              </w:rPr>
              <w:t>1246</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Females</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13</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93</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32</w:t>
            </w:r>
          </w:p>
        </w:tc>
        <w:tc>
          <w:tcPr>
            <w:tcW w:w="2070" w:type="dxa"/>
          </w:tcPr>
          <w:p w:rsidR="00854D05" w:rsidRPr="00AA229D" w:rsidRDefault="00854D05" w:rsidP="006E23C9">
            <w:pPr>
              <w:rPr>
                <w:rFonts w:eastAsia="Calibri"/>
                <w:sz w:val="12"/>
                <w:szCs w:val="12"/>
              </w:rPr>
            </w:pPr>
            <w:r w:rsidRPr="00AA229D">
              <w:rPr>
                <w:rFonts w:eastAsia="Calibri"/>
                <w:sz w:val="12"/>
                <w:szCs w:val="12"/>
              </w:rPr>
              <w:t>589</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Children</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None</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None</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None</w:t>
            </w:r>
          </w:p>
        </w:tc>
        <w:tc>
          <w:tcPr>
            <w:tcW w:w="2070" w:type="dxa"/>
          </w:tcPr>
          <w:p w:rsidR="00854D05" w:rsidRPr="00AA229D" w:rsidRDefault="00854D05" w:rsidP="006E23C9">
            <w:pPr>
              <w:rPr>
                <w:rFonts w:eastAsia="Calibri"/>
                <w:sz w:val="12"/>
                <w:szCs w:val="12"/>
              </w:rPr>
            </w:pPr>
            <w:r w:rsidRPr="00AA229D">
              <w:rPr>
                <w:rFonts w:eastAsia="Calibri"/>
                <w:sz w:val="12"/>
                <w:szCs w:val="12"/>
              </w:rPr>
              <w:t>None</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First level seroassay(s)</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Human TTG-IgA</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Human TTG-IgA</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Human and TTG-IgA and Guinea Pig TTG-IgA and AEA-IgA</w:t>
            </w:r>
          </w:p>
        </w:tc>
        <w:tc>
          <w:tcPr>
            <w:tcW w:w="2070" w:type="dxa"/>
          </w:tcPr>
          <w:p w:rsidR="00854D05" w:rsidRPr="00AA229D" w:rsidRDefault="00854D05" w:rsidP="006E23C9">
            <w:pPr>
              <w:rPr>
                <w:rFonts w:eastAsia="Calibri"/>
                <w:sz w:val="12"/>
                <w:szCs w:val="12"/>
              </w:rPr>
            </w:pPr>
            <w:r w:rsidRPr="00AA229D">
              <w:rPr>
                <w:rFonts w:eastAsia="Calibri"/>
                <w:sz w:val="12"/>
                <w:szCs w:val="12"/>
              </w:rPr>
              <w:t>Human TTG-IgA-Aeskulisa kit</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Second level seroassay(s)</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w:t>
            </w:r>
          </w:p>
        </w:tc>
        <w:tc>
          <w:tcPr>
            <w:tcW w:w="2070" w:type="dxa"/>
          </w:tcPr>
          <w:p w:rsidR="00854D05" w:rsidRPr="00AA229D" w:rsidRDefault="00854D05" w:rsidP="006E23C9">
            <w:pPr>
              <w:rPr>
                <w:rFonts w:eastAsia="Calibri"/>
                <w:sz w:val="12"/>
                <w:szCs w:val="12"/>
              </w:rPr>
            </w:pPr>
            <w:r w:rsidRPr="00AA229D">
              <w:rPr>
                <w:rFonts w:eastAsia="Calibri"/>
                <w:sz w:val="12"/>
                <w:szCs w:val="12"/>
              </w:rPr>
              <w:t>Human TTG-IgA by a more specific kit- INOVA</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Whether IgA level done</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Yes</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Yes</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Yes</w:t>
            </w:r>
          </w:p>
        </w:tc>
        <w:tc>
          <w:tcPr>
            <w:tcW w:w="2070" w:type="dxa"/>
          </w:tcPr>
          <w:p w:rsidR="00854D05" w:rsidRPr="00AA229D" w:rsidRDefault="00854D05" w:rsidP="006E23C9">
            <w:pPr>
              <w:rPr>
                <w:rFonts w:eastAsia="Calibri"/>
                <w:sz w:val="12"/>
                <w:szCs w:val="12"/>
              </w:rPr>
            </w:pPr>
            <w:r w:rsidRPr="00AA229D">
              <w:rPr>
                <w:rFonts w:eastAsia="Calibri"/>
                <w:sz w:val="12"/>
                <w:szCs w:val="12"/>
              </w:rPr>
              <w:t>No</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No. of seropositive</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0</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10</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15</w:t>
            </w:r>
          </w:p>
        </w:tc>
        <w:tc>
          <w:tcPr>
            <w:tcW w:w="2070" w:type="dxa"/>
          </w:tcPr>
          <w:p w:rsidR="00854D05" w:rsidRPr="00AA229D" w:rsidRDefault="00854D05" w:rsidP="006E23C9">
            <w:pPr>
              <w:rPr>
                <w:rFonts w:eastAsia="Calibri"/>
                <w:sz w:val="12"/>
                <w:szCs w:val="12"/>
              </w:rPr>
            </w:pPr>
            <w:r w:rsidRPr="00AA229D">
              <w:rPr>
                <w:rFonts w:eastAsia="Calibri"/>
                <w:sz w:val="12"/>
                <w:szCs w:val="12"/>
              </w:rPr>
              <w:t>104</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 xml:space="preserve">No. of TTG positive in whole sample </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0</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10</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15</w:t>
            </w:r>
          </w:p>
        </w:tc>
        <w:tc>
          <w:tcPr>
            <w:tcW w:w="2070" w:type="dxa"/>
          </w:tcPr>
          <w:p w:rsidR="00854D05" w:rsidRPr="00AA229D" w:rsidRDefault="00854D05" w:rsidP="006E23C9">
            <w:pPr>
              <w:rPr>
                <w:rFonts w:eastAsia="Calibri"/>
                <w:sz w:val="12"/>
                <w:szCs w:val="12"/>
              </w:rPr>
            </w:pPr>
            <w:r w:rsidRPr="00AA229D">
              <w:rPr>
                <w:rFonts w:eastAsia="Calibri"/>
                <w:sz w:val="12"/>
                <w:szCs w:val="12"/>
              </w:rPr>
              <w:t>104</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No. of AEA positive in whole sample</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Not applicable</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Not applicable</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2</w:t>
            </w:r>
          </w:p>
        </w:tc>
        <w:tc>
          <w:tcPr>
            <w:tcW w:w="2070" w:type="dxa"/>
          </w:tcPr>
          <w:p w:rsidR="00854D05" w:rsidRPr="00AA229D" w:rsidRDefault="00854D05" w:rsidP="006E23C9">
            <w:pPr>
              <w:rPr>
                <w:rFonts w:eastAsia="Calibri"/>
                <w:sz w:val="12"/>
                <w:szCs w:val="12"/>
              </w:rPr>
            </w:pPr>
            <w:r w:rsidRPr="00AA229D">
              <w:rPr>
                <w:rFonts w:eastAsia="Calibri"/>
                <w:sz w:val="12"/>
                <w:szCs w:val="12"/>
              </w:rPr>
              <w:t>Not applicable</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Small bowel-biopsied</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0</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10</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15</w:t>
            </w:r>
          </w:p>
        </w:tc>
        <w:tc>
          <w:tcPr>
            <w:tcW w:w="2070" w:type="dxa"/>
          </w:tcPr>
          <w:p w:rsidR="00854D05" w:rsidRPr="00AA229D" w:rsidRDefault="00854D05" w:rsidP="006E23C9">
            <w:pPr>
              <w:rPr>
                <w:rFonts w:eastAsia="Calibri"/>
                <w:sz w:val="12"/>
                <w:szCs w:val="12"/>
              </w:rPr>
            </w:pPr>
            <w:r w:rsidRPr="00AA229D">
              <w:rPr>
                <w:rFonts w:eastAsia="Calibri"/>
                <w:sz w:val="12"/>
                <w:szCs w:val="12"/>
              </w:rPr>
              <w:t>0</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 xml:space="preserve">Biopsy positive </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Not applicable</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4</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2</w:t>
            </w:r>
          </w:p>
        </w:tc>
        <w:tc>
          <w:tcPr>
            <w:tcW w:w="2070" w:type="dxa"/>
          </w:tcPr>
          <w:p w:rsidR="00854D05" w:rsidRPr="00AA229D" w:rsidRDefault="00854D05" w:rsidP="006E23C9">
            <w:pPr>
              <w:rPr>
                <w:rFonts w:eastAsia="Calibri"/>
                <w:sz w:val="12"/>
                <w:szCs w:val="12"/>
              </w:rPr>
            </w:pPr>
            <w:r w:rsidRPr="00AA229D">
              <w:rPr>
                <w:rFonts w:eastAsia="Calibri"/>
                <w:sz w:val="12"/>
                <w:szCs w:val="12"/>
              </w:rPr>
              <w:t>Not applicable</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Response to a GFD checked</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Not applicable</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Aminotransferases decreased with 8 weeks of a GFD</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Aminotransferases decreased with 5 months of a GFD</w:t>
            </w:r>
          </w:p>
        </w:tc>
        <w:tc>
          <w:tcPr>
            <w:tcW w:w="2070" w:type="dxa"/>
          </w:tcPr>
          <w:p w:rsidR="00854D05" w:rsidRPr="00AA229D" w:rsidRDefault="00854D05" w:rsidP="006E23C9">
            <w:pPr>
              <w:rPr>
                <w:rFonts w:eastAsia="Calibri"/>
                <w:sz w:val="12"/>
                <w:szCs w:val="12"/>
              </w:rPr>
            </w:pPr>
            <w:r w:rsidRPr="00AA229D">
              <w:rPr>
                <w:rFonts w:eastAsia="Calibri"/>
                <w:sz w:val="12"/>
                <w:szCs w:val="12"/>
              </w:rPr>
              <w:t>Not applicable</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Whether invasive workup used for etiological evaluationfor liver disease</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w:t>
            </w:r>
          </w:p>
        </w:tc>
        <w:tc>
          <w:tcPr>
            <w:tcW w:w="2070" w:type="dxa"/>
          </w:tcPr>
          <w:p w:rsidR="00854D05" w:rsidRPr="00AA229D" w:rsidRDefault="00854D05" w:rsidP="006E23C9">
            <w:pPr>
              <w:rPr>
                <w:rFonts w:eastAsia="Calibri"/>
                <w:sz w:val="12"/>
                <w:szCs w:val="12"/>
              </w:rPr>
            </w:pPr>
            <w:r w:rsidRPr="00AA229D">
              <w:rPr>
                <w:rFonts w:eastAsia="Calibri"/>
                <w:sz w:val="12"/>
                <w:szCs w:val="12"/>
              </w:rPr>
              <w:t>No</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Liver diseases included in all-cause hypertransaminasemia group</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Not applicable</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All patients</w:t>
            </w:r>
          </w:p>
          <w:p w:rsidR="00854D05" w:rsidRPr="00AA229D" w:rsidRDefault="00854D05" w:rsidP="006E23C9">
            <w:pPr>
              <w:rPr>
                <w:rFonts w:eastAsia="Calibri"/>
                <w:sz w:val="12"/>
                <w:szCs w:val="12"/>
              </w:rPr>
            </w:pPr>
            <w:r w:rsidRPr="00AA229D">
              <w:rPr>
                <w:rFonts w:eastAsia="Calibri"/>
                <w:sz w:val="12"/>
                <w:szCs w:val="12"/>
              </w:rPr>
              <w:t>presenting with abnormal LFT not known to be related to acute drug toxicity, ischemic attack, or other</w:t>
            </w:r>
          </w:p>
          <w:p w:rsidR="00854D05" w:rsidRPr="00AA229D" w:rsidRDefault="00854D05" w:rsidP="006E23C9">
            <w:pPr>
              <w:rPr>
                <w:rFonts w:eastAsia="Calibri"/>
                <w:sz w:val="12"/>
                <w:szCs w:val="12"/>
              </w:rPr>
            </w:pPr>
            <w:r w:rsidRPr="00AA229D">
              <w:rPr>
                <w:rFonts w:eastAsia="Calibri"/>
                <w:sz w:val="12"/>
                <w:szCs w:val="12"/>
              </w:rPr>
              <w:t>toxic liver insults (such as alcoholic liver injury) were included: cases included aih, nash, pbc, psc, viral hepatitis, Wilson’s</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94/98 patienst were positive for hepatitis markers</w:t>
            </w:r>
          </w:p>
        </w:tc>
        <w:tc>
          <w:tcPr>
            <w:tcW w:w="2070" w:type="dxa"/>
          </w:tcPr>
          <w:p w:rsidR="00854D05" w:rsidRPr="00AA229D" w:rsidRDefault="00854D05" w:rsidP="006E23C9">
            <w:pPr>
              <w:rPr>
                <w:rFonts w:eastAsia="Calibri"/>
                <w:sz w:val="12"/>
                <w:szCs w:val="12"/>
              </w:rPr>
            </w:pPr>
            <w:r w:rsidRPr="00AA229D">
              <w:rPr>
                <w:rFonts w:eastAsia="Calibri"/>
                <w:sz w:val="12"/>
                <w:szCs w:val="12"/>
              </w:rPr>
              <w:t>Not applicable</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 xml:space="preserve">Methodology for evaluation of liver diseases </w:t>
            </w:r>
          </w:p>
        </w:tc>
        <w:tc>
          <w:tcPr>
            <w:tcW w:w="198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Not applicable</w:t>
            </w:r>
          </w:p>
        </w:tc>
        <w:tc>
          <w:tcPr>
            <w:tcW w:w="189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serum Cu, ceruloplasmin, Fe, TIBC, ANA, Anti-Sm</w:t>
            </w:r>
          </w:p>
          <w:p w:rsidR="00854D05" w:rsidRPr="00AA229D" w:rsidRDefault="00854D05" w:rsidP="006E23C9">
            <w:pPr>
              <w:rPr>
                <w:rFonts w:eastAsia="Calibri"/>
                <w:sz w:val="12"/>
                <w:szCs w:val="12"/>
              </w:rPr>
            </w:pPr>
            <w:r w:rsidRPr="00AA229D">
              <w:rPr>
                <w:rFonts w:eastAsia="Calibri"/>
                <w:sz w:val="12"/>
                <w:szCs w:val="12"/>
              </w:rPr>
              <w:t>antibody, Anti-LKM-1 antibody, AMA, P-ANCA, serum Alpha-1 anti-tripsin level (not phenotyping since</w:t>
            </w:r>
          </w:p>
          <w:p w:rsidR="00854D05" w:rsidRPr="00AA229D" w:rsidRDefault="00854D05" w:rsidP="006E23C9">
            <w:pPr>
              <w:rPr>
                <w:rFonts w:eastAsia="Calibri"/>
                <w:sz w:val="12"/>
                <w:szCs w:val="12"/>
              </w:rPr>
            </w:pPr>
            <w:r w:rsidRPr="00AA229D">
              <w:rPr>
                <w:rFonts w:eastAsia="Calibri"/>
                <w:sz w:val="12"/>
                <w:szCs w:val="12"/>
              </w:rPr>
              <w:t>it was not available), HBS Ag, HBC antibody, HCV antibody, TG, cholesterol, LDL, HDL, and liver</w:t>
            </w:r>
          </w:p>
          <w:p w:rsidR="00854D05" w:rsidRPr="00AA229D" w:rsidRDefault="00854D05" w:rsidP="006E23C9">
            <w:pPr>
              <w:rPr>
                <w:rFonts w:eastAsia="Calibri"/>
                <w:sz w:val="12"/>
                <w:szCs w:val="12"/>
              </w:rPr>
            </w:pPr>
            <w:r w:rsidRPr="00AA229D">
              <w:rPr>
                <w:rFonts w:eastAsia="Calibri"/>
                <w:sz w:val="12"/>
                <w:szCs w:val="12"/>
              </w:rPr>
              <w:t>ultrasonography</w:t>
            </w:r>
          </w:p>
        </w:tc>
        <w:tc>
          <w:tcPr>
            <w:tcW w:w="1800" w:type="dxa"/>
            <w:shd w:val="clear" w:color="auto" w:fill="auto"/>
            <w:noWrap/>
            <w:hideMark/>
          </w:tcPr>
          <w:p w:rsidR="00854D05" w:rsidRPr="00AA229D" w:rsidRDefault="00854D05" w:rsidP="006E23C9">
            <w:pPr>
              <w:rPr>
                <w:rFonts w:eastAsia="Calibri"/>
                <w:sz w:val="12"/>
                <w:szCs w:val="12"/>
              </w:rPr>
            </w:pPr>
            <w:r w:rsidRPr="00AA229D">
              <w:rPr>
                <w:rFonts w:eastAsia="Calibri"/>
                <w:sz w:val="12"/>
                <w:szCs w:val="12"/>
              </w:rPr>
              <w:t>Alcohol intake, use of drugs,</w:t>
            </w:r>
          </w:p>
          <w:p w:rsidR="00854D05" w:rsidRPr="00AA229D" w:rsidRDefault="00854D05" w:rsidP="006E23C9">
            <w:pPr>
              <w:rPr>
                <w:rFonts w:eastAsia="Calibri"/>
                <w:sz w:val="12"/>
                <w:szCs w:val="12"/>
              </w:rPr>
            </w:pPr>
            <w:r w:rsidRPr="00AA229D">
              <w:rPr>
                <w:rFonts w:eastAsia="Calibri"/>
                <w:sz w:val="12"/>
                <w:szCs w:val="12"/>
              </w:rPr>
              <w:t>and exposure to potential hepatic toxins were</w:t>
            </w:r>
          </w:p>
          <w:p w:rsidR="00854D05" w:rsidRPr="00AA229D" w:rsidRDefault="00854D05" w:rsidP="006E23C9">
            <w:pPr>
              <w:rPr>
                <w:rFonts w:eastAsia="Calibri"/>
                <w:sz w:val="12"/>
                <w:szCs w:val="12"/>
              </w:rPr>
            </w:pPr>
            <w:r w:rsidRPr="00AA229D">
              <w:rPr>
                <w:rFonts w:eastAsia="Calibri"/>
                <w:sz w:val="12"/>
                <w:szCs w:val="12"/>
              </w:rPr>
              <w:t>investigated. Laboratory investigations included routine liver and kidney function tests.</w:t>
            </w:r>
          </w:p>
          <w:p w:rsidR="00854D05" w:rsidRPr="00AA229D" w:rsidRDefault="00854D05" w:rsidP="006E23C9">
            <w:pPr>
              <w:rPr>
                <w:rFonts w:eastAsia="Calibri"/>
                <w:sz w:val="12"/>
                <w:szCs w:val="12"/>
              </w:rPr>
            </w:pPr>
            <w:r w:rsidRPr="00AA229D">
              <w:rPr>
                <w:rFonts w:eastAsia="Calibri"/>
                <w:sz w:val="12"/>
                <w:szCs w:val="12"/>
              </w:rPr>
              <w:t xml:space="preserve">Immunoglobulin levels were </w:t>
            </w:r>
          </w:p>
          <w:p w:rsidR="00854D05" w:rsidRPr="00AA229D" w:rsidRDefault="00854D05" w:rsidP="006E23C9">
            <w:pPr>
              <w:rPr>
                <w:rFonts w:eastAsia="Calibri"/>
                <w:sz w:val="12"/>
                <w:szCs w:val="12"/>
              </w:rPr>
            </w:pPr>
            <w:r w:rsidRPr="00AA229D">
              <w:rPr>
                <w:rFonts w:eastAsia="Calibri"/>
                <w:sz w:val="12"/>
                <w:szCs w:val="12"/>
              </w:rPr>
              <w:t>underwent serological screening for viral</w:t>
            </w:r>
          </w:p>
          <w:p w:rsidR="00854D05" w:rsidRPr="00AA229D" w:rsidRDefault="00854D05" w:rsidP="006E23C9">
            <w:pPr>
              <w:rPr>
                <w:rFonts w:eastAsia="Calibri"/>
                <w:sz w:val="12"/>
                <w:szCs w:val="12"/>
              </w:rPr>
            </w:pPr>
            <w:r w:rsidRPr="00AA229D">
              <w:rPr>
                <w:rFonts w:eastAsia="Calibri"/>
                <w:sz w:val="12"/>
                <w:szCs w:val="12"/>
              </w:rPr>
              <w:t xml:space="preserve">hepatitis B and C (HCV); anti-HCV immune reactivity </w:t>
            </w:r>
          </w:p>
          <w:p w:rsidR="00854D05" w:rsidRPr="00AA229D" w:rsidRDefault="00854D05" w:rsidP="006E23C9">
            <w:pPr>
              <w:rPr>
                <w:rFonts w:eastAsia="Calibri"/>
                <w:sz w:val="12"/>
                <w:szCs w:val="12"/>
              </w:rPr>
            </w:pPr>
            <w:r w:rsidRPr="00AA229D">
              <w:rPr>
                <w:rFonts w:eastAsia="Calibri"/>
                <w:sz w:val="12"/>
                <w:szCs w:val="12"/>
              </w:rPr>
              <w:t>Sera were also tested for</w:t>
            </w:r>
          </w:p>
          <w:p w:rsidR="00854D05" w:rsidRPr="00AA229D" w:rsidRDefault="00854D05" w:rsidP="006E23C9">
            <w:pPr>
              <w:rPr>
                <w:rFonts w:eastAsia="Calibri"/>
                <w:sz w:val="12"/>
                <w:szCs w:val="12"/>
              </w:rPr>
            </w:pPr>
            <w:r w:rsidRPr="00AA229D">
              <w:rPr>
                <w:rFonts w:eastAsia="Calibri"/>
                <w:sz w:val="12"/>
                <w:szCs w:val="12"/>
              </w:rPr>
              <w:t>hepatitis B surface antigen using a commercial</w:t>
            </w:r>
          </w:p>
          <w:p w:rsidR="00854D05" w:rsidRPr="00AA229D" w:rsidRDefault="00854D05" w:rsidP="006E23C9">
            <w:pPr>
              <w:rPr>
                <w:rFonts w:eastAsia="Calibri"/>
                <w:sz w:val="12"/>
                <w:szCs w:val="12"/>
              </w:rPr>
            </w:pPr>
            <w:r w:rsidRPr="00AA229D">
              <w:rPr>
                <w:rFonts w:eastAsia="Calibri"/>
                <w:sz w:val="12"/>
                <w:szCs w:val="12"/>
              </w:rPr>
              <w:t xml:space="preserve">ELISA. </w:t>
            </w:r>
          </w:p>
          <w:p w:rsidR="00854D05" w:rsidRPr="00AA229D" w:rsidRDefault="00854D05" w:rsidP="006E23C9">
            <w:pPr>
              <w:rPr>
                <w:rFonts w:eastAsia="Calibri"/>
                <w:sz w:val="12"/>
                <w:szCs w:val="12"/>
              </w:rPr>
            </w:pPr>
            <w:r w:rsidRPr="00AA229D">
              <w:rPr>
                <w:rFonts w:eastAsia="Calibri"/>
                <w:sz w:val="12"/>
                <w:szCs w:val="12"/>
              </w:rPr>
              <w:t>ANA antimitochondrial (AMA),</w:t>
            </w:r>
          </w:p>
          <w:p w:rsidR="00854D05" w:rsidRPr="00AA229D" w:rsidRDefault="00854D05" w:rsidP="006E23C9">
            <w:pPr>
              <w:rPr>
                <w:rFonts w:eastAsia="Calibri"/>
                <w:sz w:val="12"/>
                <w:szCs w:val="12"/>
              </w:rPr>
            </w:pPr>
            <w:r w:rsidRPr="00AA229D">
              <w:rPr>
                <w:rFonts w:eastAsia="Calibri"/>
                <w:sz w:val="12"/>
                <w:szCs w:val="12"/>
              </w:rPr>
              <w:t>antismooth muscle (ASMA), microsomal (anti-LKM) antibodies was</w:t>
            </w:r>
          </w:p>
          <w:p w:rsidR="00854D05" w:rsidRPr="00AA229D" w:rsidRDefault="00854D05" w:rsidP="006E23C9">
            <w:pPr>
              <w:rPr>
                <w:rFonts w:eastAsia="Calibri"/>
                <w:sz w:val="12"/>
                <w:szCs w:val="12"/>
              </w:rPr>
            </w:pPr>
            <w:r w:rsidRPr="00AA229D">
              <w:rPr>
                <w:rFonts w:eastAsia="Calibri"/>
                <w:sz w:val="12"/>
                <w:szCs w:val="12"/>
              </w:rPr>
              <w:t>also evaluated by indirect immunofluorescence</w:t>
            </w:r>
          </w:p>
          <w:p w:rsidR="00854D05" w:rsidRPr="00AA229D" w:rsidRDefault="00854D05" w:rsidP="006E23C9">
            <w:pPr>
              <w:rPr>
                <w:rFonts w:eastAsia="Calibri"/>
                <w:sz w:val="12"/>
                <w:szCs w:val="12"/>
              </w:rPr>
            </w:pPr>
          </w:p>
        </w:tc>
        <w:tc>
          <w:tcPr>
            <w:tcW w:w="2070" w:type="dxa"/>
          </w:tcPr>
          <w:p w:rsidR="00854D05" w:rsidRPr="00AA229D" w:rsidRDefault="00854D05" w:rsidP="006E23C9">
            <w:pPr>
              <w:rPr>
                <w:rFonts w:eastAsia="Calibri"/>
                <w:sz w:val="12"/>
                <w:szCs w:val="12"/>
              </w:rPr>
            </w:pPr>
            <w:r w:rsidRPr="00AA229D">
              <w:rPr>
                <w:rFonts w:eastAsia="Calibri"/>
                <w:sz w:val="12"/>
                <w:szCs w:val="12"/>
              </w:rPr>
              <w:t>Not applicable</w:t>
            </w:r>
          </w:p>
        </w:tc>
      </w:tr>
      <w:tr w:rsidR="00854D05" w:rsidRPr="00AA229D" w:rsidTr="006E23C9">
        <w:trPr>
          <w:trHeight w:val="288"/>
        </w:trPr>
        <w:tc>
          <w:tcPr>
            <w:tcW w:w="1170" w:type="dxa"/>
            <w:shd w:val="clear" w:color="auto" w:fill="auto"/>
          </w:tcPr>
          <w:p w:rsidR="00854D05" w:rsidRPr="00AA229D" w:rsidRDefault="00854D05" w:rsidP="006E23C9">
            <w:pPr>
              <w:rPr>
                <w:rFonts w:eastAsia="Calibri"/>
                <w:kern w:val="0"/>
                <w:sz w:val="12"/>
                <w:szCs w:val="12"/>
                <w:lang w:eastAsia="en-US"/>
              </w:rPr>
            </w:pPr>
            <w:r w:rsidRPr="00AA229D">
              <w:rPr>
                <w:rFonts w:eastAsia="Calibri"/>
                <w:kern w:val="0"/>
                <w:sz w:val="12"/>
                <w:szCs w:val="12"/>
                <w:lang w:eastAsia="en-US"/>
              </w:rPr>
              <w:t>References</w:t>
            </w:r>
          </w:p>
        </w:tc>
        <w:tc>
          <w:tcPr>
            <w:tcW w:w="1980" w:type="dxa"/>
            <w:shd w:val="clear" w:color="auto" w:fill="auto"/>
            <w:noWrap/>
            <w:hideMark/>
          </w:tcPr>
          <w:p w:rsidR="00854D05" w:rsidRPr="00AA229D" w:rsidRDefault="00F53C08" w:rsidP="006E23C9">
            <w:pPr>
              <w:rPr>
                <w:rFonts w:eastAsia="Calibri"/>
                <w:sz w:val="12"/>
                <w:szCs w:val="12"/>
              </w:rPr>
            </w:pPr>
            <w:r w:rsidRPr="00AA229D">
              <w:rPr>
                <w:rFonts w:eastAsia="Calibri"/>
                <w:sz w:val="12"/>
                <w:szCs w:val="12"/>
              </w:rPr>
              <w:fldChar w:fldCharType="begin"/>
            </w:r>
            <w:r w:rsidR="008F29D2">
              <w:rPr>
                <w:rFonts w:eastAsia="Calibri"/>
                <w:sz w:val="12"/>
                <w:szCs w:val="12"/>
              </w:rPr>
              <w:instrText xml:space="preserve"> ADDIN ZOTERO_ITEM CSL_CITATION {"citationID":"czuho82I","properties":{"formattedCitation":"\\super 21\\nosupersub{}","plainCitation":"21","noteIndex":0},"citationItems":[{"id":255,"uris":["http://zotero.org/users/2145280/items/WVFAAD88"],"itemData":{"id":255,"type":"article-journal","abstract":"BACKGROUND/AIM: A cryptogenic elevation of transaminases is the most common hepatic manifestation in celiac disease (CD). In adult patients and pediatric patients with cryptogenic hypertransaminasemia, the prevalence of CD was 4% and 12%, respectively. However, there are no related data from China in this regard. We aimed to investigate the status of CD in young Chinese patients with elevated transaminases.\nMATERIALS AND METHODS: A total of 125 patients with elevated transaminases and 125 healthy individuals as controls with matched age and sex were involved in the study. Serum markers of hepatitis B were determined in patients with elevated transaminases. All subjects were screened for CD by testing serum IgA antitissue transglutaminase antibodies (anti-tTG IgA), and total serum IgA was determined in order to rule out IgA deficiency.\nRESULTS: None of the subjects were seropositive to IgA anti-tTG antibodies. No association between CD and elevated transaminases was found. Hepatitis B viral infections were one of the main causes of raised transaminases.\nCONCLUSION: Before the exclusion of every known cause of raised transaminase levels, routine serological screening for CD should not be recommended for patients who only present elevated transaminases.","container-title":"Turkish Journal of Medical Sciences","ISSN":"1300-0144","issue":"3","journalAbbreviation":"Turk J Med Sci","language":"eng","note":"PMID: 26281337","page":"668-673","source":"PubMed","title":"Serologic testing for celiac disease in young people with elevated transaminases","volume":"45","author":[{"family":"Yuan","given":"Juanli"},{"family":"Gao","given":"Jinyan"},{"family":"Yao","given":"Yonghong"},{"family":"Chen","given":"Hongbing"}],"issued":{"date-parts":[["2015"]]}}}],"schema":"https://github.com/citation-style-language/schema/raw/master/csl-citation.json"} </w:instrText>
            </w:r>
            <w:r w:rsidRPr="00AA229D">
              <w:rPr>
                <w:rFonts w:eastAsia="Calibri"/>
                <w:sz w:val="12"/>
                <w:szCs w:val="12"/>
              </w:rPr>
              <w:fldChar w:fldCharType="separate"/>
            </w:r>
            <w:r w:rsidR="00A02BD9" w:rsidRPr="00AA229D">
              <w:rPr>
                <w:sz w:val="12"/>
                <w:szCs w:val="24"/>
                <w:vertAlign w:val="superscript"/>
              </w:rPr>
              <w:t>21</w:t>
            </w:r>
            <w:r w:rsidRPr="00AA229D">
              <w:rPr>
                <w:rFonts w:eastAsia="Calibri"/>
                <w:sz w:val="12"/>
                <w:szCs w:val="12"/>
              </w:rPr>
              <w:fldChar w:fldCharType="end"/>
            </w:r>
          </w:p>
        </w:tc>
        <w:tc>
          <w:tcPr>
            <w:tcW w:w="1890" w:type="dxa"/>
            <w:shd w:val="clear" w:color="auto" w:fill="auto"/>
            <w:noWrap/>
            <w:hideMark/>
          </w:tcPr>
          <w:p w:rsidR="00854D05" w:rsidRPr="00AA229D" w:rsidRDefault="00F53C08" w:rsidP="006E23C9">
            <w:pPr>
              <w:rPr>
                <w:rFonts w:eastAsia="Calibri"/>
                <w:sz w:val="12"/>
                <w:szCs w:val="12"/>
              </w:rPr>
            </w:pPr>
            <w:r w:rsidRPr="00AA229D">
              <w:rPr>
                <w:rFonts w:eastAsia="Calibri"/>
                <w:sz w:val="12"/>
                <w:szCs w:val="12"/>
              </w:rPr>
              <w:fldChar w:fldCharType="begin"/>
            </w:r>
            <w:r w:rsidR="008F29D2">
              <w:rPr>
                <w:rFonts w:eastAsia="Calibri"/>
                <w:sz w:val="12"/>
                <w:szCs w:val="12"/>
              </w:rPr>
              <w:instrText xml:space="preserve"> ADDIN ZOTERO_ITEM CSL_CITATION {"citationID":"5USsgReA","properties":{"formattedCitation":"\\super 7\\nosupersub{}","plainCitation":"7","noteIndex":0},"citationItems":[{"id":267,"uris":["http://zotero.org/users/2145280/items/Q9GTVTWV"],"itemData":{"id":267,"type":"article-journal","abstract":"BACKGROUND: Celiac disease (CD) has been found in up to 10% of the patients presenting with unexplained abnormal liver function tests (LFT). As there is no precise data from our country in this regard, we investigated the prevalence of CD in patients presenting with abnormal LFT.     METHODS: From 2003 to 2008, we measured IgA anti-tissue transglutaminase (t-TG) antibody (with ELISA technique) within the first-level screening steps for all patients presenting with abnormal LFT to three outpatient gastroenterology clinics in Isfahan, IRAN. All subjects with an IgA anti-tTG antibody value of &gt;10 μ/ml (seropositive) were undergone upper gastrointestinal endoscopy and duodenal biopsy. Histopathological changes were assessed according to the Marsh classification. CD was defined as being seropositive with Marsh I or above in histopathology and having a good response to gluten free diet (GFD).     RESULTS: During the study, 224 patients were evaluated, out of which, 10 patients (4.4%) were seropositive for CD. Duodenal biopsies were performed in eight patients and revealed six (2.7%) cases of Marsh I or above (four Marsh IIIA, two Marsh I), all of them had good response to GFD. The overall prevalence of CD among patients with hypertransaminasemia, autoimmune hepatitis, and cryptogenic cirrhosis was determined as 10.7% (3/28), 3.4% (2/59), and 5.3% (1/19), respectively.     CONCLUSION: Serological screening with IgA anti-tTG antibody test should be routinely performed in patients presenting with abnormal LFT and especially those with chronic liver diseases including hypertransaminasemia, autoimmune hepatitis, and cryptogenic cirrhosis.","container-title":"International Journal of Preventive Medicine","ISSN":"2008-7802 2008-8213 (electronic)","issue":"3","language":"eng","page":"167-172","title":"Should We Look for Celiac Disease among all Patients with Liver Function Test Abnormalities?","volume":"3","author":[{"family":"Emami","given":"Mohammad Hassan"},{"family":"Hashemi","given":"Marzieh"},{"family":"Kouhestani","given":"Soheila"},{"family":"Taheri","given":"Hajar"},{"family":"Karimi","given":"Somayeh"}],"issued":{"date-parts":[["2012"]]}}}],"schema":"https://github.com/citation-style-language/schema/raw/master/csl-citation.json"} </w:instrText>
            </w:r>
            <w:r w:rsidRPr="00AA229D">
              <w:rPr>
                <w:rFonts w:eastAsia="Calibri"/>
                <w:sz w:val="12"/>
                <w:szCs w:val="12"/>
              </w:rPr>
              <w:fldChar w:fldCharType="separate"/>
            </w:r>
            <w:r w:rsidR="008F29D2" w:rsidRPr="008F29D2">
              <w:rPr>
                <w:sz w:val="12"/>
                <w:szCs w:val="24"/>
                <w:vertAlign w:val="superscript"/>
              </w:rPr>
              <w:t>7</w:t>
            </w:r>
            <w:r w:rsidRPr="00AA229D">
              <w:rPr>
                <w:rFonts w:eastAsia="Calibri"/>
                <w:sz w:val="12"/>
                <w:szCs w:val="12"/>
              </w:rPr>
              <w:fldChar w:fldCharType="end"/>
            </w:r>
          </w:p>
        </w:tc>
        <w:tc>
          <w:tcPr>
            <w:tcW w:w="1800" w:type="dxa"/>
            <w:shd w:val="clear" w:color="auto" w:fill="auto"/>
            <w:noWrap/>
            <w:hideMark/>
          </w:tcPr>
          <w:p w:rsidR="00854D05" w:rsidRPr="00AA229D" w:rsidRDefault="00F53C08" w:rsidP="006E23C9">
            <w:pPr>
              <w:rPr>
                <w:rFonts w:eastAsia="Calibri"/>
                <w:sz w:val="12"/>
                <w:szCs w:val="12"/>
              </w:rPr>
            </w:pPr>
            <w:r w:rsidRPr="00AA229D">
              <w:rPr>
                <w:rFonts w:eastAsia="Calibri"/>
                <w:sz w:val="12"/>
                <w:szCs w:val="12"/>
              </w:rPr>
              <w:fldChar w:fldCharType="begin"/>
            </w:r>
            <w:r w:rsidR="008F29D2">
              <w:rPr>
                <w:rFonts w:eastAsia="Calibri"/>
                <w:sz w:val="12"/>
                <w:szCs w:val="12"/>
              </w:rPr>
              <w:instrText xml:space="preserve"> ADDIN ZOTERO_ITEM CSL_CITATION {"citationID":"dQrzg6O7","properties":{"formattedCitation":"\\super 12\\nosupersub{}","plainCitation":"12","noteIndex":0},"citationItems":[{"id":930,"uris":["http://zotero.org/users/2145280/items/SM6D8NXM"],"itemData":{"id":930,"type":"article-journal","abstract":"BACKGROUND It has been suggested that serological screening for coeliac disease (CD) should be performed in patients with chronic unexplained hypertransaminasaemia.\nAIMS To evaluate the specificity for CD diagnosis of serum IgA antitissue transglutaminase (tTG) determination in consecutive patients with chronic hypertransaminasaemia using the most widely utilised ELISA based on tTG from guinea pig as the antigen.\nPATIENTS AND METHODS We studied 98 patients with chronic hypertransaminasaemia, evaluated for the first time in a hepatology clinic. Serum anti-tTG and antiendomysial (EmA) assays were performed. Patients positive for EmA and/or anti-tTG were proposed for intestinal biopsy. Finally, all sera were reassayed for anti-tTG using an ELISA based on human recombinant tTG as the antigen.\nRESULTS A total of 94/98 hypertransaminasaemic patients were positive for hepatitis virus markers, with 82/98 (83%) positive for anti-hepatitis C virus. Liver histology showed that most patients had mild or moderate chronic hepatitis while severe fibrosis or overt liver cirrhosis was found in 20/98. CD screening showed that 15/98 (16%) hypertransaminasaemic subjects had anti-tTG values in the same range as CD patients; however, IgA EmA were positive in only 2/98 (2%). Distal duodenal biopsy, performed in nine patients, showed subtotal villous atrophy in the two EmA+/anti-tTG+ patients but was normal in 7/7 EmA−/anti-tTG+ subjects. The presence of anti-tTG+ values in EmA− patients was unrelated to particular gastrointestinal symptoms, other associated diseases, severity of liver histology, or distribution of viral hepatitis markers. There was a significantly higher frequency of positive serum autoantibodies (antinuclear, antimitochondrial, antismooth muscle, and anti-liver-kidney microsomal antibodies) in anti-tTG+/EmA− patients than in the other subjects (9/13v 10/83; p&lt;0.003). Also, a correlation was found between serum gamma globulin and anti-tTG values (p&lt;0.01). When sera were tested with the ELISA based on human tTG as the antigen, no false positive results were observed: only the two EmA+ patients with atrophy of the intestinal mucosa were positive for anti-tTG while all others were negative, including those false positive in the ELISA based on guinea pig tTG as the antigen.\nCONCLUSIONS In patients with elevated transaminases and chronic liver disease there was a high frequency of false positive anti-tTG results using the ELISA based on tTG from guinea pig as the antigen. Indeed, the presence of anti-tTG did not correlate with the presence of EmA or CD. These false positives depend on the presence of hepatic proteins in the commercial tTG obtained from guinea pig liver and disappear when human tTG is used as the antigen in the ELISA system. We suggest that the commonly used tTG ELISA based on guinea pig antigen should not be used as a screening tool for CD in patients with chronic liver disease.","container-title":"Gut","DOI":"10.1136/gut.49.4.506","ISSN":"0017-5749, 1468-3288","issue":"4","language":"en","page":"506-511","source":"gut.bmj.com","title":"Guinea pig transglutaminase immunolinked assay does not predict coeliac disease in patients with chronic liver disease","volume":"49","author":[{"family":"Carroccio","given":"A."},{"family":"Giannitrapani","given":"L."},{"family":"Soresi","given":"M."},{"family":"Not","given":"T."},{"family":"Iacono","given":"G."},{"family":"Rosa","given":"C. Di"},{"family":"Panfili","given":"E."},{"family":"Notarbartolo","given":"A."},{"family":"Montalto","given":"G."}],"issued":{"date-parts":[["2001",10,1]]}}}],"schema":"https://github.com/citation-style-language/schema/raw/master/csl-citation.json"} </w:instrText>
            </w:r>
            <w:r w:rsidRPr="00AA229D">
              <w:rPr>
                <w:rFonts w:eastAsia="Calibri"/>
                <w:sz w:val="12"/>
                <w:szCs w:val="12"/>
              </w:rPr>
              <w:fldChar w:fldCharType="separate"/>
            </w:r>
            <w:r w:rsidR="00854D05" w:rsidRPr="00AA229D">
              <w:rPr>
                <w:sz w:val="12"/>
                <w:szCs w:val="24"/>
                <w:vertAlign w:val="superscript"/>
              </w:rPr>
              <w:t>12</w:t>
            </w:r>
            <w:r w:rsidRPr="00AA229D">
              <w:rPr>
                <w:rFonts w:eastAsia="Calibri"/>
                <w:sz w:val="12"/>
                <w:szCs w:val="12"/>
              </w:rPr>
              <w:fldChar w:fldCharType="end"/>
            </w:r>
          </w:p>
        </w:tc>
        <w:tc>
          <w:tcPr>
            <w:tcW w:w="2070" w:type="dxa"/>
          </w:tcPr>
          <w:p w:rsidR="00854D05" w:rsidRPr="00AA229D" w:rsidRDefault="00F53C08" w:rsidP="006E23C9">
            <w:pPr>
              <w:rPr>
                <w:rFonts w:eastAsia="Calibri"/>
                <w:sz w:val="12"/>
                <w:szCs w:val="12"/>
              </w:rPr>
            </w:pPr>
            <w:r w:rsidRPr="00AA229D">
              <w:rPr>
                <w:rFonts w:eastAsia="Calibri"/>
                <w:sz w:val="12"/>
                <w:szCs w:val="12"/>
              </w:rPr>
              <w:fldChar w:fldCharType="begin"/>
            </w:r>
            <w:r w:rsidR="008F29D2">
              <w:rPr>
                <w:rFonts w:eastAsia="Calibri"/>
                <w:sz w:val="12"/>
                <w:szCs w:val="12"/>
              </w:rPr>
              <w:instrText xml:space="preserve"> ADDIN ZOTERO_ITEM CSL_CITATION {"citationID":"rreosCLq","properties":{"formattedCitation":"\\super 22\\nosupersub{}","plainCitation":"22","noteIndex":0},"citationItems":[{"id":25634,"uris":["http://zotero.org/users/2145280/items/2B3Q8HUX"],"itemData":{"id":25634,"type":"article-journal","abstract":"Alanine aminotransferase (ALT) is a cytosolic enzyme specific to hepatocytes, and its elevated level in the peripheral blood denotes liver cell injury. Detection of persistently elevated ALT levels during routine health check-up in asymptomatic or symptomatic individuals provides a window of opportunity to explore the causes of liver cell damage and for the timely institution of appropriate treatment. This was a retrospective study using a subset of the data from a previous community-based prospective study done for the estimation of the prevalence of celiac disease (CD) in India,  during which estimation of ALT levels in the blood samples of participants was also carried out. Of the 11,053 individuals (4399 [39.8%] males; mean age 37.9 ± 13.3 years) screened, 6209 consented to provide blood samples for testing for CD. Of these, assessment of serum ALT levels was done in 6083 (2235 [36.7%] males) patients. ALT was elevated above the upper limit of normal (ULN) (&gt; 40 IU/L) in 1246 (20.5%) of the participants and &gt; 1.5 times (&gt; 60 IU/L) in 329 (5.4%) participants. The ALT levels were elevated more frequently in men as compared to women (29.4% vs. 15.3%, p &lt; 0.001). There was a significant positive correlation (Pearson correlation coefficient [r] = 0.25, p &lt; 0.0001) between ALT levels and body mass index (BMI). With increasing age, there was a significant decrease in the proportion of subjects with ALT ≥ 1.5× ULN (p &lt; 0.001). Our results suggest that a high proportion (20.5%) of individuals otherwise considered healthy have values of ALT level in the serum above the \"normal\" range/cut-off suggesting likely ongoing underlying liver damage. There is a need for measures to evaluate and, if found, treat the underlying cause for the same.","container-title":"Indian Journal of Gastroenterology: Official Journal of the Indian Society of Gastroenterology","DOI":"10.1007/s12664-020-01091-2","ISSN":"0975-0711","issue":"6","journalAbbreviation":"Indian J Gastroenterol","language":"eng","note":"PMID: 33098064","page":"608-613","source":"PubMed","title":"Prevalence of elevated alanine aminotransferase levels in adult participants from a community-based study from northern part of India","volume":"39","author":[{"family":"Aggarwal","given":"Nishant"},{"family":"Singh","given":"Alka"},{"family":"Agarwal","given":"Ashish"},{"family":"Dwarakanathan","given":"Vignesh"},{"family":"Verma","given":"Anil K."},{"family":"Amarchand","given":"Ritvik"},{"family":"Prakash","given":"Shyam"},{"family":"Krishnan","given":"Anand"},{"family":"Sreenivas","given":"Vishnubhatla"},{"family":"Shalimar","given":"null"},{"family":"Ahuja","given":"Vineet"},{"family":"Makharia","given":"Govind K."}],"issued":{"date-parts":[["2020",12]]}}}],"schema":"https://github.com/citation-style-language/schema/raw/master/csl-citation.json"} </w:instrText>
            </w:r>
            <w:r w:rsidRPr="00AA229D">
              <w:rPr>
                <w:rFonts w:eastAsia="Calibri"/>
                <w:sz w:val="12"/>
                <w:szCs w:val="12"/>
              </w:rPr>
              <w:fldChar w:fldCharType="separate"/>
            </w:r>
            <w:r w:rsidR="00A02BD9" w:rsidRPr="00AA229D">
              <w:rPr>
                <w:sz w:val="12"/>
                <w:szCs w:val="24"/>
                <w:vertAlign w:val="superscript"/>
              </w:rPr>
              <w:t>22</w:t>
            </w:r>
            <w:r w:rsidRPr="00AA229D">
              <w:rPr>
                <w:rFonts w:eastAsia="Calibri"/>
                <w:sz w:val="12"/>
                <w:szCs w:val="12"/>
              </w:rPr>
              <w:fldChar w:fldCharType="end"/>
            </w:r>
          </w:p>
        </w:tc>
      </w:tr>
    </w:tbl>
    <w:p w:rsidR="00854D05" w:rsidRPr="00AA229D" w:rsidRDefault="00854D05" w:rsidP="00854D05"/>
    <w:p w:rsidR="00854D05" w:rsidRPr="00AA229D" w:rsidRDefault="00854D05" w:rsidP="00854D05"/>
    <w:p w:rsidR="00325B9F" w:rsidRPr="00AA229D" w:rsidRDefault="00325B9F" w:rsidP="006556F3"/>
    <w:p w:rsidR="00F67DBD" w:rsidRPr="00F67DBD" w:rsidRDefault="00F67DBD" w:rsidP="00F67DBD">
      <w:pPr>
        <w:rPr>
          <w:sz w:val="22"/>
          <w:szCs w:val="22"/>
        </w:rPr>
      </w:pPr>
      <w:r w:rsidRPr="00F67DBD">
        <w:rPr>
          <w:sz w:val="22"/>
          <w:szCs w:val="22"/>
        </w:rPr>
        <w:t xml:space="preserve">Supplementary table 7: Reasons for exclusion among studies considered for full text review </w:t>
      </w:r>
    </w:p>
    <w:p w:rsidR="00F67DBD" w:rsidRPr="00F67DBD" w:rsidRDefault="00F67DBD" w:rsidP="00F67DBD"/>
    <w:p w:rsidR="00F67DBD" w:rsidRPr="00F67DBD" w:rsidRDefault="00F67DBD" w:rsidP="00F67DB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5256"/>
        <w:gridCol w:w="2952"/>
      </w:tblGrid>
      <w:tr w:rsidR="00F67DBD" w:rsidRPr="00F67DBD" w:rsidTr="00BF7578">
        <w:tc>
          <w:tcPr>
            <w:tcW w:w="648" w:type="dxa"/>
          </w:tcPr>
          <w:p w:rsidR="00F67DBD" w:rsidRPr="00F67DBD" w:rsidRDefault="00F67DBD" w:rsidP="00F67DBD">
            <w:r w:rsidRPr="00F67DBD">
              <w:t>No.</w:t>
            </w:r>
          </w:p>
        </w:tc>
        <w:tc>
          <w:tcPr>
            <w:tcW w:w="5256" w:type="dxa"/>
          </w:tcPr>
          <w:p w:rsidR="00F67DBD" w:rsidRPr="00F67DBD" w:rsidRDefault="00F67DBD" w:rsidP="00F67DBD">
            <w:r w:rsidRPr="00F67DBD">
              <w:t>Reason for exclusion</w:t>
            </w:r>
          </w:p>
        </w:tc>
        <w:tc>
          <w:tcPr>
            <w:tcW w:w="2952" w:type="dxa"/>
          </w:tcPr>
          <w:p w:rsidR="00F67DBD" w:rsidRPr="00F67DBD" w:rsidRDefault="00F67DBD" w:rsidP="00F67DBD">
            <w:r w:rsidRPr="00F67DBD">
              <w:t xml:space="preserve">Studies </w:t>
            </w:r>
          </w:p>
        </w:tc>
      </w:tr>
      <w:tr w:rsidR="00F67DBD" w:rsidRPr="00F67DBD" w:rsidTr="00BF7578">
        <w:tc>
          <w:tcPr>
            <w:tcW w:w="648" w:type="dxa"/>
          </w:tcPr>
          <w:p w:rsidR="00F67DBD" w:rsidRPr="00F67DBD" w:rsidRDefault="00F67DBD" w:rsidP="00F67DBD">
            <w:r w:rsidRPr="00F67DBD">
              <w:t>1</w:t>
            </w:r>
          </w:p>
        </w:tc>
        <w:tc>
          <w:tcPr>
            <w:tcW w:w="5256" w:type="dxa"/>
          </w:tcPr>
          <w:p w:rsidR="00F67DBD" w:rsidRPr="00F67DBD" w:rsidRDefault="00F67DBD" w:rsidP="00F67DBD">
            <w:r w:rsidRPr="00F67DBD">
              <w:t>Excludedceliac disease prior to recruiting sample</w:t>
            </w:r>
          </w:p>
        </w:tc>
        <w:tc>
          <w:tcPr>
            <w:tcW w:w="2952" w:type="dxa"/>
          </w:tcPr>
          <w:p w:rsidR="00F67DBD" w:rsidRPr="00F67DBD" w:rsidRDefault="00F53C08" w:rsidP="00F67DBD">
            <w:r w:rsidRPr="00F67DBD">
              <w:fldChar w:fldCharType="begin"/>
            </w:r>
            <w:r w:rsidR="008F29D2">
              <w:instrText xml:space="preserve"> ADDIN ZOTERO_ITEM CSL_CITATION {"citationID":"FUZw5zfJ","properties":{"formattedCitation":"\\super 23\\nosupersub{}","plainCitation":"23","noteIndex":0},"citationItems":[{"id":2232,"uris":["http://zotero.org/users/2145280/items/5XEHJ343"],"itemData":{"id":2232,"type":"article-journal","abstract":"BACKGROUND &amp; AIMS: We evaluated the gastrointestinal permeability and bacterial translocation in cirrhotic patients with portal hypertension (PHT) prior to and after non-selective betablocker (NSBB) treatment.\nMETHODS: Hepatic venous pressure gradient (HVPG) was measured prior to and under NSBB treatment. Gastroduodenal and intestinal permeability was assessed by the sucrose-lactulose-mannitol (SLM) test. Anti-gliadin and anti-endomysial antibodies were measured. Levels of LPS-binding protein (LBP) and interleukin-6 (IL-6) were quantified by ELISA, and NOD2 and toll-like receptor 2 (TLR2) polymorphisms were genotyped.\nRESULTS: Fifty cirrhotics were included (72% male, 18% ascites, 60% alcoholic etiology). Abnormal gastroduodenal and intestinal permeability was found in 72% and 59% of patients, respectively. Patients with severe portal hypertension (HVPG ≥20 mm Hg; n=35) had increased markers of gastroduodenal/intestinal permeability (urine sucrose levels p=0.049; sucrose/mannitol ratios p=0.007; intestinal permeability indices p=0.002), and bacterial translocation (LBP p=0.002; IL-6 p=0.025) than patients with HVPG &lt;20 mm Hg. A substantial portion of patients showed elevated levels of anti-gliadin antibodies (IgA: 60%, IgG: 34%) whereas no anti-endomysial antibodies were detected. A significant correlation of portal pressure (i.e., HVPG) with all markers of gastroduodenal/intestinal permeability and with LBP and IL-6 levels was observed. NOD2 and TLR2 risk variants were associated with abnormal intestinal permeability and elevated markers of bacterial translocation. At follow-up HVPG measurements under NSBB, we found an amelioration of gastroduodenal/intestinal permeability and a decrease of bacterial translocation (LBP - 16% p=0.018; IL-6 - 41% p&lt;0.0001) levels, which was not limited to hemodynamic responders. Abnormal SLM test results and higher LBP/IL-6 levels were associated with a higher risk of variceal bleeding during follow-up but not with mortality.\nCONCLUSIONS: Abnormal gastroduodenal/intestinal permeability, anti-gliadin antibodies, and bacterial translocation are common findings in cirrhotic patients and are correlated with the degree of portal hypertension. NSBB treatment ameliorates gastroduodenal/intestinal permeability and reduces bacterial translocation partially independent of their hemodynamic effects on portal pressure, which may contribute to a reduced risk of variceal bleeding.","container-title":"Journal of Hepatology","DOI":"10.1016/j.jhep.2012.12.011","ISSN":"1600-0641","issue":"5","journalAbbreviation":"J. Hepatol.","language":"eng","note":"PMID: 23262249","page":"911-921","source":"PubMed","title":"Non-selective betablocker therapy decreases intestinal permeability and serum levels of LBP and IL-6 in patients with cirrhosis","volume":"58","author":[{"family":"Reiberger","given":"Thomas"},{"family":"Ferlitsch","given":"Arnulf"},{"family":"Payer","given":"Berit A."},{"family":"Mandorfer","given":"Mattias"},{"family":"Heinisch","given":"Birgit B."},{"family":"Hayden","given":"Hubert"},{"family":"Lammert","given":"Frank"},{"family":"Trauner","given":"Michael"},{"family":"Peck-Radosavljevic","given":"Markus"},{"family":"Vogelsang","given":"Harald"},{"literal":"Vienna Hepatic Hemodynamic Lab"}],"issued":{"date-parts":[["2013",5]]}}}],"schema":"https://github.com/citation-style-language/schema/raw/master/csl-citation.json"} </w:instrText>
            </w:r>
            <w:r w:rsidRPr="00F67DBD">
              <w:fldChar w:fldCharType="separate"/>
            </w:r>
            <w:r w:rsidR="00F67DBD" w:rsidRPr="00F67DBD">
              <w:rPr>
                <w:szCs w:val="24"/>
                <w:vertAlign w:val="superscript"/>
              </w:rPr>
              <w:t>23</w:t>
            </w:r>
            <w:r w:rsidRPr="00F67DBD">
              <w:fldChar w:fldCharType="end"/>
            </w:r>
          </w:p>
          <w:p w:rsidR="00F67DBD" w:rsidRPr="00F67DBD" w:rsidRDefault="00F67DBD" w:rsidP="00F67DBD"/>
        </w:tc>
      </w:tr>
      <w:tr w:rsidR="00F67DBD" w:rsidRPr="00F67DBD" w:rsidTr="00BF7578">
        <w:tc>
          <w:tcPr>
            <w:tcW w:w="648" w:type="dxa"/>
          </w:tcPr>
          <w:p w:rsidR="00F67DBD" w:rsidRPr="00F67DBD" w:rsidRDefault="00F67DBD" w:rsidP="00F67DBD">
            <w:r w:rsidRPr="00F67DBD">
              <w:t>2</w:t>
            </w:r>
          </w:p>
        </w:tc>
        <w:tc>
          <w:tcPr>
            <w:tcW w:w="5256" w:type="dxa"/>
          </w:tcPr>
          <w:p w:rsidR="00F67DBD" w:rsidRPr="00F67DBD" w:rsidRDefault="00F67DBD" w:rsidP="00F67DBD">
            <w:r w:rsidRPr="00F67DBD">
              <w:t>Reported only serology but did not perform biopsies hence only included for seroprevalence and not biopsy-confirmed prevalence</w:t>
            </w:r>
          </w:p>
        </w:tc>
        <w:tc>
          <w:tcPr>
            <w:tcW w:w="2952" w:type="dxa"/>
          </w:tcPr>
          <w:p w:rsidR="00F67DBD" w:rsidRPr="00F67DBD" w:rsidRDefault="00F53C08" w:rsidP="00F67DBD">
            <w:r w:rsidRPr="00F67DBD">
              <w:fldChar w:fldCharType="begin"/>
            </w:r>
            <w:r w:rsidR="008F29D2">
              <w:instrText xml:space="preserve"> ADDIN ZOTERO_ITEM CSL_CITATION {"citationID":"zwvPvo5d","properties":{"formattedCitation":"\\super 11,22\\nosupersub{}","plainCitation":"11,22","noteIndex":0},"citationItems":[{"id":25634,"uris":["http://zotero.org/users/2145280/items/2B3Q8HUX"],"itemData":{"id":25634,"type":"article-journal","abstract":"Alanine aminotransferase (ALT) is a cytosolic enzyme specific to hepatocytes, and its elevated level in the peripheral blood denotes liver cell injury. Detection of persistently elevated ALT levels during routine health check-up in asymptomatic or symptomatic individuals provides a window of opportunity to explore the causes of liver cell damage and for the timely institution of appropriate treatment. This was a retrospective study using a subset of the data from a previous community-based prospective study done for the estimation of the prevalence of celiac disease (CD) in India,  during which estimation of ALT levels in the blood samples of participants was also carried out. Of the 11,053 individuals (4399 [39.8%] males; mean age 37.9 ± 13.3 years) screened, 6209 consented to provide blood samples for testing for CD. Of these, assessment of serum ALT levels was done in 6083 (2235 [36.7%] males) patients. ALT was elevated above the upper limit of normal (ULN) (&gt; 40 IU/L) in 1246 (20.5%) of the participants and &gt; 1.5 times (&gt; 60 IU/L) in 329 (5.4%) participants. The ALT levels were elevated more frequently in men as compared to women (29.4% vs. 15.3%, p &lt; 0.001). There was a significant positive correlation (Pearson correlation coefficient [r] = 0.25, p &lt; 0.0001) between ALT levels and body mass index (BMI). With increasing age, there was a significant decrease in the proportion of subjects with ALT ≥ 1.5× ULN (p &lt; 0.001). Our results suggest that a high proportion (20.5%) of individuals otherwise considered healthy have values of ALT level in the serum above the \"normal\" range/cut-off suggesting likely ongoing underlying liver damage. There is a need for measures to evaluate and, if found, treat the underlying cause for the same.","container-title":"Indian Journal of Gastroenterology: Official Journal of the Indian Society of Gastroenterology","DOI":"10.1007/s12664-020-01091-2","ISSN":"0975-0711","issue":"6","journalAbbreviation":"Indian J Gastroenterol","language":"eng","note":"PMID: 33098064","page":"608-613","source":"PubMed","title":"Prevalence of elevated alanine aminotransferase levels in adult participants from a community-based study from northern part of India","volume":"39","author":[{"family":"Aggarwal","given":"Nishant"},{"family":"Singh","given":"Alka"},{"family":"Agarwal","given":"Ashish"},{"family":"Dwarakanathan","given":"Vignesh"},{"family":"Verma","given":"Anil K."},{"family":"Amarchand","given":"Ritvik"},{"family":"Prakash","given":"Shyam"},{"family":"Krishnan","given":"Anand"},{"family":"Sreenivas","given":"Vishnubhatla"},{"family":"Shalimar","given":"null"},{"family":"Ahuja","given":"Vineet"},{"family":"Makharia","given":"Govind K."}],"issued":{"date-parts":[["2020",12]]}}},{"id":569,"uris":["http://zotero.org/users/2145280/items/3EHTTAAJ"],"itemData":{"id":569,"type":"article-journal","abstract":"BACKGROUND: Since the recognition of tissue transglutaminase (tTG) as the target antigen of anti-endomysium antibodies, several ELISA assays using either guinea pig or human recombinant tTG have been developed. The aim of the study was to compare the behaviour of anti-tTG and anti-endomysium antibodies assays in coeliacs and in patients with chronic liver disease.\nMETHODS: 34 patients (24 women, 34.9 +/- 12.5 years) with coeliac disease and 41 with chronic liver disease (14 women, 57 +/- 11.2 years), including 19 cirrhotics, were evaluated for anti-endomysium antibodies by indirect immunofluorescence and for anti-tTG IgA antibodies by ELISA, using guinea pig liver or human recombinant transglutaminase.\nRESULTS: The prevalences of anti-tTG and anti-endomysium antibodies were 100% in patients with coeliac disease at diagnosis, 75% and 64.3% in patients on a gluten-free diet. All liver disease patients were negative for anti-endomysium antibodies, while 11 (26.8%) were positive for anti-tTG. All these patients had liver cirrhosis and represented 57.9% of all cirrhotics. The presence of anti-tTG was associated with higher Child-Pugh scores. The use of human transglutaminase determined a reduction in the rate of positive results; however, the rate of positive anti-tTG was still 17.1% in all liver disease patients and 31.6% in cirrhotics.\nCONCLUSIONS: Our data confirm that anti-tTG have a similar sensitivity compared with anti-endomysium antibodies assay in coeliacs. However, a high prevalence of positive anti-tTG results is observed in cirrhotic patients, even when human recombinant tTG is used. The high prevalence of positive results among cirrhotic patients is associated with more advanced liver disease.","container-title":"Scandinavian Journal of Gastroenterology","ISSN":"0036-5521","issue":"1","journalAbbreviation":"Scand. J. Gastroenterol.","language":"eng","page":"50-54","source":"PubMed","title":"High rate of positive anti-tissue transglutaminase antibodies in chronic liver disease. Role of liver decompensation and of the antigen source","volume":"38","author":[{"family":"Vecchi","given":"M."},{"family":"Folli","given":"C."},{"family":"Donato","given":"M. F."},{"family":"Formenti","given":"S."},{"family":"Arosio","given":"E."},{"family":"Franchis","given":"R.","non-dropping-particle":"de"}],"issued":{"date-parts":[["2003",1]]}}}],"schema":"https://github.com/citation-style-language/schema/raw/master/csl-citation.json"} </w:instrText>
            </w:r>
            <w:r w:rsidRPr="00F67DBD">
              <w:fldChar w:fldCharType="separate"/>
            </w:r>
            <w:r w:rsidR="00F67DBD" w:rsidRPr="00F67DBD">
              <w:rPr>
                <w:szCs w:val="24"/>
                <w:vertAlign w:val="superscript"/>
              </w:rPr>
              <w:t>11,22</w:t>
            </w:r>
            <w:r w:rsidRPr="00F67DBD">
              <w:fldChar w:fldCharType="end"/>
            </w:r>
          </w:p>
        </w:tc>
      </w:tr>
      <w:tr w:rsidR="00F67DBD" w:rsidRPr="00F67DBD" w:rsidTr="00BF7578">
        <w:tc>
          <w:tcPr>
            <w:tcW w:w="648" w:type="dxa"/>
          </w:tcPr>
          <w:p w:rsidR="00F67DBD" w:rsidRPr="00F67DBD" w:rsidRDefault="00F67DBD" w:rsidP="00F67DBD">
            <w:r w:rsidRPr="00F67DBD">
              <w:t>3</w:t>
            </w:r>
          </w:p>
        </w:tc>
        <w:tc>
          <w:tcPr>
            <w:tcW w:w="5256" w:type="dxa"/>
          </w:tcPr>
          <w:p w:rsidR="00F67DBD" w:rsidRPr="00F67DBD" w:rsidRDefault="00F67DBD" w:rsidP="00F67DBD">
            <w:r w:rsidRPr="00F67DBD">
              <w:t>Only small bowel biopsy done without CeD serology</w:t>
            </w:r>
          </w:p>
        </w:tc>
        <w:tc>
          <w:tcPr>
            <w:tcW w:w="2952" w:type="dxa"/>
          </w:tcPr>
          <w:p w:rsidR="00F67DBD" w:rsidRPr="00F67DBD" w:rsidRDefault="00F53C08" w:rsidP="00F67DBD">
            <w:r w:rsidRPr="00F67DBD">
              <w:fldChar w:fldCharType="begin"/>
            </w:r>
            <w:r w:rsidR="008F29D2">
              <w:instrText xml:space="preserve"> ADDIN ZOTERO_ITEM CSL_CITATION {"citationID":"cT1Dwc9e","properties":{"formattedCitation":"\\super 24,25\\nosupersub{}","plainCitation":"24,25","noteIndex":0},"citationItems":[{"id":1233,"uris":["http://zotero.org/users/2145280/items/TP6CRFK7"],"itemData":{"id":1233,"type":"article-journal","abstract":"Endoscopic findings of celiac disease have high specificity and sensitivity. We evaluated records of 137 consecutive patients who had endotherapy for variceal hemorrhage, and who had features of celiac disease at endoscopy; patients who had such markers at endoscopy had undergone duodenal histology and serology. Thirty-one patients had changes of portal hypertensive vasculopathy in the duodenum, 8 had scalloping, and 6 had mosaic pattern; 3 patients also had decreased fold height or sparse folds in the descending duodenum. Six of these 8 patients had positive serology and histology suggestive of celiac disease. Endoscopic evaluation resulted in diagnosis of CD in 4.37% patients of chronic liver disease undergoing endotherapy.","container-title":"Indian Journal of Gastroenterology: Official Journal of the Indian Society of Gastroenterology","DOI":"10.1007/s12664-011-0106-8","ISSN":"0975-0711","issue":"4","journalAbbreviation":"Indian J Gastroenterol","language":"eng","note":"PMID: 21847607","page":"166-169","source":"PubMed","title":"Celiac disease suspected at endoscopy in patients with chronic liver disease","volume":"30","author":[{"family":"Kochhar","given":"Rakesh"},{"family":"Dutta","given":"Usha"},{"family":"Miglani","given":"Amit"},{"family":"Bhagat","given":"Suraj"},{"family":"Poornachandra","given":"Kuchhangi Sureshchandra"},{"family":"Vaiphei","given":"Kim"},{"family":"Nain","given":"Chander K."},{"family":"Singh","given":"Kartar"}],"issued":{"date-parts":[["2011",7]]}}},{"id":2215,"uris":["http://zotero.org/users/2145280/items/8LU5Y4FA"],"itemData":{"id":2215,"type":"article-journal","abstract":"AIM: To study the small bowel (SB) mucosa on biopsy in cirrhotic patients with portal hypertension and in non-cirrhotic controls and grade findings according to the Marsh criteria.\nMETHODS: We prospectively enrolled 51 consecutive patients undergoing an upper endoscopy for their routine medical care. Twenty five patients with cirrhosis and portal hypertension were compared to 26 controls. We obtained coeliac serology and multiple upper small bowel biopsies on all 51 patients. A GI pathologist interpreted biopsies and graded findings according to the Marsh criteria. We assessed equivalence in Marsh grade between cirrhotic and non-cirrhotic controls using the Mann-Whitney test for equivalence.\nRESULTS: Gender, ethnicity and age were similar between both groups. Marsh grades were equivalent between the groups. Grade of 0 was present in 96% and grade of 1 was present in 4% of both groups and there was no villus atrophy or decrease in villus/crypt ratio in patients with portal hypertension.\nCONCLUSION: This study provides evidence for the lack of villus atrophy in patients with cirrhosis and portal hypertension, and supports the continuous reliance on the Marsh criteria when the diagnosis of coeliac disease is to be made in the presence of cirrhosis.","container-title":"World Journal of Gastroenterology","ISSN":"1007-9327","issue":"41","journalAbbreviation":"World J. Gastroenterol.","language":"eng","note":"PMID: 19009654\nPMCID: PMC2766120","page":"6370-6375","source":"PubMed","title":"Histological abnormalities of the small bowel mucosa in cirrhosis and portal hypertension","volume":"14","author":[{"family":"Wakim-Fleming","given":"Jamile"},{"family":"Zein","given":"Nizar N."},{"family":"Bennett","given":"Ana"},{"family":"Lopez","given":"Rocio"},{"family":"Santisi","given":"Janice"},{"family":"Carey","given":"William D."}],"issued":{"date-parts":[["2008",11,7]]}}}],"schema":"https://github.com/citation-style-language/schema/raw/master/csl-citation.json"} </w:instrText>
            </w:r>
            <w:r w:rsidRPr="00F67DBD">
              <w:fldChar w:fldCharType="separate"/>
            </w:r>
            <w:r w:rsidR="00F67DBD" w:rsidRPr="00F67DBD">
              <w:rPr>
                <w:szCs w:val="24"/>
                <w:vertAlign w:val="superscript"/>
              </w:rPr>
              <w:t>24,25</w:t>
            </w:r>
            <w:r w:rsidRPr="00F67DBD">
              <w:fldChar w:fldCharType="end"/>
            </w:r>
          </w:p>
          <w:p w:rsidR="00F67DBD" w:rsidRPr="00F67DBD" w:rsidRDefault="00F67DBD" w:rsidP="00F67DBD"/>
        </w:tc>
      </w:tr>
      <w:tr w:rsidR="00F67DBD" w:rsidRPr="00F67DBD" w:rsidTr="00BF7578">
        <w:tc>
          <w:tcPr>
            <w:tcW w:w="648" w:type="dxa"/>
          </w:tcPr>
          <w:p w:rsidR="00F67DBD" w:rsidRPr="00F67DBD" w:rsidRDefault="00F67DBD" w:rsidP="00F67DBD">
            <w:r w:rsidRPr="00F67DBD">
              <w:t>4</w:t>
            </w:r>
          </w:p>
        </w:tc>
        <w:tc>
          <w:tcPr>
            <w:tcW w:w="5256" w:type="dxa"/>
          </w:tcPr>
          <w:p w:rsidR="00F67DBD" w:rsidRPr="00F67DBD" w:rsidRDefault="00F67DBD" w:rsidP="00F67DBD">
            <w:r w:rsidRPr="00F67DBD">
              <w:t>No commitment to uniform screening of all consecutive subjects for celiac disease</w:t>
            </w:r>
          </w:p>
        </w:tc>
        <w:tc>
          <w:tcPr>
            <w:tcW w:w="2952" w:type="dxa"/>
          </w:tcPr>
          <w:p w:rsidR="00F67DBD" w:rsidRPr="00F67DBD" w:rsidRDefault="00F53C08" w:rsidP="00F67DBD">
            <w:r w:rsidRPr="00F67DBD">
              <w:fldChar w:fldCharType="begin"/>
            </w:r>
            <w:r w:rsidR="008F29D2">
              <w:instrText xml:space="preserve"> ADDIN ZOTERO_ITEM CSL_CITATION {"citationID":"4ulM8Bpi","properties":{"formattedCitation":"\\super 26\\uc0\\u8211{}28\\nosupersub{}","plainCitation":"26–28","noteIndex":0},"citationItems":[{"id":25636,"uris":["http://zotero.org/users/2145280/items/283YZY2W"],"itemData":{"id":25636,"type":"article-journal","abstract":"BACKGROUND: The liver and celiac disease (CeD) share a complex relationship. While in some patients, isolated hypertransaminasemia is the only manifestation of CeD, liver diseases (LD) may also be associated with the presence of isolated tissue transglutaminase antibodies IgA (tTG IgA) without histologic evidence of CeD.\nAIMS: To examine the yield of tTG IgA testing (a) in the workup for chronic liver disease (CLD) or cytolysis and (b) to identify biopsy-confirmed CeD (BxCeD) among patients with concomitant LD.\nMETHODS: Retrospective study including two cohorts. Cohort 1 represented 444 consecutive individuals without known CeD for which liver specialists requested tTG IgA. Incidence of positive tTG and BxCeD was evaluated. Cohort 2 included 212 consecutive individuals with positive tTG IgA and subsequent duodenal biopsies. The frequency and clinical characteristics of individuals without BxCeD were examined, with and without concurrent LD.\nRESULTS: The rate of first time positive tTG IgA among the tests requested by a liver specialist (cohort 1) was 2.0% (n = 9). However, 33.0% (n = 3) of these patients did not have BxCeD. Cohort 2 included 33 individuals with coexisting LD, of which 42.4% did not have BxCeD, compared with 16.2% of the patients without LD (P &lt; 0.001). The majority of the patients without BxCeD (65.1%) showed an increase &lt; 3 times upper limit of normal of tTG IgA.\nCONCLUSIONS: Although there is clinical value in testing for CeD in the context of LD, there could be a high rate of positive CeD serology unaccompanied by histologic signs in patients with coexisting LD.","container-title":"Journal of the Canadian Association of Gastroenterology","DOI":"10.1093/jcag/gwz010","ISSN":"2515-2092","issue":"4","journalAbbreviation":"J Can Assoc Gastroenterol","language":"eng","note":"PMID: 32671328\nPMCID: PMC7338843","page":"185-193","source":"PubMed","title":"Discordance Between Serology and Histology for Celiac Disease in a Cohort with Coexisting Liver Disorders","volume":"3","author":[{"family":"Cvetkovic","given":"Lena"},{"family":"Bernard","given":"Gabriel"},{"family":"Galette","given":"Nathanaelle"},{"family":"Hétu","given":"Pierre-Olivier"},{"family":"Vincent","given":"Catherine"},{"family":"Bouin","given":"Mickael"},{"family":"Therrien","given":"Amelie"}],"issued":{"date-parts":[["2020",8]]}}},{"id":1470,"uris":["http://zotero.org/users/2145280/items/FCI8ABXJ"],"itemData":{"id":1470,"type":"article-journal","abstract":"BACKGROUND: The widespread use of routine biochemical assays has led to increased incidental findings of hypertransaminasemia. We aimed to evaluate the prevalence of different causes of raised aminotransferase levels in children referred to a university department of pediatrics.\nMETHODS: We investigated 425 consecutive children (age range, 1-18 years) with isolated hypertransaminasemia. All patients had raised aminotransferase levels on at least two occasions in the last month before observation. Cases due to major hepatotropic viruses were excluded.\nRESULTS: During the first 6 months of observation, 259 children showed normalized liver enzymes. Among the remaining 166 patients with hypertransaminasemia lasting for more than 6 months, 75 had obesity-related liver disease; 51, genetic disorders; 7, autoimmune hepatitis; 5, cholelithiasis; 3, choledochal cyst; and 3, celiac disease. Among the 51 children with genetic disorders, 18 had Wilson disease; 14, muscular dystrophy; 4, alpha-1-antitrypsin deficiency; 4, Alagille syndrome; 4, hereditary fructose intolerance; 3, glycogen storage disease (glycogenosis IX); 2, ornithine transcarbamylase deficiency; and 2, Shwachman's syndrome. In 22 children, the hypertransaminasemia persisted for more than 6 months in the absence of a known cause.\nCONCLUSIONS: Genetic disease accounted for 12% of cases of isolated hypertransaminasemia observed in a tertiary pediatric department. A high level of suspicion is desirable for an early diagnosis of these disorders, which may present with isolated hypertransaminasemia and absence of typical clinical signs.","container-title":"Journal of Gastroenterology","DOI":"10.1007/s00535-005-1635-7","ISSN":"0944-1174","issue":"8","journalAbbreviation":"J. Gastroenterol.","language":"eng","note":"PMID: 16143887","page":"820-826","source":"PubMed","title":"Hypertransaminasemia in childhood as a marker of genetic liver disorders","volume":"40","author":[{"family":"Iorio","given":"Raffaele"},{"family":"Sepe","given":"Angela"},{"family":"Giannattasio","given":"Antonietta"},{"family":"Cirillo","given":"Francesco"},{"family":"Vegnente","given":"Angela"}],"issued":{"date-parts":[["2005",8]]}}},{"id":689,"uris":["http://zotero.org/users/2145280/items/CRNXNQTV"],"itemData":{"id":689,"type":"article-journal","abstract":"BACKGROUND Worldwide, chronic liver disease is a major cause of morbidity and mortality. Causes of elevated serum alanine aminotransferase (ALT) levels vary depending on the population under study. The aim of this study is to evaluate the frequency and causes of persistently elevated ALT levels in patients of the Gastroenterology (GI) Clinics in Ghaem and Emam Reza Hospitals in Mashhad, Iran. METHODS A total of 100 consecutive patients with persistently elevated ALT levels that referred to the GI Clinics at Ghaem and Emam Reza Hospitals in 2011 were studied. Elevated levels were defined as ALT ≥40 U/L at least twice within six months. A comprehensive history that included previous surgeries, transfusion, alcohol consumption and medications was obtained. Patients underwent physical examinations, laboratory analyses and ultrasonography studies. When necessary, liver biopsies were performed. RESULTS Patients' mean age was 44.4 ± 11.83 years. Females comprised 62% of cases. Patients presented with the following conditions: non-alcoholic fatty liver disease (NAFLD, 55%), hepatitis B (17%), autoimmune hepatitis (13%), hepatitis C (4%), autoimmune hepatitis and hepatitis C (2%), overlapping autoimmune disease (2%), Wilson disease (1%), celiac disease (1%), alcoholiche patitis (1%), primary biliary cirrhosis (PBC, 1%), primary sclerosing cholangitis (PSC, 1%), and cryptogenic (2%). CONCLUSION NAFLD was the most common cause of persistently elevated serum ALT levels in this study.","container-title":"Middle East Journal of Digestive Diseases","ISSN":"2008-5230","issue":"1","journalAbbreviation":"Middle East J Dig Dis","language":"eng","note":"PMID: 24829700\nPMCID: PMC4005482","page":"18-22","source":"PubMed","title":"Causes of Persistently Elevated Alanine Aminotransferase Levels in Patients who Presented to Two Referral Hospitals in Mashhad, Iran during 2011","volume":"6","author":[{"family":"Khorashad","given":"Ahmad"},{"family":"Vossoughinia","given":"Hassan"},{"family":"Saadatnia","given":"Hassan"},{"family":"Esmaelzadeh","given":"Abbas"},{"family":"Ahadi","given":"Mitra"},{"family":"Farzanehfar","given":"Mohammad Reza"},{"family":"Hosseini","given":"Seyed Mossareza"},{"family":"Afzalaghaii","given":"Monavvar"},{"family":"Amirmajdi","given":"Elham"},{"family":"Barari","given":"Linda"},{"family":"Saadatnia","given":"Farzad"}],"issued":{"date-parts":[["2014",1]]}}}],"schema":"https://github.com/citation-style-language/schema/raw/master/csl-citation.json"} </w:instrText>
            </w:r>
            <w:r w:rsidRPr="00F67DBD">
              <w:fldChar w:fldCharType="separate"/>
            </w:r>
            <w:r w:rsidR="00F67DBD" w:rsidRPr="00F67DBD">
              <w:rPr>
                <w:szCs w:val="24"/>
                <w:vertAlign w:val="superscript"/>
              </w:rPr>
              <w:t>26–28</w:t>
            </w:r>
            <w:r w:rsidRPr="00F67DBD">
              <w:fldChar w:fldCharType="end"/>
            </w:r>
            <w:r w:rsidRPr="00F67DBD">
              <w:fldChar w:fldCharType="begin"/>
            </w:r>
            <w:r w:rsidR="008F29D2">
              <w:instrText xml:space="preserve"> ADDIN ZOTERO_ITEM CSL_CITATION {"citationID":"wrp6HihP","properties":{"formattedCitation":"\\super 24,26,29\\uc0\\u8211{}31\\nosupersub{}","plainCitation":"24,26,29–31","noteIndex":0},"citationItems":[{"id":1233,"uris":["http://zotero.org/users/2145280/items/TP6CRFK7"],"itemData":{"id":1233,"type":"article-journal","abstract":"Endoscopic findings of celiac disease have high specificity and sensitivity. We evaluated records of 137 consecutive patients who had endotherapy for variceal hemorrhage, and who had features of celiac disease at endoscopy; patients who had such markers at endoscopy had undergone duodenal histology and serology. Thirty-one patients had changes of portal hypertensive vasculopathy in the duodenum, 8 had scalloping, and 6 had mosaic pattern; 3 patients also had decreased fold height or sparse folds in the descending duodenum. Six of these 8 patients had positive serology and histology suggestive of celiac disease. Endoscopic evaluation resulted in diagnosis of CD in 4.37% patients of chronic liver disease undergoing endotherapy.","container-title":"Indian Journal of Gastroenterology: Official Journal of the Indian Society of Gastroenterology","DOI":"10.1007/s12664-011-0106-8","ISSN":"0975-0711","issue":"4","journalAbbreviation":"Indian J Gastroenterol","language":"eng","note":"PMID: 21847607","page":"166-169","source":"PubMed","title":"Celiac disease suspected at endoscopy in patients with chronic liver disease","volume":"30","author":[{"family":"Kochhar","given":"Rakesh"},{"family":"Dutta","given":"Usha"},{"family":"Miglani","given":"Amit"},{"family":"Bhagat","given":"Suraj"},{"family":"Poornachandra","given":"Kuchhangi Sureshchandra"},{"family":"Vaiphei","given":"Kim"},{"family":"Nain","given":"Chander K."},{"family":"Singh","given":"Kartar"}],"issued":{"date-parts":[["2011",7]]}}},{"id":25636,"uris":["http://zotero.org/users/2145280/items/283YZY2W"],"itemData":{"id":25636,"type":"article-journal","abstract":"BACKGROUND: The liver and celiac disease (CeD) share a complex relationship. While in some patients, isolated hypertransaminasemia is the only manifestation of CeD, liver diseases (LD) may also be associated with the presence of isolated tissue transglutaminase antibodies IgA (tTG IgA) without histologic evidence of CeD.\nAIMS: To examine the yield of tTG IgA testing (a) in the workup for chronic liver disease (CLD) or cytolysis and (b) to identify biopsy-confirmed CeD (BxCeD) among patients with concomitant LD.\nMETHODS: Retrospective study including two cohorts. Cohort 1 represented 444 consecutive individuals without known CeD for which liver specialists requested tTG IgA. Incidence of positive tTG and BxCeD was evaluated. Cohort 2 included 212 consecutive individuals with positive tTG IgA and subsequent duodenal biopsies. The frequency and clinical characteristics of individuals without BxCeD were examined, with and without concurrent LD.\nRESULTS: The rate of first time positive tTG IgA among the tests requested by a liver specialist (cohort 1) was 2.0% (n = 9). However, 33.0% (n = 3) of these patients did not have BxCeD. Cohort 2 included 33 individuals with coexisting LD, of which 42.4% did not have BxCeD, compared with 16.2% of the patients without LD (P &lt; 0.001). The majority of the patients without BxCeD (65.1%) showed an increase &lt; 3 times upper limit of normal of tTG IgA.\nCONCLUSIONS: Although there is clinical value in testing for CeD in the context of LD, there could be a high rate of positive CeD serology unaccompanied by histologic signs in patients with coexisting LD.","container-title":"Journal of the Canadian Association of Gastroenterology","DOI":"10.1093/jcag/gwz010","ISSN":"2515-2092","issue":"4","journalAbbreviation":"J Can Assoc Gastroenterol","language":"eng","note":"PMID: 32671328\nPMCID: PMC7338843","page":"185-193","source":"PubMed","title":"Discordance Between Serology and Histology for Celiac Disease in a Cohort with Coexisting Liver Disorders","volume":"3","author":[{"family":"Cvetkovic","given":"Lena"},{"family":"Bernard","given":"Gabriel"},{"family":"Galette","given":"Nathanaelle"},{"family":"Hétu","given":"Pierre-Olivier"},{"family":"Vincent","given":"Catherine"},{"family":"Bouin","given":"Mickael"},{"family":"Therrien","given":"Amelie"}],"issued":{"date-parts":[["2020",8]]}}},{"id":942,"uris":["http://zotero.org/users/2145280/items/NSBZ7W9B"],"itemData":{"id":942,"type":"article-journal","abstract":"BACKGROUND: Conflicting results were obtained in the assay of anti-transglutaminase (anti-tTG) autoantibodies in patients with chronic liver disease. In order to establish whether this was attributable to methodological differences, anti-tTG antibodies were assayed in a large number of patients suffering from liver cirrhosis (LC).\nMETHODS: 54 patients with LC and 29 patients suffering from celiac disease (CD), used as controls, were tested for IgA and IgG anti-tTG with 11 different commercial methods.\nRESULTS: In the patients with LC, positivity ranged from 0% to 33.3% for IgA anti-tTG and from 0% to 11.1% for anti-tTG of the IgG class. The largest number of false positives was found with methods that used tTG in association with gliadin peptides as antigen substrate. A significant association was found between IgA anti-tTG antibodies and serum immunoglobulin concentration.\nCONCLUSIONS: The results of the various methods of assaying anti-tTG antibodies in patients with LC are highly variable, and the positives found are generally false positives, partly due to the high immunoglobulin concentration.","container-title":"Clinica Chimica Acta; International Journal of Clinical Chemistry","DOI":"10.1016/j.cccn.2005.01.015","ISSN":"0009-8981","issue":"1-2","journalAbbreviation":"Clin. Chim. Acta","language":"eng","page":"102-109","source":"PubMed","title":"False positive reactions for IgA and IgG anti-tissue transglutaminase antibodies in liver cirrhosis are common and method-dependent","volume":"356","author":[{"family":"Villalta","given":"Danilo"},{"family":"Crovatto","given":"Marina"},{"family":"Stella","given":"Sergio"},{"family":"Tonutti","given":"Elio"},{"family":"Tozzoli","given":"Renato"},{"family":"Bizzaro","given":"Nicola"}],"issued":{"date-parts":[["2005",6]]}}},{"id":258,"uris":["http://zotero.org/users/2145280/items/T26LTRTP"],"itemData":{"id":258,"type":"article-journal","abstract":"BACKGROUND: Earlier reports have suggested that a relationship exists between chronic liver disease and coeliac disease (CD). Gliadin antibodies (GA) have been used to screen for CD.     METHODS: Using a micro-enzyme-linked immunosorbent procedure, we analysed sera from 327 consecutive patients with chronic liver disease for GA (IgA and IgG) and evaluated their clinical significance.     RESULTS: GA were detected in 19 patients (6%), a prevalence six times greater than that found in healthy blood donors. In 9 of the 19 patients the liver disease had been classified as cryptogenic. The occurrence of GA was independent of the degree of hepatocellular impairment. A diagnosis of CD was confirmed in 5 of the 10 patients who underwent small-bowel biopsy.     CONCLUSIONS: Our findings suggest the prevalence of CD in patients with chronic liver disease to be at least 1.5%--that is, 15 times higher than in the general population. They also suggest that the possible presence of CD should be considered in cases of chronic 'cryptogenic' liver disease.","container-title":"Scandinavian Journal of Gastroenterology","issue":"7","language":"eng","page":"661-664","title":"Unsuspected coeliac disease in chronic 'cryptogenic' liver disease","volume":"29","author":[{"family":"Lindgren","given":"S."},{"family":"Sjöberg","given":"K."},{"family":"Eriksson","given":"S."}],"issued":{"date-parts":[["1994"]]}}},{"id":2233,"uris":["http://zotero.org/users/2145280/items/96UE7WAZ"],"itemData":{"id":2233,"type":"article-journal","container-title":"Indian Journal of Gastroenterology: Official Journal of the Indian Society of Gastroenterology","DOI":"10.1007/s12664-014-0530-7","ISSN":"0975-0711","issue":"3","journalAbbreviation":"Indian J Gastroenterol","language":"eng","note":"PMID: 25911463","page":"273-274","source":"PubMed","title":"Portal hypertension and celiac disease: a true association?","title-short":"Portal hypertension and celiac disease","volume":"34","author":[{"family":"Ferrari","given":"Federica"},{"family":"Mennini","given":"Maurizio"},{"family":"Cucchiara","given":"Salvatore"}],"issued":{"date-parts":[["2015",5]]}}}],"schema":"https://github.com/citation-style-language/schema/raw/master/csl-citation.json"} </w:instrText>
            </w:r>
            <w:r w:rsidRPr="00F67DBD">
              <w:fldChar w:fldCharType="separate"/>
            </w:r>
            <w:r w:rsidR="00F67DBD" w:rsidRPr="00F67DBD">
              <w:rPr>
                <w:szCs w:val="24"/>
                <w:vertAlign w:val="superscript"/>
              </w:rPr>
              <w:t>24</w:t>
            </w:r>
            <w:bookmarkStart w:id="0" w:name="_GoBack"/>
            <w:bookmarkEnd w:id="0"/>
            <w:r w:rsidR="00F67DBD" w:rsidRPr="00F67DBD">
              <w:rPr>
                <w:szCs w:val="24"/>
                <w:vertAlign w:val="superscript"/>
              </w:rPr>
              <w:t>,26,29–31</w:t>
            </w:r>
            <w:r w:rsidRPr="00F67DBD">
              <w:fldChar w:fldCharType="end"/>
            </w:r>
          </w:p>
          <w:p w:rsidR="00F67DBD" w:rsidRPr="00F67DBD" w:rsidRDefault="00F67DBD" w:rsidP="00F67DBD"/>
        </w:tc>
      </w:tr>
      <w:tr w:rsidR="00F67DBD" w:rsidRPr="00F67DBD" w:rsidTr="00BF7578">
        <w:tc>
          <w:tcPr>
            <w:tcW w:w="648" w:type="dxa"/>
          </w:tcPr>
          <w:p w:rsidR="00F67DBD" w:rsidRPr="00F67DBD" w:rsidRDefault="00F67DBD" w:rsidP="00F67DBD">
            <w:r w:rsidRPr="00F67DBD">
              <w:t>5</w:t>
            </w:r>
          </w:p>
        </w:tc>
        <w:tc>
          <w:tcPr>
            <w:tcW w:w="5256" w:type="dxa"/>
          </w:tcPr>
          <w:p w:rsidR="00F67DBD" w:rsidRPr="00F67DBD" w:rsidRDefault="00F67DBD" w:rsidP="00F67DBD">
            <w:r w:rsidRPr="00F67DBD">
              <w:t>Percentage of seropositive subjects that underwent biopsy not given hence included for seroprevalence and not biopsy-confirmed prevalence</w:t>
            </w:r>
          </w:p>
        </w:tc>
        <w:tc>
          <w:tcPr>
            <w:tcW w:w="2952" w:type="dxa"/>
          </w:tcPr>
          <w:p w:rsidR="00F67DBD" w:rsidRPr="00F67DBD" w:rsidRDefault="00F53C08" w:rsidP="00F67DBD">
            <w:r w:rsidRPr="00F67DBD">
              <w:fldChar w:fldCharType="begin"/>
            </w:r>
            <w:r w:rsidR="008F29D2">
              <w:instrText xml:space="preserve"> ADDIN ZOTERO_ITEM CSL_CITATION {"citationID":"f2W6fOMv","properties":{"formattedCitation":"\\super 10\\nosupersub{}","plainCitation":"10","noteIndex":0},"citationItems":[{"id":259,"uris":["http://zotero.org/users/2145280/items/8WRNBV2A"],"itemData":{"id":259,"type":"article-journal","abstract":"The prevalence of celiac disease (CD) and the prevalence and clinical significance of anti-tissue transglutaminase (tTG) antibodies (tTGAbs) in a large series of patients with chronic liver diseases were assessed. We studied 738 patients (462 with chronic viral hepatitis, 117 with autoimmune liver diseases, 113 with alcoholic or nonalcoholic fatty liver disease, and 46 with other liver disorders) and 1,350 healthy controls (HC). Immunoglobulin A (IgA) tTGAbs were measured by enzyme-linked immunosorbent assay and a microsphere-based flow cytometric assay. Positive sera were investigated for IgA antiendomysial antibodies (EmA). IgA tTGAb-positive subjects were invited to undergo a small-intestinal biopsy and HLA-DQ allele typing. Four of 1,350 HC (0.3%) tested tTGAb(+) EmA(+) and underwent a biopsy (CD confirmation in all). Four of 738 liver disease patients tested tTGAbs(+) EmA(+) (0.54%; not statistically significant). Two were HCV infected (1.24%; not statistically significant), and two had transaminasemia of unknown origin. Forty-three patients tested tTGAbs(+) EmA(-) (5.8%; P&lt;0.001 compared to HC). Inhibition experiments verified the existence of specific IgA anti-tTG reactivity. Twenty-six of 43 patients underwent a biopsy (all negative for CD). Binary logistic regression analysis revealed age (P=0.008), cirrhosis (P=0.004), alkaline phosphatase (P=0.026), and antinuclear antibodies (P=0.012) as independent risk factors for tTGAb reactivity among the patients. It was concluded that CD prevalence is the same in HC and patients with chronic liver diseases. The prevalence of tTGAbs is higher in hepatic patients compared to HC, but their specificity for CD diagnosis in this group of patients is low. tTGAbs in patients appear to be associated with the presence of autoimmunity, cirrhosis, and cholestasis, irrespective of the origin of the liver disease.","container-title":"Clinical and Diagnostic Laboratory Immunology","ISSN":"1071-412X","issue":"8","language":"eng","page":"941-948","title":"Prevalence and clinical significance of immunoglobulin A antibodies against tissue transglutaminase in patients with diverse chronic liver diseases","volume":"12","author":[{"family":"Germenis","given":"Anastasios E."},{"family":"Yiannaki","given":"Efthalia E."},{"family":"Zachou","given":"Kalliopi"},{"family":"Roka","given":"Violeta"},{"family":"Barbanis","given":"Sotirios"},{"family":"Liaskos","given":"Christos"},{"family":"Adam","given":"Kalliopi"},{"family":"Kapsoritakis","given":"Andreas N."},{"family":"Potamianos","given":"Spyros"},{"family":"Dalekos","given":"Georgios N."}],"issued":{"date-parts":[["2005"]]}}}],"schema":"https://github.com/citation-style-language/schema/raw/master/csl-citation.json"} </w:instrText>
            </w:r>
            <w:r w:rsidRPr="00F67DBD">
              <w:fldChar w:fldCharType="separate"/>
            </w:r>
            <w:r w:rsidR="00F67DBD" w:rsidRPr="00F67DBD">
              <w:rPr>
                <w:szCs w:val="24"/>
                <w:vertAlign w:val="superscript"/>
              </w:rPr>
              <w:t>10</w:t>
            </w:r>
            <w:r w:rsidRPr="00F67DBD">
              <w:fldChar w:fldCharType="end"/>
            </w:r>
          </w:p>
          <w:p w:rsidR="00F67DBD" w:rsidRPr="00F67DBD" w:rsidRDefault="00F67DBD" w:rsidP="00F67DBD"/>
        </w:tc>
      </w:tr>
      <w:tr w:rsidR="00F67DBD" w:rsidRPr="00F67DBD" w:rsidTr="00BF7578">
        <w:tc>
          <w:tcPr>
            <w:tcW w:w="648" w:type="dxa"/>
          </w:tcPr>
          <w:p w:rsidR="00F67DBD" w:rsidRPr="00F67DBD" w:rsidRDefault="00F67DBD" w:rsidP="00F67DBD">
            <w:r w:rsidRPr="00F67DBD">
              <w:t>6</w:t>
            </w:r>
          </w:p>
        </w:tc>
        <w:tc>
          <w:tcPr>
            <w:tcW w:w="5256" w:type="dxa"/>
          </w:tcPr>
          <w:p w:rsidR="00F67DBD" w:rsidRPr="00F67DBD" w:rsidRDefault="00F67DBD" w:rsidP="00F67DBD">
            <w:r w:rsidRPr="00F67DBD">
              <w:t xml:space="preserve">Review  </w:t>
            </w:r>
          </w:p>
        </w:tc>
        <w:tc>
          <w:tcPr>
            <w:tcW w:w="2952" w:type="dxa"/>
          </w:tcPr>
          <w:p w:rsidR="00F67DBD" w:rsidRPr="00F67DBD" w:rsidRDefault="00F53C08" w:rsidP="00F67DBD">
            <w:r w:rsidRPr="00F67DBD">
              <w:fldChar w:fldCharType="begin"/>
            </w:r>
            <w:r w:rsidR="008F29D2">
              <w:instrText xml:space="preserve"> ADDIN ZOTERO_ITEM CSL_CITATION {"citationID":"DPfVSaJe","properties":{"formattedCitation":"\\super 28,32\\uc0\\u8211{}44\\nosupersub{}","plainCitation":"28,32–44","noteIndex":0},"citationItems":[{"id":689,"uris":["http://zotero.org/users/2145280/items/CRNXNQTV"],"itemData":{"id":689,"type":"article-journal","abstract":"BACKGROUND Worldwide, chronic liver disease is a major cause of morbidity and mortality. Causes of elevated serum alanine aminotransferase (ALT) levels vary depending on the population under study. The aim of this study is to evaluate the frequency and causes of persistently elevated ALT levels in patients of the Gastroenterology (GI) Clinics in Ghaem and Emam Reza Hospitals in Mashhad, Iran. METHODS A total of 100 consecutive patients with persistently elevated ALT levels that referred to the GI Clinics at Ghaem and Emam Reza Hospitals in 2011 were studied. Elevated levels were defined as ALT ≥40 U/L at least twice within six months. A comprehensive history that included previous surgeries, transfusion, alcohol consumption and medications was obtained. Patients underwent physical examinations, laboratory analyses and ultrasonography studies. When necessary, liver biopsies were performed. RESULTS Patients' mean age was 44.4 ± 11.83 years. Females comprised 62% of cases. Patients presented with the following conditions: non-alcoholic fatty liver disease (NAFLD, 55%), hepatitis B (17%), autoimmune hepatitis (13%), hepatitis C (4%), autoimmune hepatitis and hepatitis C (2%), overlapping autoimmune disease (2%), Wilson disease (1%), celiac disease (1%), alcoholiche patitis (1%), primary biliary cirrhosis (PBC, 1%), primary sclerosing cholangitis (PSC, 1%), and cryptogenic (2%). CONCLUSION NAFLD was the most common cause of persistently elevated serum ALT levels in this study.","container-title":"Middle East Journal of Digestive Diseases","ISSN":"2008-5230","issue":"1","journalAbbreviation":"Middle East J Dig Dis","language":"eng","note":"PMID: 24829700\nPMCID: PMC4005482","page":"18-22","source":"PubMed","title":"Causes of Persistently Elevated Alanine Aminotransferase Levels in Patients who Presented to Two Referral Hospitals in Mashhad, Iran during 2011","volume":"6","author":[{"family":"Khorashad","given":"Ahmad"},{"family":"Vossoughinia","given":"Hassan"},{"family":"Saadatnia","given":"Hassan"},{"family":"Esmaelzadeh","given":"Abbas"},{"family":"Ahadi","given":"Mitra"},{"family":"Farzanehfar","given":"Mohammad Reza"},{"family":"Hosseini","given":"Seyed Mossareza"},{"family":"Afzalaghaii","given":"Monavvar"},{"family":"Amirmajdi","given":"Elham"},{"family":"Barari","given":"Linda"},{"family":"Saadatnia","given":"Farzad"}],"issued":{"date-parts":[["2014",1]]}}},{"id":1294,"uris":["http://zotero.org/users/2145280/items/DGXUU2BI"],"itemData":{"id":1294,"type":"article-journal","container-title":"Journal of Pediatric Gastroenterology and Nutrition","ISSN":"0277-2116","issue":"2","journalAbbreviation":"J. Pediatr. Gastroenterol. Nutr.","language":"eng","note":"PMID: 12883294","page":"117-119","source":"PubMed","title":"The liver in celiac disease","volume":"37","author":[{"family":"Maggiore","given":"Giuseppe"},{"family":"Caprai","given":"Silvia"}],"issued":{"date-parts":[["2003",8]]}}},{"id":766,"uris":["http://zotero.org/users/2145280/items/3QCA34E5"],"itemData":{"id":766,"type":"article-journal","abstract":"Celiac disease may present as a cryptogenic liver disorder being found in 5-10 % of patients with a persistent and cryptogenetic elevation of serum aminotransferase activity. In fact, a wide spectrum of liver injuries in children and adults may be related to CD and in particular: (1) a mild parenchymal damage characterised by absence of any clinical sign or symptom suggesting a chronic liver disease and by non-specific histological changes reversible on a gluten-free diet; (2) a chronic inflammatory liver injury of autoimmune mechanism, including autoimmune hepatitis, primary sclerosing cholangitis and primary biliary cirrhosis, that may lead to fibrosis and cirrhosis, generally unaffected by gluten withdrawal and necessitating an immunosuppressive treatment; (3) a severe liver failure potentially treatable by a gluten-free diet. Such different types of liver injuries may represent a spectrum of a same disorder where individual factors, such as genetic predisposition, precocity and duration of exposure to gluten may influence the reversibility of liver damage. A rigorous cross-checking for a asymptomatic liver damage in CD individuals and conversely, for CD in any cryptogenic liver disorder including end-stage liver failure is recommended.","container-title":"Indian Journal of Pediatrics","ISSN":"0973-7693","issue":"9","journalAbbreviation":"Indian J Pediatr","language":"eng","page":"809-811","source":"PubMed","title":"Liver involvement in celiac disease","volume":"73","author":[{"family":"Maggiore","given":"Giuseppe"},{"family":"Caprai","given":"Silvia"}],"issued":{"date-parts":[["2006",9]]}}},{"id":661,"uris":["http://zotero.org/users/2145280/items/UJ3F6QD3"],"itemData":{"id":661,"type":"article-journal","abstract":"Celiac disease (CD) is a systemic immune-mediated disorder triggered by dietary gluten in genetically predisposed individuals. The typical symptoms are anemia, diarrhea, fatigue, weight loss, and abdominal pain. CD has been reported in patients with primary sclerosing cholangitis, primary biliary cholangitis, autoimmune hepatitis, aminotransferase elevations, nonalcoholic fatty liver disease, hepatitis B, hepatitis C, portal hypertension and liver cirrhosis. We evaluate recommendations for active screening for CD in patients with liver diseases, and the effect of a gluten-free diet in these different settings. Active screening for CD is recommended in patients with liver diseases, particularly in those with autoimmune disorders, steatosis in the absence of metabolic syndrome, noncirrhotic intrahepatic portal hypertension, cryptogenic cirrhosis, and in the context of liver transplantation. In hepatitis C, diagnosis of CD can be important as a relative contraindication to interferon use. Gluten-free diet ameliorates the symptoms associated with CD; however, the associated liver disease may improve, remain the same, or progress.","container-title":"World Journal of Gastroenterology","DOI":"10.3748/wjg.v23.i5.776","ISSN":"2219-2840","issue":"5","journalAbbreviation":"World J. Gastroenterol.","language":"eng","page":"776-791","source":"PubMed","title":"To screen or not to screen? Celiac antibodies in liver diseases","title-short":"To screen or not to screen?","volume":"23","author":[{"family":"Narciso-Schiavon","given":"Janaína Luz"},{"family":"Schiavon","given":"Leonardo Lucca"}],"issued":{"date-parts":[["2017",2,7]]}}},{"id":573,"uris":["http://zotero.org/users/2145280/items/G4KKZEVQ"],"itemData":{"id":573,"type":"article-journal","abstract":"Celiac disease is a common (1% prevalence) chronic immune-mediated disorder of the small intestine induced by dietary wheat, barley, and rye. Several hepatic disorders have been described in association with celiac disease. Isolated hypertransaminasemia with nonspecific histologic changes in a liver biopsy is the commonest hepatic presentation of celiac disease. A gluten-free diet normalizes liver enzymes and histologic changes in most patients. Moreover, celiac disease can coexist with autoimmune liver disorders such as autoimmune hepatitis, primary biliary cirrhosis, and primary sclerosing cholangitis. Celiac disease has increasingly been reported with a variety of other liver diseases. Thus, the hepatologist needs to consider celiac disease in the differential of abnormal liver blood tests and to be aware of the clinical implications of this frequent disease in patients with liver disorders. The possible mechanisms of liver injury and those common factors that explain the association of celiac disease with liver disorders are discussed. The aims of this article are (1) to review the spectrum and pathogenesis of liver injury related to celiac disease and (2) to provide direction to those caring for patients with chronic liver diseases regarding the detection and effective treatment of celiac disease.","container-title":"Hepatology (Baltimore, Md.)","DOI":"10.1002/hep.21949","ISSN":"1527-3350","issue":"5","journalAbbreviation":"Hepatology","language":"eng","page":"1650-1658","source":"PubMed","title":"The liver in celiac disease","volume":"46","author":[{"family":"Rubio-Tapia","given":"Alberto"},{"family":"Murray","given":"Joseph A."}],"issued":{"date-parts":[["2007",11]]}}},{"id":246,"uris":["http://zotero.org/users/2145280/items/V3D6539L"],"itemData":{"id":246,"type":"article-journal","abstract":"BACKGROUND: There may be a positive association between coeliac disease and serum hypertransaminasaemia but evidence is conflicting.\nAIMS: To conduct a systematic review and meta-analysis to determine the prevalence of coeliac disease in adults presenting with cryptogenic serum hypertransaminasaemia and the prevalence of hypertransaminasaemia in patients with newly diagnosed coeliac disease.\nMETHODS: MEDLINE and EMBASE were searched up to August 2010. Case series and case-control studies recruiting adults with either cryptogenic hypertransaminasaemia that applied serological tests for coeliac disease and/or distal duodenal biopsy to participants or newly diagnosed biopsy-proven coeliac disease that assessed serum transaminases were eligible. The pooled prevalence of coeliac disease in individuals presenting with abnormal serum transaminases and the pooled prevalence of hypertransaminasaemia in newly diagnosed coeliac disease were calculated with 95% confidence intervals (CI).\nRESULTS: Eleven eligible studies were identified. Pooled prevalences of positive coeliac serology and biopsy-proven coeliac disease in cryptogenic hypertransaminasaemia were 6% (95% CI 3% to 10%) and 4% (95% CI 1% to 7%) respectively. Pooled prevalence of abnormal serum transaminases in newly diagnosed coeliac disease was 27% (95% CI 13% to 44%). Exclusion of gluten led to normalisation of serum transaminase levels in 63% to 90% of patients within 1 year.\nCONCLUSIONS: Undetected coeliac disease is a potential cause for cryptogenic hypertransaminasaemia in 3% to 4% of cases. More than 20% of individuals with newly diagnosed coeliac disease may have abnormal serum transaminases and these normalise on a gluten-free diet in the majority of cases.","container-title":"Alimentary Pharmacology &amp; Therapeutics","DOI":"10.1111/j.1365-2036.2011.04685.x","ISSN":"1365-2036","issue":"1","journalAbbreviation":"Aliment. Pharmacol. Ther.","language":"eng","note":"PMID: 21545472","page":"33-40","source":"PubMed","title":"Meta-analysis: Coeliac disease and hypertransaminasaemia","title-short":"Meta-analysis","volume":"34","author":[{"family":"Sainsbury","given":"A."},{"family":"Sanders","given":"D. S."},{"family":"Ford","given":"A. C."}],"issued":{"date-parts":[["2011",7]]}}},{"id":834,"uris":["http://zotero.org/users/2145280/items/TWP2B6SA"],"itemData":{"id":834,"type":"article-journal","container-title":"Journal of Pediatric Gastroenterology and Nutrition","DOI":"10.1097/MPG.0b013e31828dc5c5","ISSN":"0277-2116","issue":"6","language":"en","page":"663-670","source":"CrossRef","title":"Pediatric Celiac Disease, Cryptogenic Hypertransaminasemia, and Autoimmune Hepatitis:","title-short":"Pediatric Celiac Disease, Cryptogenic Hypertransaminasemia, and Autoimmune Hepatitis","volume":"56","author":[{"family":"Vajro","given":"Pietro"},{"family":"Paolella","given":"Giulia"},{"family":"Maggiore","given":"Giuseppe"},{"family":"Giordano","given":"Giuseppe"}],"issued":{"date-parts":[["2013",6]]}}},{"id":574,"uris":["http://zotero.org/users/2145280/items/KDCMHU6R"],"itemData":{"id":574,"type":"article-journal","abstract":"Although the spectrum of liver abnormalities associated with celiac disease is particularly wide, two main forms of liver damage, namely cryptogenic and autoimmune, appear to be strictly related to gluten-sensitive enteropathy. The most frequent occurrence is a cryptogenic hypertransaminasemia, present in about a half of untreated celiac patients, as an expression of a mild liver impairment characterised by a histological picture of non specific reactive hepatitis (celiac hepatitis) reverting to normal after a few months of gluten withdrawal. In a few cases, a more severe liver injury leading to chronic hepatitis or liver cirrhosis is present. In these patients liver damage can still improve after a gluten-free diet institution. In addition, a close association between celiac disease and autoimmune liver disorders has been largely demonstrated. Indeed, 3%-7% of patients with primary biliary cirrhosis, 3%-6% with autoimmune hepatitis and 2-3% with primary sclerosing cholangitis are affected by celiac disease. Autoimmune liver dysfunction, found in celiac disease, does not usually improve after gluten-free-diet. Presently, it is difficult to establish if the two main kinds of liver injury found in celiac disease (cryptogenic and autoimmune) are discrete entities with a different pathogenesis or if they are an expression of the same disorder where genetic factors and duration of gluten exposure may determine the severity and the pattern of liver injury.","container-title":"Minerva Medica","ISSN":"0026-4806","issue":"6","journalAbbreviation":"Minerva Med.","language":"eng","page":"619-629","source":"PubMed","title":"Liver dysfunction in celiac disease","volume":"99","author":[{"family":"Volta","given":"U."}],"issued":{"date-parts":[["2008",12]]}}},{"id":1321,"uris":["http://zotero.org/users/2145280/items/CQV3GTJE"],"itemData":{"id":1321,"type":"article-journal","abstract":"Abnormal liver enzymes may be present in the absence of symptoms and signs of liver disease. A good clinical history and physical examination are mandatory. If a systematic approach is adopted, based on additional non-invasive serological tests and imaging procedures covering the most frequent liver diseases, the cause is often apparent. The clinician should be aware of nonhepatic diseases that can cause abnormal liver enzymes, such as thyroid disorders and occult celiac disease. In those patients in which no explanation can be found at the time of the initial evaluation for these abnormal liver enzymes, there is a high probability of non-alcoholic fatty liver disease. The risks and benefits of a liver biopsy in this setting should be carefully considered, as it only seldom alters management.","container-title":"Acta Clinica Belgica","DOI":"10.1179/acb.2004.042","ISSN":"1784-3286","issue":"5","journalAbbreviation":"Acta Clin Belg","language":"eng","note":"PMID: 15641399","page":"285-289","source":"PubMed","title":"Evaluation of abnormal liver-enzyme results in asymptomatic patients","volume":"59","author":[{"family":"Verslype","given":"C."}],"issued":{"date-parts":[["2004",10]]}}},{"id":1262,"uris":["http://zotero.org/users/2145280/items/IWJZE567"],"itemData":{"id":1262,"type":"article-journal","abstract":"The liver enzymes, alanine transaminase (ALT) or aspartate transaminase (AST), are commonly used in clinical practice as screening as well as diagnostic tests for liver diseases. ALT is more specific for liver injury than AST and has been shown to be a good predictor of liver related and all-cause mortality. Asymptomatic mild hypertransaminasemia (i.e., less than five times normal) is a common finding in primary care and this could be attributed to serious underlying condition or has transient and benign cause. Unfortunately, there are no good literatures available on the cost-effectiveness of evaluating patients with asymptomatic mild hypertransaminasemia. However, if the history and physical examination do not suggest a clear cause, a stepwise approach should be initiated based on pretest probability of the underlying liver disease. Nonalcoholic fatty liver disease is becoming the most common cause of mild hypertransaminasemia worldwide. Other causes include alcohol abuse, medications, and hepatitis B and C. Less common causes include hemochromatosis, α1-antitrypsin deficiency, autoimmune hepatitis, and Wilson's disease. Nonhepatic causes such as celiac disease, thyroid, and muscle disorders should be considered in the differential diagnosis. Referral to a specialist and a possible liver biopsy should be considered if persistent hypertransaminasemia for six months or more of unclear etiology.","container-title":"ISRN hepatology","DOI":"10.1155/2013/256426","ISSN":"2314-4041","journalAbbreviation":"ISRN Hepatol","language":"eng","note":"PMID: 27335825\nPMCID: PMC4890914","page":"256426","source":"PubMed","title":"Mild Hypertransaminasemia in Primary Care","volume":"2013","author":[{"family":"Al-Busafi","given":"Said A."},{"family":"Hilzenrat","given":"Nir"}],"issued":{"date-parts":[["2013"]]}}},{"id":23843,"uris":["http://zotero.org/users/2145280/items/UXJBWH77"],"itemData":{"id":23843,"type":"book","collection-number":"3","ISBN":"978-1-4435-6964-4","title":"Clinical Utility of Serologic Testing for Celiac Disease in Asymptomatic Patients","volume":"11","author":[{"family":"Analysis","given":"An Evidence-based"}],"issued":{"date-parts":[["2011"]]}}},{"id":795,"uris":["http://zotero.org/users/2145280/items/T7MFXJAG"],"itemData":{"id":795,"type":"article-journal","abstract":"BACKGROUND: Celiac disease (CD) is an immune mediated condition that leads to small bowel atrophy and improve with a gluten free diet (GFD). Extra-intestinal manifestations of CD include hypertransaminasemia. In this study, the effects of a GFD on hypertransaminasemia in patients with newly diagnosed CD were studied.\nMETHODS: Ninety eight new diagnosed consecutive patients with CD 40 males and 58 females) with mean age of 32 ± 17.1 were studied. All patients with CD were treated with a GFD. Patients with hypertransaminasemia, at diagnosis, had a cirrhosis screen performed. Patients with a negative cirrhosis screen were reviewed, 6 months after the introduction of a GFD, and serum levels of liver transaminases were measured again.\nRESULTS: Nine patients had hypertransaminasemia. One patient was Hepatitis B surface antigen positive and was excluded from this study. The 8 remaining patients had no obvious cause for the hypertransaminasemia. Mean (± SD) of baseline aspartate aminotransferase (AST) and alanine aminotransferase (ALT) levels were 42.6 ± 16.5 IU/L (range: 16-66 IU/L) and 69.3 ± 9.3 IU/L (range: 52-81 IU/L). Six months after treatment with a GFD, mean AST and ALT levels decreased to 24.5 ± 5.1 IU/L (range: 18-31 IU/L) (P: 0.04) and 24.6 ± 6 IU/L (range: 17-32 IU/L) (P: 0.01), respectively. In 7 patients the hypertransaminasemia, at diagnosis had resolved.\nCONCLUSIONS: This study provides further evidence that some patients with CD have a reversible hypertransaminasemia that resolves with a GFD.","container-title":"International Journal of Preventive Medicine","ISSN":"2008-7802","issue":"6","journalAbbreviation":"Int J Prev Med","language":"eng","page":"700-704","source":"PubMed","title":"The effects of gluten-free diet on hypertransaminasemia in patients with celiac disease","volume":"4","author":[{"family":"Alavi Moghaddam","given":"Mostafa"},{"family":"Rostami Nejad","given":"Mohammad"},{"family":"Shalmani","given":"Hamid Mohaghegh"},{"family":"Rostami","given":"Kamran"},{"family":"Nazemalhosseini Mojarad","given":"Ehsan"},{"family":"Aldulaimi","given":"David"},{"family":"Zali","given":"Mohammad Reza"}],"issued":{"date-parts":[["2013",6]]}}},{"id":25489,"uris":["http://zotero.org/users/2145280/items/YQ6NQYB9"],"itemData":{"id":25489,"type":"article-journal","abstract":"Aminotransferases are commonly found to be elevated in patients with celiac disease in association with two different types of liver dysfunction: cryptogenic liver disorders and autoimmune disorders. The purpose of this review is to discuss the mechanisms by which aminotransferases become elevated in celiac disease, clinical manifestations, and response to gluten-free diet. Many studies have shown that celiac patients with cryptogenic liver disease have normalization in aminotransferases, intestinal histologic improvement and serologic resolution after 6–12 months of strict gluten-free diet. In patients with an underlying autoimmune liver disease, simultaneous treatment for both conditions resulted in normalized elevated aminotransferases. The literature suggests that intestinal permeability may be at least one of the mechanisms by which liver damage occurs. Patients with celiac disease should have liver enzymes routinely checked and treated with a strict gluten-free diet if found to be abnormal. Lack of improvement in patients who have strictly adhered to gluten-free diet should prompt further workup for other causes of liver disease.","container-title":"Journal of Clinical and Translational Hepatology","DOI":"10.14218/JCTH.2020.00089","issue":"000","language":"en","note":"publisher: Xia &amp; He Publishing Inc.","page":"1-9","source":"www.xiahepublishing.com","title":"Celiac Disease and Elevated Liver Enzymes: A Review","title-short":"Celiac Disease and Elevated Liver Enzymes","volume":"0","author":[{"family":"Villavicencio Kim","given":"Jaimy"},{"family":"Wu","given":"George Y."}],"issued":{"date-parts":[["2020",12,7]]}}},{"id":"FzxCyKJo/6yjOVFm5","uris":["http://zotero.org/users/2145280/items/SZK5YKBA"],"itemData":{"id":23,"type":"article-journal","container-title":"Clinical Gastroenterology and Hepatology","DOI":"10.1016/S1542-3565(03)00313-6","ISSN":"1542-3565, 1542-7714","issue":"2","journalAbbreviation":"Clinical Gastroenterology and Hepatology","language":"English","note":"publisher: Elsevier","page":"107-112","source":"www.cghjournal.org","title":"Liver abnormalities in celiac disease","volume":"2","author":[{"family":"Abdo","given":"Ayman"},{"family":"Meddings","given":"Jonathan"},{"family":"Swain","given":"Mark"}],"issued":{"date-parts":[["2004",2,1]]}}}],"schema":"https://github.com/citation-style-language/schema/raw/master/csl-citation.json"} </w:instrText>
            </w:r>
            <w:r w:rsidRPr="00F67DBD">
              <w:fldChar w:fldCharType="separate"/>
            </w:r>
            <w:r w:rsidR="00F67DBD" w:rsidRPr="00F67DBD">
              <w:rPr>
                <w:szCs w:val="24"/>
                <w:vertAlign w:val="superscript"/>
              </w:rPr>
              <w:t>28,32–44</w:t>
            </w:r>
            <w:r w:rsidRPr="00F67DBD">
              <w:fldChar w:fldCharType="end"/>
            </w:r>
          </w:p>
          <w:p w:rsidR="00F67DBD" w:rsidRPr="00F67DBD" w:rsidRDefault="00F67DBD" w:rsidP="00F67DBD"/>
        </w:tc>
      </w:tr>
      <w:tr w:rsidR="00F67DBD" w:rsidRPr="00F67DBD" w:rsidTr="00BF7578">
        <w:tc>
          <w:tcPr>
            <w:tcW w:w="648" w:type="dxa"/>
          </w:tcPr>
          <w:p w:rsidR="00F67DBD" w:rsidRPr="00F67DBD" w:rsidRDefault="00F67DBD" w:rsidP="00F67DBD">
            <w:r w:rsidRPr="00F67DBD">
              <w:t>7</w:t>
            </w:r>
          </w:p>
        </w:tc>
        <w:tc>
          <w:tcPr>
            <w:tcW w:w="5256" w:type="dxa"/>
          </w:tcPr>
          <w:p w:rsidR="00F67DBD" w:rsidRPr="00F67DBD" w:rsidRDefault="00F67DBD" w:rsidP="00F67DBD">
            <w:r w:rsidRPr="00F67DBD">
              <w:t xml:space="preserve">Abstract only </w:t>
            </w:r>
          </w:p>
          <w:p w:rsidR="00F67DBD" w:rsidRPr="00F67DBD" w:rsidRDefault="00F67DBD" w:rsidP="00F67DBD"/>
        </w:tc>
        <w:tc>
          <w:tcPr>
            <w:tcW w:w="2952" w:type="dxa"/>
          </w:tcPr>
          <w:p w:rsidR="00F67DBD" w:rsidRPr="00F67DBD" w:rsidRDefault="00F53C08" w:rsidP="00F67DBD">
            <w:r w:rsidRPr="00F67DBD">
              <w:fldChar w:fldCharType="begin"/>
            </w:r>
            <w:r w:rsidR="008F29D2">
              <w:instrText xml:space="preserve"> ADDIN ZOTERO_ITEM CSL_CITATION {"citationID":"qJiMML9s","properties":{"formattedCitation":"\\super 45,46\\nosupersub{}","plainCitation":"45,46","noteIndex":0},"citationItems":[{"id":25545,"uris":["http://zotero.org/users/2145280/items/75UQLYGJ"],"itemData":{"id":25545,"type":"article-journal","abstract":"An abstract is unavailable.","container-title":"Journal of Pediatric Gastroenterology and Nutrition","ISSN":"0277-2116","issue":"5","language":"en-US","page":"E23","source":"journals.lww.com","title":"ATYPICAL CELIAC DISEASE IN RISK GROUPS OF POLISH CHILDREN","volume":"42","author":[{"family":"Burda-Muszynska","given":"B."},{"family":"Oralewska","given":"B."},{"family":"Cukrowska","given":"B."},{"family":"Zielinska-Michalkiewicz","given":"M."},{"family":"Olszaniecka","given":"M."},{"family":"Stolarczyk","given":"A."},{"family":"Socha","given":"J."}],"issued":{"date-parts":[["2006",5]]}}},{"id":173,"uris":["http://zotero.org/users/2145280/items/8DZJH9ZZ"],"itemData":{"id":173,"type":"article-journal","abstract":"Dietary exclusion of gluten-containing products has become increasingly popular in the general population, and currently </w:instrText>
            </w:r>
            <w:r w:rsidR="008F29D2">
              <w:rPr>
                <w:rFonts w:ascii="Cambria Math" w:hAnsi="Cambria Math" w:cs="Cambria Math"/>
              </w:rPr>
              <w:instrText>∼</w:instrText>
            </w:r>
            <w:r w:rsidR="008F29D2">
              <w:instrText xml:space="preserve">30% of people in the United States are limiting gluten ingestion. Although celiac disease (CD), wheat allergy (WA), and nonceliac gluten sensitivity (NCGS) constitute a spectrum of gluten-related disorders that require exclusion of gluten from the diet, together these account for a relatively small percentage of those following a gluten-free diet, and the vast majority has no medical necessity for doing so. Differentiating between CD, WA, and NCGS has important prognostic and therapeutic implications. Because of the protean manifestations of gluten-related disorders, it is not possible to differentiate between them on clinical grounds alone. This clinical report will compare and contrast the manifestations of gluten-related disorders, emphasize the importance of differentiating between these conditions, discuss initial and subsequent tests needed to confirm the diagnosis, and provide recommendations on treatment and follow-up for each condition.","container-title":"Journal of Pediatric Gastroenterology and Nutrition","DOI":"10.1097/MPG.0000000000001216","ISSN":"1536-4801","issue":"1","journalAbbreviation":"J. Pediatr. Gastroenterol. Nutr.","language":"eng","note":"PMID: 27035374","page":"156-165","source":"PubMed","title":"NASPGHAN Clinical Report on the Diagnosis and Treatment of Gluten-related Disorders","volume":"63","author":[{"family":"Hill","given":"Ivor D."},{"family":"Fasano","given":"Alessio"},{"family":"Guandalini","given":"Stefano"},{"family":"Hoffenberg","given":"Edward"},{"family":"Levy","given":"Joseph"},{"family":"Reilly","given":"Norelle"},{"family":"Verma","given":"Ritu"}],"issued":{"date-parts":[["2016"]]}}}],"schema":"https://github.com/citation-style-language/schema/raw/master/csl-citation.json"} </w:instrText>
            </w:r>
            <w:r w:rsidRPr="00F67DBD">
              <w:fldChar w:fldCharType="separate"/>
            </w:r>
            <w:r w:rsidR="00F67DBD" w:rsidRPr="00F67DBD">
              <w:rPr>
                <w:szCs w:val="24"/>
                <w:vertAlign w:val="superscript"/>
              </w:rPr>
              <w:t>45,46</w:t>
            </w:r>
            <w:r w:rsidRPr="00F67DBD">
              <w:fldChar w:fldCharType="end"/>
            </w:r>
          </w:p>
        </w:tc>
      </w:tr>
      <w:tr w:rsidR="00F67DBD" w:rsidRPr="00F67DBD" w:rsidTr="00BF7578">
        <w:tc>
          <w:tcPr>
            <w:tcW w:w="648" w:type="dxa"/>
          </w:tcPr>
          <w:p w:rsidR="00F67DBD" w:rsidRPr="00F67DBD" w:rsidRDefault="00F67DBD" w:rsidP="00F67DBD">
            <w:r w:rsidRPr="00F67DBD">
              <w:t>8</w:t>
            </w:r>
          </w:p>
        </w:tc>
        <w:tc>
          <w:tcPr>
            <w:tcW w:w="5256" w:type="dxa"/>
          </w:tcPr>
          <w:p w:rsidR="00F67DBD" w:rsidRPr="00F67DBD" w:rsidRDefault="00F67DBD" w:rsidP="00F67DBD">
            <w:r w:rsidRPr="00F67DBD">
              <w:t>Letter to editor only</w:t>
            </w:r>
          </w:p>
        </w:tc>
        <w:tc>
          <w:tcPr>
            <w:tcW w:w="2952" w:type="dxa"/>
          </w:tcPr>
          <w:p w:rsidR="00F67DBD" w:rsidRPr="00F67DBD" w:rsidRDefault="00F53C08" w:rsidP="00F67DBD">
            <w:r w:rsidRPr="00F67DBD">
              <w:fldChar w:fldCharType="begin"/>
            </w:r>
            <w:r w:rsidR="008F29D2">
              <w:instrText xml:space="preserve"> ADDIN ZOTERO_ITEM CSL_CITATION {"citationID":"VOtCgzQs","properties":{"formattedCitation":"\\super 47,48\\nosupersub{}","plainCitation":"47,48","noteIndex":0},"citationItems":[{"id":276,"uris":["http://zotero.org/users/2145280/items/GLXPS8HA"],"itemData":{"id":276,"type":"article-journal","container-title":"Gastroenterology","DOI":"10.1016/j.gastro.2003.03.003","ISSN":"00165085","issue":"4","language":"en","page":"1289","source":"Crossref","title":"Screening for celiac disease in patients with chronic liver disease","volume":"125","author":[{"family":"Carroccio","given":"Antonio"},{"family":"Soresi","given":"Maurizio"},{"family":"Di Prima","given":"Lidia"},{"family":"Montalto","given":"Giuseppe"}],"issued":{"date-parts":[["2003",10]]}}},{"id":20927,"uris":["http://zotero.org/users/2145280/items/XJW9HSMW"],"itemData":{"id":20927,"type":"article-journal","issue":"10","page":"745–746","title":"Celiac Disease and Abnormal Liver Function Test","volume":"3","author":[{"family":"Nejad","given":"Mohammad Rostami"},{"family":"Alavian","given":"Seyyed-moayed"}],"issued":{"date-parts":[["2012"]]}}}],"schema":"https://github.com/citation-style-language/schema/raw/master/csl-citation.json"} </w:instrText>
            </w:r>
            <w:r w:rsidRPr="00F67DBD">
              <w:fldChar w:fldCharType="separate"/>
            </w:r>
            <w:r w:rsidR="00F67DBD" w:rsidRPr="00F67DBD">
              <w:rPr>
                <w:szCs w:val="24"/>
                <w:vertAlign w:val="superscript"/>
              </w:rPr>
              <w:t>47,48</w:t>
            </w:r>
            <w:r w:rsidRPr="00F67DBD">
              <w:fldChar w:fldCharType="end"/>
            </w:r>
          </w:p>
          <w:p w:rsidR="00F67DBD" w:rsidRPr="00F67DBD" w:rsidRDefault="00F67DBD" w:rsidP="00F67DBD"/>
        </w:tc>
      </w:tr>
      <w:tr w:rsidR="00F67DBD" w:rsidRPr="00F67DBD" w:rsidTr="00BF7578">
        <w:tc>
          <w:tcPr>
            <w:tcW w:w="648" w:type="dxa"/>
          </w:tcPr>
          <w:p w:rsidR="00F67DBD" w:rsidRPr="00F67DBD" w:rsidRDefault="00F67DBD" w:rsidP="00F67DBD">
            <w:r w:rsidRPr="00F67DBD">
              <w:t>9</w:t>
            </w:r>
          </w:p>
        </w:tc>
        <w:tc>
          <w:tcPr>
            <w:tcW w:w="5256" w:type="dxa"/>
          </w:tcPr>
          <w:p w:rsidR="00F67DBD" w:rsidRPr="00F67DBD" w:rsidRDefault="00F67DBD" w:rsidP="00F67DBD">
            <w:r w:rsidRPr="00F67DBD">
              <w:t>Case report or series</w:t>
            </w:r>
          </w:p>
        </w:tc>
        <w:tc>
          <w:tcPr>
            <w:tcW w:w="2952" w:type="dxa"/>
          </w:tcPr>
          <w:p w:rsidR="00F67DBD" w:rsidRPr="00F67DBD" w:rsidRDefault="00F53C08" w:rsidP="00F67DBD">
            <w:r w:rsidRPr="00F67DBD">
              <w:fldChar w:fldCharType="begin"/>
            </w:r>
            <w:r w:rsidR="008F29D2">
              <w:instrText xml:space="preserve"> ADDIN ZOTERO_ITEM CSL_CITATION {"citationID":"7crKvlLn","properties":{"formattedCitation":"\\super 49\\uc0\\u8211{}57\\nosupersub{}","plainCitation":"49–57","noteIndex":0},"citationItems":[{"id":25624,"uris":["http://zotero.org/users/2145280/items/LEJZHV5C"],"itemData":{"id":25624,"type":"article-journal","abstract":"Celiac disease is a chronic immune-mediated multisystem disorder that may affect several organs. Isolated hypertransaminasemia, with mild or nonspecific histologic changes in the liver biopsy, also known as \"celiac hepatitis\", is the most frequent presentation of liver injury in celiac disease. Both, histologic changes and liver enzymes reverse to normal after treatment with a gluten-free diet in most patients. Here we report the case of a young boy presenting with asymptomatic and persistent hypertransaminasemia whose etiologic investigation led to the diagnosis of celiac disease that resolved with dietary treatment alone. This case emphasizes the need to screen Celiac disease in patients with cryptogenic hypertransaminasemia, irrespective of the existence of gastrointestinal symptoms. It also exemplifies a particular situation in which a liver biopsy is useful to establish the diagnosis of celiac hepatitis.","container-title":"The Pan African Medical Journal","DOI":"10.11604/pamj.2022.41.27.29084","ISSN":"1937-8688","journalAbbreviation":"Pan Afr Med J","language":"eng","note":"PMID: 35291371\nPMCID: PMC8895552","page":"27","source":"PubMed","title":"Coeliac disease hidden by cryptogenic hypertransaminasaemia in children: a case report","title-short":"Coeliac disease hidden by cryptogenic hypertransaminasaemia in children","volume":"41","author":[{"family":"El Hasbaoui","given":"Brahim"},{"family":"El Mahi","given":"Jihane"},{"family":"Abilkassem","given":"Rachid"},{"family":"Agadr","given":"Aomar"}],"issued":{"date-parts":[["2022"]]}}},{"id":1122,"uris":["http://zotero.org/users/2145280/items/NKFIBQWR"],"itemData":{"id":1122,"type":"article-journal","abstract":"A variety of signs and symptoms have been reported in regards to the typical and atypical presentations of CD. It is now well recognised that its onset may occur at any age and that atypical forms of CD are much more prevalent than its classic form (1).In this case, where the patient presented with high BMI and evidence of grade I of fatty liver disease, CD was suspected due to mildly abnormal bloating, cryptogenic hypertransaminasemia, abnormal LFT and poor response to fatty liver treatment. This presentation type is not uncommon; diagnosis was confirmed by the presence of subtotal villous atrophy in the biopsy specimen, positive specific antibody screening (AGA, tTG and EMA antibodies), negative antibody screening and normalization of liver enzymes on a gluten-free diet (Tab. 2, Ref. 13).","container-title":"Bratislavske Lekarske Listy","ISSN":"0006-9248","issue":"9","journalAbbreviation":"Bratisl Lek Listy","language":"eng","note":"PMID: 24020715","page":"547-548","source":"PubMed","title":"Celiac disease hidden by cryptogenic hypertransaminasemia mistaken for fatty liver","volume":"114","author":[{"family":"Foroutan","given":"M."},{"family":"Nejad","given":"M. R."},{"family":"Molanaee","given":"S."},{"family":"Hogg-Kollars","given":"S."},{"family":"Rostami","given":"K."}],"issued":{"date-parts":[["2013"]]}}},{"id":6923,"uris":["http://zotero.org/users/2145280/items/FXND9LYX"],"itemData":{"id":6923,"type":"article-journal","container-title":"The Turkish Journal of Gastroenterology: The Official Journal of Turkish Society of Gastroenterology","ISSN":"2148-5607","issue":"5","journalAbbreviation":"Turk J Gastroenterol","language":"eng","note":"PMID: 23161318","page":"619-621","source":"PubMed","title":"Clinical remission after strict gluten-free diet in a patient with celiac disease, advanced cryptogenic cirrhosis and splenic atrophy","volume":"23","author":[{"family":"Kaya","given":"Muhsin"},{"family":"Beştaş","given":"Remzi"},{"family":"Çetın","given":"Sedat"},{"family":"Büyükbayram","given":"Hüseyin"}],"issued":{"date-parts":[["2012"]]}}},{"id":943,"uris":["http://zotero.org/users/2145280/items/SXMSU2FU"],"itemData":{"id":943,"type":"article-journal","abstract":"Coeliac disease is an autoimmune enteropathy triggered by the ingestion of gluten in susceptible individuals. The clinical presentation of coeliac disease is variable and several extra-intestinal manifestations, as well as an association with autoimmune diseases, have been described. In particular, there are many links between liver disease and coeliac disease. Here we report the case of a young Caucasian woman with acute liver failure, selected as a possible candidate for liver transplantation. Investigation of the patient led to the diagnosis of coeliac disease. A gluten-free diet led to the reversal of the severe liver failure, without the necessity for any surgical or medical treatment.","container-title":"European Journal of Gastroenterology &amp; Hepatology","ISSN":"0954-691X","issue":"10","journalAbbreviation":"Eur J Gastroenterol Hepatol","language":"eng","page":"1119-1121","source":"PubMed","title":"Acute cryptogenic liver failure in an untreated coeliac patient: a case report","title-short":"Acute cryptogenic liver failure in an untreated coeliac patient","volume":"17","author":[{"family":"Ojetti","given":"Veronica"},{"family":"Fini","given":"Lucia"},{"family":"Zileri Dal Verme","given":"Lorenzo"},{"family":"Migneco","given":"Alessio"},{"family":"Pola","given":"Paolo"},{"family":"Gasbarrini","given":"Antonio"}],"issued":{"date-parts":[["2005",10]]}}},{"id":2332,"uris":["http://zotero.org/users/2145280/items/WVVZHYU8"],"itemData":{"id":2332,"type":"article-journal","abstract":"Six children in whom long-standing hypertransaminasemia of unknown cause led to an initial diagnosis of chronic or protracted cryptogenic hepatitis were found to have asymptomatic celiac disease. Administration of a gluten-free diet caused a prompt improvement of both hepatic and intestinal biochemical/histologic abnormalities. Hepatic damage may be another \"atypical\" form of celiac disease in children.","container-title":"The Journal of Pediatrics","ISSN":"0022-3476","issue":"3","journalAbbreviation":"J. Pediatr.","language":"eng","note":"PMID: 8441098","page":"416-419","source":"PubMed","title":"Elevated serum aminotransferase activity as an early manifestation of gluten-sensitive enteropathy","volume":"122","author":[{"family":"Vajro","given":"P."},{"family":"Fontanella","given":"A."},{"family":"Mayer","given":"M."},{"family":"De Vincenzo","given":"A."},{"family":"Terracciano","given":"L. M."},{"family":"D'Armiento","given":"M."},{"family":"Vecchione","given":"R."}],"issued":{"date-parts":[["1993",3]]}}},{"id":933,"uris":["http://zotero.org/users/2145280/items/K5VG5R4R"],"itemData":{"id":933,"type":"article-journal","abstract":"Hypertransaminasaemia is a common abnormality found in up to 40% of untreated coeliac patients, which resolves with the institution of a gluten-free diet. A much rarer occurrence is the association of chronic liver disease with coeliac disease. Primary biliary cirrhosis, primary sclerosing cholangitis, and chronic autoimmune hepatitis have all been recognized in coeliac patients. More recently, the occurrence of coeliac disease in patients with chronic liver disease is found to be 10 times greater than that in the general population. Of particular note are the 13 patients reported to date with liver failure and coeliac disease. Among those patients commenced on a gluten-free diet an improvement in liver function was observed. The relationship between coeliac disease, a gluten-free diet, and the course of chronic liver disease needs to be clarified.","container-title":"European Journal of Gastroenterology &amp; Hepatology","ISSN":"0954-691X","issue":"10","journalAbbreviation":"Eur J Gastroenterol Hepatol","language":"eng","page":"1015-1017","source":"PubMed","title":"Is coeliac disease a potentially treatable cause of liver failure?","volume":"17","author":[{"family":"Stevens","given":"Fiona M."},{"family":"McLoughlin","given":"Ramona M."}],"issued":{"date-parts":[["2005",10]]}}},{"id":498,"uris":["http://zotero.org/users/2145280/items/8D5KIXJK"],"itemData":{"id":498,"type":"article-journal","abstract":"Celiac disease is a multisystem disease, and the liver is affected in a subset of patients. We herein present a case series of 25 patients with celiac disease who had evidence of cirrhosis of the liver. We retrospectively reviewed the case records of patients with celiac disease having concomitant cirrhosis. The diagnosis of celiac disease was made on the basis of the modified European Society of Pediatric Gastroenterology, Hepatology, and Nutrition criteria. Of 25 patients (nine males; mean age 28.8 ± 16.6 years) with celiac disease and cirrhosis, 17 patients presented predominantly with cirrhosis, while 8 presented primarily with celiac disease. Five patients had known cause of cirrhosis (autoimmune hepatitis, three; PBC, one; hepatic venous outflow tract obstruction, one); the remaining 20 were cryptogenic. Gluten-free diet led to improvement in diarrhea and anemia and to a better control of ascites and other features of liver failure. Some patients with cryptogenic cirrhosis have coexistent celiac disease, and they show response to gluten-free diet. Patients with cryptogenic cirrhosis should be screened for celiac disease.","container-title":"Indian Journal of Gastroenterology: Official Journal of the Indian Society of Gastroenterology","DOI":"10.1007/s12664-013-0352-z","ISSN":"0975-0711","issue":"6","journalAbbreviation":"Indian J Gastroenterol","language":"eng","page":"404-408","source":"PubMed","title":"Celiac disease and chronic liver disease: is there a relationship?","title-short":"Celiac disease and chronic liver disease","volume":"32","author":[{"family":"Singh","given":"Prashant"},{"family":"Agnihotri","given":"Abhishek"},{"family":"Jindal","given":"Gaurav"},{"family":"Sharma","given":"Piyush Kumar"},{"family":"Sharma","given":"Minakshi"},{"family":"Das","given":"Prasenjit"},{"family":"Gupta","given":"Datta"},{"family":"Makharia","given":"Govind K."}],"issued":{"date-parts":[["2013",11]]}}},{"id":25679,"uris":["http://zotero.org/users/2145280/items/F7FZZY4J"],"itemData":{"id":25679,"type":"article-journal","container-title":"Tropical Gastroenterology","DOI":"10.7869/tg.480","ISSN":"0250-626X","issue":"2","page":"101-105","source":"www.tropicalgastro.com","title":"Celiac Disease in Patients with Liver Cirrhosis","volume":"39","author":[{"family":"Somani","given":"Vaibhav"},{"family":"Amarapurkar","given":"Deepak"}],"issued":{"date-parts":[["2019",4,29]]}}},{"id":"FzxCyKJo/QCkeJmbv","uris":["http://zotero.org/users/2145280/items/S9KNM8UC"],"itemData":{"id":29,"type":"article-journal","abstract":"Both celiac disease and non-cirrhotic portal fibrosis are known to be associated with various autoimmune diseases and have numerous immunological abnormalities. Herein two patients with celiac disease having associated non-cirrhotic portal fibrosis are reported. An autoimmune link between the two conditions is likely to explain coexistence in the same patient.","container-title":"Journal of Gastroenterology and Hepatology","DOI":"10.1111/j.1440-1746.2006.03296.x","ISSN":"0815-9319","issue":"1 Pt 2","journalAbbreviation":"J Gastroenterol Hepatol","language":"eng","note":"PMID: 16460500","page":"332-334","source":"PubMed","title":"Association of celiac disease with non-cirrhotic portal fibrosis","volume":"21","author":[{"family":"Sharma","given":"Brijesh Chander"},{"family":"Bhasin","given":"Deepak Kumar"},{"family":"Nada","given":"Ritambhra"}],"issued":{"date-parts":[["2006",1]]}}}],"schema":"https://github.com/citation-style-language/schema/raw/master/csl-citation.json"} </w:instrText>
            </w:r>
            <w:r w:rsidRPr="00F67DBD">
              <w:fldChar w:fldCharType="separate"/>
            </w:r>
            <w:r w:rsidR="00F67DBD" w:rsidRPr="00F67DBD">
              <w:rPr>
                <w:szCs w:val="24"/>
                <w:vertAlign w:val="superscript"/>
              </w:rPr>
              <w:t>49–57</w:t>
            </w:r>
            <w:r w:rsidRPr="00F67DBD">
              <w:fldChar w:fldCharType="end"/>
            </w:r>
          </w:p>
        </w:tc>
      </w:tr>
      <w:tr w:rsidR="00F67DBD" w:rsidRPr="00F67DBD" w:rsidTr="00BF7578">
        <w:tc>
          <w:tcPr>
            <w:tcW w:w="648" w:type="dxa"/>
          </w:tcPr>
          <w:p w:rsidR="00F67DBD" w:rsidRPr="00F67DBD" w:rsidRDefault="00F67DBD" w:rsidP="00F67DBD">
            <w:r w:rsidRPr="00F67DBD">
              <w:t>10</w:t>
            </w:r>
          </w:p>
        </w:tc>
        <w:tc>
          <w:tcPr>
            <w:tcW w:w="5256" w:type="dxa"/>
          </w:tcPr>
          <w:p w:rsidR="00F67DBD" w:rsidRPr="00F67DBD" w:rsidRDefault="00F67DBD" w:rsidP="00F67DBD">
            <w:r w:rsidRPr="00F67DBD">
              <w:t>Study population was not relevant/did not fit diagnostic criteria</w:t>
            </w:r>
          </w:p>
        </w:tc>
        <w:tc>
          <w:tcPr>
            <w:tcW w:w="2952" w:type="dxa"/>
          </w:tcPr>
          <w:p w:rsidR="00F67DBD" w:rsidRPr="00F67DBD" w:rsidRDefault="00F53C08" w:rsidP="00F67DBD">
            <w:r w:rsidRPr="00F67DBD">
              <w:fldChar w:fldCharType="begin"/>
            </w:r>
            <w:r w:rsidR="008F29D2">
              <w:instrText xml:space="preserve"> ADDIN ZOTERO_ITEM CSL_CITATION {"citationID":"5hhBW3Ic","properties":{"formattedCitation":"\\super 58\\uc0\\u8211{}64\\nosupersub{}","plainCitation":"58–64","noteIndex":0},"citationItems":[{"id":808,"uris":["http://zotero.org/users/2145280/items/QTXG899D"],"itemData":{"id":808,"type":"article-journal","container-title":"American Journal of Clinical Pathology","DOI":"10.1309/AJCPDOMY5RI5TPMN","ISSN":"0002-9173, 1943-7722","issue":"1","language":"en","page":"128-137","source":"CrossRef","title":"The Liver in Celiac Disease: Clinical Manifestations, Histologic Features, and Response to Gluten-Free Diet in 30 Patients","title-short":"The Liver in Celiac Disease","volume":"136","author":[{"family":"Mounajjed","given":"Taofic"},{"family":"Oxentenko","given":"Amy"},{"family":"Shmidt","given":"Eugenia"},{"family":"Smyrk","given":"Thomas"}],"issued":{"date-parts":[["2011",7]]}}},{"id":717,"uris":["http://zotero.org/users/2145280/items/PUIPWWB5"],"itemData":{"id":717,"type":"article-journal","abstract":"AIM: Nonalcoholic fatty liver disease (NAFLD) is associated with obesity and affects roughly 10% of children. However, NAFLD is often diagnosed by exclusion - that is, obese children with an elevated alanine aminotransferase (ALT) are screened for other liver diseases in the absence of a biopsy. This testing is nonstandardized, and professional society recommendations differ. This study examines the yield of testing for disorders other than NAFLD in this patient population.\nMETHODS: A retrospective study was performed in 120 obese, asymptomatic, noncholestatic children with an ALT ≥40 U/L and additional diagnostic testing.\nRESULTS: No patients were found to have Wilson's, hepatitis A, hepatitis B, hepatitis C, cytomegalovirus, alpha-1 antitrypsin deficiency, autoimmune hepatitis, celiac disease or Epstein-Barr virus. Only one patient (1/120) was identified with definite disease other than NAFLD, which was muscular dystrophy. The positive predictive value of a screening test was 5%, and the specificity was 97%. Of 70 children with an abdominal ultrasound, no significant abnormalities were identified.\nCONCLUSION: Extensive testing in asymptomatic, noncholestatic, obese children with an elevated ALT may be of limited diagnostic value and false-positive tests are likely. Large, prospective studies are needed to help focus the work up in this patient population.","container-title":"Acta Paediatrica (Oslo, Norway: 1992)","DOI":"10.1111/apa.13176","ISSN":"1651-2227","issue":"12","journalAbbreviation":"Acta Paediatr.","language":"eng","note":"PMID: 26341254","page":"e557-563","source":"PubMed","title":"Yield of diagnostic tests in obese children with an elevated alanine aminotransferase","volume":"104","author":[{"family":"Rudolph","given":"Bryan"},{"family":"Rivas","given":"Yolanda"},{"family":"Kulak","given":"Shulamit"},{"family":"Pan","given":"Debra"},{"family":"Ewart","given":"Michelle"},{"family":"Levin","given":"Terry L."},{"family":"Thompson","given":"John F."},{"family":"Scharbach","given":"Kathryn"}],"issued":{"date-parts":[["2015",12]]}}},{"id":21654,"uris":["http://zotero.org/users/2145280/items/ZZWIH63U"],"itemData":{"id":21654,"type":"article-journal","issue":"3","page":"144–148","title":"Frequency of Celiac Disease in Children Presented with Liver Disease at a Tertiary Care Center","volume":"40","author":[{"family":"Hussain","given":"Faika"},{"family":"Karim","given":"A S M Bazlul"},{"family":"Anwar","given":"Syeda Afria"}],"issued":{"date-parts":[["2016"]]}}},{"id":260,"uris":["http://zotero.org/users/2145280/items/4874ERZU"],"itemData":{"id":260,"type":"article-journal","abstract":"BACKGROUND/AIMS: IgA antibodies against tissue-transglutaminase (anti-tTG-IgA) and IgA and IgG antibodies against deamidated gliadin peptides (anti-DGP-IgA and anti-DGP-IgG) are considered specific for celiac disease (CD) whereas, patients with chronic liver disorders have an increased risk of latent CD development. We investigated the prevalence and clinical significance of anti-DGP-IgA, anti-DGP-IgG and anti-tTG-IgA in a large cohort of patients with chronic liver diseases.     METHODS: 668 patients without gastrointestinal symptoms (426 viral hepatitis, 94 autoimmune liver diseases, 61 alcoholic disease, 46 non-alcoholic fatty liver disease, 41 with other liver disorders) were investigated by ELISAs (INOVA Diagnostics). Patients positive for at least one autoantibody invited for a small-intestinal biopsy and HLA-DQ typing.     RESULTS: Anti-DGP-IgA were detected in 8.5%, anti-DGP-IgG in only one (0.15%, P&lt;0.001) and anti-tTG-IgA in 5.8% of patients (P=0.05). Fifty-two were anti-DGP-IgA(+)/anti-tTG-IgA(-), 34 anti-DGP-IgA(-)/anti-tTG-IgA(+), and 5 anti-DGP-IgA(+)/anti-tTG-IgA(+). Anti-DGP-IgA positivity was associated with older age (P&lt;0.05), cirrhosis (P&lt;0.05) and increased IgA (P&lt;0.05) whereas, anti-tTG-IgA only with cirrhosis (P&lt;0.05). Histology and HLA-typing compatible with CD was revealed in 4/14 anti-DGP-IgA(+)/anti-tTG-IgA(-), 0/13 anti-DGP-IgA(-)/anti-tTG-IgA(+) and 2/2 anti-DGP-IgA(+)/anti-tTG-IgA(+). All 6 patients diagnosed with CD were anti-DGP-IgA(+) and only 2 anti-tTG-IgA(+).     CONCLUSIONS: Although a significant number of patients had detectable CD-related autoantibodies, anti-DGP-IgA test seems better than anti-tTG-IgA for unmasking occult forms of CD in patients with chronic liver disorders. The known good performance for CD diagnosis of anti-DGP-IgG test was not confirmed in this specific group of patients.","container-title":"Clinica Chimica Acta; International Journal of Clinical Chemistry","ISSN":"1873-3492","issue":"19","journalAbbreviation":"Clin. Chim. Acta","language":"eng","page":"1683-1688","title":"IgA antibodies against deamidated gliadin peptides in patients with chronic liver diseases","volume":"413","author":[{"family":"Gatselis","given":"Nikolaos K."},{"family":"Zachou","given":"Kalliopi"},{"family":"Norman","given":"Gary L."},{"family":"Tzellas","given":"George"},{"family":"Speletas","given":"Matthaios"},{"family":"Gabeta","given":"Stella"},{"family":"Germenis","given":"Anastasios"},{"family":"Koukoulis","given":"George K."},{"family":"Dalekos","given":"George N."}],"issued":{"date-parts":[["2012"]]}}},{"id":1649,"uris":["http://zotero.org/users/2145280/items/RDQEV39E"],"itemData":{"id":1649,"type":"article-journal","abstract":"OBJECTIVE: Celiac sprue is being diagnosed with increasing frequency by screening individuals with epidemiologically associated autoimmune syndromes. We sought to test our hypothesis that hepatitis C also may predispose to celiac sprue because it can trigger autoimmune reactions.\nMETHODS: Two hundred fifty-nine consecutively evaluated patients with chronic hepatitis C infection, 59 with autoimmune liver disease, 137 with other hepatic diseases, 356 with various GI syndromes, and 221 normal volunteers underwent serologic screening for celiac sprue. Patients with antigliadin, antiendomysial, and antitissue transglutaminase antibodies in serum underwent duodenoscopy and biopsy.\nRESULTS: There was a statistically significantly higher prevalence of antigliadin antibody in all groups of patients with liver disease compared with GI controls and normal controls. However, only patients with hepatitis C (n = 3; 1.2%) or autoimmune liver disease (n = 2; 3.4%) had antiendomysial/antitissue transglutaminase antibody in serum. One of 221 normal volunteers (0.4%) was antigliadin, antiendomysial, and antitissue transglutaminase positive; this individual also was found to have hepatitis C (previously undiagnosed). Each of these six individuals had mild intestinal symptoms, duodenal histopathology consistent with celiac sprue, and the celiac-associated HLA-DQ2 allele. Five of the six followed a prescribed gluten-free diet and experienced symptomatic improvement.\nCONCLUSION: Celiac sprue is epidemiologically associated with chronic hepatitis C infection and with autoimmune liver disease. Because hepatitis C is much more frequently encountered than autoimmune liver disease, hepatitis C appears to be the most common hepatic disease associated with the development of celiac sprue.","container-title":"The American Journal of Gastroenterology","DOI":"10.1111/j.1572-0241.2001.03464.x","ISSN":"0002-9270","issue":"1","journalAbbreviation":"Am. J. Gastroenterol.","language":"eng","note":"PMID: 11197243","page":"138-145","source":"PubMed","title":"Celiac sprue: another autoimmune syndrome associated with hepatitis C","title-short":"Celiac sprue","volume":"96","author":[{"family":"Fine","given":"K. D."},{"family":"Ogunji","given":"F."},{"family":"Saloum","given":"Y."},{"family":"Beharry","given":"S."},{"family":"Crippin","given":"J."},{"family":"Weinstein","given":"J."}],"issued":{"date-parts":[["2001",1]]}}},{"id":25631,"uris":["http://zotero.org/users/2145280/items/XU2ZICG8"],"itemData":{"id":25631,"type":"article-journal","abstract":"In this study, we investigate the presence of alternative causes of liver disease in a cohort of children with overweight and obesity undergoing a workup for suspected NAFLD.","container-title":"Pediatrics","DOI":"10.1542/peds.2020-009829","ISSN":"0031-4005","issue":"4","journalAbbreviation":"Pediatrics","note":"PMID: 33785637\nPMCID: PMC8015155","page":"e2020009829","source":"PubMed Central","title":"Alternative Etiologies of Liver Disease in Children With Suspected NAFLD","volume":"147","author":[{"family":"Yodoshi","given":"Toshifumi"},{"family":"Orkin","given":"Sarah"},{"family":"Arce-Clachar","given":"Ana Catalina"},{"family":"Bramlage","given":"Kristin"},{"family":"Xanthakos","given":"Stavra A."},{"family":"Valentino","given":"Pamela L."},{"family":"Mouzaki","given":"Marialena"}],"issued":{"date-parts":[["2021",4]]}}},{"id":"FzxCyKJo/SAufffkq","uris":["http://zotero.org/users/2145280/items/XAWXG867"],"itemData":{"id":8,"type":"article-journal","abstract":"BACKGROUND/AIMS: Celiac disease (CD) is associated with primary biliary cirrhosis, primary sclerosing cholangitis and autoimmune hepatitis. We investigated the following: (i) the prevalence of tissue transglutaminase antibodies (tTGAs) and endomysial antibodies (EMAs) in end-stage autoimmune liver disease (ESALD), (ii) the correlation among auto-antibodies and the human leucocyte antigen (HLA) haplotype, and (iii) the effect of liver transplantation on antibody kinetics.\nMETHODS: Pretransplantation sera from 488 patients (310 with ESALD, and 178 with non-autoimmune disease) were tested for tTGAs. Positive samples were also tested for EMAs, and retested 6-12 and &gt; or = 24 months post-transplantation. Results were correlated with the HLA type of the recipient.\nRESULTS: Serological evidence of CD was found in 3% (ESALD) vs. 0.6% (non-autoimmune) of the patients (five-fold increased risk in ESALD). The prevalence of tTGAs (14.2 vs. 5.4%, P=0.0001) and EMAs (4.3 vs. 0.78%, P=0.01) was significantly higher in patients with the HLA-DQ2 or HLA-DQ8 haplotypes. tTGAs and EMAs normalized in 94 and 100%, respectively, without gluten exclusion post-transplantation. Post-transplantation, of the five patients with symptoms of 'classical' CD, three improved. Intestinal lymphoma was diagnosed in another two cases with clinically 'silent' CD.\nCONCLUSIONS: Patients with ESALD, especially those who are HLA-DQ2 or HLA-DQ8 positive had a high prevalence of CD-associated antibodies. Both tTGAs and EMAs decreased post-transplantation without gluten withdrawal. Immunosuppression may improve symptoms of CD, but might not prevent progression to intestinal lymphoma.","container-title":"Liver International: Official Journal of the International Association for the Study of the Liver","DOI":"10.1111/j.1478-3231.2008.01681.x","ISSN":"1478-3231","issue":"4","journalAbbreviation":"Liver Int","language":"eng","note":"PMID: 18339073\nPMCID: PMC2556252","page":"467-476","source":"PubMed","title":"Celiac disease autoantibodies in severe autoimmune liver disease and the effect of liver transplantation","volume":"28","author":[{"family":"Rubio-Tapia","given":"Alberto"},{"family":"Abdulkarim","given":"Ahmad S."},{"family":"Wiesner","given":"Russell H."},{"family":"Moore","given":"S. Breanndan"},{"family":"Krause","given":"Patricia K."},{"family":"Murray","given":"Joseph A."}],"issued":{"date-parts":[["2008",4]]}}}],"schema":"https://github.com/citation-style-language/schema/raw/master/csl-citation.json"} </w:instrText>
            </w:r>
            <w:r w:rsidRPr="00F67DBD">
              <w:fldChar w:fldCharType="separate"/>
            </w:r>
            <w:r w:rsidR="00F67DBD" w:rsidRPr="00F67DBD">
              <w:rPr>
                <w:szCs w:val="24"/>
                <w:vertAlign w:val="superscript"/>
              </w:rPr>
              <w:t>58–64</w:t>
            </w:r>
            <w:r w:rsidRPr="00F67DBD">
              <w:fldChar w:fldCharType="end"/>
            </w:r>
          </w:p>
          <w:p w:rsidR="00F67DBD" w:rsidRPr="00F67DBD" w:rsidRDefault="00F67DBD" w:rsidP="00F67DBD"/>
        </w:tc>
      </w:tr>
      <w:tr w:rsidR="00F67DBD" w:rsidRPr="00F67DBD" w:rsidTr="00BF7578">
        <w:tc>
          <w:tcPr>
            <w:tcW w:w="648" w:type="dxa"/>
          </w:tcPr>
          <w:p w:rsidR="00F67DBD" w:rsidRPr="00F67DBD" w:rsidRDefault="00F67DBD" w:rsidP="00F67DBD">
            <w:r w:rsidRPr="00F67DBD">
              <w:t>11</w:t>
            </w:r>
          </w:p>
        </w:tc>
        <w:tc>
          <w:tcPr>
            <w:tcW w:w="5256" w:type="dxa"/>
          </w:tcPr>
          <w:p w:rsidR="00F67DBD" w:rsidRPr="00F67DBD" w:rsidRDefault="00F67DBD" w:rsidP="00F67DBD">
            <w:r w:rsidRPr="00F67DBD">
              <w:t>Studies on prevalence of liver involvement in celiac disease</w:t>
            </w:r>
          </w:p>
        </w:tc>
        <w:tc>
          <w:tcPr>
            <w:tcW w:w="2952" w:type="dxa"/>
          </w:tcPr>
          <w:p w:rsidR="00F67DBD" w:rsidRPr="00F67DBD" w:rsidRDefault="00F53C08" w:rsidP="00F67DBD">
            <w:r w:rsidRPr="00F67DBD">
              <w:fldChar w:fldCharType="begin"/>
            </w:r>
            <w:r w:rsidR="008F29D2">
              <w:instrText xml:space="preserve"> ADDIN ZOTERO_ITEM CSL_CITATION {"citationID":"JbCJcKYT","properties":{"formattedCitation":"\\super 65,66\\nosupersub{}","plainCitation":"65,66","noteIndex":0},"citationItems":[{"id":25628,"uris":["http://zotero.org/users/2145280/items/TCYXLXHC"],"itemData":{"id":25628,"type":"article-journal","abstract":"Celiac disease clinical presentation is constantly changing. We set to determine the prevalence of elevated transaminases in newly diagnosed celiac patients and to evaluate this sub-group of patients for associated clinical and laboratory findings and assess their natural course of disease following therapeutic diet initiation. We conducted a prospective-observational study of all newly diagnosed pediatric celiac patients, between August 2016 and April 2018, in a pediatric gastroenterology clinic. Clinical data, anthropometrics, and blood test results were recorded at diagnosis and at 3, 6, and 12 months, respectively, of follow-up. We compared patients with normal and elevated transaminases at diagnosis. ALT threshold was set at 24 U/l. Of 125 newly diagnosed celiac patients, 31 (24.8%) had elevated ALT at diagnosis; two (1.6%) with over 3 × ULN. Patients with elevated ALT at diagnosis were significantly younger (mean age 5.5 (SD 3.4) vs. 7.3 (SD 3.7) years, p &lt; 0.01) and more commonly presented with diarrhea (32.3% vs. 14.9%, p = 0.03). Eighty percent of patients with elevated ALT levels normalized their ALT within 3 months and all within 1 year. Following gluten-free diet initiation, patients with elevated ALT had similar clinical course, growth, serology normalization rate, and laboratory results, compared to patients with normal ALT over a 1-year follow-up. A single patient was simultaneously co-diagnosed with celiac disease and autoimmune hepatitis.Conclusion: Clinically significant ALT abnormalities are rare among newly diagnosed pediatric celiac patients. Significant elevations failing to normalize on a gluten-free diet should raise concern of a concomitant primary liver disease and warrant further investigations. What is Known: • Elevated liver enzymes may be an extra-intestinal manifestation of celiac disease. • Reported prevalences of ALT elevations among children with a new diagnosis of celiac disease ranges between 5 and 40%. What is New: • ALT elevations are present in 25% of children with a new diagnosis of celiac disease. • Significant elevations (&gt;3 × ULN) are rare (1.6%). • Elevated liver enzymes are associated with earlier age at diagnosis. • The natural history of patients with elevated liver enzymes at diagnosis is comparable to those without.","container-title":"European Journal of Pediatrics","DOI":"10.1007/s00431-021-04259-w","ISSN":"1432-1076","issue":"2","journalAbbreviation":"Eur J Pediatr","language":"eng","note":"PMID: 34586475","page":"753-762","source":"PubMed","title":"Elevated liver enzymes of newly diagnosed pediatric celiac patients-a prospective-observational study","volume":"181","author":[{"family":"Regev","given":"Asaf"},{"family":"Ben-Tov","given":"Amir"},{"family":"Yerushalmy-Feler","given":"Anat"},{"family":"Weintraub","given":"Yael"},{"family":"Moran-Lev","given":"Hadar"},{"family":"Cohen","given":"Shlomi"},{"family":"Amir","given":"Achiya Z."}],"issued":{"date-parts":[["2022",2]]}}},{"id":270,"uris":["http://zotero.org/users/2145280/items/XMZBQ863"],"itemData":{"id":270,"type":"article-journal","abstract":"BACKGROUND AND OBJECTIVES:\nCeliac disease (CD) is an immune-mediated enteropathy, induced by gluten in genetically susceptible individuals. The objective of this study was to describe the clinical pattern of CD in children from the western region of Saudi Arabia.\n\nDESIGN AND SETTING:\nRetrospective, hospital-based.\n\nPATIENTS AND METHODS:\nThis study included children with a biopsy-proven diagnosis of CD made between September 2002 and July 2007. Children were admitted to the endoscopy unit for a small-bowel biopsy if they had gastrointestinal symptoms suggestive of CD or if they were positive for a CD-antibody screen performed for the high-risk groups.\n\nRESULTS:\nEighty children were identified with a diagnosis of CD. Their mean (SD) age was 9.6 (4.9) years (range, 0.5-18 years). There were 44 (55%) female patients. Forty-one (51%) patients were detected during screening of high-risk groups, while 39 (49%) patients had classical symptoms of malabsorption. The screening also detected asymptomatic patients. Of 65 patients tested, 11 (17%) had elevated liver function tests, which reverted to normal after introduction of a gluten-free diet (GFD) except in one case. Seventy-three (91%) patients were positive for anti-tissue transglutaminase antibodies, 18 (23%), for IgG anti-gliadin antibodies; and 46 (58%), for IgA anti-gliadin antibodies. Forty-one (56%) patients showed good adherence to GFD as assessed by dietary history and the decline in anti-tTG level.\n\nCONCLUSION:\nCD may present with classical symptoms or be identified through screening programs. Growth and laboratory abnormalities usually improve after introduction of a GFD. Adherence to a GFD remains a problem; therefore, thorough assessment and counseling at the time of diagnosis and ongoing care are crucial.","container-title":"Annals of Saudi Medicine","DOI":"10.4103/0256-4947.75779","ISSN":"0256-4947","issue":"1","journalAbbreviation":"Ann Saudi Med","note":"PMID: 21245600\nPMCID: PMC3101726","page":"51-57","source":"PubMed Central","title":"Celiac disease in children and adolescents at a singe center in Saudi Arabia","volume":"31","author":[{"family":"Saadah","given":"Omar I."}],"issued":{"date-parts":[["2011"]]}}}],"schema":"https://github.com/citation-style-language/schema/raw/master/csl-citation.json"} </w:instrText>
            </w:r>
            <w:r w:rsidRPr="00F67DBD">
              <w:fldChar w:fldCharType="separate"/>
            </w:r>
            <w:r w:rsidR="00F67DBD" w:rsidRPr="00F67DBD">
              <w:rPr>
                <w:szCs w:val="24"/>
                <w:vertAlign w:val="superscript"/>
              </w:rPr>
              <w:t>65,66</w:t>
            </w:r>
            <w:r w:rsidRPr="00F67DBD">
              <w:fldChar w:fldCharType="end"/>
            </w:r>
            <w:r w:rsidRPr="00F67DBD">
              <w:fldChar w:fldCharType="begin"/>
            </w:r>
            <w:r w:rsidR="008F29D2">
              <w:instrText xml:space="preserve"> ADDIN ZOTERO_ITEM CSL_CITATION {"citationID":"tdCcsqkP","properties":{"formattedCitation":"\\super 65,67\\uc0\\u8211{}73\\nosupersub{}","plainCitation":"65,67–73","noteIndex":0},"citationItems":[{"id":25628,"uris":["http://zotero.org/users/2145280/items/TCYXLXHC"],"itemData":{"id":25628,"type":"article-journal","abstract":"Celiac disease clinical presentation is constantly changing. We set to determine the prevalence of elevated transaminases in newly diagnosed celiac patients and to evaluate this sub-group of patients for associated clinical and laboratory findings and assess their natural course of disease following therapeutic diet initiation. We conducted a prospective-observational study of all newly diagnosed pediatric celiac patients, between August 2016 and April 2018, in a pediatric gastroenterology clinic. Clinical data, anthropometrics, and blood test results were recorded at diagnosis and at 3, 6, and 12 months, respectively, of follow-up. We compared patients with normal and elevated transaminases at diagnosis. ALT threshold was set at 24 U/l. Of 125 newly diagnosed celiac patients, 31 (24.8%) had elevated ALT at diagnosis; two (1.6%) with over 3 × ULN. Patients with elevated ALT at diagnosis were significantly younger (mean age 5.5 (SD 3.4) vs. 7.3 (SD 3.7) years, p &lt; 0.01) and more commonly presented with diarrhea (32.3% vs. 14.9%, p = 0.03). Eighty percent of patients with elevated ALT levels normalized their ALT within 3 months and all within 1 year. Following gluten-free diet initiation, patients with elevated ALT had similar clinical course, growth, serology normalization rate, and laboratory results, compared to patients with normal ALT over a 1-year follow-up. A single patient was simultaneously co-diagnosed with celiac disease and autoimmune hepatitis.Conclusion: Clinically significant ALT abnormalities are rare among newly diagnosed pediatric celiac patients. Significant elevations failing to normalize on a gluten-free diet should raise concern of a concomitant primary liver disease and warrant further investigations. What is Known: • Elevated liver enzymes may be an extra-intestinal manifestation of celiac disease. • Reported prevalences of ALT elevations among children with a new diagnosis of celiac disease ranges between 5 and 40%. What is New: • ALT elevations are present in 25% of children with a new diagnosis of celiac disease. • Significant elevations (&gt;3 × ULN) are rare (1.6%). • Elevated liver enzymes are associated with earlier age at diagnosis. • The natural history of patients with elevated liver enzymes at diagnosis is comparable to those without.","container-title":"European Journal of Pediatrics","DOI":"10.1007/s00431-021-04259-w","ISSN":"1432-1076","issue":"2","journalAbbreviation":"Eur J Pediatr","language":"eng","note":"PMID: 34586475","page":"753-762","source":"PubMed","title":"Elevated liver enzymes of newly diagnosed pediatric celiac patients-a prospective-observational study","volume":"181","author":[{"family":"Regev","given":"Asaf"},{"family":"Ben-Tov","given":"Amir"},{"family":"Yerushalmy-Feler","given":"Anat"},{"family":"Weintraub","given":"Yael"},{"family":"Moran-Lev","given":"Hadar"},{"family":"Cohen","given":"Shlomi"},{"family":"Amir","given":"Achiya Z."}],"issued":{"date-parts":[["2022",2]]}}},{"id":22676,"uris":["http://zotero.org/users/2145280/items/ZM72JSYR"],"itemData":{"id":22676,"type":"article-journal","abstract":"Aim of the study To evaluate the prevalence and the type of liver pathology in children at the time of diagnosis of celiac disease (CD). Material and methods Data from newly diagnosed children with CD hospitalized in the university hospital were retrospectively reviewed. Liver pathology was defined as elevated alanine transaminase (ALT) and/or gamma-glutamyl transpeptidase (GGT) serum activity and/or pathological changes of the organ in ultrasound. Results Liver pathology was detected in 17 of 149 children (11.4%). Ten patients (6.7%) had an elevated ALT serum activity, whereas no child had an elevated GGT activity. Pathological changes of liver in ultrasound (mainly enlargement or steatosis of the organ) were found in 12 patients (8.1%), of whom 5 children (3.4%) had simultaneously elevated ALT serum activity. Children with liver pathology had lower iron (Fe) (p = 0.02) and folic acid (p = 0.01) concentrations compared to the rest of the patients. There were no statistically significant differences between liver pathology existence and age, sex, serum immunoglobulin A anti-tissue transglutaminase type 2 antibodies (IgA anti-TG2), ferritin, vitamin B12, or vitamin D concentrations. Moreover, a positive correlation between IgA anti-TG2 concentration and ALT serum activity was found (p \\textless 0.01, R = 0.29). Conclusions Liver pathology is present at diagnosis in a significant proportion of children with CD in the form of hypertransaminasemia and pathological changes of the organ in ultrasound. There is a correlation between IgA anti-TG2 concentration and ALT serum activity.","container-title":"Clinical and experimental hepatology","DOI":"10.5114/ceh.2019.84783","ISSN":"2392-1099","issue":"2","note":"publisher: Termedia Publishing\nPMID: 31501788","page":"129–132","title":"Liver pathology in children with newly diagnosed celiac disease.","volume":"5","author":[{"family":"Kwiatek-Średzińska","given":"Kamila Agnieszka"},{"family":"Kondej-Muszyńska","given":"Katarzyna"},{"family":"Uścinowicz","given":"Miros\\lawa"},{"family":"Werpachowska","given":"Irena"},{"family":"Sobaniec-\\Lotowska","given":"Maria"},{"family":"Lebensztejn","given":"Dariusz"}],"issued":{"date-parts":[["2019",5]]}}},{"id":323,"uris":["http://zotero.org/users/2145280/items/PV4IBSGN"],"itemData":{"id":323,"type":"article-journal","abstract":"A retrospective study was performed in order to evaluate the prevalence of significant hepatic disease in patients with coeliac disease and its outcome after a gluten-free diet. Out of 46 patients with coeliac disease, 28 (60.87%) presented abnormal liver function test. These tests were normal after a gluten-free diet in 20 patients; one patient presented an acute B-virus hepatitis and in the remaining 7 patients a chronic liver disease was diagnosed (2 chronic persistent hepatitis, 1 chronic active hepatitis, 1 steatosis, 2 cirrhosis and 1 primary biliary cirrhosis). In conclusion, the high prevalence of significant hepatic disease in our patients with coeliac disease (15%) suggests an association between both disorders. Gluten-free diet does not modify the course of hepatic disease.","container-title":"Revista Espanola De Enfermedades Digestivas: Organo Oficial De La Sociedad Espanola De Patologia Digestiva","ISSN":"1130-0108","issue":"3","journalAbbreviation":"Rev Esp Enferm Dig","language":"spa","page":"197-200","source":"PubMed","title":"[Adult celiac disease and hepatopathy]","volume":"79","author":[{"family":"Morillas","given":"M. J."},{"family":"Gaspar","given":"E."},{"family":"Moles","given":"J. R."},{"family":"Siles","given":"S."},{"family":"García","given":"E."},{"family":"Nos","given":"P."},{"family":"Berenguer","given":"J."}],"issued":{"date-parts":[["1991",3]]}}},{"id":"FzxCyKJo/O6JCPunM","uris":["http://zotero.org/users/2145280/items/YHDHIY5F"],"itemData":{"id":4,"type":"article-journal","abstract":"We prospectively measured serum alkaline phosphatase (ALP), aspartate and alanine transaminase (AST/ALT), and tested sera for antinuclear, smooth-muscle, and antimitochondrial antibodies (ANA, SMA, AMA) in our patients with celiac sprue to determine the prevalence of associated liver abnormalities and its relevance to clinical management. Of 129 patients, ALP was the only elevated enzyme in 12 (9%) and in most cases was not thought to reflect significant liver disease. Seventeen (13%) had elevated AST and/or ALT with normal ALP. Levels normalized in 15 patients after dietary gluten exclusion and remained elevated in 2 noncompliers. Two patients (2%) with elevated AST, ALT, and ALP underwent further investigation: one had negative autoantibodies, liver biopsy, and endoscopic retrograde cholangiography and the other had ANA-positive chronic active hepatitis; enzymes in both cases improved with a gluten-free diet. There was no significant association between elevated AST/ALT and positive ANA/SMA; no patient had AMA. Abnormalities in liver enzymes are common in celiac sprue, but usually respond to dietary gluten exclusion. We propose that there is no need for invasive liver investigation in these patients unless there is more specific evidence of primary liver disease or failure of dietary response.","container-title":"Journal of Clinical Gastroenterology","ISSN":"0192-0790","issue":"4","journalAbbreviation":"J Clin Gastroenterol","language":"eng","note":"PMID: 7665816","page":"290-292","source":"PubMed","title":"Liver abnormalities associated with celiac sprue. How common are they, what is their significance, and what do we do about them?","volume":"20","author":[{"family":"Dickey","given":"W."},{"family":"McMillan","given":"S. A."},{"family":"Collins","given":"J. S."},{"family":"Watson","given":"R. G."},{"family":"McLoughlin","given":"J. C."},{"family":"Love","given":"A. H."}],"issued":{"date-parts":[["1995",6]]}}},{"id":"FzxCyKJo/e8LPl2dk","uris":["http://zotero.org/users/2145280/items/2MMZ5RUH"],"itemData":{"id":6,"type":"article-journal","abstract":"OBJECTIVE: To assess the prevalence and potential pathogenetic factors of hypertransaminasaemia in patients with coeliac disease prior to initiation of a gluten-free diet (GFD) and to assess the course of transaminases on a GFD.\nPATIENTS: A retrospective study was made of 178 patients with coeliac disease (130 women, 48 men; median age 36 years; range 17-84 years) at the gastroenterological department of a university hospital.\nMETHODS: Aspartate aminotransferase (AST) and alanine aminotransferase (ALT) were measured prior to initiation of a GFD and at 3, 6 and 12 months of GFD. Intestinal permeability, a test for functional integrity of the small bowel, was investigated before starting a GFD in 116 patients by an oral test using lactulose and mannitol.\nRESULTS: In 72 patients (40.4%) AST and/or ALT were increased prior to initiation of a GFD. Within 1 year on a GFD ALT and AST normalized except in eight cases (4.6%). The intestinal permeability index (% lactulose/% mannitol in 5 h urine) was higher in patients with elevated (median 0.34; range 0.03-1.43) than in patients with normal transaminases (0.11; 0.02-1.28) (P &lt; 0.0001) and correlated with AST (tau = 0.34; P &lt; 0.0001) and ALT (tau = 0.32; P &lt; 0.0001). In five cases with hypertransaminasaemia a liver biopsy was performed prior to initiation of a GFD. Two patients had mild to moderate hepatitis with septal fibrosis. The other three had minimal lymphocytic infiltrates of the portal tracts. Inflammatory alterations of the bile ducts were not found.\nCONCLUSION: Hypertransaminasaemia before GFD is frequent in coeliac patients, correlates with intestinal permeability and normalizes on a GFD in most patients. In cases of persistently elevated liver function tests of unknown origin underlying coeliac disease should be considered.","container-title":"European Journal of Gastroenterology &amp; Hepatology","DOI":"10.1097/00042737-199903000-00012","ISSN":"0954-691X","issue":"3","journalAbbreviation":"Eur J Gastroenterol Hepatol","language":"eng","note":"PMID: 10333201","page":"283-288","source":"PubMed","title":"Prevalence and clinical importance of hypertransaminasaemia in coeliac disease","volume":"11","author":[{"family":"Novacek","given":"G."},{"family":"Miehsler","given":"W."},{"family":"Wrba","given":"F."},{"family":"Ferenci","given":"P."},{"family":"Penner","given":"E."},{"family":"Vogelsang","given":"H."}],"issued":{"date-parts":[["1999",3]]}}},{"id":"FzxCyKJo/pJVLhYAi","uris":["http://zotero.org/users/2145280/items/JKQ9X94U"],"itemData":{"id":11,"type":"article-journal","abstract":"OBJECTIVES: Guidelines recommend routine screening of liver function tests (LFTs) in patients diagnosed with celiac disease (CD). However, little is known about the prevalence of liver disorders in CD outside of Europe. Our aims were to estimate the prevalence of LFT abnormalities in CD and to evaluate the effect of a gluten-free diet (GFD) on LFTs.\nMETHODS: Adult patients with biopsy-proven CD were identified from a prospectively maintained database and matched with healthy controls. LFT levels for women and men were defined as abnormal based on the Third National Health and Nutrition Examination Survey (NHANES III) criteria. Data on demographics, coexisting liver diseases, and laboratory work-ups including aspartate transaminase (AST) and alanine transaminase (ALT) values at the time of diagnosis and on a GFD were recorded. Subsequently, data from this cohort were compared with data from 7,789 individuals participating in the National Health and Nutrition Examination Survey, 2009-2010. Univariate logistic regression, Wilcoxon signed-ranks, Student's t-test, χ(2), and Fischer's exact test were used for statistical analysis.\nRESULTS: In 463 CD patients with ALT or AST levels at the time of CD diagnosis, 40.6% had elevated LFTs compared with 24.2% of treated CD patients (P&lt;0.001) and 16.6% of matched controls (P&lt;0.001). Similarly, 36.7% of CD patients on the NHANES database had abnormal ALT values compared with 19.3% of non-celiac patients (P=0.03). Approximately, 78.6% of CD patients with elevated LFTs at diagnosis normalized LFTs on a GFD after a mean duration of 1.5±1.5 years.\nCONCLUSIONS: Forty percent of individuals will have elevated LFTs at CD diagnosis; however, the majority will normalize with standard CD therapy. LFTs should be checked in all patients with CD and coexisting liver disorder should be considered in patients whose LFTs have not improved within a year on a GFD.","container-title":"The American Journal of Gastroenterology","DOI":"10.1038/ajg.2015.192","ISSN":"1572-0241","issue":"8","journalAbbreviation":"Am J Gastroenterol","language":"eng","note":"PMID: 26150087","page":"1216-1222","source":"PubMed","title":"Prevalence of abnormal liver function tests in celiac disease and the effect of a gluten-free diet in the US population","volume":"110","author":[{"family":"Castillo","given":"Natalia E."},{"family":"Vanga","given":"Rohini R."},{"family":"Theethira","given":"Thimmaiah G."},{"family":"Rubio-Tapia","given":"Alberto"},{"family":"Murray","given":"Joseph A."},{"family":"Villafuerte","given":"Javier"},{"family":"Bonder","given":"Alan"},{"family":"Mukherjee","given":"Rupa"},{"family":"Hansen","given":"Joshua"},{"family":"Dennis","given":"Melinda"},{"family":"Kelly","given":"Ciaran P."},{"family":"Leffler","given":"Daniel A."}],"issued":{"date-parts":[["2015",8]]}}},{"id":"FzxCyKJo/WbQRbLRz","uris":["http://zotero.org/users/2145280/items/KZH9G2ED"],"itemData":{"id":13,"type":"webpage","title":"Frequency of elevated ALT in untreated coeliac disease and the impact of compliance with gluten free diet on ALT normalisation-Web of Science Core Collection","URL":"https://www.webofscience.com/wos/woscc/full-record/WOS:000270551200311?SID=EUW1ED0ABAOBAAQuLz9uzDLdfsV4O","accessed":{"date-parts":[["2022",6,11]]}}},{"id":"FzxCyKJo/8hC6lpqU","uris":["http://zotero.org/users/2145280/items/GSA6MTRD"],"itemData":{"id":18,"type":"article-journal","abstract":"BACKGROUND: The prevalence of coeliac disease (CD) is around 1%, but diagnosis is challenged by varied presentation and non-specific symptoms and signs. This study aimed to identify diagnostic indicators that may help identify patients at a higher risk of CD in whom further testing is warranted.\nMETHODS: International guidance for systematic review methods were followed and the review was registered at PROSPERO (CRD42020170766). Six databases were searched until April 2021. Studies investigating diagnostic indicators, such as symptoms or risk conditions, in people with and without CD were eligible for inclusion. Risk of bias was assessed using the QUADAS-2 tool. Summary sensitivity, specificity, and positive predictive values were estimated for each diagnostic indicator by fitting bivariate random effects meta-analyses.\nFINDINGS: 191 studies reporting on 26 diagnostic indicators were included in the meta-analyses. We found large variation in diagnostic accuracy estimates between studies and most studies were at high risk of bias. We found strong evidence that people with dermatitis herpetiformis, migraine, family history of CD, HLA DQ2/8 risk genotype, anaemia, type 1 diabetes, osteoporosis, or chronic liver disease are more likely than the general population to have CD. Symptoms, psoriasis, epilepsy, inflammatory bowel disease, systemic lupus erythematosus, fractures, type 2 diabetes, and multiple sclerosis showed poor diagnostic ability. A sensitivity analysis revealed a 3-fold higher risk of CD in first-degree relatives of CD patients.\nCONCLUSIONS: Targeted testing of individuals with dermatitis herpetiformis, migraine, family history of CD, HLA DQ2/8 risk genotype, anaemia, type 1 diabetes, osteoporosis, or chronic liver disease could improve case-finding for CD, therefore expediting appropriate treatment and reducing adverse consequences. Migraine and chronic liver disease are not yet included as a risk factor in all CD guidelines, but it may be appropriate for these to be added. Future research should establish the diagnostic value of combining indicators.","container-title":"PloS One","DOI":"10.1371/journal.pone.0258501","ISSN":"1932-6203","issue":"10","journalAbbreviation":"PLoS One","language":"eng","note":"PMID: 34695139\nPMCID: PMC8545431","page":"e0258501","source":"PubMed","title":"The accuracy of diagnostic indicators for coeliac disease: A systematic review and meta-analysis","title-short":"The accuracy of diagnostic indicators for coeliac disease","volume":"16","author":[{"family":"Elwenspoek","given":"Martha M. C."},{"family":"Jackson","given":"Joni"},{"family":"O'Donnell","given":"Rachel"},{"family":"Sinobas","given":"Anthony"},{"family":"Dawson","given":"Sarah"},{"family":"Everitt","given":"Hazel"},{"family":"Gillett","given":"Peter"},{"family":"Hay","given":"Alastair D."},{"family":"Lane","given":"Deborah L."},{"family":"Mallett","given":"Susan"},{"family":"Robins","given":"Gerry"},{"family":"Watson","given":"Jessica C."},{"family":"Jones","given":"Hayley E."},{"family":"Whiting","given":"Penny"}],"issued":{"date-parts":[["2021"]]}}}],"schema":"https://github.com/citation-style-language/schema/raw/master/csl-citation.json"} </w:instrText>
            </w:r>
            <w:r w:rsidRPr="00F67DBD">
              <w:fldChar w:fldCharType="separate"/>
            </w:r>
            <w:r w:rsidR="00F67DBD" w:rsidRPr="00F67DBD">
              <w:rPr>
                <w:szCs w:val="24"/>
                <w:vertAlign w:val="superscript"/>
              </w:rPr>
              <w:t>65,67–73</w:t>
            </w:r>
            <w:r w:rsidRPr="00F67DBD">
              <w:fldChar w:fldCharType="end"/>
            </w:r>
          </w:p>
          <w:p w:rsidR="00F67DBD" w:rsidRPr="00F67DBD" w:rsidRDefault="00F67DBD" w:rsidP="00F67DBD"/>
        </w:tc>
      </w:tr>
      <w:tr w:rsidR="00F67DBD" w:rsidRPr="00F67DBD" w:rsidTr="00BF7578">
        <w:tc>
          <w:tcPr>
            <w:tcW w:w="648" w:type="dxa"/>
          </w:tcPr>
          <w:p w:rsidR="00F67DBD" w:rsidRPr="00F67DBD" w:rsidRDefault="00F67DBD" w:rsidP="00F67DBD">
            <w:r w:rsidRPr="00F67DBD">
              <w:t>12</w:t>
            </w:r>
          </w:p>
          <w:p w:rsidR="00F67DBD" w:rsidRPr="00F67DBD" w:rsidRDefault="00F67DBD" w:rsidP="00F67DBD"/>
        </w:tc>
        <w:tc>
          <w:tcPr>
            <w:tcW w:w="5256" w:type="dxa"/>
          </w:tcPr>
          <w:p w:rsidR="00F67DBD" w:rsidRPr="00F67DBD" w:rsidRDefault="00F67DBD" w:rsidP="00F67DBD">
            <w:r w:rsidRPr="00F67DBD">
              <w:t>Irrelevant topic</w:t>
            </w:r>
          </w:p>
          <w:p w:rsidR="00F67DBD" w:rsidRPr="00F67DBD" w:rsidRDefault="00F67DBD" w:rsidP="00F67DBD"/>
        </w:tc>
        <w:tc>
          <w:tcPr>
            <w:tcW w:w="2952" w:type="dxa"/>
          </w:tcPr>
          <w:p w:rsidR="00F67DBD" w:rsidRPr="00F67DBD" w:rsidRDefault="00F53C08" w:rsidP="00F67DBD">
            <w:r w:rsidRPr="00F67DBD">
              <w:fldChar w:fldCharType="begin"/>
            </w:r>
            <w:r w:rsidR="008F29D2">
              <w:instrText xml:space="preserve"> ADDIN ZOTERO_ITEM CSL_CITATION {"citationID":"HlhbjAIY","properties":{"formattedCitation":"\\super 74\\uc0\\u8211{}80\\nosupersub{}","plainCitation":"74–80","noteIndex":0},"citationItems":[{"id":25529,"uris":["http://zotero.org/users/2145280/items/SJRBZ9XG"],"itemData":{"id":25529,"type":"article-journal","abstract":"Background and Aims: Liver dysfunctions owing to Celiac disease is seen to manifest\nwith wide spectrum of changes, ranging from relatively milder symptoms with liver\nenzymes normalising on a GFD, to diverse other pathological conditions such as autoimmune\nhepatitis and cirrhosis. Till date, no histopathological signature, specifically diagnostic\nof so-called ‘celiac hepatitis’ exists. Diagnosis is made merely by clinical suspicion\nowing to the simultaneous occurrence of the two pathologies. We aim to analyse the\nhistological features and IgA/ anti-tTG colocalization patterns in the liver biopsies\nof patients with celiac disease.","container-title":"Journal of Clinical and Experimental Hepatology","DOI":"10.1016/j.jceh.2018.06.499","ISSN":"0973-6883","journalAbbreviation":"Journal of Clinical and Experimental Hepatology","language":"English","note":"publisher: Elsevier","page":"S122-S123","source":"www.jcehepatology.com","title":"42. Analysis of histological features and co-localisation patterns of IGA and IGG anti-tissue transglutaminase antibody in liver biopsies of patients with treatment naïve celiac disease, presenting with liver dysfunctions","volume":"8","author":[{"family":"Dutta","given":"Rimlee"},{"family":"Das","given":"Prasenjit"},{"family":"Makharia","given":"Govind"},{"family":"Iqbal","given":"Asif"}],"issued":{"date-parts":[["2018",7,1]]}}},{"id":25626,"uris":["http://zotero.org/users/2145280/items/VXWIBARP"],"itemData":{"id":25626,"type":"article-journal","abstract":"Liver biochemical tests are some of the most commonly ordered routine tests in the inpatient and outpatient setting, especially with the automatization of testing in this technological era. These tests include aminotransferases, alkaline phosphatase, gamma-glutamyl transferase, bilirubin, albumin, prothrombin time and international normalized ratio (INR). Abnormal liver biochemical tests can be categorized based on the pattern and the magnitude of aminotransferases elevation. Generally, abnormalities in aminotransferases can be classified into a hepatocellular pattern or cholestatic pattern and can be further sub-classified based on the magnitude of aminotransferase elevation to mild [&lt; 5 × upper limit of normal (ULN)], moderate (&gt; 5-&lt; 15 × ULN) and severe (&gt; 15 × ULN). Hepatocellular pattern causes include but are not limited to; non-alcoholic fatty liver disease/non-alcoholic steatohepatitis, alcohol use, chronic viral hepatitis, liver cirrhosis (variable), autoimmune hepatitis, hemochromatosis, Wilson's disease, alpha-1 antitrypsin deficiency, celiac disease, medication-induced and ischemic hepatitis. Cholestatic pattern causes include but is not limited to; biliary pathology (obstruction, autoimmune), other conditions with hyperbilirubinemia (conjugated and unconjugated). It is crucial to interpret these commonly ordered tests accurately as appropriate further workup, treatment and referral can greatly benefit the patient due to prompt treatment which can improve the natural history of several of the diseases mentioned and possibly reduce the risk of progression to the liver cirrhosis.","container-title":"World Journal of Hepatology","DOI":"10.4254/wjh.v13.i11.1688","ISSN":"1948-5182","issue":"11","journalAbbreviation":"World J Hepatol","language":"eng","note":"PMID: 34904038\nPMCID: PMC8637680","page":"1688-1698","source":"PubMed","title":"Abnormal liver enzymes: A review for clinicians","title-short":"Abnormal liver enzymes","volume":"13","author":[{"family":"Kalas","given":"M. Ammar"},{"family":"Chavez","given":"Luis"},{"family":"Leon","given":"Monica"},{"family":"Taweesedt","given":"Pahnwat Tonya"},{"family":"Surani","given":"Salim"}],"issued":{"date-parts":[["2021",11,27]]}}},{"id":17750,"uris":["http://zotero.org/groups/2248556/items/337PLW8T"],"itemData":{"id":17750,"type":"article-journal","abstract":"Background: Blood donor screening can help predict prevalence of coeliac disease in population.\nMethods: Between December 2010 and June 2011, healthy blood donors were screened using anti-tissue glutaminase antibodies. Those positive underwent duodenoscopy. Their age, gender, body mass index and haemoglobin and histological changes were recorded.\nResults: Of the 1610 blood donors screened, 1581 (98.2%) were males. The mean age of donors was 31.51 ± 9.66 years and the mean body mass index was 22.12 ± 4.24 kg/m2. Nine (0.56%) men were seropositive. Endoscopic features included reduced fold height (9), scalloping (8), grooving (7) and mosaic mucosal pattern (3). Eight had Marsh IIIa changes whilst one had IIIb change. The prevalence of coeliac disease was 1:179 (0.56%, 95% conﬁdence interval 1/366–1/91, 0.27–1.1%). None of the 9 patients had any symptoms. Their mean haemoglobin and body-mass index was similar to rest of the cohort.\nConclusion: The prevalence of coeliac disease amongst apparently healthy blood donors was 1:179 (0.56%). © 2012 Editrice Gastroenterologica Italiana S.r.l. Published by Elsevier Ltd. All rights reserved.","container-title":"Digestive and Liver Disease","DOI":"10.1016/j.dld.2012.01.004","ISSN":"15908658","issue":"6","language":"en","page":"530-532","source":"Crossref","title":"Prevalence of coeliac disease in healthy blood donors: A study from north India","title-short":"Prevalence of coeliac disease in healthy blood donors","volume":"44","author":[{"family":"Kochhar","given":"Rakesh"},{"family":"Sachdev","given":"Suchet"},{"family":"Kochhar","given":"Rashi"},{"family":"Aggarwal","given":"Aakash"},{"family":"Sharma","given":"Vishal"},{"family":"Prasad","given":"Kaushal K."},{"family":"Singh","given":"Gurpreet"},{"family":"Nain","given":"Chander K."},{"family":"Singh","given":"Kartar"},{"family":"Marwaha","given":"Neelam"}],"issued":{"date-parts":[["2012",6]]}}},{"id":23607,"uris":["http://zotero.org/users/2145280/items/6NHHPLS3"],"itemData":{"id":23607,"type":"article-journal","DOI":"10.3109/00365529409090472","issue":"August","title":"Prevalence and Clinical Significance of Gliadin Antibodies in Healthy Children and Adults Prevalence and Clinical Significance of Gliadin Antibodies in Healthy Children and Adults","author":[{"family":"Taylor","given":"Publisher"},{"family":"Sjoberg","given":"K"},{"family":"Alm","given":"R"},{"family":"Ivarsson","given":"S A"},{"family":"Lindström","given":"C"},{"family":"Eriksson","given":"S"}],"issued":{"date-parts":[["2015"]]}}},{"id":21786,"uris":["http://zotero.org/users/2145280/items/STAI7GCN"],"itemData":{"id":21786,"type":"article-journal","page":"235–239","title":"IgA anti-transglutaminase antibodies as a tool for screening atypical forms of coeliac disease in a French at-risk paediatric population","author":[{"family":"Lachaux","given":"Alain"},{"family":"Sakly","given":"Wahiba"},{"family":"Spiteri","given":"Anne"},{"family":"Fabien","given":"Nicole"}]}},{"id":1914,"uris":["http://zotero.org/users/2145280/items/GJFASH8V"],"itemData":{"id":1914,"type":"article-journal","abstract":"Cirrhotic patients often present muscle and adipose tissue depletion as well as reduced visceral protein concentration. Impaired absorption of nutrients may contribute to this altered nutritional status. To verify this hypothesis fecal fat excretion, intestinal mucosal function evaluated by means of the combined sugar oral load test, and intestinal clearance of alpha-1-Antirypsin were studied in 25 cirrhotic patients with clinical and biochemical signs of liver insufficiency and with portal hypertension. About 50% of the patients showed clinical evidence of malnutrition. Three of the 12 well-nourished, and 8 of the 13 malnourished patients presented significant steatorrhoea. Cirrhotics showed no impairment in mediated malabsorption and in passive permeability, as plasma D-xylose/3-O-methyl-glucose concentration and urinary lactulose/L-rhamnose excretion ratios were within the normal range. An increased value of alpha-1-Antitrypsin clearance was found only in two patients. These findings indicate that fat malabsorption is frequent in cirrhotic patients, particularly when malnourished, and does not depend on the presence of mucosal intestinal damage.","container-title":"The Italian Journal of Gastroenterology","ISSN":"0392-0623","issue":"3","journalAbbreviation":"Ital J Gastroenterol","language":"eng","note":"PMID: 2131941","page":"118-123","source":"PubMed","title":"Malabsorption and nutritional abnormalities in patients with liver cirrhosis","volume":"22","author":[{"family":"Romiti","given":"A."},{"family":"Merli","given":"M."},{"family":"Martorano","given":"M."},{"family":"Parrilli","given":"G."},{"family":"Martino","given":"F."},{"family":"Riggio","given":"O."},{"family":"Truscelli","given":"A."},{"family":"Capocaccia","given":"L."},{"family":"Budillon","given":"G."}],"issued":{"date-parts":[["1990",6]]}}},{"id":"FzxCyKJo/Fc6klkUg","uris":["http://zotero.org/users/2145280/items/FEZEHIUT"],"itemData":{"id":26,"type":"article-journal","abstract":"The utility of serologic screening for celiac disease is still debatable. Evidence suggests that the disorder remains undetected even in the older population. It remains obscure whether screening makes good or harm in subjects with long-standing gluten ingestion. We evaluated whether older subjects benefit from active detection and subsequent gluten free dietary treatment of celiac disease.","container-title":"BMC Gastroenterology","DOI":"10.1186/1471-230X-11-136","ISSN":"1471-230X","issue":"1","journalAbbreviation":"BMC Gastroenterology","page":"136","source":"BioMed Central","title":"Clinical benefit of gluten-free diet in screen-detected older celiac disease patients","volume":"11","author":[{"family":"Vilppula","given":"Anitta"},{"family":"Kaukinen","given":"Katri"},{"family":"Luostarinen","given":"Liisa"},{"family":"Krekelä","given":"Ilkka"},{"family":"Patrikainen","given":"Heikki"},{"family":"Valve","given":"Raisa"},{"family":"Luostarinen","given":"Markku"},{"family":"Laurila","given":"Kaija"},{"family":"Mäki","given":"Markku"},{"family":"Collin","given":"Pekka"}],"issued":{"date-parts":[["2011",12,16]]}}}],"schema":"https://github.com/citation-style-language/schema/raw/master/csl-citation.json"} </w:instrText>
            </w:r>
            <w:r w:rsidRPr="00F67DBD">
              <w:fldChar w:fldCharType="separate"/>
            </w:r>
            <w:r w:rsidR="00F67DBD" w:rsidRPr="00F67DBD">
              <w:rPr>
                <w:szCs w:val="24"/>
                <w:vertAlign w:val="superscript"/>
              </w:rPr>
              <w:t>74–80</w:t>
            </w:r>
            <w:r w:rsidRPr="00F67DBD">
              <w:fldChar w:fldCharType="end"/>
            </w:r>
          </w:p>
          <w:p w:rsidR="00F67DBD" w:rsidRPr="00F67DBD" w:rsidRDefault="00F67DBD" w:rsidP="00F67DBD"/>
          <w:p w:rsidR="00F67DBD" w:rsidRPr="00F67DBD" w:rsidRDefault="00F67DBD" w:rsidP="00F67DBD"/>
        </w:tc>
      </w:tr>
      <w:tr w:rsidR="00F67DBD" w:rsidRPr="00F67DBD" w:rsidTr="00BF7578">
        <w:tc>
          <w:tcPr>
            <w:tcW w:w="648" w:type="dxa"/>
          </w:tcPr>
          <w:p w:rsidR="00F67DBD" w:rsidRPr="00F67DBD" w:rsidRDefault="00F67DBD" w:rsidP="00F67DBD">
            <w:r w:rsidRPr="00F67DBD">
              <w:t>13</w:t>
            </w:r>
          </w:p>
        </w:tc>
        <w:tc>
          <w:tcPr>
            <w:tcW w:w="5256" w:type="dxa"/>
          </w:tcPr>
          <w:p w:rsidR="00F67DBD" w:rsidRPr="00F67DBD" w:rsidRDefault="00F67DBD" w:rsidP="00F67DBD">
            <w:r w:rsidRPr="00F67DBD">
              <w:t>Use of Antigliadin antibodies only for first line serological testing</w:t>
            </w:r>
          </w:p>
        </w:tc>
        <w:tc>
          <w:tcPr>
            <w:tcW w:w="2952" w:type="dxa"/>
          </w:tcPr>
          <w:p w:rsidR="00F67DBD" w:rsidRPr="00F67DBD" w:rsidRDefault="00F53C08" w:rsidP="00F67DBD">
            <w:r w:rsidRPr="00F67DBD">
              <w:fldChar w:fldCharType="begin"/>
            </w:r>
            <w:r w:rsidR="008F29D2">
              <w:instrText xml:space="preserve"> ADDIN ZOTERO_ITEM CSL_CITATION {"citationID":"yKWWkplQ","properties":{"formattedCitation":"\\super 81\\nosupersub{}","plainCitation":"81","noteIndex":0},"citationItems":[{"id":1412,"uris":["http://zotero.org/users/2145280/items/VYX92YY2"],"itemData":{"id":1412,"type":"article-journal","abstract":"BACKGROUND: Although an association between primary biliary cirrhosis and coeliac disease has recently been reported in Northern Europe, there are still conflicting data concerning this issue.\nAIM: To evaluate both the prevalence of coeliac disease in a series of primary biliary cirrhosis patients and that of antimitochondrial antibodies in a series of adult biopsy proven coeliac disease patients from Northern Italy.\nPATIENTS AND METHODS: A total of 87 primary biliary cirrhosis patients (79 female, 8 male) were screened for both IgA-transglutaminase antibodies and antiendomysium antibodies and, in those with either IgA-transglutaminase antibodies or antiendomysium antibodies positivity, upper endoscopy with distal duodenum biopsy was offered. In those who refused upper endoscopy, the intestinal permeability test with lactulose/mannitol excretion was performed.\nRESULTS: Antiendomysium antibodies positivity was detected in 3 subjects (3.4%), all of whom had serum IgA-transglutaminase antibodies above the normal range, and fulfilled the diagnosis of coeliac disease. Of 21 other patients with serum IgA-transglutaminase antibodies above the normal range, 17 underwent upper endoscopy which revealed normal duodenum architecture. The remaining 4 patients underwent the lactulose/mannitol excretion test which was within the normal range. Sera from 108 adult coeliac disease patients were tested for antimitochondrial antibodies and positivity was found in 4 patients (3.7%): all had normal liver biochemistry tests, whereas 2 of them also presented thyroid disease. Antibodies directed to the 74-kDa polypeptide of antimitochondrial antibodies were found in 3 out of 4 antimitochondrial antibodies+ve patients.\nCONCLUSIONS: These results suggest an association between primary biliary cirrhosis and coeliac disease similar to that observed in the Northern European series. In conclusion, screening for coeliac disease with antiendomysium antibodies in primary biliary cirrhosis is justified, and screening for antimitochondrial antibodies is advisable in adult coeliac disease patients.","container-title":"Digestive and Liver Disease: Official Journal of the Italian Society of Gastroenterology and the Italian Association for the Study of the Liver","ISSN":"1590-8658","issue":"4","journalAbbreviation":"Dig Liver Dis","language":"eng","note":"PMID: 12038809","page":"258-261","source":"PubMed","title":"Prevalence of coeliac disease in primary biliary cirrhosis and of antimitochondrial antibodies in adult coeliac disease patients in Italy","volume":"34","author":[{"family":"Floreani","given":"A."},{"family":"Betterle","given":"C."},{"family":"Baragiotta","given":"A."},{"family":"Martini","given":"S."},{"family":"Venturi","given":"C."},{"family":"Basso","given":"D."},{"family":"Pittoni","given":"M."},{"family":"Chiarelli","given":"S."},{"family":"Sategna Guidetti","given":"C."}],"issued":{"date-parts":[["2002",4]]}}}],"schema":"https://github.com/citation-style-language/schema/raw/master/csl-citation.json"} </w:instrText>
            </w:r>
            <w:r w:rsidRPr="00F67DBD">
              <w:fldChar w:fldCharType="separate"/>
            </w:r>
            <w:r w:rsidR="00F67DBD" w:rsidRPr="00F67DBD">
              <w:rPr>
                <w:szCs w:val="24"/>
                <w:vertAlign w:val="superscript"/>
              </w:rPr>
              <w:t>81</w:t>
            </w:r>
            <w:r w:rsidRPr="00F67DBD">
              <w:fldChar w:fldCharType="end"/>
            </w:r>
          </w:p>
          <w:p w:rsidR="00F67DBD" w:rsidRPr="00F67DBD" w:rsidRDefault="00F67DBD" w:rsidP="00F67DBD"/>
        </w:tc>
      </w:tr>
      <w:tr w:rsidR="008F29D2" w:rsidRPr="00F67DBD" w:rsidTr="00BF7578">
        <w:tc>
          <w:tcPr>
            <w:tcW w:w="648" w:type="dxa"/>
          </w:tcPr>
          <w:p w:rsidR="008F29D2" w:rsidRPr="00F67DBD" w:rsidRDefault="008F29D2" w:rsidP="00F67DBD">
            <w:r>
              <w:t>14</w:t>
            </w:r>
          </w:p>
        </w:tc>
        <w:tc>
          <w:tcPr>
            <w:tcW w:w="5256" w:type="dxa"/>
          </w:tcPr>
          <w:p w:rsidR="008F29D2" w:rsidRPr="00F67DBD" w:rsidRDefault="008F29D2" w:rsidP="00F67DBD">
            <w:r>
              <w:t xml:space="preserve">Study population is a subset of another study’s population </w:t>
            </w:r>
          </w:p>
        </w:tc>
        <w:tc>
          <w:tcPr>
            <w:tcW w:w="2952" w:type="dxa"/>
          </w:tcPr>
          <w:p w:rsidR="008F29D2" w:rsidRPr="00F67DBD" w:rsidRDefault="00F53C08" w:rsidP="00F67DBD">
            <w:r>
              <w:fldChar w:fldCharType="begin"/>
            </w:r>
            <w:r w:rsidR="008F29D2">
              <w:instrText xml:space="preserve"> ADDIN ZOTERO_ITEM CSL_CITATION {"citationID":"5iqlZJFV","properties":{"formattedCitation":"\\super 82\\nosupersub{}","plainCitation":"82","noteIndex":0},"citationItems":[{"id":1615,"uris":["http://zotero.org/users/2145280/items/3WDW42NF"],"itemData":{"id":1615,"type":"article-journal","abstract":"BACKGROUND: Hypertransaminasaemia of unknown, cryptogenic, origin occasionally has been found to be the only sign of coeliac disease. Raised concentrations of transaminases, or aminotransferases, have been retrospectively observed in about a half of patients with coeliac disease who are on a gluten-containing diet. We aimed to establish the overall prevalence of coeliac disease among patients with cryptogenic hypertransaminasaemia.\nMETHODS: Of the 600 consecutive patients referred to our outpatient clinic for liver disease due to raised serum transaminases from September, 1995, to June, 1997, 55 were classified as having cryptogenic hypertransaminasaemia after the exclusion of every known cause of liver disease. These patients were tested by indirect immunofluorescence for IgA to endomysium and for IgA and IgG to gliadin.\nFINDINGS: Five patients were positive for both IgA to endomysium and IgG to gliadin, whereas IgA to gliadin was only found in four patients. IgG to gliadin was also present in another patient who was not positive for antibodies to endomysium. The six antibody-positive patients had duodenal biopsy that showed a subtotal villous atrophy consistent with coeliac disease in the five patients with antibodies to endomysium. The patient with only IgG to gliadin had a normal small-intestine mucosa. None of the five patients with coeliac disease had gastrointestinal symptoms. Liver biopsy samples were taken from three of the five patients with flat mucosa and showed a histological picture of nonspecific reactive hepatitis. Transaminase concentrations reverted to normal within 6 months in four patients with coeliac disease who followed a strict gluten-free diet.\nINTERPRETATION: Our results show that about 9% of patients with cryptogenic hypertransaminasaemia are affected by symptom-free coeliac disease. Gluten-sensitive enteropathy and antibody screening for coeliac disease by means of antibodies to endomysium and gliadin should be considered in these patients.","container-title":"Lancet (London, England)","ISSN":"0140-6736","issue":"9121","journalAbbreviation":"Lancet","language":"eng","note":"PMID: 9800742","page":"26-29","source":"PubMed","title":"Coeliac disease hidden by cryptogenic hypertransaminasaemia","volume":"352","author":[{"family":"Volta","given":"U."},{"family":"De Franceschi","given":"L."},{"family":"Lari","given":"F."},{"family":"Molinaro","given":"N."},{"family":"Zoli","given":"M."},{"family":"Bianchi","given":"F. B."}],"issued":{"date-parts":[["1998",7,4]]}}}],"schema":"https://github.com/citation-style-language/schema/raw/master/csl-citation.json"} </w:instrText>
            </w:r>
            <w:r>
              <w:fldChar w:fldCharType="separate"/>
            </w:r>
            <w:r w:rsidR="008F29D2" w:rsidRPr="008F29D2">
              <w:rPr>
                <w:szCs w:val="24"/>
                <w:vertAlign w:val="superscript"/>
              </w:rPr>
              <w:t>82</w:t>
            </w:r>
            <w:r>
              <w:fldChar w:fldCharType="end"/>
            </w:r>
          </w:p>
        </w:tc>
      </w:tr>
    </w:tbl>
    <w:p w:rsidR="00F67DBD" w:rsidRPr="00F67DBD" w:rsidRDefault="00F67DBD" w:rsidP="00F67DBD">
      <w:pPr>
        <w:rPr>
          <w:rFonts w:eastAsia="Calibri"/>
          <w:sz w:val="22"/>
          <w:szCs w:val="22"/>
        </w:rPr>
      </w:pPr>
    </w:p>
    <w:p w:rsidR="00F67DBD" w:rsidRPr="00F67DBD" w:rsidRDefault="00F67DBD" w:rsidP="00F67DBD"/>
    <w:p w:rsidR="00F67DBD" w:rsidRPr="00F67DBD" w:rsidRDefault="00F67DBD" w:rsidP="00F67DBD"/>
    <w:p w:rsidR="00171862" w:rsidRPr="00AA229D" w:rsidRDefault="00171862" w:rsidP="00030BD5">
      <w:pPr>
        <w:pStyle w:val="Bibliography"/>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9B72C9" w:rsidRDefault="009B72C9" w:rsidP="00AA229D">
      <w:pPr>
        <w:rPr>
          <w:sz w:val="24"/>
          <w:szCs w:val="24"/>
        </w:rPr>
      </w:pPr>
    </w:p>
    <w:p w:rsidR="00AA229D" w:rsidRPr="001C790C" w:rsidRDefault="009B72C9" w:rsidP="00AA229D">
      <w:pPr>
        <w:rPr>
          <w:b/>
          <w:sz w:val="24"/>
          <w:szCs w:val="24"/>
        </w:rPr>
      </w:pPr>
      <w:r w:rsidRPr="001C790C">
        <w:rPr>
          <w:b/>
          <w:sz w:val="24"/>
          <w:szCs w:val="24"/>
        </w:rPr>
        <w:t>Supplementary Digital Content 8a</w:t>
      </w:r>
      <w:r w:rsidR="00AA229D" w:rsidRPr="001C790C">
        <w:rPr>
          <w:b/>
          <w:sz w:val="24"/>
          <w:szCs w:val="24"/>
        </w:rPr>
        <w:t>: Funnel plot for publication bias in the meta-analysis of studies on prevalence of biopsy-confirmed celiac disease in cryptogenic cirrhosis</w:t>
      </w:r>
    </w:p>
    <w:p w:rsidR="00AA229D" w:rsidRDefault="0003113C" w:rsidP="00AA229D">
      <w:pPr>
        <w:rPr>
          <w:noProof/>
          <w:lang w:val="en-US" w:eastAsia="en-US"/>
        </w:rPr>
      </w:pPr>
      <w:r>
        <w:rPr>
          <w:noProof/>
          <w:lang w:val="en-US" w:eastAsia="en-US"/>
        </w:rPr>
        <w:drawing>
          <wp:inline distT="0" distB="0" distL="0" distR="0">
            <wp:extent cx="3155950" cy="311912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58240" cy="3121383"/>
                    </a:xfrm>
                    <a:prstGeom prst="rect">
                      <a:avLst/>
                    </a:prstGeom>
                    <a:noFill/>
                    <a:ln w="9525">
                      <a:noFill/>
                      <a:miter lim="800000"/>
                      <a:headEnd/>
                      <a:tailEnd/>
                    </a:ln>
                  </pic:spPr>
                </pic:pic>
              </a:graphicData>
            </a:graphic>
          </wp:inline>
        </w:drawing>
      </w:r>
    </w:p>
    <w:p w:rsidR="009E479B" w:rsidRDefault="009E479B" w:rsidP="00AA229D">
      <w:pPr>
        <w:rPr>
          <w:noProof/>
          <w:lang w:val="en-US" w:eastAsia="en-US"/>
        </w:rPr>
      </w:pPr>
    </w:p>
    <w:p w:rsidR="009E479B" w:rsidRPr="00AA229D" w:rsidRDefault="009E479B" w:rsidP="00AA229D">
      <w:pPr>
        <w:rPr>
          <w:noProof/>
          <w:lang w:val="en-US" w:eastAsia="en-US"/>
        </w:rPr>
      </w:pPr>
    </w:p>
    <w:p w:rsidR="00AA229D" w:rsidRPr="00AA229D" w:rsidRDefault="00AA229D" w:rsidP="00AA229D"/>
    <w:p w:rsidR="00AA229D" w:rsidRPr="001C790C" w:rsidRDefault="009B72C9" w:rsidP="00AA229D">
      <w:pPr>
        <w:rPr>
          <w:b/>
          <w:sz w:val="24"/>
          <w:szCs w:val="24"/>
        </w:rPr>
      </w:pPr>
      <w:r w:rsidRPr="001C790C">
        <w:rPr>
          <w:b/>
          <w:sz w:val="24"/>
          <w:szCs w:val="24"/>
        </w:rPr>
        <w:t>Supplementary Digital Content 8b</w:t>
      </w:r>
      <w:r w:rsidR="00AA229D" w:rsidRPr="001C790C">
        <w:rPr>
          <w:b/>
          <w:sz w:val="24"/>
          <w:szCs w:val="24"/>
        </w:rPr>
        <w:t>: Funnel plot for publication bias in the meta-analysis of studies on prevalence of biopsy-confirmed celiac disease in all-cause cirrhosis</w:t>
      </w:r>
    </w:p>
    <w:p w:rsidR="00AA229D" w:rsidRPr="00AA229D" w:rsidRDefault="00AA229D" w:rsidP="00AA229D">
      <w:r w:rsidRPr="00AA229D">
        <w:rPr>
          <w:noProof/>
          <w:lang w:val="en-US" w:eastAsia="en-US"/>
        </w:rPr>
        <w:drawing>
          <wp:inline distT="0" distB="0" distL="0" distR="0">
            <wp:extent cx="3207446" cy="321067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06216" cy="3209439"/>
                    </a:xfrm>
                    <a:prstGeom prst="rect">
                      <a:avLst/>
                    </a:prstGeom>
                    <a:noFill/>
                    <a:ln w="9525">
                      <a:noFill/>
                      <a:miter lim="800000"/>
                      <a:headEnd/>
                      <a:tailEnd/>
                    </a:ln>
                  </pic:spPr>
                </pic:pic>
              </a:graphicData>
            </a:graphic>
          </wp:inline>
        </w:drawing>
      </w:r>
    </w:p>
    <w:p w:rsidR="00AA229D" w:rsidRPr="00AA229D" w:rsidRDefault="00AA229D" w:rsidP="00AA229D"/>
    <w:p w:rsidR="00AA229D" w:rsidRPr="00AA229D" w:rsidRDefault="00AA229D" w:rsidP="00AA229D"/>
    <w:p w:rsidR="00AA229D" w:rsidRPr="00AA229D" w:rsidRDefault="00AA229D" w:rsidP="00AA229D"/>
    <w:p w:rsidR="00AA229D" w:rsidRPr="00AA229D" w:rsidRDefault="00AA229D" w:rsidP="00AA229D"/>
    <w:p w:rsidR="00AA229D" w:rsidRPr="00AA229D" w:rsidRDefault="00AA229D" w:rsidP="00AA229D"/>
    <w:p w:rsidR="00AA229D" w:rsidRPr="001C790C" w:rsidRDefault="009B72C9" w:rsidP="00AA229D">
      <w:pPr>
        <w:rPr>
          <w:b/>
          <w:sz w:val="24"/>
          <w:szCs w:val="24"/>
        </w:rPr>
      </w:pPr>
      <w:r w:rsidRPr="001C790C">
        <w:rPr>
          <w:b/>
          <w:sz w:val="24"/>
          <w:szCs w:val="24"/>
        </w:rPr>
        <w:t>Supplementary Digital Content 8c</w:t>
      </w:r>
      <w:r w:rsidR="00AA229D" w:rsidRPr="001C790C">
        <w:rPr>
          <w:b/>
          <w:sz w:val="24"/>
          <w:szCs w:val="24"/>
        </w:rPr>
        <w:t>: Funnel plot for publication bias in the meta-analysis of studies on prevalence of biopsy-confirmed celiac disease in cryptogenic hypertransaminasemia</w:t>
      </w:r>
    </w:p>
    <w:p w:rsidR="00AA229D" w:rsidRPr="00AA229D" w:rsidRDefault="00AA229D" w:rsidP="00AA229D"/>
    <w:p w:rsidR="00AA229D" w:rsidRPr="00AA229D" w:rsidRDefault="00AA229D" w:rsidP="00AA229D">
      <w:r w:rsidRPr="00AA229D">
        <w:rPr>
          <w:noProof/>
          <w:lang w:val="en-US" w:eastAsia="en-US"/>
        </w:rPr>
        <w:drawing>
          <wp:inline distT="0" distB="0" distL="0" distR="0">
            <wp:extent cx="3048000" cy="3041878"/>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048996" cy="3042872"/>
                    </a:xfrm>
                    <a:prstGeom prst="rect">
                      <a:avLst/>
                    </a:prstGeom>
                    <a:noFill/>
                    <a:ln w="9525">
                      <a:noFill/>
                      <a:miter lim="800000"/>
                      <a:headEnd/>
                      <a:tailEnd/>
                    </a:ln>
                  </pic:spPr>
                </pic:pic>
              </a:graphicData>
            </a:graphic>
          </wp:inline>
        </w:drawing>
      </w:r>
    </w:p>
    <w:p w:rsidR="00AA229D" w:rsidRPr="00AA229D" w:rsidRDefault="00AA229D" w:rsidP="00AA229D"/>
    <w:p w:rsidR="00AA229D" w:rsidRPr="00AA229D" w:rsidRDefault="00AA229D" w:rsidP="00AA229D"/>
    <w:p w:rsidR="00AA229D" w:rsidRPr="00AA229D" w:rsidRDefault="00AA229D" w:rsidP="00AA229D"/>
    <w:p w:rsidR="00AA229D" w:rsidRPr="00AA229D" w:rsidRDefault="00AA229D" w:rsidP="00AA229D">
      <w:pPr>
        <w:rPr>
          <w:sz w:val="24"/>
          <w:szCs w:val="24"/>
        </w:rPr>
      </w:pPr>
    </w:p>
    <w:p w:rsidR="00AA229D" w:rsidRPr="00AA229D" w:rsidRDefault="00AA229D" w:rsidP="00AA229D">
      <w:pPr>
        <w:rPr>
          <w:sz w:val="24"/>
          <w:szCs w:val="24"/>
        </w:rPr>
      </w:pPr>
    </w:p>
    <w:p w:rsidR="00AA229D" w:rsidRPr="00AA229D" w:rsidRDefault="00AA229D" w:rsidP="00AA229D">
      <w:pPr>
        <w:rPr>
          <w:sz w:val="24"/>
          <w:szCs w:val="24"/>
        </w:rPr>
      </w:pPr>
    </w:p>
    <w:p w:rsidR="00AA229D" w:rsidRPr="00AA229D" w:rsidRDefault="00AA229D" w:rsidP="00AA229D">
      <w:pPr>
        <w:rPr>
          <w:sz w:val="24"/>
          <w:szCs w:val="24"/>
        </w:rPr>
      </w:pPr>
    </w:p>
    <w:p w:rsidR="00171862" w:rsidRPr="00AA229D" w:rsidRDefault="00171862" w:rsidP="00030BD5">
      <w:pPr>
        <w:pStyle w:val="Bibliography"/>
      </w:pPr>
    </w:p>
    <w:p w:rsidR="00171862" w:rsidRPr="00AA229D" w:rsidRDefault="00171862" w:rsidP="00030BD5">
      <w:pPr>
        <w:pStyle w:val="Bibliography"/>
      </w:pPr>
    </w:p>
    <w:p w:rsidR="00171862" w:rsidRPr="00AA229D" w:rsidRDefault="00171862" w:rsidP="00030BD5">
      <w:pPr>
        <w:pStyle w:val="Bibliography"/>
      </w:pPr>
    </w:p>
    <w:p w:rsidR="00171862" w:rsidRPr="00AA229D" w:rsidRDefault="00171862" w:rsidP="00030BD5">
      <w:pPr>
        <w:pStyle w:val="Bibliography"/>
      </w:pPr>
    </w:p>
    <w:p w:rsidR="00171862" w:rsidRPr="00AA229D" w:rsidRDefault="00171862" w:rsidP="00030BD5">
      <w:pPr>
        <w:pStyle w:val="Bibliography"/>
      </w:pPr>
    </w:p>
    <w:p w:rsidR="00171862" w:rsidRPr="00AA229D" w:rsidRDefault="00171862" w:rsidP="00030BD5">
      <w:pPr>
        <w:pStyle w:val="Bibliography"/>
      </w:pPr>
    </w:p>
    <w:p w:rsidR="00171862" w:rsidRDefault="00171862" w:rsidP="00030BD5">
      <w:pPr>
        <w:pStyle w:val="Bibliography"/>
      </w:pPr>
    </w:p>
    <w:p w:rsidR="009B72C9" w:rsidRDefault="009B72C9" w:rsidP="009B72C9"/>
    <w:p w:rsidR="009B72C9" w:rsidRDefault="009B72C9" w:rsidP="009B72C9"/>
    <w:p w:rsidR="009B72C9" w:rsidRDefault="009B72C9" w:rsidP="009B72C9"/>
    <w:p w:rsidR="009B72C9" w:rsidRDefault="009B72C9" w:rsidP="009B72C9"/>
    <w:p w:rsidR="009B72C9" w:rsidRDefault="009B72C9" w:rsidP="009B72C9"/>
    <w:p w:rsidR="009B72C9" w:rsidRDefault="009B72C9" w:rsidP="009B72C9"/>
    <w:p w:rsidR="009B72C9" w:rsidRDefault="009B72C9" w:rsidP="009B72C9"/>
    <w:p w:rsidR="009B72C9" w:rsidRDefault="009B72C9" w:rsidP="009B72C9"/>
    <w:p w:rsidR="009B72C9" w:rsidRPr="009B72C9" w:rsidRDefault="009B72C9" w:rsidP="009B72C9"/>
    <w:p w:rsidR="00171862" w:rsidRPr="009B72C9" w:rsidRDefault="009B72C9" w:rsidP="00030BD5">
      <w:pPr>
        <w:pStyle w:val="Bibliography"/>
        <w:rPr>
          <w:b/>
        </w:rPr>
      </w:pPr>
      <w:r w:rsidRPr="009B72C9">
        <w:rPr>
          <w:b/>
        </w:rPr>
        <w:t>REFERENCES</w:t>
      </w:r>
    </w:p>
    <w:p w:rsidR="008F29D2" w:rsidRDefault="00F53C08" w:rsidP="008F29D2">
      <w:pPr>
        <w:pStyle w:val="Bibliography"/>
      </w:pPr>
      <w:r w:rsidRPr="00AA229D">
        <w:fldChar w:fldCharType="begin"/>
      </w:r>
      <w:r w:rsidR="005D2C02" w:rsidRPr="00AA229D">
        <w:instrText xml:space="preserve"> ADDIN ZOTERO_BIBL {"uncited":[],"omitted":[],"custom":[]} CSL_BIBLIOGRAPHY </w:instrText>
      </w:r>
      <w:r w:rsidRPr="00AA229D">
        <w:fldChar w:fldCharType="separate"/>
      </w:r>
      <w:r w:rsidR="008F29D2">
        <w:t>1.</w:t>
      </w:r>
      <w:r w:rsidR="008F29D2">
        <w:tab/>
        <w:t>Joshi, A., Falodia, S. &amp; Kumar, N. Prevalence of celiac disease among pediatric patients with cryptogenic cirrhosis and effect of gluten-free-diet. (2018).</w:t>
      </w:r>
    </w:p>
    <w:p w:rsidR="008F29D2" w:rsidRDefault="008F29D2" w:rsidP="008F29D2">
      <w:pPr>
        <w:pStyle w:val="Bibliography"/>
      </w:pPr>
      <w:r>
        <w:t>2.</w:t>
      </w:r>
      <w:r>
        <w:tab/>
        <w:t xml:space="preserve">Balkan, A. </w:t>
      </w:r>
      <w:r>
        <w:rPr>
          <w:i/>
          <w:iCs/>
        </w:rPr>
        <w:t>et al.</w:t>
      </w:r>
      <w:r>
        <w:t xml:space="preserve"> Prevalence of celiac disease in patients with hepatitis B and C virus related cirrhosis and cryptogenic liver cirrhosis. </w:t>
      </w:r>
      <w:r>
        <w:rPr>
          <w:i/>
          <w:iCs/>
        </w:rPr>
        <w:t>Biomedical Research</w:t>
      </w:r>
      <w:r>
        <w:t xml:space="preserve"> </w:t>
      </w:r>
      <w:r>
        <w:rPr>
          <w:b/>
          <w:bCs/>
        </w:rPr>
        <w:t>28</w:t>
      </w:r>
      <w:r>
        <w:t>, (2017).</w:t>
      </w:r>
    </w:p>
    <w:p w:rsidR="008F29D2" w:rsidRDefault="008F29D2" w:rsidP="008F29D2">
      <w:pPr>
        <w:pStyle w:val="Bibliography"/>
      </w:pPr>
      <w:r>
        <w:t>3.</w:t>
      </w:r>
      <w:r>
        <w:tab/>
        <w:t xml:space="preserve">Sood, A. </w:t>
      </w:r>
      <w:r>
        <w:rPr>
          <w:i/>
          <w:iCs/>
        </w:rPr>
        <w:t>et al.</w:t>
      </w:r>
      <w:r>
        <w:t xml:space="preserve"> Prevalence and clinical significance of IgA anti-tissue transglutaminase antibodies in patients with chronic liver disease. </w:t>
      </w:r>
      <w:r>
        <w:rPr>
          <w:i/>
          <w:iCs/>
        </w:rPr>
        <w:t>Journal of Gastroenterology and Hepatology</w:t>
      </w:r>
      <w:r>
        <w:t xml:space="preserve"> </w:t>
      </w:r>
      <w:r>
        <w:rPr>
          <w:b/>
          <w:bCs/>
        </w:rPr>
        <w:t>32</w:t>
      </w:r>
      <w:r>
        <w:t>, 446–450 (2017).</w:t>
      </w:r>
    </w:p>
    <w:p w:rsidR="008F29D2" w:rsidRDefault="008F29D2" w:rsidP="008F29D2">
      <w:pPr>
        <w:pStyle w:val="Bibliography"/>
      </w:pPr>
      <w:r>
        <w:t>4.</w:t>
      </w:r>
      <w:r>
        <w:tab/>
        <w:t xml:space="preserve">Maiwall, R. </w:t>
      </w:r>
      <w:r>
        <w:rPr>
          <w:i/>
          <w:iCs/>
        </w:rPr>
        <w:t>et al.</w:t>
      </w:r>
      <w:r>
        <w:t xml:space="preserve"> Investigation into celiac disease in Indian patients with portal hypertension. </w:t>
      </w:r>
      <w:r>
        <w:rPr>
          <w:i/>
          <w:iCs/>
        </w:rPr>
        <w:t>Indian J Gastroenterol</w:t>
      </w:r>
      <w:r>
        <w:t xml:space="preserve"> </w:t>
      </w:r>
      <w:r>
        <w:rPr>
          <w:b/>
          <w:bCs/>
        </w:rPr>
        <w:t>33</w:t>
      </w:r>
      <w:r>
        <w:t>, 517–523 (2014).</w:t>
      </w:r>
    </w:p>
    <w:p w:rsidR="008F29D2" w:rsidRDefault="008F29D2" w:rsidP="008F29D2">
      <w:pPr>
        <w:pStyle w:val="Bibliography"/>
      </w:pPr>
      <w:r>
        <w:t>5.</w:t>
      </w:r>
      <w:r>
        <w:tab/>
        <w:t xml:space="preserve">Wakim-Fleming, J. </w:t>
      </w:r>
      <w:r>
        <w:rPr>
          <w:i/>
          <w:iCs/>
        </w:rPr>
        <w:t>et al.</w:t>
      </w:r>
      <w:r>
        <w:t xml:space="preserve"> Prevalence of celiac disease in cirrhosis and outcome of cirrhosis on a gluten free diet: a prospective study. </w:t>
      </w:r>
      <w:r>
        <w:rPr>
          <w:i/>
          <w:iCs/>
        </w:rPr>
        <w:t>J.Hepatol.</w:t>
      </w:r>
      <w:r>
        <w:t xml:space="preserve"> </w:t>
      </w:r>
      <w:r>
        <w:rPr>
          <w:b/>
          <w:bCs/>
        </w:rPr>
        <w:t>61</w:t>
      </w:r>
      <w:r>
        <w:t>, 558–563 (2014).</w:t>
      </w:r>
    </w:p>
    <w:p w:rsidR="008F29D2" w:rsidRDefault="008F29D2" w:rsidP="008F29D2">
      <w:pPr>
        <w:pStyle w:val="Bibliography"/>
      </w:pPr>
      <w:r>
        <w:t>6.</w:t>
      </w:r>
      <w:r>
        <w:tab/>
        <w:t xml:space="preserve">Drastich, P. Celiac disease markers in patients with liver diseases: A single center large scale screening study. </w:t>
      </w:r>
      <w:r>
        <w:rPr>
          <w:i/>
          <w:iCs/>
        </w:rPr>
        <w:t>World Journal of Gastroenterology</w:t>
      </w:r>
      <w:r>
        <w:t xml:space="preserve"> </w:t>
      </w:r>
      <w:r>
        <w:rPr>
          <w:b/>
          <w:bCs/>
        </w:rPr>
        <w:t>18</w:t>
      </w:r>
      <w:r>
        <w:t>, 6255 (2012).</w:t>
      </w:r>
    </w:p>
    <w:p w:rsidR="008F29D2" w:rsidRDefault="008F29D2" w:rsidP="008F29D2">
      <w:pPr>
        <w:pStyle w:val="Bibliography"/>
      </w:pPr>
      <w:r>
        <w:t>7.</w:t>
      </w:r>
      <w:r>
        <w:tab/>
        <w:t xml:space="preserve">Emami, M. H., Hashemi, M., Kouhestani, S., Taheri, H. &amp; Karimi, S. Should We Look for Celiac Disease among all Patients with Liver Function Test Abnormalities? </w:t>
      </w:r>
      <w:r>
        <w:rPr>
          <w:i/>
          <w:iCs/>
        </w:rPr>
        <w:t>International Journal of Preventive Medicine</w:t>
      </w:r>
      <w:r>
        <w:t xml:space="preserve"> </w:t>
      </w:r>
      <w:r>
        <w:rPr>
          <w:b/>
          <w:bCs/>
        </w:rPr>
        <w:t>3</w:t>
      </w:r>
      <w:r>
        <w:t>, 167–172 (2012).</w:t>
      </w:r>
    </w:p>
    <w:p w:rsidR="008F29D2" w:rsidRDefault="008F29D2" w:rsidP="008F29D2">
      <w:pPr>
        <w:pStyle w:val="Bibliography"/>
      </w:pPr>
      <w:r>
        <w:t>8.</w:t>
      </w:r>
      <w:r>
        <w:tab/>
        <w:t>kaukinen 2002, Red, F., Blood, C. &amp; Service, T. Celiac Disease in Patients With Severe Liver Disease : Gluten-Free Diet May Reverse Hepatic Failure. 881–888 (2002) doi:10.1053/gast.2002.32416.</w:t>
      </w:r>
    </w:p>
    <w:p w:rsidR="008F29D2" w:rsidRDefault="008F29D2" w:rsidP="008F29D2">
      <w:pPr>
        <w:pStyle w:val="Bibliography"/>
      </w:pPr>
      <w:r>
        <w:t>9.</w:t>
      </w:r>
      <w:r>
        <w:tab/>
        <w:t xml:space="preserve">Tanwar, A. </w:t>
      </w:r>
      <w:r>
        <w:rPr>
          <w:i/>
          <w:iCs/>
        </w:rPr>
        <w:t>et al.</w:t>
      </w:r>
      <w:r>
        <w:t xml:space="preserve"> Celiac Disease and Portal Hypertension: A Causal Association or Just a Coincidence? </w:t>
      </w:r>
      <w:r>
        <w:rPr>
          <w:i/>
          <w:iCs/>
        </w:rPr>
        <w:t>J Clin Exp Hepatol</w:t>
      </w:r>
      <w:r>
        <w:t xml:space="preserve"> </w:t>
      </w:r>
      <w:r>
        <w:rPr>
          <w:b/>
          <w:bCs/>
        </w:rPr>
        <w:t>10</w:t>
      </w:r>
      <w:r>
        <w:t>, 290–295 (2020).</w:t>
      </w:r>
    </w:p>
    <w:p w:rsidR="008F29D2" w:rsidRDefault="008F29D2" w:rsidP="008F29D2">
      <w:pPr>
        <w:pStyle w:val="Bibliography"/>
      </w:pPr>
      <w:r>
        <w:t>10.</w:t>
      </w:r>
      <w:r>
        <w:tab/>
        <w:t xml:space="preserve">Germenis, A. E. </w:t>
      </w:r>
      <w:r>
        <w:rPr>
          <w:i/>
          <w:iCs/>
        </w:rPr>
        <w:t>et al.</w:t>
      </w:r>
      <w:r>
        <w:t xml:space="preserve"> Prevalence and clinical significance of immunoglobulin A antibodies against tissue transglutaminase in patients with diverse chronic liver diseases. </w:t>
      </w:r>
      <w:r>
        <w:rPr>
          <w:i/>
          <w:iCs/>
        </w:rPr>
        <w:t>Clinical and Diagnostic Laboratory Immunology</w:t>
      </w:r>
      <w:r>
        <w:t xml:space="preserve"> </w:t>
      </w:r>
      <w:r>
        <w:rPr>
          <w:b/>
          <w:bCs/>
        </w:rPr>
        <w:t>12</w:t>
      </w:r>
      <w:r>
        <w:t>, 941–948 (2005).</w:t>
      </w:r>
    </w:p>
    <w:p w:rsidR="008F29D2" w:rsidRDefault="008F29D2" w:rsidP="008F29D2">
      <w:pPr>
        <w:pStyle w:val="Bibliography"/>
      </w:pPr>
      <w:r>
        <w:t>11.</w:t>
      </w:r>
      <w:r>
        <w:tab/>
        <w:t xml:space="preserve">Vecchi, M. </w:t>
      </w:r>
      <w:r>
        <w:rPr>
          <w:i/>
          <w:iCs/>
        </w:rPr>
        <w:t>et al.</w:t>
      </w:r>
      <w:r>
        <w:t xml:space="preserve"> High rate of positive anti-tissue transglutaminase antibodies in chronic liver disease. Role of liver decompensation and of the antigen source. </w:t>
      </w:r>
      <w:r>
        <w:rPr>
          <w:i/>
          <w:iCs/>
        </w:rPr>
        <w:t>Scand. J. Gastroenterol.</w:t>
      </w:r>
      <w:r>
        <w:t xml:space="preserve"> </w:t>
      </w:r>
      <w:r>
        <w:rPr>
          <w:b/>
          <w:bCs/>
        </w:rPr>
        <w:t>38</w:t>
      </w:r>
      <w:r>
        <w:t>, 50–54 (2003).</w:t>
      </w:r>
    </w:p>
    <w:p w:rsidR="008F29D2" w:rsidRDefault="008F29D2" w:rsidP="008F29D2">
      <w:pPr>
        <w:pStyle w:val="Bibliography"/>
      </w:pPr>
      <w:r>
        <w:t>12.</w:t>
      </w:r>
      <w:r>
        <w:tab/>
        <w:t xml:space="preserve">Carroccio, A. </w:t>
      </w:r>
      <w:r>
        <w:rPr>
          <w:i/>
          <w:iCs/>
        </w:rPr>
        <w:t>et al.</w:t>
      </w:r>
      <w:r>
        <w:t xml:space="preserve"> Guinea pig transglutaminase immunolinked assay does not predict coeliac disease in patients with chronic liver disease. </w:t>
      </w:r>
      <w:r>
        <w:rPr>
          <w:i/>
          <w:iCs/>
        </w:rPr>
        <w:t>Gut</w:t>
      </w:r>
      <w:r>
        <w:t xml:space="preserve"> </w:t>
      </w:r>
      <w:r>
        <w:rPr>
          <w:b/>
          <w:bCs/>
        </w:rPr>
        <w:t>49</w:t>
      </w:r>
      <w:r>
        <w:t>, 506–511 (2001).</w:t>
      </w:r>
    </w:p>
    <w:p w:rsidR="008F29D2" w:rsidRDefault="008F29D2" w:rsidP="008F29D2">
      <w:pPr>
        <w:pStyle w:val="Bibliography"/>
      </w:pPr>
      <w:r>
        <w:t>13.</w:t>
      </w:r>
      <w:r>
        <w:tab/>
        <w:t xml:space="preserve">Ghozzi, M. </w:t>
      </w:r>
      <w:r>
        <w:rPr>
          <w:i/>
          <w:iCs/>
        </w:rPr>
        <w:t>et al.</w:t>
      </w:r>
      <w:r>
        <w:t xml:space="preserve"> Screening for celiac disease, by endomysial antibodies, in patients with unexplained hypertransaminasaemia. </w:t>
      </w:r>
      <w:r>
        <w:rPr>
          <w:i/>
          <w:iCs/>
        </w:rPr>
        <w:t>Scand. J. Clin. Lab. Invest.</w:t>
      </w:r>
      <w:r>
        <w:t xml:space="preserve"> </w:t>
      </w:r>
      <w:r>
        <w:rPr>
          <w:b/>
          <w:bCs/>
        </w:rPr>
        <w:t>77</w:t>
      </w:r>
      <w:r>
        <w:t>, 454–457 (2017).</w:t>
      </w:r>
    </w:p>
    <w:p w:rsidR="008F29D2" w:rsidRDefault="008F29D2" w:rsidP="008F29D2">
      <w:pPr>
        <w:pStyle w:val="Bibliography"/>
      </w:pPr>
      <w:r>
        <w:t>14.</w:t>
      </w:r>
      <w:r>
        <w:tab/>
        <w:t xml:space="preserve">Shahbazkhani B. Celiac disease in cryptogenic hypertransaminasemia. </w:t>
      </w:r>
      <w:r>
        <w:rPr>
          <w:i/>
          <w:iCs/>
        </w:rPr>
        <w:t>embase</w:t>
      </w:r>
      <w:r>
        <w:t xml:space="preserve"> https://www.embase.com/a/#/search/results?subaction=viewrecord&amp;rid=12&amp;page=1&amp;id=L359954461.</w:t>
      </w:r>
    </w:p>
    <w:p w:rsidR="008F29D2" w:rsidRDefault="008F29D2" w:rsidP="008F29D2">
      <w:pPr>
        <w:pStyle w:val="Bibliography"/>
      </w:pPr>
      <w:r>
        <w:t>15.</w:t>
      </w:r>
      <w:r>
        <w:tab/>
        <w:t xml:space="preserve">Iacono, O. L. </w:t>
      </w:r>
      <w:r>
        <w:rPr>
          <w:i/>
          <w:iCs/>
        </w:rPr>
        <w:t>et al.</w:t>
      </w:r>
      <w:r>
        <w:t xml:space="preserve"> Anti-Tissue Transglutaminase Antibodies in Patients with Abnormal Liver Tests : Is It Always Coeliac Disease ? 2472–2477 (2005) doi:10.1111/j.1572-0241.2005.00244.x.</w:t>
      </w:r>
    </w:p>
    <w:p w:rsidR="008F29D2" w:rsidRDefault="008F29D2" w:rsidP="008F29D2">
      <w:pPr>
        <w:pStyle w:val="Bibliography"/>
      </w:pPr>
      <w:r>
        <w:t>16.</w:t>
      </w:r>
      <w:r>
        <w:tab/>
        <w:t xml:space="preserve">Vivas, S. </w:t>
      </w:r>
      <w:r>
        <w:rPr>
          <w:i/>
          <w:iCs/>
        </w:rPr>
        <w:t>et al.</w:t>
      </w:r>
      <w:r>
        <w:t xml:space="preserve"> Human recombinant anti-transglutaminase antibody testing is useful in the diagnosis of silent coeliac disease in a selected group of at-risk patients. </w:t>
      </w:r>
      <w:r>
        <w:rPr>
          <w:i/>
          <w:iCs/>
        </w:rPr>
        <w:t>Eur J Gastroenterol Hepatol</w:t>
      </w:r>
      <w:r>
        <w:t xml:space="preserve"> </w:t>
      </w:r>
      <w:r>
        <w:rPr>
          <w:b/>
          <w:bCs/>
        </w:rPr>
        <w:t>15</w:t>
      </w:r>
      <w:r>
        <w:t>, 479–483 (2003).</w:t>
      </w:r>
    </w:p>
    <w:p w:rsidR="008F29D2" w:rsidRDefault="008F29D2" w:rsidP="008F29D2">
      <w:pPr>
        <w:pStyle w:val="Bibliography"/>
      </w:pPr>
      <w:r>
        <w:t>17.</w:t>
      </w:r>
      <w:r>
        <w:tab/>
        <w:t xml:space="preserve">Múgica, F. </w:t>
      </w:r>
      <w:r>
        <w:rPr>
          <w:i/>
          <w:iCs/>
        </w:rPr>
        <w:t>et al.</w:t>
      </w:r>
      <w:r>
        <w:t xml:space="preserve"> Prevalence of coeliac disease in unexplained chronic hypertransaminasemia. </w:t>
      </w:r>
      <w:r>
        <w:rPr>
          <w:i/>
          <w:iCs/>
        </w:rPr>
        <w:t>Rev Esp Enferm Dig</w:t>
      </w:r>
      <w:r>
        <w:t xml:space="preserve"> </w:t>
      </w:r>
      <w:r>
        <w:rPr>
          <w:b/>
          <w:bCs/>
        </w:rPr>
        <w:t>93</w:t>
      </w:r>
      <w:r>
        <w:t>, 707–714 (2001).</w:t>
      </w:r>
    </w:p>
    <w:p w:rsidR="008F29D2" w:rsidRDefault="008F29D2" w:rsidP="008F29D2">
      <w:pPr>
        <w:pStyle w:val="Bibliography"/>
      </w:pPr>
      <w:r>
        <w:t>18.</w:t>
      </w:r>
      <w:r>
        <w:tab/>
        <w:t xml:space="preserve">Volta, U., Granito, A., De Franceschi, L., Petrolini, N. &amp; Bianchi, F. B. Anti tissue transglutaminase antibodies as predictors of silent coeliac disease in patients with hypertransaminasaemia of unknown origin. </w:t>
      </w:r>
      <w:r>
        <w:rPr>
          <w:i/>
          <w:iCs/>
        </w:rPr>
        <w:t>Dig Liver Dis</w:t>
      </w:r>
      <w:r>
        <w:t xml:space="preserve"> </w:t>
      </w:r>
      <w:r>
        <w:rPr>
          <w:b/>
          <w:bCs/>
        </w:rPr>
        <w:t>33</w:t>
      </w:r>
      <w:r>
        <w:t>, 420–425 (2001).</w:t>
      </w:r>
    </w:p>
    <w:p w:rsidR="008F29D2" w:rsidRDefault="008F29D2" w:rsidP="008F29D2">
      <w:pPr>
        <w:pStyle w:val="Bibliography"/>
      </w:pPr>
      <w:r>
        <w:t>19.</w:t>
      </w:r>
      <w:r>
        <w:tab/>
        <w:t xml:space="preserve">Soresi, M. </w:t>
      </w:r>
      <w:r>
        <w:rPr>
          <w:i/>
          <w:iCs/>
        </w:rPr>
        <w:t>et al.</w:t>
      </w:r>
      <w:r>
        <w:t xml:space="preserve"> Screening for autoantibodies to tissue transglutaminase reveals a low prevalence of celiac disease in blood donors with cryptogenic hypertransaminasemia. </w:t>
      </w:r>
      <w:r>
        <w:rPr>
          <w:i/>
          <w:iCs/>
        </w:rPr>
        <w:t>Digestion</w:t>
      </w:r>
      <w:r>
        <w:t xml:space="preserve"> </w:t>
      </w:r>
      <w:r>
        <w:rPr>
          <w:b/>
          <w:bCs/>
        </w:rPr>
        <w:t>64</w:t>
      </w:r>
      <w:r>
        <w:t>, 87–91 (2001).</w:t>
      </w:r>
    </w:p>
    <w:p w:rsidR="008F29D2" w:rsidRDefault="008F29D2" w:rsidP="008F29D2">
      <w:pPr>
        <w:pStyle w:val="Bibliography"/>
      </w:pPr>
      <w:r>
        <w:t>20.</w:t>
      </w:r>
      <w:r>
        <w:tab/>
        <w:t xml:space="preserve">Bardella, M. T. </w:t>
      </w:r>
      <w:r>
        <w:rPr>
          <w:i/>
          <w:iCs/>
        </w:rPr>
        <w:t>et al.</w:t>
      </w:r>
      <w:r>
        <w:t xml:space="preserve"> Chronic unexplained hypertransaminasemia may be caused by occult celiac disease. </w:t>
      </w:r>
      <w:r>
        <w:rPr>
          <w:i/>
          <w:iCs/>
        </w:rPr>
        <w:t>Hepatology</w:t>
      </w:r>
      <w:r>
        <w:t xml:space="preserve"> </w:t>
      </w:r>
      <w:r>
        <w:rPr>
          <w:b/>
          <w:bCs/>
        </w:rPr>
        <w:t>29</w:t>
      </w:r>
      <w:r>
        <w:t>, 654–657 (1999).</w:t>
      </w:r>
    </w:p>
    <w:p w:rsidR="008F29D2" w:rsidRDefault="008F29D2" w:rsidP="008F29D2">
      <w:pPr>
        <w:pStyle w:val="Bibliography"/>
      </w:pPr>
      <w:r>
        <w:t>21.</w:t>
      </w:r>
      <w:r>
        <w:tab/>
        <w:t xml:space="preserve">Yuan, J., Gao, J., Yao, Y. &amp; Chen, H. Serologic testing for celiac disease in young people with elevated transaminases. </w:t>
      </w:r>
      <w:r>
        <w:rPr>
          <w:i/>
          <w:iCs/>
        </w:rPr>
        <w:t>Turk J Med Sci</w:t>
      </w:r>
      <w:r>
        <w:t xml:space="preserve"> </w:t>
      </w:r>
      <w:r>
        <w:rPr>
          <w:b/>
          <w:bCs/>
        </w:rPr>
        <w:t>45</w:t>
      </w:r>
      <w:r>
        <w:t>, 668–673 (2015).</w:t>
      </w:r>
    </w:p>
    <w:p w:rsidR="008F29D2" w:rsidRDefault="008F29D2" w:rsidP="008F29D2">
      <w:pPr>
        <w:pStyle w:val="Bibliography"/>
      </w:pPr>
      <w:r>
        <w:t>22.</w:t>
      </w:r>
      <w:r>
        <w:tab/>
        <w:t xml:space="preserve">Aggarwal, N. </w:t>
      </w:r>
      <w:r>
        <w:rPr>
          <w:i/>
          <w:iCs/>
        </w:rPr>
        <w:t>et al.</w:t>
      </w:r>
      <w:r>
        <w:t xml:space="preserve"> Prevalence of elevated alanine aminotransferase levels in adult participants from a community-based study from northern part of India. </w:t>
      </w:r>
      <w:r>
        <w:rPr>
          <w:i/>
          <w:iCs/>
        </w:rPr>
        <w:t>Indian J Gastroenterol</w:t>
      </w:r>
      <w:r>
        <w:t xml:space="preserve"> </w:t>
      </w:r>
      <w:r>
        <w:rPr>
          <w:b/>
          <w:bCs/>
        </w:rPr>
        <w:t>39</w:t>
      </w:r>
      <w:r>
        <w:t>, 608–613 (2020).</w:t>
      </w:r>
    </w:p>
    <w:p w:rsidR="008F29D2" w:rsidRDefault="008F29D2" w:rsidP="008F29D2">
      <w:pPr>
        <w:pStyle w:val="Bibliography"/>
      </w:pPr>
      <w:r>
        <w:t>23.</w:t>
      </w:r>
      <w:r>
        <w:tab/>
        <w:t xml:space="preserve">Reiberger, T. </w:t>
      </w:r>
      <w:r>
        <w:rPr>
          <w:i/>
          <w:iCs/>
        </w:rPr>
        <w:t>et al.</w:t>
      </w:r>
      <w:r>
        <w:t xml:space="preserve"> Non-selective betablocker therapy decreases intestinal permeability and serum levels of LBP and IL-6 in patients with cirrhosis. </w:t>
      </w:r>
      <w:r>
        <w:rPr>
          <w:i/>
          <w:iCs/>
        </w:rPr>
        <w:t>J. Hepatol.</w:t>
      </w:r>
      <w:r>
        <w:t xml:space="preserve"> </w:t>
      </w:r>
      <w:r>
        <w:rPr>
          <w:b/>
          <w:bCs/>
        </w:rPr>
        <w:t>58</w:t>
      </w:r>
      <w:r>
        <w:t>, 911–921 (2013).</w:t>
      </w:r>
    </w:p>
    <w:p w:rsidR="008F29D2" w:rsidRDefault="008F29D2" w:rsidP="008F29D2">
      <w:pPr>
        <w:pStyle w:val="Bibliography"/>
      </w:pPr>
      <w:r>
        <w:t>24.</w:t>
      </w:r>
      <w:r>
        <w:tab/>
        <w:t xml:space="preserve">Kochhar, R. </w:t>
      </w:r>
      <w:r>
        <w:rPr>
          <w:i/>
          <w:iCs/>
        </w:rPr>
        <w:t>et al.</w:t>
      </w:r>
      <w:r>
        <w:t xml:space="preserve"> Celiac disease suspected at endoscopy in patients with chronic liver disease. </w:t>
      </w:r>
      <w:r>
        <w:rPr>
          <w:i/>
          <w:iCs/>
        </w:rPr>
        <w:t>Indian J Gastroenterol</w:t>
      </w:r>
      <w:r>
        <w:t xml:space="preserve"> </w:t>
      </w:r>
      <w:r>
        <w:rPr>
          <w:b/>
          <w:bCs/>
        </w:rPr>
        <w:t>30</w:t>
      </w:r>
      <w:r>
        <w:t>, 166–169 (2011).</w:t>
      </w:r>
    </w:p>
    <w:p w:rsidR="008F29D2" w:rsidRDefault="008F29D2" w:rsidP="008F29D2">
      <w:pPr>
        <w:pStyle w:val="Bibliography"/>
      </w:pPr>
      <w:r>
        <w:t>25.</w:t>
      </w:r>
      <w:r>
        <w:tab/>
        <w:t xml:space="preserve">Wakim-Fleming, J. </w:t>
      </w:r>
      <w:r>
        <w:rPr>
          <w:i/>
          <w:iCs/>
        </w:rPr>
        <w:t>et al.</w:t>
      </w:r>
      <w:r>
        <w:t xml:space="preserve"> Histological abnormalities of the small bowel mucosa in cirrhosis and portal hypertension. </w:t>
      </w:r>
      <w:r>
        <w:rPr>
          <w:i/>
          <w:iCs/>
        </w:rPr>
        <w:t>World J. Gastroenterol.</w:t>
      </w:r>
      <w:r>
        <w:t xml:space="preserve"> </w:t>
      </w:r>
      <w:r>
        <w:rPr>
          <w:b/>
          <w:bCs/>
        </w:rPr>
        <w:t>14</w:t>
      </w:r>
      <w:r>
        <w:t>, 6370–6375 (2008).</w:t>
      </w:r>
    </w:p>
    <w:p w:rsidR="008F29D2" w:rsidRDefault="008F29D2" w:rsidP="008F29D2">
      <w:pPr>
        <w:pStyle w:val="Bibliography"/>
      </w:pPr>
      <w:r>
        <w:t>26.</w:t>
      </w:r>
      <w:r>
        <w:tab/>
        <w:t xml:space="preserve">Cvetkovic, L. </w:t>
      </w:r>
      <w:r>
        <w:rPr>
          <w:i/>
          <w:iCs/>
        </w:rPr>
        <w:t>et al.</w:t>
      </w:r>
      <w:r>
        <w:t xml:space="preserve"> Discordance Between Serology and Histology for Celiac Disease in a Cohort with Coexisting Liver Disorders. </w:t>
      </w:r>
      <w:r>
        <w:rPr>
          <w:i/>
          <w:iCs/>
        </w:rPr>
        <w:t>J Can Assoc Gastroenterol</w:t>
      </w:r>
      <w:r>
        <w:t xml:space="preserve"> </w:t>
      </w:r>
      <w:r>
        <w:rPr>
          <w:b/>
          <w:bCs/>
        </w:rPr>
        <w:t>3</w:t>
      </w:r>
      <w:r>
        <w:t>, 185–193 (2020).</w:t>
      </w:r>
    </w:p>
    <w:p w:rsidR="008F29D2" w:rsidRDefault="008F29D2" w:rsidP="008F29D2">
      <w:pPr>
        <w:pStyle w:val="Bibliography"/>
      </w:pPr>
      <w:r>
        <w:t>27.</w:t>
      </w:r>
      <w:r>
        <w:tab/>
        <w:t xml:space="preserve">Iorio, R., Sepe, A., Giannattasio, A., Cirillo, F. &amp; Vegnente, A. Hypertransaminasemia in childhood as a marker of genetic liver disorders. </w:t>
      </w:r>
      <w:r>
        <w:rPr>
          <w:i/>
          <w:iCs/>
        </w:rPr>
        <w:t>J. Gastroenterol.</w:t>
      </w:r>
      <w:r>
        <w:t xml:space="preserve"> </w:t>
      </w:r>
      <w:r>
        <w:rPr>
          <w:b/>
          <w:bCs/>
        </w:rPr>
        <w:t>40</w:t>
      </w:r>
      <w:r>
        <w:t>, 820–826 (2005).</w:t>
      </w:r>
    </w:p>
    <w:p w:rsidR="008F29D2" w:rsidRDefault="008F29D2" w:rsidP="008F29D2">
      <w:pPr>
        <w:pStyle w:val="Bibliography"/>
      </w:pPr>
      <w:r>
        <w:t>28.</w:t>
      </w:r>
      <w:r>
        <w:tab/>
        <w:t xml:space="preserve">Khorashad, A. </w:t>
      </w:r>
      <w:r>
        <w:rPr>
          <w:i/>
          <w:iCs/>
        </w:rPr>
        <w:t>et al.</w:t>
      </w:r>
      <w:r>
        <w:t xml:space="preserve"> Causes of Persistently Elevated Alanine Aminotransferase Levels in Patients who Presented to Two Referral Hospitals in Mashhad, Iran during 2011. </w:t>
      </w:r>
      <w:r>
        <w:rPr>
          <w:i/>
          <w:iCs/>
        </w:rPr>
        <w:t>Middle East J Dig Dis</w:t>
      </w:r>
      <w:r>
        <w:t xml:space="preserve"> </w:t>
      </w:r>
      <w:r>
        <w:rPr>
          <w:b/>
          <w:bCs/>
        </w:rPr>
        <w:t>6</w:t>
      </w:r>
      <w:r>
        <w:t>, 18–22 (2014).</w:t>
      </w:r>
    </w:p>
    <w:p w:rsidR="008F29D2" w:rsidRDefault="008F29D2" w:rsidP="008F29D2">
      <w:pPr>
        <w:pStyle w:val="Bibliography"/>
      </w:pPr>
      <w:r>
        <w:t>29.</w:t>
      </w:r>
      <w:r>
        <w:tab/>
        <w:t xml:space="preserve">Villalta, D. </w:t>
      </w:r>
      <w:r>
        <w:rPr>
          <w:i/>
          <w:iCs/>
        </w:rPr>
        <w:t>et al.</w:t>
      </w:r>
      <w:r>
        <w:t xml:space="preserve"> False positive reactions for IgA and IgG anti-tissue transglutaminase antibodies in liver cirrhosis are common and method-dependent. </w:t>
      </w:r>
      <w:r>
        <w:rPr>
          <w:i/>
          <w:iCs/>
        </w:rPr>
        <w:t>Clin. Chim. Acta</w:t>
      </w:r>
      <w:r>
        <w:t xml:space="preserve"> </w:t>
      </w:r>
      <w:r>
        <w:rPr>
          <w:b/>
          <w:bCs/>
        </w:rPr>
        <w:t>356</w:t>
      </w:r>
      <w:r>
        <w:t>, 102–109 (2005).</w:t>
      </w:r>
    </w:p>
    <w:p w:rsidR="008F29D2" w:rsidRDefault="008F29D2" w:rsidP="008F29D2">
      <w:pPr>
        <w:pStyle w:val="Bibliography"/>
      </w:pPr>
      <w:r>
        <w:t>30.</w:t>
      </w:r>
      <w:r>
        <w:tab/>
        <w:t xml:space="preserve">Lindgren, S., Sjöberg, K. &amp; Eriksson, S. Unsuspected coeliac disease in chronic ‘cryptogenic’ liver disease. </w:t>
      </w:r>
      <w:r>
        <w:rPr>
          <w:i/>
          <w:iCs/>
        </w:rPr>
        <w:t>Scandinavian Journal of Gastroenterology</w:t>
      </w:r>
      <w:r>
        <w:t xml:space="preserve"> </w:t>
      </w:r>
      <w:r>
        <w:rPr>
          <w:b/>
          <w:bCs/>
        </w:rPr>
        <w:t>29</w:t>
      </w:r>
      <w:r>
        <w:t>, 661–664 (1994).</w:t>
      </w:r>
    </w:p>
    <w:p w:rsidR="008F29D2" w:rsidRDefault="008F29D2" w:rsidP="008F29D2">
      <w:pPr>
        <w:pStyle w:val="Bibliography"/>
      </w:pPr>
      <w:r>
        <w:t>31.</w:t>
      </w:r>
      <w:r>
        <w:tab/>
        <w:t xml:space="preserve">Ferrari, F., Mennini, M. &amp; Cucchiara, S. Portal hypertension and celiac disease: a true association? </w:t>
      </w:r>
      <w:r>
        <w:rPr>
          <w:i/>
          <w:iCs/>
        </w:rPr>
        <w:t>Indian J Gastroenterol</w:t>
      </w:r>
      <w:r>
        <w:t xml:space="preserve"> </w:t>
      </w:r>
      <w:r>
        <w:rPr>
          <w:b/>
          <w:bCs/>
        </w:rPr>
        <w:t>34</w:t>
      </w:r>
      <w:r>
        <w:t>, 273–274 (2015).</w:t>
      </w:r>
    </w:p>
    <w:p w:rsidR="008F29D2" w:rsidRDefault="008F29D2" w:rsidP="008F29D2">
      <w:pPr>
        <w:pStyle w:val="Bibliography"/>
      </w:pPr>
      <w:r>
        <w:t>32.</w:t>
      </w:r>
      <w:r>
        <w:tab/>
        <w:t xml:space="preserve">Maggiore, G. &amp; Caprai, S. The liver in celiac disease. </w:t>
      </w:r>
      <w:r>
        <w:rPr>
          <w:i/>
          <w:iCs/>
        </w:rPr>
        <w:t>J. Pediatr. Gastroenterol. Nutr.</w:t>
      </w:r>
      <w:r>
        <w:t xml:space="preserve"> </w:t>
      </w:r>
      <w:r>
        <w:rPr>
          <w:b/>
          <w:bCs/>
        </w:rPr>
        <w:t>37</w:t>
      </w:r>
      <w:r>
        <w:t>, 117–119 (2003).</w:t>
      </w:r>
    </w:p>
    <w:p w:rsidR="008F29D2" w:rsidRDefault="008F29D2" w:rsidP="008F29D2">
      <w:pPr>
        <w:pStyle w:val="Bibliography"/>
      </w:pPr>
      <w:r>
        <w:t>33.</w:t>
      </w:r>
      <w:r>
        <w:tab/>
        <w:t xml:space="preserve">Maggiore, G. &amp; Caprai, S. Liver involvement in celiac disease. </w:t>
      </w:r>
      <w:r>
        <w:rPr>
          <w:i/>
          <w:iCs/>
        </w:rPr>
        <w:t>Indian J Pediatr</w:t>
      </w:r>
      <w:r>
        <w:t xml:space="preserve"> </w:t>
      </w:r>
      <w:r>
        <w:rPr>
          <w:b/>
          <w:bCs/>
        </w:rPr>
        <w:t>73</w:t>
      </w:r>
      <w:r>
        <w:t>, 809–811 (2006).</w:t>
      </w:r>
    </w:p>
    <w:p w:rsidR="008F29D2" w:rsidRDefault="008F29D2" w:rsidP="008F29D2">
      <w:pPr>
        <w:pStyle w:val="Bibliography"/>
      </w:pPr>
      <w:r>
        <w:t>34.</w:t>
      </w:r>
      <w:r>
        <w:tab/>
        <w:t xml:space="preserve">Narciso-Schiavon, J. L. &amp; Schiavon, L. L. To screen or not to screen? Celiac antibodies in liver diseases. </w:t>
      </w:r>
      <w:r>
        <w:rPr>
          <w:i/>
          <w:iCs/>
        </w:rPr>
        <w:t>World J. Gastroenterol.</w:t>
      </w:r>
      <w:r>
        <w:t xml:space="preserve"> </w:t>
      </w:r>
      <w:r>
        <w:rPr>
          <w:b/>
          <w:bCs/>
        </w:rPr>
        <w:t>23</w:t>
      </w:r>
      <w:r>
        <w:t>, 776–791 (2017).</w:t>
      </w:r>
    </w:p>
    <w:p w:rsidR="008F29D2" w:rsidRDefault="008F29D2" w:rsidP="008F29D2">
      <w:pPr>
        <w:pStyle w:val="Bibliography"/>
      </w:pPr>
      <w:r>
        <w:t>35.</w:t>
      </w:r>
      <w:r>
        <w:tab/>
        <w:t xml:space="preserve">Rubio-Tapia, A. &amp; Murray, J. A. The liver in celiac disease. </w:t>
      </w:r>
      <w:r>
        <w:rPr>
          <w:i/>
          <w:iCs/>
        </w:rPr>
        <w:t>Hepatology</w:t>
      </w:r>
      <w:r>
        <w:t xml:space="preserve"> </w:t>
      </w:r>
      <w:r>
        <w:rPr>
          <w:b/>
          <w:bCs/>
        </w:rPr>
        <w:t>46</w:t>
      </w:r>
      <w:r>
        <w:t>, 1650–1658 (2007).</w:t>
      </w:r>
    </w:p>
    <w:p w:rsidR="008F29D2" w:rsidRDefault="008F29D2" w:rsidP="008F29D2">
      <w:pPr>
        <w:pStyle w:val="Bibliography"/>
      </w:pPr>
      <w:r>
        <w:t>36.</w:t>
      </w:r>
      <w:r>
        <w:tab/>
        <w:t xml:space="preserve">Sainsbury, A., Sanders, D. S. &amp; Ford, A. C. Meta-analysis: Coeliac disease and hypertransaminasaemia. </w:t>
      </w:r>
      <w:r>
        <w:rPr>
          <w:i/>
          <w:iCs/>
        </w:rPr>
        <w:t>Aliment. Pharmacol. Ther.</w:t>
      </w:r>
      <w:r>
        <w:t xml:space="preserve"> </w:t>
      </w:r>
      <w:r>
        <w:rPr>
          <w:b/>
          <w:bCs/>
        </w:rPr>
        <w:t>34</w:t>
      </w:r>
      <w:r>
        <w:t>, 33–40 (2011).</w:t>
      </w:r>
    </w:p>
    <w:p w:rsidR="008F29D2" w:rsidRDefault="008F29D2" w:rsidP="008F29D2">
      <w:pPr>
        <w:pStyle w:val="Bibliography"/>
      </w:pPr>
      <w:r>
        <w:t>37.</w:t>
      </w:r>
      <w:r>
        <w:tab/>
        <w:t xml:space="preserve">Vajro, P., Paolella, G., Maggiore, G. &amp; Giordano, G. Pediatric Celiac Disease, Cryptogenic Hypertransaminasemia, and Autoimmune Hepatitis: </w:t>
      </w:r>
      <w:r>
        <w:rPr>
          <w:i/>
          <w:iCs/>
        </w:rPr>
        <w:t>Journal of Pediatric Gastroenterology and Nutrition</w:t>
      </w:r>
      <w:r>
        <w:t xml:space="preserve"> </w:t>
      </w:r>
      <w:r>
        <w:rPr>
          <w:b/>
          <w:bCs/>
        </w:rPr>
        <w:t>56</w:t>
      </w:r>
      <w:r>
        <w:t>, 663–670 (2013).</w:t>
      </w:r>
    </w:p>
    <w:p w:rsidR="008F29D2" w:rsidRDefault="008F29D2" w:rsidP="008F29D2">
      <w:pPr>
        <w:pStyle w:val="Bibliography"/>
      </w:pPr>
      <w:r>
        <w:t>38.</w:t>
      </w:r>
      <w:r>
        <w:tab/>
        <w:t xml:space="preserve">Volta, U. Liver dysfunction in celiac disease. </w:t>
      </w:r>
      <w:r>
        <w:rPr>
          <w:i/>
          <w:iCs/>
        </w:rPr>
        <w:t>Minerva Med.</w:t>
      </w:r>
      <w:r>
        <w:t xml:space="preserve"> </w:t>
      </w:r>
      <w:r>
        <w:rPr>
          <w:b/>
          <w:bCs/>
        </w:rPr>
        <w:t>99</w:t>
      </w:r>
      <w:r>
        <w:t>, 619–629 (2008).</w:t>
      </w:r>
    </w:p>
    <w:p w:rsidR="008F29D2" w:rsidRDefault="008F29D2" w:rsidP="008F29D2">
      <w:pPr>
        <w:pStyle w:val="Bibliography"/>
      </w:pPr>
      <w:r>
        <w:t>39.</w:t>
      </w:r>
      <w:r>
        <w:tab/>
        <w:t xml:space="preserve">Verslype, C. Evaluation of abnormal liver-enzyme results in asymptomatic patients. </w:t>
      </w:r>
      <w:r>
        <w:rPr>
          <w:i/>
          <w:iCs/>
        </w:rPr>
        <w:t>Acta Clin Belg</w:t>
      </w:r>
      <w:r>
        <w:t xml:space="preserve"> </w:t>
      </w:r>
      <w:r>
        <w:rPr>
          <w:b/>
          <w:bCs/>
        </w:rPr>
        <w:t>59</w:t>
      </w:r>
      <w:r>
        <w:t>, 285–289 (2004).</w:t>
      </w:r>
    </w:p>
    <w:p w:rsidR="008F29D2" w:rsidRDefault="008F29D2" w:rsidP="008F29D2">
      <w:pPr>
        <w:pStyle w:val="Bibliography"/>
      </w:pPr>
      <w:r>
        <w:t>40.</w:t>
      </w:r>
      <w:r>
        <w:tab/>
        <w:t xml:space="preserve">Al-Busafi, S. A. &amp; Hilzenrat, N. Mild Hypertransaminasemia in Primary Care. </w:t>
      </w:r>
      <w:r>
        <w:rPr>
          <w:i/>
          <w:iCs/>
        </w:rPr>
        <w:t>ISRN Hepatol</w:t>
      </w:r>
      <w:r>
        <w:t xml:space="preserve"> </w:t>
      </w:r>
      <w:r>
        <w:rPr>
          <w:b/>
          <w:bCs/>
        </w:rPr>
        <w:t>2013</w:t>
      </w:r>
      <w:r>
        <w:t>, 256426 (2013).</w:t>
      </w:r>
    </w:p>
    <w:p w:rsidR="008F29D2" w:rsidRDefault="008F29D2" w:rsidP="008F29D2">
      <w:pPr>
        <w:pStyle w:val="Bibliography"/>
      </w:pPr>
      <w:r>
        <w:t>41.</w:t>
      </w:r>
      <w:r>
        <w:tab/>
        <w:t xml:space="preserve">Analysis, A. E. </w:t>
      </w:r>
      <w:r>
        <w:rPr>
          <w:i/>
          <w:iCs/>
        </w:rPr>
        <w:t>Clinical Utility of Serologic Testing for Celiac Disease in Asymptomatic Patients</w:t>
      </w:r>
      <w:r>
        <w:t>. vol. 11 (2011).</w:t>
      </w:r>
    </w:p>
    <w:p w:rsidR="008F29D2" w:rsidRDefault="008F29D2" w:rsidP="008F29D2">
      <w:pPr>
        <w:pStyle w:val="Bibliography"/>
      </w:pPr>
      <w:r>
        <w:t>42.</w:t>
      </w:r>
      <w:r>
        <w:tab/>
        <w:t xml:space="preserve">Alavi Moghaddam, M. </w:t>
      </w:r>
      <w:r>
        <w:rPr>
          <w:i/>
          <w:iCs/>
        </w:rPr>
        <w:t>et al.</w:t>
      </w:r>
      <w:r>
        <w:t xml:space="preserve"> The effects of gluten-free diet on hypertransaminasemia in patients with celiac disease. </w:t>
      </w:r>
      <w:r>
        <w:rPr>
          <w:i/>
          <w:iCs/>
        </w:rPr>
        <w:t>Int J Prev Med</w:t>
      </w:r>
      <w:r>
        <w:t xml:space="preserve"> </w:t>
      </w:r>
      <w:r>
        <w:rPr>
          <w:b/>
          <w:bCs/>
        </w:rPr>
        <w:t>4</w:t>
      </w:r>
      <w:r>
        <w:t>, 700–704 (2013).</w:t>
      </w:r>
    </w:p>
    <w:p w:rsidR="008F29D2" w:rsidRDefault="008F29D2" w:rsidP="008F29D2">
      <w:pPr>
        <w:pStyle w:val="Bibliography"/>
      </w:pPr>
      <w:r>
        <w:t>43.</w:t>
      </w:r>
      <w:r>
        <w:tab/>
        <w:t xml:space="preserve">Villavicencio Kim, J. &amp; Wu, G. Y. Celiac Disease and Elevated Liver Enzymes: A Review. </w:t>
      </w:r>
      <w:r>
        <w:rPr>
          <w:i/>
          <w:iCs/>
        </w:rPr>
        <w:t>Journal of Clinical and Translational Hepatology</w:t>
      </w:r>
      <w:r>
        <w:t xml:space="preserve"> </w:t>
      </w:r>
      <w:r>
        <w:rPr>
          <w:b/>
          <w:bCs/>
        </w:rPr>
        <w:t>0</w:t>
      </w:r>
      <w:r>
        <w:t>, 1–9 (2020).</w:t>
      </w:r>
    </w:p>
    <w:p w:rsidR="008F29D2" w:rsidRDefault="008F29D2" w:rsidP="008F29D2">
      <w:pPr>
        <w:pStyle w:val="Bibliography"/>
      </w:pPr>
      <w:r>
        <w:t>44.</w:t>
      </w:r>
      <w:r>
        <w:tab/>
        <w:t xml:space="preserve">Abdo, A., Meddings, J. &amp; Swain, M. Liver abnormalities in celiac disease. </w:t>
      </w:r>
      <w:r>
        <w:rPr>
          <w:i/>
          <w:iCs/>
        </w:rPr>
        <w:t>Clinical Gastroenterology and Hepatology</w:t>
      </w:r>
      <w:r>
        <w:t xml:space="preserve"> </w:t>
      </w:r>
      <w:r>
        <w:rPr>
          <w:b/>
          <w:bCs/>
        </w:rPr>
        <w:t>2</w:t>
      </w:r>
      <w:r>
        <w:t>, 107–112 (2004).</w:t>
      </w:r>
    </w:p>
    <w:p w:rsidR="008F29D2" w:rsidRDefault="008F29D2" w:rsidP="008F29D2">
      <w:pPr>
        <w:pStyle w:val="Bibliography"/>
      </w:pPr>
      <w:r>
        <w:t>45.</w:t>
      </w:r>
      <w:r>
        <w:tab/>
        <w:t xml:space="preserve">Burda-Muszynska, B. </w:t>
      </w:r>
      <w:r>
        <w:rPr>
          <w:i/>
          <w:iCs/>
        </w:rPr>
        <w:t>et al.</w:t>
      </w:r>
      <w:r>
        <w:t xml:space="preserve"> ATYPICAL CELIAC DISEASE IN RISK GROUPS OF POLISH CHILDREN. </w:t>
      </w:r>
      <w:r>
        <w:rPr>
          <w:i/>
          <w:iCs/>
        </w:rPr>
        <w:t>Journal of Pediatric Gastroenterology and Nutrition</w:t>
      </w:r>
      <w:r>
        <w:t xml:space="preserve"> </w:t>
      </w:r>
      <w:r>
        <w:rPr>
          <w:b/>
          <w:bCs/>
        </w:rPr>
        <w:t>42</w:t>
      </w:r>
      <w:r>
        <w:t>, E23 (2006).</w:t>
      </w:r>
    </w:p>
    <w:p w:rsidR="008F29D2" w:rsidRDefault="008F29D2" w:rsidP="008F29D2">
      <w:pPr>
        <w:pStyle w:val="Bibliography"/>
      </w:pPr>
      <w:r>
        <w:t>46.</w:t>
      </w:r>
      <w:r>
        <w:tab/>
        <w:t xml:space="preserve">Hill, I. D. </w:t>
      </w:r>
      <w:r>
        <w:rPr>
          <w:i/>
          <w:iCs/>
        </w:rPr>
        <w:t>et al.</w:t>
      </w:r>
      <w:r>
        <w:t xml:space="preserve"> NASPGHAN Clinical Report on the Diagnosis and Treatment of Gluten-related Disorders. </w:t>
      </w:r>
      <w:r>
        <w:rPr>
          <w:i/>
          <w:iCs/>
        </w:rPr>
        <w:t>J. Pediatr. Gastroenterol. Nutr.</w:t>
      </w:r>
      <w:r>
        <w:t xml:space="preserve"> </w:t>
      </w:r>
      <w:r>
        <w:rPr>
          <w:b/>
          <w:bCs/>
        </w:rPr>
        <w:t>63</w:t>
      </w:r>
      <w:r>
        <w:t>, 156–165 (2016).</w:t>
      </w:r>
    </w:p>
    <w:p w:rsidR="008F29D2" w:rsidRDefault="008F29D2" w:rsidP="008F29D2">
      <w:pPr>
        <w:pStyle w:val="Bibliography"/>
      </w:pPr>
      <w:r>
        <w:t>47.</w:t>
      </w:r>
      <w:r>
        <w:tab/>
        <w:t xml:space="preserve">Carroccio, A., Soresi, M., Di Prima, L. &amp; Montalto, G. Screening for celiac disease in patients with chronic liver disease. </w:t>
      </w:r>
      <w:r>
        <w:rPr>
          <w:i/>
          <w:iCs/>
        </w:rPr>
        <w:t>Gastroenterology</w:t>
      </w:r>
      <w:r>
        <w:t xml:space="preserve"> </w:t>
      </w:r>
      <w:r>
        <w:rPr>
          <w:b/>
          <w:bCs/>
        </w:rPr>
        <w:t>125</w:t>
      </w:r>
      <w:r>
        <w:t>, 1289 (2003).</w:t>
      </w:r>
    </w:p>
    <w:p w:rsidR="008F29D2" w:rsidRDefault="008F29D2" w:rsidP="008F29D2">
      <w:pPr>
        <w:pStyle w:val="Bibliography"/>
      </w:pPr>
      <w:r>
        <w:t>48.</w:t>
      </w:r>
      <w:r>
        <w:tab/>
        <w:t xml:space="preserve">Nejad, M. R. &amp; Alavian, S. Celiac Disease and Abnormal Liver Function Test. </w:t>
      </w:r>
      <w:r>
        <w:rPr>
          <w:b/>
          <w:bCs/>
        </w:rPr>
        <w:t>3</w:t>
      </w:r>
      <w:r>
        <w:t>, 745–746 (2012).</w:t>
      </w:r>
    </w:p>
    <w:p w:rsidR="008F29D2" w:rsidRDefault="008F29D2" w:rsidP="008F29D2">
      <w:pPr>
        <w:pStyle w:val="Bibliography"/>
      </w:pPr>
      <w:r>
        <w:t>49.</w:t>
      </w:r>
      <w:r>
        <w:tab/>
        <w:t xml:space="preserve">El Hasbaoui, B., El Mahi, J., Abilkassem, R. &amp; Agadr, A. Coeliac disease hidden by cryptogenic hypertransaminasaemia in children: a case report. </w:t>
      </w:r>
      <w:r>
        <w:rPr>
          <w:i/>
          <w:iCs/>
        </w:rPr>
        <w:t>Pan Afr Med J</w:t>
      </w:r>
      <w:r>
        <w:t xml:space="preserve"> </w:t>
      </w:r>
      <w:r>
        <w:rPr>
          <w:b/>
          <w:bCs/>
        </w:rPr>
        <w:t>41</w:t>
      </w:r>
      <w:r>
        <w:t>, 27 (2022).</w:t>
      </w:r>
    </w:p>
    <w:p w:rsidR="008F29D2" w:rsidRDefault="008F29D2" w:rsidP="008F29D2">
      <w:pPr>
        <w:pStyle w:val="Bibliography"/>
      </w:pPr>
      <w:r>
        <w:t>50.</w:t>
      </w:r>
      <w:r>
        <w:tab/>
        <w:t xml:space="preserve">Foroutan, M., Nejad, M. R., Molanaee, S., Hogg-Kollars, S. &amp; Rostami, K. Celiac disease hidden by cryptogenic hypertransaminasemia mistaken for fatty liver. </w:t>
      </w:r>
      <w:r>
        <w:rPr>
          <w:i/>
          <w:iCs/>
        </w:rPr>
        <w:t>Bratisl Lek Listy</w:t>
      </w:r>
      <w:r>
        <w:t xml:space="preserve"> </w:t>
      </w:r>
      <w:r>
        <w:rPr>
          <w:b/>
          <w:bCs/>
        </w:rPr>
        <w:t>114</w:t>
      </w:r>
      <w:r>
        <w:t>, 547–548 (2013).</w:t>
      </w:r>
    </w:p>
    <w:p w:rsidR="008F29D2" w:rsidRDefault="008F29D2" w:rsidP="008F29D2">
      <w:pPr>
        <w:pStyle w:val="Bibliography"/>
      </w:pPr>
      <w:r>
        <w:t>51.</w:t>
      </w:r>
      <w:r>
        <w:tab/>
        <w:t xml:space="preserve">Kaya, M., Beştaş, R., Çetın, S. &amp; Büyükbayram, H. Clinical remission after strict gluten-free diet in a patient with celiac disease, advanced cryptogenic cirrhosis and splenic atrophy. </w:t>
      </w:r>
      <w:r>
        <w:rPr>
          <w:i/>
          <w:iCs/>
        </w:rPr>
        <w:t>Turk J Gastroenterol</w:t>
      </w:r>
      <w:r>
        <w:t xml:space="preserve"> </w:t>
      </w:r>
      <w:r>
        <w:rPr>
          <w:b/>
          <w:bCs/>
        </w:rPr>
        <w:t>23</w:t>
      </w:r>
      <w:r>
        <w:t>, 619–621 (2012).</w:t>
      </w:r>
    </w:p>
    <w:p w:rsidR="008F29D2" w:rsidRDefault="008F29D2" w:rsidP="008F29D2">
      <w:pPr>
        <w:pStyle w:val="Bibliography"/>
      </w:pPr>
      <w:r>
        <w:t>52.</w:t>
      </w:r>
      <w:r>
        <w:tab/>
        <w:t xml:space="preserve">Ojetti, V. </w:t>
      </w:r>
      <w:r>
        <w:rPr>
          <w:i/>
          <w:iCs/>
        </w:rPr>
        <w:t>et al.</w:t>
      </w:r>
      <w:r>
        <w:t xml:space="preserve"> Acute cryptogenic liver failure in an untreated coeliac patient: a case report. </w:t>
      </w:r>
      <w:r>
        <w:rPr>
          <w:i/>
          <w:iCs/>
        </w:rPr>
        <w:t>Eur J Gastroenterol Hepatol</w:t>
      </w:r>
      <w:r>
        <w:t xml:space="preserve"> </w:t>
      </w:r>
      <w:r>
        <w:rPr>
          <w:b/>
          <w:bCs/>
        </w:rPr>
        <w:t>17</w:t>
      </w:r>
      <w:r>
        <w:t>, 1119–1121 (2005).</w:t>
      </w:r>
    </w:p>
    <w:p w:rsidR="008F29D2" w:rsidRDefault="008F29D2" w:rsidP="008F29D2">
      <w:pPr>
        <w:pStyle w:val="Bibliography"/>
      </w:pPr>
      <w:r>
        <w:t>53.</w:t>
      </w:r>
      <w:r>
        <w:tab/>
        <w:t xml:space="preserve">Vajro, P. </w:t>
      </w:r>
      <w:r>
        <w:rPr>
          <w:i/>
          <w:iCs/>
        </w:rPr>
        <w:t>et al.</w:t>
      </w:r>
      <w:r>
        <w:t xml:space="preserve"> Elevated serum aminotransferase activity as an early manifestation of gluten-sensitive enteropathy. </w:t>
      </w:r>
      <w:r>
        <w:rPr>
          <w:i/>
          <w:iCs/>
        </w:rPr>
        <w:t>J. Pediatr.</w:t>
      </w:r>
      <w:r>
        <w:t xml:space="preserve"> </w:t>
      </w:r>
      <w:r>
        <w:rPr>
          <w:b/>
          <w:bCs/>
        </w:rPr>
        <w:t>122</w:t>
      </w:r>
      <w:r>
        <w:t>, 416–419 (1993).</w:t>
      </w:r>
    </w:p>
    <w:p w:rsidR="008F29D2" w:rsidRDefault="008F29D2" w:rsidP="008F29D2">
      <w:pPr>
        <w:pStyle w:val="Bibliography"/>
      </w:pPr>
      <w:r>
        <w:t>54.</w:t>
      </w:r>
      <w:r>
        <w:tab/>
        <w:t xml:space="preserve">Stevens, F. M. &amp; McLoughlin, R. M. Is coeliac disease a potentially treatable cause of liver failure? </w:t>
      </w:r>
      <w:r>
        <w:rPr>
          <w:i/>
          <w:iCs/>
        </w:rPr>
        <w:t>Eur J Gastroenterol Hepatol</w:t>
      </w:r>
      <w:r>
        <w:t xml:space="preserve"> </w:t>
      </w:r>
      <w:r>
        <w:rPr>
          <w:b/>
          <w:bCs/>
        </w:rPr>
        <w:t>17</w:t>
      </w:r>
      <w:r>
        <w:t>, 1015–1017 (2005).</w:t>
      </w:r>
    </w:p>
    <w:p w:rsidR="008F29D2" w:rsidRDefault="008F29D2" w:rsidP="008F29D2">
      <w:pPr>
        <w:pStyle w:val="Bibliography"/>
      </w:pPr>
      <w:r>
        <w:t>55.</w:t>
      </w:r>
      <w:r>
        <w:tab/>
        <w:t xml:space="preserve">Singh, P. </w:t>
      </w:r>
      <w:r>
        <w:rPr>
          <w:i/>
          <w:iCs/>
        </w:rPr>
        <w:t>et al.</w:t>
      </w:r>
      <w:r>
        <w:t xml:space="preserve"> Celiac disease and chronic liver disease: is there a relationship? </w:t>
      </w:r>
      <w:r>
        <w:rPr>
          <w:i/>
          <w:iCs/>
        </w:rPr>
        <w:t>Indian J Gastroenterol</w:t>
      </w:r>
      <w:r>
        <w:t xml:space="preserve"> </w:t>
      </w:r>
      <w:r>
        <w:rPr>
          <w:b/>
          <w:bCs/>
        </w:rPr>
        <w:t>32</w:t>
      </w:r>
      <w:r>
        <w:t>, 404–408 (2013).</w:t>
      </w:r>
    </w:p>
    <w:p w:rsidR="008F29D2" w:rsidRDefault="008F29D2" w:rsidP="008F29D2">
      <w:pPr>
        <w:pStyle w:val="Bibliography"/>
      </w:pPr>
      <w:r>
        <w:t>56.</w:t>
      </w:r>
      <w:r>
        <w:tab/>
        <w:t xml:space="preserve">Somani, V. &amp; Amarapurkar, D. Celiac Disease in Patients with Liver Cirrhosis. </w:t>
      </w:r>
      <w:r>
        <w:rPr>
          <w:i/>
          <w:iCs/>
        </w:rPr>
        <w:t>Tropical Gastroenterology</w:t>
      </w:r>
      <w:r>
        <w:t xml:space="preserve"> </w:t>
      </w:r>
      <w:r>
        <w:rPr>
          <w:b/>
          <w:bCs/>
        </w:rPr>
        <w:t>39</w:t>
      </w:r>
      <w:r>
        <w:t>, 101–105 (2019).</w:t>
      </w:r>
    </w:p>
    <w:p w:rsidR="008F29D2" w:rsidRDefault="008F29D2" w:rsidP="008F29D2">
      <w:pPr>
        <w:pStyle w:val="Bibliography"/>
      </w:pPr>
      <w:r>
        <w:t>57.</w:t>
      </w:r>
      <w:r>
        <w:tab/>
        <w:t xml:space="preserve">Sharma, B. C., Bhasin, D. K. &amp; Nada, R. Association of celiac disease with non-cirrhotic portal fibrosis. </w:t>
      </w:r>
      <w:r>
        <w:rPr>
          <w:i/>
          <w:iCs/>
        </w:rPr>
        <w:t>J Gastroenterol Hepatol</w:t>
      </w:r>
      <w:r>
        <w:t xml:space="preserve"> </w:t>
      </w:r>
      <w:r>
        <w:rPr>
          <w:b/>
          <w:bCs/>
        </w:rPr>
        <w:t>21</w:t>
      </w:r>
      <w:r>
        <w:t>, 332–334 (2006).</w:t>
      </w:r>
    </w:p>
    <w:p w:rsidR="008F29D2" w:rsidRDefault="008F29D2" w:rsidP="008F29D2">
      <w:pPr>
        <w:pStyle w:val="Bibliography"/>
      </w:pPr>
      <w:r>
        <w:t>58.</w:t>
      </w:r>
      <w:r>
        <w:tab/>
        <w:t xml:space="preserve">Mounajjed, T., Oxentenko, A., Shmidt, E. &amp; Smyrk, T. The Liver in Celiac Disease: Clinical Manifestations, Histologic Features, and Response to Gluten-Free Diet in 30 Patients. </w:t>
      </w:r>
      <w:r>
        <w:rPr>
          <w:i/>
          <w:iCs/>
        </w:rPr>
        <w:t>American Journal of Clinical Pathology</w:t>
      </w:r>
      <w:r>
        <w:t xml:space="preserve"> </w:t>
      </w:r>
      <w:r>
        <w:rPr>
          <w:b/>
          <w:bCs/>
        </w:rPr>
        <w:t>136</w:t>
      </w:r>
      <w:r>
        <w:t>, 128–137 (2011).</w:t>
      </w:r>
    </w:p>
    <w:p w:rsidR="008F29D2" w:rsidRDefault="008F29D2" w:rsidP="008F29D2">
      <w:pPr>
        <w:pStyle w:val="Bibliography"/>
      </w:pPr>
      <w:r>
        <w:t>59.</w:t>
      </w:r>
      <w:r>
        <w:tab/>
        <w:t xml:space="preserve">Rudolph, B. </w:t>
      </w:r>
      <w:r>
        <w:rPr>
          <w:i/>
          <w:iCs/>
        </w:rPr>
        <w:t>et al.</w:t>
      </w:r>
      <w:r>
        <w:t xml:space="preserve"> Yield of diagnostic tests in obese children with an elevated alanine aminotransferase. </w:t>
      </w:r>
      <w:r>
        <w:rPr>
          <w:i/>
          <w:iCs/>
        </w:rPr>
        <w:t>Acta Paediatr.</w:t>
      </w:r>
      <w:r>
        <w:t xml:space="preserve"> </w:t>
      </w:r>
      <w:r>
        <w:rPr>
          <w:b/>
          <w:bCs/>
        </w:rPr>
        <w:t>104</w:t>
      </w:r>
      <w:r>
        <w:t>, e557-563 (2015).</w:t>
      </w:r>
    </w:p>
    <w:p w:rsidR="008F29D2" w:rsidRDefault="008F29D2" w:rsidP="008F29D2">
      <w:pPr>
        <w:pStyle w:val="Bibliography"/>
      </w:pPr>
      <w:r>
        <w:t>60.</w:t>
      </w:r>
      <w:r>
        <w:tab/>
        <w:t xml:space="preserve">Hussain, F., Karim, A. S. M. B. &amp; Anwar, S. A. Frequency of Celiac Disease in Children Presented with Liver Disease at a Tertiary Care Center. </w:t>
      </w:r>
      <w:r>
        <w:rPr>
          <w:b/>
          <w:bCs/>
        </w:rPr>
        <w:t>40</w:t>
      </w:r>
      <w:r>
        <w:t>, 144–148 (2016).</w:t>
      </w:r>
    </w:p>
    <w:p w:rsidR="008F29D2" w:rsidRDefault="008F29D2" w:rsidP="008F29D2">
      <w:pPr>
        <w:pStyle w:val="Bibliography"/>
      </w:pPr>
      <w:r>
        <w:t>61.</w:t>
      </w:r>
      <w:r>
        <w:tab/>
        <w:t xml:space="preserve">Gatselis, N. K. </w:t>
      </w:r>
      <w:r>
        <w:rPr>
          <w:i/>
          <w:iCs/>
        </w:rPr>
        <w:t>et al.</w:t>
      </w:r>
      <w:r>
        <w:t xml:space="preserve"> IgA antibodies against deamidated gliadin peptides in patients with chronic liver diseases. </w:t>
      </w:r>
      <w:r>
        <w:rPr>
          <w:i/>
          <w:iCs/>
        </w:rPr>
        <w:t>Clin. Chim. Acta</w:t>
      </w:r>
      <w:r>
        <w:t xml:space="preserve"> </w:t>
      </w:r>
      <w:r>
        <w:rPr>
          <w:b/>
          <w:bCs/>
        </w:rPr>
        <w:t>413</w:t>
      </w:r>
      <w:r>
        <w:t>, 1683–1688 (2012).</w:t>
      </w:r>
    </w:p>
    <w:p w:rsidR="008F29D2" w:rsidRDefault="008F29D2" w:rsidP="008F29D2">
      <w:pPr>
        <w:pStyle w:val="Bibliography"/>
      </w:pPr>
      <w:r>
        <w:t>62.</w:t>
      </w:r>
      <w:r>
        <w:tab/>
        <w:t xml:space="preserve">Fine, K. D. </w:t>
      </w:r>
      <w:r>
        <w:rPr>
          <w:i/>
          <w:iCs/>
        </w:rPr>
        <w:t>et al.</w:t>
      </w:r>
      <w:r>
        <w:t xml:space="preserve"> Celiac sprue: another autoimmune syndrome associated with hepatitis C. </w:t>
      </w:r>
      <w:r>
        <w:rPr>
          <w:i/>
          <w:iCs/>
        </w:rPr>
        <w:t>Am. J. Gastroenterol.</w:t>
      </w:r>
      <w:r>
        <w:t xml:space="preserve"> </w:t>
      </w:r>
      <w:r>
        <w:rPr>
          <w:b/>
          <w:bCs/>
        </w:rPr>
        <w:t>96</w:t>
      </w:r>
      <w:r>
        <w:t>, 138–145 (2001).</w:t>
      </w:r>
    </w:p>
    <w:p w:rsidR="008F29D2" w:rsidRDefault="008F29D2" w:rsidP="008F29D2">
      <w:pPr>
        <w:pStyle w:val="Bibliography"/>
      </w:pPr>
      <w:r>
        <w:t>63.</w:t>
      </w:r>
      <w:r>
        <w:tab/>
        <w:t xml:space="preserve">Yodoshi, T. </w:t>
      </w:r>
      <w:r>
        <w:rPr>
          <w:i/>
          <w:iCs/>
        </w:rPr>
        <w:t>et al.</w:t>
      </w:r>
      <w:r>
        <w:t xml:space="preserve"> Alternative Etiologies of Liver Disease in Children With Suspected NAFLD. </w:t>
      </w:r>
      <w:r>
        <w:rPr>
          <w:i/>
          <w:iCs/>
        </w:rPr>
        <w:t>Pediatrics</w:t>
      </w:r>
      <w:r>
        <w:t xml:space="preserve"> </w:t>
      </w:r>
      <w:r>
        <w:rPr>
          <w:b/>
          <w:bCs/>
        </w:rPr>
        <w:t>147</w:t>
      </w:r>
      <w:r>
        <w:t>, e2020009829 (2021).</w:t>
      </w:r>
    </w:p>
    <w:p w:rsidR="008F29D2" w:rsidRDefault="008F29D2" w:rsidP="008F29D2">
      <w:pPr>
        <w:pStyle w:val="Bibliography"/>
      </w:pPr>
      <w:r>
        <w:t>64.</w:t>
      </w:r>
      <w:r>
        <w:tab/>
        <w:t xml:space="preserve">Rubio-Tapia, A. </w:t>
      </w:r>
      <w:r>
        <w:rPr>
          <w:i/>
          <w:iCs/>
        </w:rPr>
        <w:t>et al.</w:t>
      </w:r>
      <w:r>
        <w:t xml:space="preserve"> Celiac disease autoantibodies in severe autoimmune liver disease and the effect of liver transplantation. </w:t>
      </w:r>
      <w:r>
        <w:rPr>
          <w:i/>
          <w:iCs/>
        </w:rPr>
        <w:t>Liver Int</w:t>
      </w:r>
      <w:r>
        <w:t xml:space="preserve"> </w:t>
      </w:r>
      <w:r>
        <w:rPr>
          <w:b/>
          <w:bCs/>
        </w:rPr>
        <w:t>28</w:t>
      </w:r>
      <w:r>
        <w:t>, 467–476 (2008).</w:t>
      </w:r>
    </w:p>
    <w:p w:rsidR="008F29D2" w:rsidRDefault="008F29D2" w:rsidP="008F29D2">
      <w:pPr>
        <w:pStyle w:val="Bibliography"/>
      </w:pPr>
      <w:r>
        <w:t>65.</w:t>
      </w:r>
      <w:r>
        <w:tab/>
        <w:t xml:space="preserve">Regev, A. </w:t>
      </w:r>
      <w:r>
        <w:rPr>
          <w:i/>
          <w:iCs/>
        </w:rPr>
        <w:t>et al.</w:t>
      </w:r>
      <w:r>
        <w:t xml:space="preserve"> Elevated liver enzymes of newly diagnosed pediatric celiac patients-a prospective-observational study. </w:t>
      </w:r>
      <w:r>
        <w:rPr>
          <w:i/>
          <w:iCs/>
        </w:rPr>
        <w:t>Eur J Pediatr</w:t>
      </w:r>
      <w:r>
        <w:t xml:space="preserve"> </w:t>
      </w:r>
      <w:r>
        <w:rPr>
          <w:b/>
          <w:bCs/>
        </w:rPr>
        <w:t>181</w:t>
      </w:r>
      <w:r>
        <w:t>, 753–762 (2022).</w:t>
      </w:r>
    </w:p>
    <w:p w:rsidR="008F29D2" w:rsidRDefault="008F29D2" w:rsidP="008F29D2">
      <w:pPr>
        <w:pStyle w:val="Bibliography"/>
      </w:pPr>
      <w:r>
        <w:t>66.</w:t>
      </w:r>
      <w:r>
        <w:tab/>
        <w:t xml:space="preserve">Saadah, O. I. Celiac disease in children and adolescents at a singe center in Saudi Arabia. </w:t>
      </w:r>
      <w:r>
        <w:rPr>
          <w:i/>
          <w:iCs/>
        </w:rPr>
        <w:t>Ann Saudi Med</w:t>
      </w:r>
      <w:r>
        <w:t xml:space="preserve"> </w:t>
      </w:r>
      <w:r>
        <w:rPr>
          <w:b/>
          <w:bCs/>
        </w:rPr>
        <w:t>31</w:t>
      </w:r>
      <w:r>
        <w:t>, 51–57 (2011).</w:t>
      </w:r>
    </w:p>
    <w:p w:rsidR="008F29D2" w:rsidRDefault="008F29D2" w:rsidP="008F29D2">
      <w:pPr>
        <w:pStyle w:val="Bibliography"/>
      </w:pPr>
      <w:r>
        <w:t>67.</w:t>
      </w:r>
      <w:r>
        <w:tab/>
        <w:t xml:space="preserve">Kwiatek-Średzińska, K. A. </w:t>
      </w:r>
      <w:r>
        <w:rPr>
          <w:i/>
          <w:iCs/>
        </w:rPr>
        <w:t>et al.</w:t>
      </w:r>
      <w:r>
        <w:t xml:space="preserve"> Liver pathology in children with newly diagnosed celiac disease. </w:t>
      </w:r>
      <w:r>
        <w:rPr>
          <w:i/>
          <w:iCs/>
        </w:rPr>
        <w:t>Clinical and experimental hepatology</w:t>
      </w:r>
      <w:r>
        <w:t xml:space="preserve"> </w:t>
      </w:r>
      <w:r>
        <w:rPr>
          <w:b/>
          <w:bCs/>
        </w:rPr>
        <w:t>5</w:t>
      </w:r>
      <w:r>
        <w:t>, 129–132 (2019).</w:t>
      </w:r>
    </w:p>
    <w:p w:rsidR="008F29D2" w:rsidRDefault="008F29D2" w:rsidP="008F29D2">
      <w:pPr>
        <w:pStyle w:val="Bibliography"/>
      </w:pPr>
      <w:r>
        <w:t>68.</w:t>
      </w:r>
      <w:r>
        <w:tab/>
        <w:t xml:space="preserve">Morillas, M. J. </w:t>
      </w:r>
      <w:r>
        <w:rPr>
          <w:i/>
          <w:iCs/>
        </w:rPr>
        <w:t>et al.</w:t>
      </w:r>
      <w:r>
        <w:t xml:space="preserve"> [Adult celiac disease and hepatopathy]. </w:t>
      </w:r>
      <w:r>
        <w:rPr>
          <w:i/>
          <w:iCs/>
        </w:rPr>
        <w:t>Rev Esp Enferm Dig</w:t>
      </w:r>
      <w:r>
        <w:t xml:space="preserve"> </w:t>
      </w:r>
      <w:r>
        <w:rPr>
          <w:b/>
          <w:bCs/>
        </w:rPr>
        <w:t>79</w:t>
      </w:r>
      <w:r>
        <w:t>, 197–200 (1991).</w:t>
      </w:r>
    </w:p>
    <w:p w:rsidR="008F29D2" w:rsidRDefault="008F29D2" w:rsidP="008F29D2">
      <w:pPr>
        <w:pStyle w:val="Bibliography"/>
      </w:pPr>
      <w:r>
        <w:t>69.</w:t>
      </w:r>
      <w:r>
        <w:tab/>
        <w:t xml:space="preserve">Dickey, W. </w:t>
      </w:r>
      <w:r>
        <w:rPr>
          <w:i/>
          <w:iCs/>
        </w:rPr>
        <w:t>et al.</w:t>
      </w:r>
      <w:r>
        <w:t xml:space="preserve"> Liver abnormalities associated with celiac sprue. How common are they, what is their significance, and what do we do about them? </w:t>
      </w:r>
      <w:r>
        <w:rPr>
          <w:i/>
          <w:iCs/>
        </w:rPr>
        <w:t>J Clin Gastroenterol</w:t>
      </w:r>
      <w:r>
        <w:t xml:space="preserve"> </w:t>
      </w:r>
      <w:r>
        <w:rPr>
          <w:b/>
          <w:bCs/>
        </w:rPr>
        <w:t>20</w:t>
      </w:r>
      <w:r>
        <w:t>, 290–292 (1995).</w:t>
      </w:r>
    </w:p>
    <w:p w:rsidR="008F29D2" w:rsidRDefault="008F29D2" w:rsidP="008F29D2">
      <w:pPr>
        <w:pStyle w:val="Bibliography"/>
      </w:pPr>
      <w:r>
        <w:t>70.</w:t>
      </w:r>
      <w:r>
        <w:tab/>
        <w:t xml:space="preserve">Novacek, G. </w:t>
      </w:r>
      <w:r>
        <w:rPr>
          <w:i/>
          <w:iCs/>
        </w:rPr>
        <w:t>et al.</w:t>
      </w:r>
      <w:r>
        <w:t xml:space="preserve"> Prevalence and clinical importance of hypertransaminasaemia in coeliac disease. </w:t>
      </w:r>
      <w:r>
        <w:rPr>
          <w:i/>
          <w:iCs/>
        </w:rPr>
        <w:t>Eur J Gastroenterol Hepatol</w:t>
      </w:r>
      <w:r>
        <w:t xml:space="preserve"> </w:t>
      </w:r>
      <w:r>
        <w:rPr>
          <w:b/>
          <w:bCs/>
        </w:rPr>
        <w:t>11</w:t>
      </w:r>
      <w:r>
        <w:t>, 283–288 (1999).</w:t>
      </w:r>
    </w:p>
    <w:p w:rsidR="008F29D2" w:rsidRDefault="008F29D2" w:rsidP="008F29D2">
      <w:pPr>
        <w:pStyle w:val="Bibliography"/>
      </w:pPr>
      <w:r>
        <w:t>71.</w:t>
      </w:r>
      <w:r>
        <w:tab/>
        <w:t xml:space="preserve">Castillo, N. E. </w:t>
      </w:r>
      <w:r>
        <w:rPr>
          <w:i/>
          <w:iCs/>
        </w:rPr>
        <w:t>et al.</w:t>
      </w:r>
      <w:r>
        <w:t xml:space="preserve"> Prevalence of abnormal liver function tests in celiac disease and the effect of a gluten-free diet in the US population. </w:t>
      </w:r>
      <w:r>
        <w:rPr>
          <w:i/>
          <w:iCs/>
        </w:rPr>
        <w:t>Am J Gastroenterol</w:t>
      </w:r>
      <w:r>
        <w:t xml:space="preserve"> </w:t>
      </w:r>
      <w:r>
        <w:rPr>
          <w:b/>
          <w:bCs/>
        </w:rPr>
        <w:t>110</w:t>
      </w:r>
      <w:r>
        <w:t>, 1216–1222 (2015).</w:t>
      </w:r>
    </w:p>
    <w:p w:rsidR="008F29D2" w:rsidRDefault="008F29D2" w:rsidP="008F29D2">
      <w:pPr>
        <w:pStyle w:val="Bibliography"/>
      </w:pPr>
      <w:r>
        <w:t>72.</w:t>
      </w:r>
      <w:r>
        <w:tab/>
        <w:t>Frequency of elevated ALT in untreated coeliac disease and the impact of compliance with gluten free diet on ALT normalisation-Web of Science Core Collection. https://www.webofscience.com/wos/woscc/full-record/WOS:000270551200311?SID=EUW1ED0ABAOBAAQuLz9uzDLdfsV4O.</w:t>
      </w:r>
    </w:p>
    <w:p w:rsidR="008F29D2" w:rsidRDefault="008F29D2" w:rsidP="008F29D2">
      <w:pPr>
        <w:pStyle w:val="Bibliography"/>
      </w:pPr>
      <w:r>
        <w:t>73.</w:t>
      </w:r>
      <w:r>
        <w:tab/>
        <w:t xml:space="preserve">Elwenspoek, M. M. C. </w:t>
      </w:r>
      <w:r>
        <w:rPr>
          <w:i/>
          <w:iCs/>
        </w:rPr>
        <w:t>et al.</w:t>
      </w:r>
      <w:r>
        <w:t xml:space="preserve"> The accuracy of diagnostic indicators for coeliac disease: A systematic review and meta-analysis. </w:t>
      </w:r>
      <w:r>
        <w:rPr>
          <w:i/>
          <w:iCs/>
        </w:rPr>
        <w:t>PLoS One</w:t>
      </w:r>
      <w:r>
        <w:t xml:space="preserve"> </w:t>
      </w:r>
      <w:r>
        <w:rPr>
          <w:b/>
          <w:bCs/>
        </w:rPr>
        <w:t>16</w:t>
      </w:r>
      <w:r>
        <w:t>, e0258501 (2021).</w:t>
      </w:r>
    </w:p>
    <w:p w:rsidR="008F29D2" w:rsidRDefault="008F29D2" w:rsidP="008F29D2">
      <w:pPr>
        <w:pStyle w:val="Bibliography"/>
      </w:pPr>
      <w:r>
        <w:t>74.</w:t>
      </w:r>
      <w:r>
        <w:tab/>
        <w:t xml:space="preserve">Dutta, R., Das, P., Makharia, G. &amp; Iqbal, A. 42. Analysis of histological features and co-localisation patterns of IGA and IGG anti-tissue transglutaminase antibody in liver biopsies of patients with treatment naïve celiac disease, presenting with liver dysfunctions. </w:t>
      </w:r>
      <w:r>
        <w:rPr>
          <w:i/>
          <w:iCs/>
        </w:rPr>
        <w:t>Journal of Clinical and Experimental Hepatology</w:t>
      </w:r>
      <w:r>
        <w:t xml:space="preserve"> </w:t>
      </w:r>
      <w:r>
        <w:rPr>
          <w:b/>
          <w:bCs/>
        </w:rPr>
        <w:t>8</w:t>
      </w:r>
      <w:r>
        <w:t>, S122–S123 (2018).</w:t>
      </w:r>
    </w:p>
    <w:p w:rsidR="008F29D2" w:rsidRDefault="008F29D2" w:rsidP="008F29D2">
      <w:pPr>
        <w:pStyle w:val="Bibliography"/>
      </w:pPr>
      <w:r>
        <w:t>75.</w:t>
      </w:r>
      <w:r>
        <w:tab/>
        <w:t xml:space="preserve">Kalas, M. A., Chavez, L., Leon, M., Taweesedt, P. T. &amp; Surani, S. Abnormal liver enzymes: A review for clinicians. </w:t>
      </w:r>
      <w:r>
        <w:rPr>
          <w:i/>
          <w:iCs/>
        </w:rPr>
        <w:t>World J Hepatol</w:t>
      </w:r>
      <w:r>
        <w:t xml:space="preserve"> </w:t>
      </w:r>
      <w:r>
        <w:rPr>
          <w:b/>
          <w:bCs/>
        </w:rPr>
        <w:t>13</w:t>
      </w:r>
      <w:r>
        <w:t>, 1688–1698 (2021).</w:t>
      </w:r>
    </w:p>
    <w:p w:rsidR="008F29D2" w:rsidRDefault="008F29D2" w:rsidP="008F29D2">
      <w:pPr>
        <w:pStyle w:val="Bibliography"/>
      </w:pPr>
      <w:r>
        <w:t>76.</w:t>
      </w:r>
      <w:r>
        <w:tab/>
        <w:t xml:space="preserve">Kochhar, R. </w:t>
      </w:r>
      <w:r>
        <w:rPr>
          <w:i/>
          <w:iCs/>
        </w:rPr>
        <w:t>et al.</w:t>
      </w:r>
      <w:r>
        <w:t xml:space="preserve"> Prevalence of coeliac disease in healthy blood donors: A study from north India. </w:t>
      </w:r>
      <w:r>
        <w:rPr>
          <w:i/>
          <w:iCs/>
        </w:rPr>
        <w:t>Digestive and Liver Disease</w:t>
      </w:r>
      <w:r>
        <w:t xml:space="preserve"> </w:t>
      </w:r>
      <w:r>
        <w:rPr>
          <w:b/>
          <w:bCs/>
        </w:rPr>
        <w:t>44</w:t>
      </w:r>
      <w:r>
        <w:t>, 530–532 (2012).</w:t>
      </w:r>
    </w:p>
    <w:p w:rsidR="008F29D2" w:rsidRDefault="008F29D2" w:rsidP="008F29D2">
      <w:pPr>
        <w:pStyle w:val="Bibliography"/>
      </w:pPr>
      <w:r>
        <w:t>77.</w:t>
      </w:r>
      <w:r>
        <w:tab/>
        <w:t xml:space="preserve">Taylor, P. </w:t>
      </w:r>
      <w:r>
        <w:rPr>
          <w:i/>
          <w:iCs/>
        </w:rPr>
        <w:t>et al.</w:t>
      </w:r>
      <w:r>
        <w:t xml:space="preserve"> Prevalence and Clinical Significance of Gliadin Antibodies in Healthy Children and Adults Prevalence and Clinical Significance of Gliadin Antibodies in Healthy Children and Adults. (2015) doi:10.3109/00365529409090472.</w:t>
      </w:r>
    </w:p>
    <w:p w:rsidR="008F29D2" w:rsidRDefault="008F29D2" w:rsidP="008F29D2">
      <w:pPr>
        <w:pStyle w:val="Bibliography"/>
      </w:pPr>
      <w:r>
        <w:t>78.</w:t>
      </w:r>
      <w:r>
        <w:tab/>
        <w:t>Lachaux, A., Sakly, W., Spiteri, A. &amp; Fabien, N. IgA anti-transglutaminase antibodies as a tool for screening atypical forms of coeliac disease in a French at-risk paediatric population. 235–239.</w:t>
      </w:r>
    </w:p>
    <w:p w:rsidR="008F29D2" w:rsidRDefault="008F29D2" w:rsidP="008F29D2">
      <w:pPr>
        <w:pStyle w:val="Bibliography"/>
      </w:pPr>
      <w:r>
        <w:t>79.</w:t>
      </w:r>
      <w:r>
        <w:tab/>
        <w:t xml:space="preserve">Romiti, A. </w:t>
      </w:r>
      <w:r>
        <w:rPr>
          <w:i/>
          <w:iCs/>
        </w:rPr>
        <w:t>et al.</w:t>
      </w:r>
      <w:r>
        <w:t xml:space="preserve"> Malabsorption and nutritional abnormalities in patients with liver cirrhosis. </w:t>
      </w:r>
      <w:r>
        <w:rPr>
          <w:i/>
          <w:iCs/>
        </w:rPr>
        <w:t>Ital J Gastroenterol</w:t>
      </w:r>
      <w:r>
        <w:t xml:space="preserve"> </w:t>
      </w:r>
      <w:r>
        <w:rPr>
          <w:b/>
          <w:bCs/>
        </w:rPr>
        <w:t>22</w:t>
      </w:r>
      <w:r>
        <w:t>, 118–123 (1990).</w:t>
      </w:r>
    </w:p>
    <w:p w:rsidR="008F29D2" w:rsidRDefault="008F29D2" w:rsidP="008F29D2">
      <w:pPr>
        <w:pStyle w:val="Bibliography"/>
      </w:pPr>
      <w:r>
        <w:t>80.</w:t>
      </w:r>
      <w:r>
        <w:tab/>
        <w:t xml:space="preserve">Vilppula, A. </w:t>
      </w:r>
      <w:r>
        <w:rPr>
          <w:i/>
          <w:iCs/>
        </w:rPr>
        <w:t>et al.</w:t>
      </w:r>
      <w:r>
        <w:t xml:space="preserve"> Clinical benefit of gluten-free diet in screen-detected older celiac disease patients. </w:t>
      </w:r>
      <w:r>
        <w:rPr>
          <w:i/>
          <w:iCs/>
        </w:rPr>
        <w:t>BMC Gastroenterology</w:t>
      </w:r>
      <w:r>
        <w:t xml:space="preserve"> </w:t>
      </w:r>
      <w:r>
        <w:rPr>
          <w:b/>
          <w:bCs/>
        </w:rPr>
        <w:t>11</w:t>
      </w:r>
      <w:r>
        <w:t>, 136 (2011).</w:t>
      </w:r>
    </w:p>
    <w:p w:rsidR="008F29D2" w:rsidRDefault="008F29D2" w:rsidP="008F29D2">
      <w:pPr>
        <w:pStyle w:val="Bibliography"/>
      </w:pPr>
      <w:r>
        <w:t>81.</w:t>
      </w:r>
      <w:r>
        <w:tab/>
        <w:t xml:space="preserve">Floreani, A. </w:t>
      </w:r>
      <w:r>
        <w:rPr>
          <w:i/>
          <w:iCs/>
        </w:rPr>
        <w:t>et al.</w:t>
      </w:r>
      <w:r>
        <w:t xml:space="preserve"> Prevalence of coeliac disease in primary biliary cirrhosis and of antimitochondrial antibodies in adult coeliac disease patients in Italy. </w:t>
      </w:r>
      <w:r>
        <w:rPr>
          <w:i/>
          <w:iCs/>
        </w:rPr>
        <w:t>Dig Liver Dis</w:t>
      </w:r>
      <w:r>
        <w:t xml:space="preserve"> </w:t>
      </w:r>
      <w:r>
        <w:rPr>
          <w:b/>
          <w:bCs/>
        </w:rPr>
        <w:t>34</w:t>
      </w:r>
      <w:r>
        <w:t>, 258–261 (2002).</w:t>
      </w:r>
    </w:p>
    <w:p w:rsidR="008F29D2" w:rsidRDefault="008F29D2" w:rsidP="008F29D2">
      <w:pPr>
        <w:pStyle w:val="Bibliography"/>
      </w:pPr>
      <w:r>
        <w:t>82.</w:t>
      </w:r>
      <w:r>
        <w:tab/>
        <w:t xml:space="preserve">Volta, U. </w:t>
      </w:r>
      <w:r>
        <w:rPr>
          <w:i/>
          <w:iCs/>
        </w:rPr>
        <w:t>et al.</w:t>
      </w:r>
      <w:r>
        <w:t xml:space="preserve"> Coeliac disease hidden by cryptogenic hypertransaminasaemia. </w:t>
      </w:r>
      <w:r>
        <w:rPr>
          <w:i/>
          <w:iCs/>
        </w:rPr>
        <w:t>Lancet</w:t>
      </w:r>
      <w:r>
        <w:t xml:space="preserve"> </w:t>
      </w:r>
      <w:r>
        <w:rPr>
          <w:b/>
          <w:bCs/>
        </w:rPr>
        <w:t>352</w:t>
      </w:r>
      <w:r>
        <w:t>, 26–29 (1998).</w:t>
      </w:r>
    </w:p>
    <w:p w:rsidR="00885CDF" w:rsidRPr="00AA229D" w:rsidRDefault="00F53C08" w:rsidP="004D3E6E">
      <w:r w:rsidRPr="00AA229D">
        <w:fldChar w:fldCharType="end"/>
      </w:r>
    </w:p>
    <w:sectPr w:rsidR="00885CDF" w:rsidRPr="00AA229D" w:rsidSect="004027EF">
      <w:head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253" w:rsidRDefault="00442253">
      <w:r>
        <w:separator/>
      </w:r>
    </w:p>
  </w:endnote>
  <w:endnote w:type="continuationSeparator" w:id="1">
    <w:p w:rsidR="00442253" w:rsidRDefault="00442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253" w:rsidRDefault="00442253">
      <w:r>
        <w:separator/>
      </w:r>
    </w:p>
  </w:footnote>
  <w:footnote w:type="continuationSeparator" w:id="1">
    <w:p w:rsidR="00442253" w:rsidRDefault="00442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3C" w:rsidRDefault="0003113C">
    <w:pPr>
      <w:pStyle w:val="Header"/>
      <w:rPr>
        <w:lang w:val="en-US"/>
      </w:rPr>
    </w:pPr>
  </w:p>
  <w:p w:rsidR="0003113C" w:rsidRPr="001A7BF5" w:rsidRDefault="0003113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2315"/>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10436"/>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050C5"/>
    <w:multiLevelType w:val="hybridMultilevel"/>
    <w:tmpl w:val="5442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E0A7D"/>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13FC3"/>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F4453"/>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5B28"/>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03EB5"/>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B0B51"/>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3409B"/>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86007"/>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F2D29"/>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A2A80"/>
    <w:multiLevelType w:val="hybridMultilevel"/>
    <w:tmpl w:val="BC72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8"/>
  </w:num>
  <w:num w:numId="5">
    <w:abstractNumId w:val="12"/>
  </w:num>
  <w:num w:numId="6">
    <w:abstractNumId w:val="6"/>
  </w:num>
  <w:num w:numId="7">
    <w:abstractNumId w:val="7"/>
  </w:num>
  <w:num w:numId="8">
    <w:abstractNumId w:val="5"/>
  </w:num>
  <w:num w:numId="9">
    <w:abstractNumId w:val="11"/>
  </w:num>
  <w:num w:numId="10">
    <w:abstractNumId w:val="4"/>
  </w:num>
  <w:num w:numId="11">
    <w:abstractNumId w:val="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00"/>
  <w:displayHorizontalDrawingGridEvery w:val="2"/>
  <w:characterSpacingControl w:val="doNotCompress"/>
  <w:savePreviewPicture/>
  <w:footnotePr>
    <w:footnote w:id="0"/>
    <w:footnote w:id="1"/>
  </w:footnotePr>
  <w:endnotePr>
    <w:endnote w:id="0"/>
    <w:endnote w:id="1"/>
  </w:endnotePr>
  <w:compat/>
  <w:rsids>
    <w:rsidRoot w:val="00C74E76"/>
    <w:rsid w:val="000127B9"/>
    <w:rsid w:val="0002134D"/>
    <w:rsid w:val="000249D4"/>
    <w:rsid w:val="00030BD5"/>
    <w:rsid w:val="0003113C"/>
    <w:rsid w:val="00036ACB"/>
    <w:rsid w:val="00037AB0"/>
    <w:rsid w:val="000401B5"/>
    <w:rsid w:val="00041615"/>
    <w:rsid w:val="0004302D"/>
    <w:rsid w:val="000442EC"/>
    <w:rsid w:val="000556BE"/>
    <w:rsid w:val="0005696D"/>
    <w:rsid w:val="0006195C"/>
    <w:rsid w:val="000716D9"/>
    <w:rsid w:val="000725D2"/>
    <w:rsid w:val="0008080D"/>
    <w:rsid w:val="00080C1E"/>
    <w:rsid w:val="00082C18"/>
    <w:rsid w:val="000930E8"/>
    <w:rsid w:val="000A49CE"/>
    <w:rsid w:val="000A5278"/>
    <w:rsid w:val="000B14B1"/>
    <w:rsid w:val="000B69CF"/>
    <w:rsid w:val="000B7B45"/>
    <w:rsid w:val="000B7E47"/>
    <w:rsid w:val="000C000B"/>
    <w:rsid w:val="000C3801"/>
    <w:rsid w:val="000C3B95"/>
    <w:rsid w:val="000C4D2C"/>
    <w:rsid w:val="000C5CAB"/>
    <w:rsid w:val="000D6B91"/>
    <w:rsid w:val="000E1487"/>
    <w:rsid w:val="000F4914"/>
    <w:rsid w:val="00100136"/>
    <w:rsid w:val="001039D9"/>
    <w:rsid w:val="001124F6"/>
    <w:rsid w:val="0011417B"/>
    <w:rsid w:val="00120846"/>
    <w:rsid w:val="00121622"/>
    <w:rsid w:val="00125AA0"/>
    <w:rsid w:val="00126C7C"/>
    <w:rsid w:val="00135F0B"/>
    <w:rsid w:val="001361DE"/>
    <w:rsid w:val="00143EA4"/>
    <w:rsid w:val="00145D06"/>
    <w:rsid w:val="00166FBD"/>
    <w:rsid w:val="00167EA0"/>
    <w:rsid w:val="00167EBE"/>
    <w:rsid w:val="00171862"/>
    <w:rsid w:val="0017731A"/>
    <w:rsid w:val="001927B3"/>
    <w:rsid w:val="00193299"/>
    <w:rsid w:val="00195F90"/>
    <w:rsid w:val="00197E50"/>
    <w:rsid w:val="001A6212"/>
    <w:rsid w:val="001A6AF6"/>
    <w:rsid w:val="001A790F"/>
    <w:rsid w:val="001A7BF5"/>
    <w:rsid w:val="001B41ED"/>
    <w:rsid w:val="001C564E"/>
    <w:rsid w:val="001C78AE"/>
    <w:rsid w:val="001C790C"/>
    <w:rsid w:val="001D683C"/>
    <w:rsid w:val="001F3DB7"/>
    <w:rsid w:val="001F5844"/>
    <w:rsid w:val="001F6C89"/>
    <w:rsid w:val="00200DEF"/>
    <w:rsid w:val="00200FBE"/>
    <w:rsid w:val="002026E7"/>
    <w:rsid w:val="00202907"/>
    <w:rsid w:val="002032D5"/>
    <w:rsid w:val="002062F7"/>
    <w:rsid w:val="00207ADA"/>
    <w:rsid w:val="002167FD"/>
    <w:rsid w:val="00222AC2"/>
    <w:rsid w:val="0024026A"/>
    <w:rsid w:val="002402D3"/>
    <w:rsid w:val="00245BC7"/>
    <w:rsid w:val="002468EC"/>
    <w:rsid w:val="00247415"/>
    <w:rsid w:val="002537AE"/>
    <w:rsid w:val="002543E6"/>
    <w:rsid w:val="00273E47"/>
    <w:rsid w:val="00277B95"/>
    <w:rsid w:val="00280B65"/>
    <w:rsid w:val="002872BB"/>
    <w:rsid w:val="00287393"/>
    <w:rsid w:val="002927DE"/>
    <w:rsid w:val="002A24D2"/>
    <w:rsid w:val="002A51B7"/>
    <w:rsid w:val="002B7DE1"/>
    <w:rsid w:val="002D2FBD"/>
    <w:rsid w:val="002D7ED4"/>
    <w:rsid w:val="002E0181"/>
    <w:rsid w:val="002E33CE"/>
    <w:rsid w:val="002E42AB"/>
    <w:rsid w:val="002F7F67"/>
    <w:rsid w:val="00305B44"/>
    <w:rsid w:val="0031166D"/>
    <w:rsid w:val="0031337B"/>
    <w:rsid w:val="0031573C"/>
    <w:rsid w:val="00323027"/>
    <w:rsid w:val="00324511"/>
    <w:rsid w:val="00325B9F"/>
    <w:rsid w:val="003263CA"/>
    <w:rsid w:val="0033267D"/>
    <w:rsid w:val="003351F1"/>
    <w:rsid w:val="003407EA"/>
    <w:rsid w:val="00342818"/>
    <w:rsid w:val="00342BE7"/>
    <w:rsid w:val="00346882"/>
    <w:rsid w:val="00350250"/>
    <w:rsid w:val="00351BF6"/>
    <w:rsid w:val="003548B5"/>
    <w:rsid w:val="00356A61"/>
    <w:rsid w:val="00360D99"/>
    <w:rsid w:val="00361F42"/>
    <w:rsid w:val="00365296"/>
    <w:rsid w:val="003738D2"/>
    <w:rsid w:val="00376974"/>
    <w:rsid w:val="00380693"/>
    <w:rsid w:val="00382058"/>
    <w:rsid w:val="003849D7"/>
    <w:rsid w:val="00385319"/>
    <w:rsid w:val="00390A6E"/>
    <w:rsid w:val="003A0CC1"/>
    <w:rsid w:val="003A33BD"/>
    <w:rsid w:val="003B1902"/>
    <w:rsid w:val="003B1D36"/>
    <w:rsid w:val="003B2E54"/>
    <w:rsid w:val="003B2FB0"/>
    <w:rsid w:val="003C0458"/>
    <w:rsid w:val="003C2776"/>
    <w:rsid w:val="003C443C"/>
    <w:rsid w:val="003C71EC"/>
    <w:rsid w:val="003D3F1B"/>
    <w:rsid w:val="003D6FE4"/>
    <w:rsid w:val="003E08A7"/>
    <w:rsid w:val="003E3957"/>
    <w:rsid w:val="003E65AA"/>
    <w:rsid w:val="003E7417"/>
    <w:rsid w:val="003F033D"/>
    <w:rsid w:val="004027EF"/>
    <w:rsid w:val="0041017B"/>
    <w:rsid w:val="00410712"/>
    <w:rsid w:val="0041560A"/>
    <w:rsid w:val="004375EB"/>
    <w:rsid w:val="00442253"/>
    <w:rsid w:val="00446A62"/>
    <w:rsid w:val="0044737B"/>
    <w:rsid w:val="00450165"/>
    <w:rsid w:val="00454C3B"/>
    <w:rsid w:val="0047257B"/>
    <w:rsid w:val="00476F1B"/>
    <w:rsid w:val="00486224"/>
    <w:rsid w:val="004909A2"/>
    <w:rsid w:val="00494198"/>
    <w:rsid w:val="0049692D"/>
    <w:rsid w:val="004C0346"/>
    <w:rsid w:val="004C75B1"/>
    <w:rsid w:val="004D3E6E"/>
    <w:rsid w:val="004D627E"/>
    <w:rsid w:val="004D75ED"/>
    <w:rsid w:val="004D7B74"/>
    <w:rsid w:val="004E1045"/>
    <w:rsid w:val="004E37CE"/>
    <w:rsid w:val="004E4CC0"/>
    <w:rsid w:val="004E4E4A"/>
    <w:rsid w:val="004F768F"/>
    <w:rsid w:val="005014C1"/>
    <w:rsid w:val="005072F3"/>
    <w:rsid w:val="00507511"/>
    <w:rsid w:val="00512ADA"/>
    <w:rsid w:val="00517E68"/>
    <w:rsid w:val="00521573"/>
    <w:rsid w:val="00526D3E"/>
    <w:rsid w:val="00531BB3"/>
    <w:rsid w:val="005361F0"/>
    <w:rsid w:val="00541CE1"/>
    <w:rsid w:val="00551143"/>
    <w:rsid w:val="00554424"/>
    <w:rsid w:val="00555C4A"/>
    <w:rsid w:val="00557889"/>
    <w:rsid w:val="005578BE"/>
    <w:rsid w:val="005610E3"/>
    <w:rsid w:val="00567B0A"/>
    <w:rsid w:val="0057068B"/>
    <w:rsid w:val="00576866"/>
    <w:rsid w:val="00580DEA"/>
    <w:rsid w:val="00584FD1"/>
    <w:rsid w:val="005A0FF0"/>
    <w:rsid w:val="005A5C50"/>
    <w:rsid w:val="005C036C"/>
    <w:rsid w:val="005C047C"/>
    <w:rsid w:val="005C444F"/>
    <w:rsid w:val="005D2C02"/>
    <w:rsid w:val="005D45DE"/>
    <w:rsid w:val="005E66A6"/>
    <w:rsid w:val="005F08EA"/>
    <w:rsid w:val="005F3045"/>
    <w:rsid w:val="00605954"/>
    <w:rsid w:val="00605FAB"/>
    <w:rsid w:val="006076C6"/>
    <w:rsid w:val="00613C1B"/>
    <w:rsid w:val="006222D2"/>
    <w:rsid w:val="006222D9"/>
    <w:rsid w:val="006227E1"/>
    <w:rsid w:val="006313FF"/>
    <w:rsid w:val="00633738"/>
    <w:rsid w:val="00635399"/>
    <w:rsid w:val="00645010"/>
    <w:rsid w:val="006461A4"/>
    <w:rsid w:val="00651E7D"/>
    <w:rsid w:val="006545BE"/>
    <w:rsid w:val="006556F3"/>
    <w:rsid w:val="00660F5D"/>
    <w:rsid w:val="0066166D"/>
    <w:rsid w:val="00663BC8"/>
    <w:rsid w:val="00664424"/>
    <w:rsid w:val="0066456A"/>
    <w:rsid w:val="0066673A"/>
    <w:rsid w:val="0067015D"/>
    <w:rsid w:val="00671394"/>
    <w:rsid w:val="00672172"/>
    <w:rsid w:val="00681123"/>
    <w:rsid w:val="0068529D"/>
    <w:rsid w:val="006879CB"/>
    <w:rsid w:val="00694279"/>
    <w:rsid w:val="006B36BC"/>
    <w:rsid w:val="006B4C83"/>
    <w:rsid w:val="006D603A"/>
    <w:rsid w:val="006E2395"/>
    <w:rsid w:val="006E23C9"/>
    <w:rsid w:val="006E3741"/>
    <w:rsid w:val="006F014F"/>
    <w:rsid w:val="006F1180"/>
    <w:rsid w:val="006F5A03"/>
    <w:rsid w:val="00705930"/>
    <w:rsid w:val="0070701C"/>
    <w:rsid w:val="00707CC1"/>
    <w:rsid w:val="007107D9"/>
    <w:rsid w:val="007173D8"/>
    <w:rsid w:val="007268D9"/>
    <w:rsid w:val="00742263"/>
    <w:rsid w:val="00743754"/>
    <w:rsid w:val="00747EE0"/>
    <w:rsid w:val="0075581F"/>
    <w:rsid w:val="007616EE"/>
    <w:rsid w:val="007703A5"/>
    <w:rsid w:val="0077139B"/>
    <w:rsid w:val="00775D28"/>
    <w:rsid w:val="00777168"/>
    <w:rsid w:val="0078337C"/>
    <w:rsid w:val="00783426"/>
    <w:rsid w:val="007858E0"/>
    <w:rsid w:val="0079063D"/>
    <w:rsid w:val="007933D9"/>
    <w:rsid w:val="00795255"/>
    <w:rsid w:val="007972D6"/>
    <w:rsid w:val="007A76C6"/>
    <w:rsid w:val="007A7DB9"/>
    <w:rsid w:val="007B1B11"/>
    <w:rsid w:val="007B79E5"/>
    <w:rsid w:val="007C005F"/>
    <w:rsid w:val="007C3753"/>
    <w:rsid w:val="007D06CC"/>
    <w:rsid w:val="007D3024"/>
    <w:rsid w:val="007D3AD1"/>
    <w:rsid w:val="007D54F9"/>
    <w:rsid w:val="007D6B4C"/>
    <w:rsid w:val="007E26A8"/>
    <w:rsid w:val="007E291F"/>
    <w:rsid w:val="008067F6"/>
    <w:rsid w:val="00811CF7"/>
    <w:rsid w:val="0081247A"/>
    <w:rsid w:val="0081533C"/>
    <w:rsid w:val="00816F9E"/>
    <w:rsid w:val="0082035C"/>
    <w:rsid w:val="0082062E"/>
    <w:rsid w:val="00820F0C"/>
    <w:rsid w:val="00823C44"/>
    <w:rsid w:val="008241E7"/>
    <w:rsid w:val="008250B3"/>
    <w:rsid w:val="00827A18"/>
    <w:rsid w:val="008416FF"/>
    <w:rsid w:val="00842B23"/>
    <w:rsid w:val="00846071"/>
    <w:rsid w:val="00854D05"/>
    <w:rsid w:val="0085547B"/>
    <w:rsid w:val="00855BAD"/>
    <w:rsid w:val="008611E6"/>
    <w:rsid w:val="00876B83"/>
    <w:rsid w:val="00885A64"/>
    <w:rsid w:val="00885CDF"/>
    <w:rsid w:val="008A2F1A"/>
    <w:rsid w:val="008A61F4"/>
    <w:rsid w:val="008B372D"/>
    <w:rsid w:val="008B46E8"/>
    <w:rsid w:val="008B75E3"/>
    <w:rsid w:val="008C154E"/>
    <w:rsid w:val="008D110B"/>
    <w:rsid w:val="008D1B6D"/>
    <w:rsid w:val="008D4E7C"/>
    <w:rsid w:val="008D7742"/>
    <w:rsid w:val="008E4785"/>
    <w:rsid w:val="008E59BA"/>
    <w:rsid w:val="008F29D2"/>
    <w:rsid w:val="008F2BBA"/>
    <w:rsid w:val="008F3738"/>
    <w:rsid w:val="00902604"/>
    <w:rsid w:val="0090268C"/>
    <w:rsid w:val="00903990"/>
    <w:rsid w:val="0090734A"/>
    <w:rsid w:val="00907894"/>
    <w:rsid w:val="00910911"/>
    <w:rsid w:val="00920DEC"/>
    <w:rsid w:val="00925B38"/>
    <w:rsid w:val="00926687"/>
    <w:rsid w:val="00933FCF"/>
    <w:rsid w:val="00936833"/>
    <w:rsid w:val="00951FCD"/>
    <w:rsid w:val="00954E25"/>
    <w:rsid w:val="0095588E"/>
    <w:rsid w:val="009632AD"/>
    <w:rsid w:val="00964F1E"/>
    <w:rsid w:val="009675C8"/>
    <w:rsid w:val="00976BBB"/>
    <w:rsid w:val="00980259"/>
    <w:rsid w:val="0098081E"/>
    <w:rsid w:val="00986D2B"/>
    <w:rsid w:val="009A1A42"/>
    <w:rsid w:val="009B72C9"/>
    <w:rsid w:val="009B7691"/>
    <w:rsid w:val="009D05C2"/>
    <w:rsid w:val="009D5E5B"/>
    <w:rsid w:val="009E479B"/>
    <w:rsid w:val="009F0EE5"/>
    <w:rsid w:val="009F2D45"/>
    <w:rsid w:val="009F47F2"/>
    <w:rsid w:val="009F489E"/>
    <w:rsid w:val="009F7510"/>
    <w:rsid w:val="00A02BD9"/>
    <w:rsid w:val="00A02DF9"/>
    <w:rsid w:val="00A030CB"/>
    <w:rsid w:val="00A06497"/>
    <w:rsid w:val="00A13C08"/>
    <w:rsid w:val="00A15788"/>
    <w:rsid w:val="00A16C7B"/>
    <w:rsid w:val="00A2369A"/>
    <w:rsid w:val="00A336FC"/>
    <w:rsid w:val="00A34C11"/>
    <w:rsid w:val="00A36F07"/>
    <w:rsid w:val="00A437EF"/>
    <w:rsid w:val="00A465ED"/>
    <w:rsid w:val="00A46E60"/>
    <w:rsid w:val="00A478B6"/>
    <w:rsid w:val="00A57FA8"/>
    <w:rsid w:val="00A65B2B"/>
    <w:rsid w:val="00A85B62"/>
    <w:rsid w:val="00A9104F"/>
    <w:rsid w:val="00A94342"/>
    <w:rsid w:val="00AA1AFD"/>
    <w:rsid w:val="00AA229D"/>
    <w:rsid w:val="00AA772A"/>
    <w:rsid w:val="00AB1CE0"/>
    <w:rsid w:val="00AB3089"/>
    <w:rsid w:val="00AB64B4"/>
    <w:rsid w:val="00AC16AF"/>
    <w:rsid w:val="00AC201E"/>
    <w:rsid w:val="00AC4392"/>
    <w:rsid w:val="00AD265A"/>
    <w:rsid w:val="00AE0A75"/>
    <w:rsid w:val="00AF5BEE"/>
    <w:rsid w:val="00B00D65"/>
    <w:rsid w:val="00B14807"/>
    <w:rsid w:val="00B20E81"/>
    <w:rsid w:val="00B2384A"/>
    <w:rsid w:val="00B2636E"/>
    <w:rsid w:val="00B3745F"/>
    <w:rsid w:val="00B403A9"/>
    <w:rsid w:val="00B41BE9"/>
    <w:rsid w:val="00B46C89"/>
    <w:rsid w:val="00B53C3D"/>
    <w:rsid w:val="00B63E5E"/>
    <w:rsid w:val="00B72A28"/>
    <w:rsid w:val="00B76770"/>
    <w:rsid w:val="00B82276"/>
    <w:rsid w:val="00B82C99"/>
    <w:rsid w:val="00B83490"/>
    <w:rsid w:val="00B83E86"/>
    <w:rsid w:val="00B87775"/>
    <w:rsid w:val="00B97C57"/>
    <w:rsid w:val="00BA6456"/>
    <w:rsid w:val="00BB2359"/>
    <w:rsid w:val="00BB6EB9"/>
    <w:rsid w:val="00BD3ECB"/>
    <w:rsid w:val="00BD63E2"/>
    <w:rsid w:val="00BF1AD1"/>
    <w:rsid w:val="00BF3E0B"/>
    <w:rsid w:val="00BF7578"/>
    <w:rsid w:val="00C01065"/>
    <w:rsid w:val="00C019BD"/>
    <w:rsid w:val="00C01FDD"/>
    <w:rsid w:val="00C03084"/>
    <w:rsid w:val="00C11290"/>
    <w:rsid w:val="00C142F3"/>
    <w:rsid w:val="00C158C5"/>
    <w:rsid w:val="00C266FE"/>
    <w:rsid w:val="00C27279"/>
    <w:rsid w:val="00C27CE9"/>
    <w:rsid w:val="00C40DFE"/>
    <w:rsid w:val="00C43C62"/>
    <w:rsid w:val="00C44156"/>
    <w:rsid w:val="00C47A06"/>
    <w:rsid w:val="00C5428B"/>
    <w:rsid w:val="00C543A3"/>
    <w:rsid w:val="00C61E0B"/>
    <w:rsid w:val="00C63328"/>
    <w:rsid w:val="00C6430F"/>
    <w:rsid w:val="00C67C21"/>
    <w:rsid w:val="00C73F34"/>
    <w:rsid w:val="00C74E76"/>
    <w:rsid w:val="00C81D59"/>
    <w:rsid w:val="00C828E6"/>
    <w:rsid w:val="00C86847"/>
    <w:rsid w:val="00C869EF"/>
    <w:rsid w:val="00CA2A5B"/>
    <w:rsid w:val="00CA372E"/>
    <w:rsid w:val="00CB3624"/>
    <w:rsid w:val="00CB4A73"/>
    <w:rsid w:val="00CC6C02"/>
    <w:rsid w:val="00CD072F"/>
    <w:rsid w:val="00CD2057"/>
    <w:rsid w:val="00CD216D"/>
    <w:rsid w:val="00CE0C1F"/>
    <w:rsid w:val="00CE7B01"/>
    <w:rsid w:val="00D11443"/>
    <w:rsid w:val="00D158CC"/>
    <w:rsid w:val="00D23C9E"/>
    <w:rsid w:val="00D36636"/>
    <w:rsid w:val="00D5097E"/>
    <w:rsid w:val="00D519DE"/>
    <w:rsid w:val="00D666FE"/>
    <w:rsid w:val="00D71ED7"/>
    <w:rsid w:val="00D72BC5"/>
    <w:rsid w:val="00D738C2"/>
    <w:rsid w:val="00D7552C"/>
    <w:rsid w:val="00D7781D"/>
    <w:rsid w:val="00D9338C"/>
    <w:rsid w:val="00DA164D"/>
    <w:rsid w:val="00DB0C40"/>
    <w:rsid w:val="00DB3755"/>
    <w:rsid w:val="00DB37A9"/>
    <w:rsid w:val="00DB6789"/>
    <w:rsid w:val="00DC3928"/>
    <w:rsid w:val="00DD00F5"/>
    <w:rsid w:val="00DD0802"/>
    <w:rsid w:val="00DD0ECD"/>
    <w:rsid w:val="00DD5A42"/>
    <w:rsid w:val="00DE29A1"/>
    <w:rsid w:val="00DE53F4"/>
    <w:rsid w:val="00DE751C"/>
    <w:rsid w:val="00DE774E"/>
    <w:rsid w:val="00DF36FE"/>
    <w:rsid w:val="00DF5E63"/>
    <w:rsid w:val="00E04CC2"/>
    <w:rsid w:val="00E070CB"/>
    <w:rsid w:val="00E071EA"/>
    <w:rsid w:val="00E07D1B"/>
    <w:rsid w:val="00E1108F"/>
    <w:rsid w:val="00E1256E"/>
    <w:rsid w:val="00E14201"/>
    <w:rsid w:val="00E24052"/>
    <w:rsid w:val="00E26C73"/>
    <w:rsid w:val="00E31993"/>
    <w:rsid w:val="00E35C9A"/>
    <w:rsid w:val="00E40E96"/>
    <w:rsid w:val="00E4448B"/>
    <w:rsid w:val="00E463DA"/>
    <w:rsid w:val="00E52A7A"/>
    <w:rsid w:val="00E65383"/>
    <w:rsid w:val="00E67D54"/>
    <w:rsid w:val="00E72679"/>
    <w:rsid w:val="00E726F8"/>
    <w:rsid w:val="00E77355"/>
    <w:rsid w:val="00E80060"/>
    <w:rsid w:val="00E8012C"/>
    <w:rsid w:val="00E810D2"/>
    <w:rsid w:val="00E8139F"/>
    <w:rsid w:val="00E92CFA"/>
    <w:rsid w:val="00EA33B0"/>
    <w:rsid w:val="00EA452B"/>
    <w:rsid w:val="00EB5B5B"/>
    <w:rsid w:val="00EB65C6"/>
    <w:rsid w:val="00ED077F"/>
    <w:rsid w:val="00ED1F33"/>
    <w:rsid w:val="00ED28B5"/>
    <w:rsid w:val="00ED6707"/>
    <w:rsid w:val="00EE1E1A"/>
    <w:rsid w:val="00EE6B3F"/>
    <w:rsid w:val="00F00629"/>
    <w:rsid w:val="00F024AB"/>
    <w:rsid w:val="00F105EE"/>
    <w:rsid w:val="00F15271"/>
    <w:rsid w:val="00F26D3E"/>
    <w:rsid w:val="00F26EB9"/>
    <w:rsid w:val="00F30760"/>
    <w:rsid w:val="00F3624B"/>
    <w:rsid w:val="00F443A4"/>
    <w:rsid w:val="00F4683F"/>
    <w:rsid w:val="00F514DD"/>
    <w:rsid w:val="00F53C08"/>
    <w:rsid w:val="00F65AAF"/>
    <w:rsid w:val="00F65BF7"/>
    <w:rsid w:val="00F66FE8"/>
    <w:rsid w:val="00F67DBD"/>
    <w:rsid w:val="00F74028"/>
    <w:rsid w:val="00F76626"/>
    <w:rsid w:val="00F77B30"/>
    <w:rsid w:val="00F85604"/>
    <w:rsid w:val="00F960C6"/>
    <w:rsid w:val="00FA3798"/>
    <w:rsid w:val="00FA4499"/>
    <w:rsid w:val="00FA69C0"/>
    <w:rsid w:val="00FA6E9F"/>
    <w:rsid w:val="00FD11E3"/>
    <w:rsid w:val="00FD3AB8"/>
    <w:rsid w:val="00FE0CCE"/>
    <w:rsid w:val="00FF47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6626"/>
    <w:rPr>
      <w:color w:val="000000"/>
      <w:kern w:val="28"/>
      <w:lang w:val="en-CA" w:eastAsia="en-CA"/>
    </w:rPr>
  </w:style>
  <w:style w:type="paragraph" w:styleId="Heading2">
    <w:name w:val="heading 2"/>
    <w:basedOn w:val="Normal"/>
    <w:next w:val="Normal"/>
    <w:link w:val="Heading2Char"/>
    <w:qFormat/>
    <w:rsid w:val="00C74E76"/>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2D3"/>
    <w:rPr>
      <w:b/>
      <w:bCs/>
      <w:color w:val="000000"/>
      <w:kern w:val="28"/>
      <w:sz w:val="24"/>
      <w:szCs w:val="24"/>
      <w:lang w:val="en-CA" w:eastAsia="en-CA"/>
    </w:rPr>
  </w:style>
  <w:style w:type="paragraph" w:styleId="Header">
    <w:name w:val="header"/>
    <w:basedOn w:val="Normal"/>
    <w:link w:val="HeaderChar"/>
    <w:rsid w:val="00C74E76"/>
    <w:pPr>
      <w:tabs>
        <w:tab w:val="center" w:pos="4320"/>
        <w:tab w:val="right" w:pos="8640"/>
      </w:tabs>
    </w:pPr>
    <w:rPr>
      <w:rFonts w:ascii="Garamond" w:hAnsi="Garamond"/>
      <w:color w:val="008000"/>
      <w:w w:val="120"/>
      <w:kern w:val="0"/>
      <w:sz w:val="24"/>
      <w:szCs w:val="24"/>
      <w:lang w:eastAsia="en-US"/>
    </w:rPr>
  </w:style>
  <w:style w:type="character" w:customStyle="1" w:styleId="HeaderChar">
    <w:name w:val="Header Char"/>
    <w:basedOn w:val="DefaultParagraphFont"/>
    <w:link w:val="Header"/>
    <w:rsid w:val="002402D3"/>
    <w:rPr>
      <w:rFonts w:ascii="Garamond" w:hAnsi="Garamond"/>
      <w:color w:val="008000"/>
      <w:w w:val="120"/>
      <w:sz w:val="24"/>
      <w:szCs w:val="24"/>
      <w:lang w:val="en-CA"/>
    </w:rPr>
  </w:style>
  <w:style w:type="paragraph" w:styleId="Footer">
    <w:name w:val="footer"/>
    <w:basedOn w:val="Normal"/>
    <w:link w:val="FooterChar"/>
    <w:rsid w:val="00C74E76"/>
    <w:pPr>
      <w:tabs>
        <w:tab w:val="center" w:pos="4320"/>
        <w:tab w:val="right" w:pos="8640"/>
      </w:tabs>
    </w:pPr>
  </w:style>
  <w:style w:type="character" w:customStyle="1" w:styleId="FooterChar">
    <w:name w:val="Footer Char"/>
    <w:basedOn w:val="DefaultParagraphFont"/>
    <w:link w:val="Footer"/>
    <w:rsid w:val="002402D3"/>
    <w:rPr>
      <w:color w:val="000000"/>
      <w:kern w:val="28"/>
      <w:lang w:val="en-CA" w:eastAsia="en-CA"/>
    </w:rPr>
  </w:style>
  <w:style w:type="character" w:styleId="Hyperlink">
    <w:name w:val="Hyperlink"/>
    <w:rsid w:val="00C74E76"/>
    <w:rPr>
      <w:color w:val="0066FF"/>
      <w:u w:val="single"/>
    </w:rPr>
  </w:style>
  <w:style w:type="table" w:styleId="TableGrid">
    <w:name w:val="Table Grid"/>
    <w:basedOn w:val="TableNormal"/>
    <w:uiPriority w:val="59"/>
    <w:rsid w:val="00C47A0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810D2"/>
    <w:rPr>
      <w:rFonts w:ascii="Tahoma" w:hAnsi="Tahoma"/>
      <w:sz w:val="16"/>
      <w:szCs w:val="16"/>
    </w:rPr>
  </w:style>
  <w:style w:type="character" w:customStyle="1" w:styleId="BalloonTextChar">
    <w:name w:val="Balloon Text Char"/>
    <w:link w:val="BalloonText"/>
    <w:rsid w:val="00E810D2"/>
    <w:rPr>
      <w:rFonts w:ascii="Tahoma" w:hAnsi="Tahoma" w:cs="Tahoma"/>
      <w:color w:val="000000"/>
      <w:kern w:val="28"/>
      <w:sz w:val="16"/>
      <w:szCs w:val="16"/>
      <w:lang w:val="en-CA" w:eastAsia="en-CA"/>
    </w:rPr>
  </w:style>
  <w:style w:type="paragraph" w:styleId="ListParagraph">
    <w:name w:val="List Paragraph"/>
    <w:basedOn w:val="Normal"/>
    <w:uiPriority w:val="72"/>
    <w:qFormat/>
    <w:rsid w:val="001927B3"/>
    <w:pPr>
      <w:ind w:left="720"/>
      <w:contextualSpacing/>
    </w:pPr>
  </w:style>
  <w:style w:type="character" w:styleId="CommentReference">
    <w:name w:val="annotation reference"/>
    <w:rsid w:val="000442EC"/>
    <w:rPr>
      <w:sz w:val="16"/>
      <w:szCs w:val="16"/>
    </w:rPr>
  </w:style>
  <w:style w:type="paragraph" w:styleId="CommentText">
    <w:name w:val="annotation text"/>
    <w:basedOn w:val="Normal"/>
    <w:link w:val="CommentTextChar"/>
    <w:rsid w:val="000442EC"/>
  </w:style>
  <w:style w:type="character" w:customStyle="1" w:styleId="CommentTextChar">
    <w:name w:val="Comment Text Char"/>
    <w:link w:val="CommentText"/>
    <w:rsid w:val="000442EC"/>
    <w:rPr>
      <w:color w:val="000000"/>
      <w:kern w:val="28"/>
      <w:lang w:val="en-CA" w:eastAsia="en-CA"/>
    </w:rPr>
  </w:style>
  <w:style w:type="paragraph" w:styleId="CommentSubject">
    <w:name w:val="annotation subject"/>
    <w:basedOn w:val="CommentText"/>
    <w:next w:val="CommentText"/>
    <w:link w:val="CommentSubjectChar"/>
    <w:rsid w:val="000442EC"/>
    <w:rPr>
      <w:b/>
      <w:bCs/>
    </w:rPr>
  </w:style>
  <w:style w:type="character" w:customStyle="1" w:styleId="CommentSubjectChar">
    <w:name w:val="Comment Subject Char"/>
    <w:link w:val="CommentSubject"/>
    <w:rsid w:val="000442EC"/>
    <w:rPr>
      <w:b/>
      <w:bCs/>
      <w:color w:val="000000"/>
      <w:kern w:val="28"/>
      <w:lang w:val="en-CA" w:eastAsia="en-CA"/>
    </w:rPr>
  </w:style>
  <w:style w:type="table" w:customStyle="1" w:styleId="TableGrid1">
    <w:name w:val="Table Grid1"/>
    <w:basedOn w:val="TableNormal"/>
    <w:next w:val="TableGrid"/>
    <w:uiPriority w:val="59"/>
    <w:rsid w:val="0066456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70"/>
    <w:rsid w:val="005D2C02"/>
    <w:pPr>
      <w:tabs>
        <w:tab w:val="left" w:pos="384"/>
      </w:tabs>
      <w:spacing w:line="480" w:lineRule="auto"/>
      <w:ind w:left="384" w:hanging="384"/>
    </w:pPr>
  </w:style>
</w:styles>
</file>

<file path=word/webSettings.xml><?xml version="1.0" encoding="utf-8"?>
<w:webSettings xmlns:r="http://schemas.openxmlformats.org/officeDocument/2006/relationships" xmlns:w="http://schemas.openxmlformats.org/wordprocessingml/2006/main">
  <w:divs>
    <w:div w:id="109058043">
      <w:bodyDiv w:val="1"/>
      <w:marLeft w:val="0"/>
      <w:marRight w:val="0"/>
      <w:marTop w:val="0"/>
      <w:marBottom w:val="0"/>
      <w:divBdr>
        <w:top w:val="none" w:sz="0" w:space="0" w:color="auto"/>
        <w:left w:val="none" w:sz="0" w:space="0" w:color="auto"/>
        <w:bottom w:val="none" w:sz="0" w:space="0" w:color="auto"/>
        <w:right w:val="none" w:sz="0" w:space="0" w:color="auto"/>
      </w:divBdr>
    </w:div>
    <w:div w:id="171846424">
      <w:bodyDiv w:val="1"/>
      <w:marLeft w:val="0"/>
      <w:marRight w:val="0"/>
      <w:marTop w:val="0"/>
      <w:marBottom w:val="0"/>
      <w:divBdr>
        <w:top w:val="none" w:sz="0" w:space="0" w:color="auto"/>
        <w:left w:val="none" w:sz="0" w:space="0" w:color="auto"/>
        <w:bottom w:val="none" w:sz="0" w:space="0" w:color="auto"/>
        <w:right w:val="none" w:sz="0" w:space="0" w:color="auto"/>
      </w:divBdr>
    </w:div>
    <w:div w:id="220672964">
      <w:bodyDiv w:val="1"/>
      <w:marLeft w:val="0"/>
      <w:marRight w:val="0"/>
      <w:marTop w:val="0"/>
      <w:marBottom w:val="0"/>
      <w:divBdr>
        <w:top w:val="none" w:sz="0" w:space="0" w:color="auto"/>
        <w:left w:val="none" w:sz="0" w:space="0" w:color="auto"/>
        <w:bottom w:val="none" w:sz="0" w:space="0" w:color="auto"/>
        <w:right w:val="none" w:sz="0" w:space="0" w:color="auto"/>
      </w:divBdr>
    </w:div>
    <w:div w:id="532622233">
      <w:bodyDiv w:val="1"/>
      <w:marLeft w:val="0"/>
      <w:marRight w:val="0"/>
      <w:marTop w:val="0"/>
      <w:marBottom w:val="0"/>
      <w:divBdr>
        <w:top w:val="none" w:sz="0" w:space="0" w:color="auto"/>
        <w:left w:val="none" w:sz="0" w:space="0" w:color="auto"/>
        <w:bottom w:val="none" w:sz="0" w:space="0" w:color="auto"/>
        <w:right w:val="none" w:sz="0" w:space="0" w:color="auto"/>
      </w:divBdr>
    </w:div>
    <w:div w:id="654530450">
      <w:bodyDiv w:val="1"/>
      <w:marLeft w:val="0"/>
      <w:marRight w:val="0"/>
      <w:marTop w:val="0"/>
      <w:marBottom w:val="0"/>
      <w:divBdr>
        <w:top w:val="none" w:sz="0" w:space="0" w:color="auto"/>
        <w:left w:val="none" w:sz="0" w:space="0" w:color="auto"/>
        <w:bottom w:val="none" w:sz="0" w:space="0" w:color="auto"/>
        <w:right w:val="none" w:sz="0" w:space="0" w:color="auto"/>
      </w:divBdr>
    </w:div>
    <w:div w:id="672878682">
      <w:bodyDiv w:val="1"/>
      <w:marLeft w:val="0"/>
      <w:marRight w:val="0"/>
      <w:marTop w:val="0"/>
      <w:marBottom w:val="0"/>
      <w:divBdr>
        <w:top w:val="none" w:sz="0" w:space="0" w:color="auto"/>
        <w:left w:val="none" w:sz="0" w:space="0" w:color="auto"/>
        <w:bottom w:val="none" w:sz="0" w:space="0" w:color="auto"/>
        <w:right w:val="none" w:sz="0" w:space="0" w:color="auto"/>
      </w:divBdr>
    </w:div>
    <w:div w:id="709652876">
      <w:bodyDiv w:val="1"/>
      <w:marLeft w:val="0"/>
      <w:marRight w:val="0"/>
      <w:marTop w:val="0"/>
      <w:marBottom w:val="0"/>
      <w:divBdr>
        <w:top w:val="none" w:sz="0" w:space="0" w:color="auto"/>
        <w:left w:val="none" w:sz="0" w:space="0" w:color="auto"/>
        <w:bottom w:val="none" w:sz="0" w:space="0" w:color="auto"/>
        <w:right w:val="none" w:sz="0" w:space="0" w:color="auto"/>
      </w:divBdr>
    </w:div>
    <w:div w:id="732199468">
      <w:bodyDiv w:val="1"/>
      <w:marLeft w:val="0"/>
      <w:marRight w:val="0"/>
      <w:marTop w:val="0"/>
      <w:marBottom w:val="0"/>
      <w:divBdr>
        <w:top w:val="none" w:sz="0" w:space="0" w:color="auto"/>
        <w:left w:val="none" w:sz="0" w:space="0" w:color="auto"/>
        <w:bottom w:val="none" w:sz="0" w:space="0" w:color="auto"/>
        <w:right w:val="none" w:sz="0" w:space="0" w:color="auto"/>
      </w:divBdr>
    </w:div>
    <w:div w:id="745612145">
      <w:bodyDiv w:val="1"/>
      <w:marLeft w:val="0"/>
      <w:marRight w:val="0"/>
      <w:marTop w:val="0"/>
      <w:marBottom w:val="0"/>
      <w:divBdr>
        <w:top w:val="none" w:sz="0" w:space="0" w:color="auto"/>
        <w:left w:val="none" w:sz="0" w:space="0" w:color="auto"/>
        <w:bottom w:val="none" w:sz="0" w:space="0" w:color="auto"/>
        <w:right w:val="none" w:sz="0" w:space="0" w:color="auto"/>
      </w:divBdr>
    </w:div>
    <w:div w:id="936715717">
      <w:bodyDiv w:val="1"/>
      <w:marLeft w:val="0"/>
      <w:marRight w:val="0"/>
      <w:marTop w:val="0"/>
      <w:marBottom w:val="0"/>
      <w:divBdr>
        <w:top w:val="none" w:sz="0" w:space="0" w:color="auto"/>
        <w:left w:val="none" w:sz="0" w:space="0" w:color="auto"/>
        <w:bottom w:val="none" w:sz="0" w:space="0" w:color="auto"/>
        <w:right w:val="none" w:sz="0" w:space="0" w:color="auto"/>
      </w:divBdr>
    </w:div>
    <w:div w:id="939723385">
      <w:bodyDiv w:val="1"/>
      <w:marLeft w:val="0"/>
      <w:marRight w:val="0"/>
      <w:marTop w:val="0"/>
      <w:marBottom w:val="0"/>
      <w:divBdr>
        <w:top w:val="none" w:sz="0" w:space="0" w:color="auto"/>
        <w:left w:val="none" w:sz="0" w:space="0" w:color="auto"/>
        <w:bottom w:val="none" w:sz="0" w:space="0" w:color="auto"/>
        <w:right w:val="none" w:sz="0" w:space="0" w:color="auto"/>
      </w:divBdr>
    </w:div>
    <w:div w:id="1063722346">
      <w:bodyDiv w:val="1"/>
      <w:marLeft w:val="0"/>
      <w:marRight w:val="0"/>
      <w:marTop w:val="0"/>
      <w:marBottom w:val="0"/>
      <w:divBdr>
        <w:top w:val="none" w:sz="0" w:space="0" w:color="auto"/>
        <w:left w:val="none" w:sz="0" w:space="0" w:color="auto"/>
        <w:bottom w:val="none" w:sz="0" w:space="0" w:color="auto"/>
        <w:right w:val="none" w:sz="0" w:space="0" w:color="auto"/>
      </w:divBdr>
    </w:div>
    <w:div w:id="1118375421">
      <w:bodyDiv w:val="1"/>
      <w:marLeft w:val="0"/>
      <w:marRight w:val="0"/>
      <w:marTop w:val="0"/>
      <w:marBottom w:val="0"/>
      <w:divBdr>
        <w:top w:val="none" w:sz="0" w:space="0" w:color="auto"/>
        <w:left w:val="none" w:sz="0" w:space="0" w:color="auto"/>
        <w:bottom w:val="none" w:sz="0" w:space="0" w:color="auto"/>
        <w:right w:val="none" w:sz="0" w:space="0" w:color="auto"/>
      </w:divBdr>
    </w:div>
    <w:div w:id="1154250535">
      <w:bodyDiv w:val="1"/>
      <w:marLeft w:val="0"/>
      <w:marRight w:val="0"/>
      <w:marTop w:val="0"/>
      <w:marBottom w:val="0"/>
      <w:divBdr>
        <w:top w:val="none" w:sz="0" w:space="0" w:color="auto"/>
        <w:left w:val="none" w:sz="0" w:space="0" w:color="auto"/>
        <w:bottom w:val="none" w:sz="0" w:space="0" w:color="auto"/>
        <w:right w:val="none" w:sz="0" w:space="0" w:color="auto"/>
      </w:divBdr>
    </w:div>
    <w:div w:id="1309746619">
      <w:bodyDiv w:val="1"/>
      <w:marLeft w:val="0"/>
      <w:marRight w:val="0"/>
      <w:marTop w:val="0"/>
      <w:marBottom w:val="0"/>
      <w:divBdr>
        <w:top w:val="none" w:sz="0" w:space="0" w:color="auto"/>
        <w:left w:val="none" w:sz="0" w:space="0" w:color="auto"/>
        <w:bottom w:val="none" w:sz="0" w:space="0" w:color="auto"/>
        <w:right w:val="none" w:sz="0" w:space="0" w:color="auto"/>
      </w:divBdr>
    </w:div>
    <w:div w:id="1358579223">
      <w:bodyDiv w:val="1"/>
      <w:marLeft w:val="0"/>
      <w:marRight w:val="0"/>
      <w:marTop w:val="0"/>
      <w:marBottom w:val="0"/>
      <w:divBdr>
        <w:top w:val="none" w:sz="0" w:space="0" w:color="auto"/>
        <w:left w:val="none" w:sz="0" w:space="0" w:color="auto"/>
        <w:bottom w:val="none" w:sz="0" w:space="0" w:color="auto"/>
        <w:right w:val="none" w:sz="0" w:space="0" w:color="auto"/>
      </w:divBdr>
    </w:div>
    <w:div w:id="1364012067">
      <w:bodyDiv w:val="1"/>
      <w:marLeft w:val="0"/>
      <w:marRight w:val="0"/>
      <w:marTop w:val="0"/>
      <w:marBottom w:val="0"/>
      <w:divBdr>
        <w:top w:val="none" w:sz="0" w:space="0" w:color="auto"/>
        <w:left w:val="none" w:sz="0" w:space="0" w:color="auto"/>
        <w:bottom w:val="none" w:sz="0" w:space="0" w:color="auto"/>
        <w:right w:val="none" w:sz="0" w:space="0" w:color="auto"/>
      </w:divBdr>
    </w:div>
    <w:div w:id="1493986953">
      <w:bodyDiv w:val="1"/>
      <w:marLeft w:val="0"/>
      <w:marRight w:val="0"/>
      <w:marTop w:val="0"/>
      <w:marBottom w:val="0"/>
      <w:divBdr>
        <w:top w:val="none" w:sz="0" w:space="0" w:color="auto"/>
        <w:left w:val="none" w:sz="0" w:space="0" w:color="auto"/>
        <w:bottom w:val="none" w:sz="0" w:space="0" w:color="auto"/>
        <w:right w:val="none" w:sz="0" w:space="0" w:color="auto"/>
      </w:divBdr>
    </w:div>
    <w:div w:id="1500005695">
      <w:bodyDiv w:val="1"/>
      <w:marLeft w:val="0"/>
      <w:marRight w:val="0"/>
      <w:marTop w:val="0"/>
      <w:marBottom w:val="0"/>
      <w:divBdr>
        <w:top w:val="none" w:sz="0" w:space="0" w:color="auto"/>
        <w:left w:val="none" w:sz="0" w:space="0" w:color="auto"/>
        <w:bottom w:val="none" w:sz="0" w:space="0" w:color="auto"/>
        <w:right w:val="none" w:sz="0" w:space="0" w:color="auto"/>
      </w:divBdr>
    </w:div>
    <w:div w:id="1509712066">
      <w:bodyDiv w:val="1"/>
      <w:marLeft w:val="0"/>
      <w:marRight w:val="0"/>
      <w:marTop w:val="0"/>
      <w:marBottom w:val="0"/>
      <w:divBdr>
        <w:top w:val="none" w:sz="0" w:space="0" w:color="auto"/>
        <w:left w:val="none" w:sz="0" w:space="0" w:color="auto"/>
        <w:bottom w:val="none" w:sz="0" w:space="0" w:color="auto"/>
        <w:right w:val="none" w:sz="0" w:space="0" w:color="auto"/>
      </w:divBdr>
    </w:div>
    <w:div w:id="1605109976">
      <w:bodyDiv w:val="1"/>
      <w:marLeft w:val="0"/>
      <w:marRight w:val="0"/>
      <w:marTop w:val="0"/>
      <w:marBottom w:val="0"/>
      <w:divBdr>
        <w:top w:val="none" w:sz="0" w:space="0" w:color="auto"/>
        <w:left w:val="none" w:sz="0" w:space="0" w:color="auto"/>
        <w:bottom w:val="none" w:sz="0" w:space="0" w:color="auto"/>
        <w:right w:val="none" w:sz="0" w:space="0" w:color="auto"/>
      </w:divBdr>
    </w:div>
    <w:div w:id="1735657328">
      <w:bodyDiv w:val="1"/>
      <w:marLeft w:val="0"/>
      <w:marRight w:val="0"/>
      <w:marTop w:val="0"/>
      <w:marBottom w:val="0"/>
      <w:divBdr>
        <w:top w:val="none" w:sz="0" w:space="0" w:color="auto"/>
        <w:left w:val="none" w:sz="0" w:space="0" w:color="auto"/>
        <w:bottom w:val="none" w:sz="0" w:space="0" w:color="auto"/>
        <w:right w:val="none" w:sz="0" w:space="0" w:color="auto"/>
      </w:divBdr>
    </w:div>
    <w:div w:id="1852137316">
      <w:bodyDiv w:val="1"/>
      <w:marLeft w:val="0"/>
      <w:marRight w:val="0"/>
      <w:marTop w:val="0"/>
      <w:marBottom w:val="0"/>
      <w:divBdr>
        <w:top w:val="none" w:sz="0" w:space="0" w:color="auto"/>
        <w:left w:val="none" w:sz="0" w:space="0" w:color="auto"/>
        <w:bottom w:val="none" w:sz="0" w:space="0" w:color="auto"/>
        <w:right w:val="none" w:sz="0" w:space="0" w:color="auto"/>
      </w:divBdr>
    </w:div>
    <w:div w:id="1942253618">
      <w:bodyDiv w:val="1"/>
      <w:marLeft w:val="0"/>
      <w:marRight w:val="0"/>
      <w:marTop w:val="0"/>
      <w:marBottom w:val="0"/>
      <w:divBdr>
        <w:top w:val="none" w:sz="0" w:space="0" w:color="auto"/>
        <w:left w:val="none" w:sz="0" w:space="0" w:color="auto"/>
        <w:bottom w:val="none" w:sz="0" w:space="0" w:color="auto"/>
        <w:right w:val="none" w:sz="0" w:space="0" w:color="auto"/>
      </w:divBdr>
    </w:div>
    <w:div w:id="1952323867">
      <w:bodyDiv w:val="1"/>
      <w:marLeft w:val="0"/>
      <w:marRight w:val="0"/>
      <w:marTop w:val="0"/>
      <w:marBottom w:val="0"/>
      <w:divBdr>
        <w:top w:val="none" w:sz="0" w:space="0" w:color="auto"/>
        <w:left w:val="none" w:sz="0" w:space="0" w:color="auto"/>
        <w:bottom w:val="none" w:sz="0" w:space="0" w:color="auto"/>
        <w:right w:val="none" w:sz="0" w:space="0" w:color="auto"/>
      </w:divBdr>
    </w:div>
    <w:div w:id="1998849073">
      <w:bodyDiv w:val="1"/>
      <w:marLeft w:val="0"/>
      <w:marRight w:val="0"/>
      <w:marTop w:val="0"/>
      <w:marBottom w:val="0"/>
      <w:divBdr>
        <w:top w:val="none" w:sz="0" w:space="0" w:color="auto"/>
        <w:left w:val="none" w:sz="0" w:space="0" w:color="auto"/>
        <w:bottom w:val="none" w:sz="0" w:space="0" w:color="auto"/>
        <w:right w:val="none" w:sz="0" w:space="0" w:color="auto"/>
      </w:divBdr>
    </w:div>
    <w:div w:id="20074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27</Pages>
  <Words>38714</Words>
  <Characters>220673</Characters>
  <Application>Microsoft Office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PRISMA 2009 Flow Diagram</vt:lpstr>
    </vt:vector>
  </TitlesOfParts>
  <Company>OHRI</Company>
  <LinksUpToDate>false</LinksUpToDate>
  <CharactersWithSpaces>258870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2009 Flow Diagram</dc:title>
  <dc:creator>mocampo</dc:creator>
  <cp:lastModifiedBy>s.a.y</cp:lastModifiedBy>
  <cp:revision>11</cp:revision>
  <dcterms:created xsi:type="dcterms:W3CDTF">2022-07-14T08:17:00Z</dcterms:created>
  <dcterms:modified xsi:type="dcterms:W3CDTF">2022-10-06T10:14:00Z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id="FzxCyKJo"/&gt;&lt;style id="http://www.zotero.org/styles/nature" hasBibliography="1" bibliographyStyleHasBeenSet="1"/&gt;&lt;prefs&gt;&lt;pref name="fieldType" value="Field"/&gt;&lt;pref name="dontAskDelayCitationUpdate</vt:lpwstr>
  </property>
  <property fmtid="{D5CDD505-2E9C-101B-9397-08002B2CF9AE}" pid="3" name="ZOTERO_PREF_2">
    <vt:lpwstr>s" value="true"/&gt;&lt;/prefs&gt;&lt;/data&gt;</vt:lpwstr>
  </property>
</Properties>
</file>