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1410B" w:rsidP="00E1410B" w:rsidRDefault="00E1410B" w14:paraId="7B36C3D6" w14:textId="77777777">
      <w:pPr>
        <w:pStyle w:val="Authors"/>
        <w:jc w:val="center"/>
        <w:rPr>
          <w:rFonts w:ascii="Times New Roman" w:hAnsi="Times New Roman"/>
          <w:b/>
          <w:bCs/>
          <w:kern w:val="28"/>
          <w:sz w:val="32"/>
          <w:szCs w:val="28"/>
          <w:lang w:val="en-US"/>
        </w:rPr>
      </w:pPr>
      <w:r>
        <w:rPr>
          <w:rFonts w:ascii="Times New Roman" w:hAnsi="Times New Roman"/>
          <w:b/>
          <w:bCs/>
          <w:kern w:val="28"/>
          <w:sz w:val="32"/>
          <w:szCs w:val="28"/>
          <w:lang w:val="en-US"/>
        </w:rPr>
        <w:t>Osteoporosis and fragility fractures in patients with cirrhosis evaluated for liver transplantation: Identification of high-risk patients based on computed tomography at evaluation</w:t>
      </w:r>
    </w:p>
    <w:p w:rsidRPr="00E1410B" w:rsidR="00E1410B" w:rsidP="00E1410B" w:rsidRDefault="00E1410B" w14:paraId="22BC0457" w14:textId="5F580503">
      <w:pPr>
        <w:spacing w:after="120" w:line="240" w:lineRule="auto"/>
        <w:jc w:val="both"/>
        <w:rPr>
          <w:rFonts w:ascii="Times New Roman" w:hAnsi="Times New Roman" w:eastAsia="Times New Roman" w:cs="Times New Roman"/>
          <w:b/>
          <w:bCs/>
          <w:sz w:val="20"/>
          <w:szCs w:val="24"/>
          <w:lang w:val="en-US"/>
        </w:rPr>
      </w:pPr>
      <w:r w:rsidRPr="00E1410B">
        <w:rPr>
          <w:rFonts w:ascii="Times New Roman" w:hAnsi="Times New Roman" w:eastAsia="Times New Roman" w:cs="Times New Roman"/>
          <w:b/>
          <w:bCs/>
          <w:sz w:val="20"/>
          <w:szCs w:val="24"/>
          <w:lang w:val="en-US"/>
        </w:rPr>
        <w:t xml:space="preserve">Authors: </w:t>
      </w:r>
      <w:r w:rsidRPr="00E1410B">
        <w:rPr>
          <w:rFonts w:ascii="Times New Roman" w:hAnsi="Times New Roman" w:eastAsia="Times New Roman" w:cs="Times New Roman"/>
          <w:bCs/>
          <w:sz w:val="20"/>
          <w:szCs w:val="24"/>
          <w:lang w:val="en-US"/>
        </w:rPr>
        <w:t xml:space="preserve">Clément </w:t>
      </w:r>
      <w:proofErr w:type="spellStart"/>
      <w:r w:rsidRPr="00E1410B">
        <w:rPr>
          <w:rFonts w:ascii="Times New Roman" w:hAnsi="Times New Roman" w:eastAsia="Times New Roman" w:cs="Times New Roman"/>
          <w:bCs/>
          <w:sz w:val="20"/>
          <w:szCs w:val="24"/>
          <w:lang w:val="en-US"/>
        </w:rPr>
        <w:t>Nachef</w:t>
      </w:r>
      <w:proofErr w:type="spellEnd"/>
      <w:r w:rsidRPr="00E1410B">
        <w:rPr>
          <w:rFonts w:ascii="Times New Roman" w:hAnsi="Times New Roman" w:eastAsia="Times New Roman" w:cs="Times New Roman"/>
          <w:bCs/>
          <w:sz w:val="20"/>
          <w:szCs w:val="24"/>
          <w:lang w:val="en-US"/>
        </w:rPr>
        <w:t xml:space="preserve"> (MD)</w:t>
      </w:r>
      <w:r>
        <w:rPr>
          <w:rFonts w:ascii="Times New Roman" w:hAnsi="Times New Roman" w:eastAsia="Times New Roman" w:cs="Times New Roman"/>
          <w:bCs/>
          <w:sz w:val="20"/>
          <w:szCs w:val="24"/>
          <w:lang w:val="en-US"/>
        </w:rPr>
        <w:t>,</w:t>
      </w:r>
      <w:r w:rsidRPr="00E1410B">
        <w:rPr>
          <w:rFonts w:ascii="Times New Roman" w:hAnsi="Times New Roman" w:eastAsia="Times New Roman" w:cs="Times New Roman"/>
          <w:bCs/>
          <w:sz w:val="20"/>
          <w:szCs w:val="24"/>
          <w:lang w:val="en-US"/>
        </w:rPr>
        <w:t xml:space="preserve"> Valérie </w:t>
      </w:r>
      <w:proofErr w:type="spellStart"/>
      <w:r w:rsidRPr="00E1410B">
        <w:rPr>
          <w:rFonts w:ascii="Times New Roman" w:hAnsi="Times New Roman" w:eastAsia="Times New Roman" w:cs="Times New Roman"/>
          <w:bCs/>
          <w:sz w:val="20"/>
          <w:szCs w:val="24"/>
          <w:lang w:val="en-US"/>
        </w:rPr>
        <w:t>Bousson</w:t>
      </w:r>
      <w:proofErr w:type="spellEnd"/>
      <w:r w:rsidRPr="00E1410B">
        <w:rPr>
          <w:rFonts w:ascii="Times New Roman" w:hAnsi="Times New Roman" w:eastAsia="Times New Roman" w:cs="Times New Roman"/>
          <w:bCs/>
          <w:sz w:val="20"/>
          <w:szCs w:val="24"/>
          <w:lang w:val="en-US"/>
        </w:rPr>
        <w:t xml:space="preserve"> (MD, PhD), Nadia </w:t>
      </w:r>
      <w:proofErr w:type="spellStart"/>
      <w:r w:rsidRPr="00E1410B">
        <w:rPr>
          <w:rFonts w:ascii="Times New Roman" w:hAnsi="Times New Roman" w:eastAsia="Times New Roman" w:cs="Times New Roman"/>
          <w:bCs/>
          <w:sz w:val="20"/>
          <w:szCs w:val="24"/>
          <w:lang w:val="en-US"/>
        </w:rPr>
        <w:t>Belmatoug</w:t>
      </w:r>
      <w:proofErr w:type="spellEnd"/>
      <w:r w:rsidRPr="00E1410B">
        <w:rPr>
          <w:rFonts w:ascii="Times New Roman" w:hAnsi="Times New Roman" w:eastAsia="Times New Roman" w:cs="Times New Roman"/>
          <w:bCs/>
          <w:sz w:val="20"/>
          <w:szCs w:val="24"/>
          <w:lang w:val="en-US"/>
        </w:rPr>
        <w:t xml:space="preserve"> (MD), Martine Cohen-Solal (MD, PhD), Valérie </w:t>
      </w:r>
      <w:proofErr w:type="spellStart"/>
      <w:r w:rsidRPr="00E1410B">
        <w:rPr>
          <w:rFonts w:ascii="Times New Roman" w:hAnsi="Times New Roman" w:eastAsia="Times New Roman" w:cs="Times New Roman"/>
          <w:bCs/>
          <w:sz w:val="20"/>
          <w:szCs w:val="24"/>
          <w:lang w:val="en-US"/>
        </w:rPr>
        <w:t>Vilgrain</w:t>
      </w:r>
      <w:proofErr w:type="spellEnd"/>
      <w:r w:rsidRPr="00E1410B">
        <w:rPr>
          <w:rFonts w:ascii="Times New Roman" w:hAnsi="Times New Roman" w:eastAsia="Times New Roman" w:cs="Times New Roman"/>
          <w:bCs/>
          <w:sz w:val="20"/>
          <w:szCs w:val="24"/>
          <w:lang w:val="en-US"/>
        </w:rPr>
        <w:t xml:space="preserve"> (MD, PhD), Olivier Roux (MD), Claire </w:t>
      </w:r>
      <w:proofErr w:type="spellStart"/>
      <w:r w:rsidRPr="00E1410B">
        <w:rPr>
          <w:rFonts w:ascii="Times New Roman" w:hAnsi="Times New Roman" w:eastAsia="Times New Roman" w:cs="Times New Roman"/>
          <w:bCs/>
          <w:sz w:val="20"/>
          <w:szCs w:val="24"/>
          <w:lang w:val="en-US"/>
        </w:rPr>
        <w:t>Francoz</w:t>
      </w:r>
      <w:proofErr w:type="spellEnd"/>
      <w:r w:rsidRPr="00E1410B">
        <w:rPr>
          <w:rFonts w:ascii="Times New Roman" w:hAnsi="Times New Roman" w:eastAsia="Times New Roman" w:cs="Times New Roman"/>
          <w:bCs/>
          <w:sz w:val="20"/>
          <w:szCs w:val="24"/>
          <w:lang w:val="en-US"/>
        </w:rPr>
        <w:t xml:space="preserve"> (MD, PhD), François Durand (MD, PhD) and Thomas </w:t>
      </w:r>
      <w:proofErr w:type="spellStart"/>
      <w:r w:rsidRPr="00E1410B">
        <w:rPr>
          <w:rFonts w:ascii="Times New Roman" w:hAnsi="Times New Roman" w:eastAsia="Times New Roman" w:cs="Times New Roman"/>
          <w:bCs/>
          <w:sz w:val="20"/>
          <w:szCs w:val="24"/>
          <w:lang w:val="en-US"/>
        </w:rPr>
        <w:t>Funck</w:t>
      </w:r>
      <w:proofErr w:type="spellEnd"/>
      <w:r w:rsidRPr="00E1410B">
        <w:rPr>
          <w:rFonts w:ascii="Times New Roman" w:hAnsi="Times New Roman" w:eastAsia="Times New Roman" w:cs="Times New Roman"/>
          <w:bCs/>
          <w:sz w:val="20"/>
          <w:szCs w:val="24"/>
          <w:lang w:val="en-US"/>
        </w:rPr>
        <w:t>-Brentano (MD, PhD)</w:t>
      </w:r>
    </w:p>
    <w:p w:rsidR="00E1410B" w:rsidP="004C028C" w:rsidRDefault="00E1410B" w14:paraId="5DCA25C0" w14:textId="77777777">
      <w:pPr>
        <w:spacing w:after="120" w:line="240" w:lineRule="auto"/>
        <w:jc w:val="both"/>
        <w:rPr>
          <w:rFonts w:ascii="Times New Roman" w:hAnsi="Times New Roman" w:eastAsia="Times New Roman" w:cs="Times New Roman"/>
          <w:b/>
          <w:bCs/>
          <w:sz w:val="20"/>
          <w:szCs w:val="24"/>
          <w:lang w:val="en-US"/>
        </w:rPr>
      </w:pPr>
    </w:p>
    <w:p w:rsidRPr="004C028C" w:rsidR="004C028C" w:rsidP="004C028C" w:rsidRDefault="004C028C" w14:paraId="0A37501D" w14:textId="77777777">
      <w:pPr>
        <w:spacing w:after="120" w:line="240" w:lineRule="auto"/>
        <w:jc w:val="both"/>
        <w:rPr>
          <w:rFonts w:ascii="Times New Roman" w:hAnsi="Times New Roman" w:eastAsia="Times New Roman" w:cs="Times New Roman"/>
          <w:bCs/>
          <w:sz w:val="24"/>
          <w:szCs w:val="24"/>
          <w:lang w:val="en-US"/>
        </w:rPr>
      </w:pPr>
    </w:p>
    <w:p w:rsidRPr="00DC3A11" w:rsidR="004C028C" w:rsidP="004C028C" w:rsidRDefault="004C028C" w14:paraId="4D83748D" w14:textId="77777777">
      <w:pPr>
        <w:spacing w:after="120" w:line="360" w:lineRule="auto"/>
        <w:jc w:val="both"/>
        <w:rPr>
          <w:rFonts w:ascii="Times New Roman" w:hAnsi="Times New Roman" w:eastAsia="Times New Roman" w:cs="Times New Roman"/>
          <w:b/>
          <w:bCs/>
          <w:szCs w:val="24"/>
          <w:lang w:val="en-US"/>
        </w:rPr>
      </w:pPr>
      <w:r w:rsidRPr="00DC3A11">
        <w:rPr>
          <w:rFonts w:ascii="Times New Roman" w:hAnsi="Times New Roman" w:eastAsia="Times New Roman" w:cs="Times New Roman"/>
          <w:b/>
          <w:bCs/>
          <w:sz w:val="24"/>
          <w:szCs w:val="24"/>
          <w:lang w:val="en-US"/>
        </w:rPr>
        <w:t>Supplementary Table S1</w:t>
      </w:r>
      <w:r w:rsidRPr="004D5EBF">
        <w:rPr>
          <w:rFonts w:ascii="Times New Roman" w:hAnsi="Times New Roman" w:eastAsia="Times New Roman" w:cs="Times New Roman"/>
          <w:b/>
          <w:bCs/>
          <w:sz w:val="20"/>
          <w:szCs w:val="24"/>
          <w:lang w:val="en-US"/>
        </w:rPr>
        <w:t xml:space="preserve">: </w:t>
      </w:r>
      <w:r w:rsidRPr="00DC3A11">
        <w:rPr>
          <w:rFonts w:ascii="Times New Roman" w:hAnsi="Times New Roman" w:eastAsia="Times New Roman" w:cs="Times New Roman"/>
          <w:bCs/>
          <w:szCs w:val="24"/>
          <w:lang w:val="en-US"/>
        </w:rPr>
        <w:t>Univariate associations with vertebral fractures</w:t>
      </w:r>
    </w:p>
    <w:tbl>
      <w:tblPr>
        <w:tblW w:w="10491" w:type="dxa"/>
        <w:tblInd w:w="-426" w:type="dxa"/>
        <w:tblCellMar>
          <w:left w:w="70" w:type="dxa"/>
          <w:right w:w="70" w:type="dxa"/>
        </w:tblCellMar>
        <w:tblLook w:val="04A0" w:firstRow="1" w:lastRow="0" w:firstColumn="1" w:lastColumn="0" w:noHBand="0" w:noVBand="1"/>
      </w:tblPr>
      <w:tblGrid>
        <w:gridCol w:w="3286"/>
        <w:gridCol w:w="1393"/>
        <w:gridCol w:w="1507"/>
        <w:gridCol w:w="1539"/>
        <w:gridCol w:w="1632"/>
        <w:gridCol w:w="1134"/>
      </w:tblGrid>
      <w:tr w:rsidRPr="004C028C" w:rsidR="004C028C" w:rsidTr="48FF94B6" w14:paraId="49B93E83" w14:textId="77777777">
        <w:trPr>
          <w:trHeight w:val="320"/>
        </w:trPr>
        <w:tc>
          <w:tcPr>
            <w:tcW w:w="3286" w:type="dxa"/>
            <w:tcBorders>
              <w:top w:val="single" w:color="auto" w:sz="4" w:space="0"/>
              <w:left w:val="nil"/>
              <w:bottom w:val="nil"/>
              <w:right w:val="nil"/>
            </w:tcBorders>
            <w:shd w:val="clear" w:color="auto" w:fill="FFFFFF" w:themeFill="background1"/>
            <w:noWrap/>
            <w:vAlign w:val="bottom"/>
            <w:hideMark/>
          </w:tcPr>
          <w:p w:rsidRPr="004C028C" w:rsidR="004C028C" w:rsidP="004C028C" w:rsidRDefault="004C028C" w14:paraId="6E7BEAA2"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 </w:t>
            </w:r>
          </w:p>
        </w:tc>
        <w:tc>
          <w:tcPr>
            <w:tcW w:w="2900" w:type="dxa"/>
            <w:gridSpan w:val="2"/>
            <w:tcBorders>
              <w:top w:val="single" w:color="auto" w:sz="4" w:space="0"/>
              <w:left w:val="nil"/>
              <w:bottom w:val="nil"/>
              <w:right w:val="nil"/>
            </w:tcBorders>
            <w:shd w:val="clear" w:color="auto" w:fill="FFFFFF" w:themeFill="background1"/>
            <w:noWrap/>
            <w:vAlign w:val="bottom"/>
            <w:hideMark/>
          </w:tcPr>
          <w:p w:rsidRPr="004C028C" w:rsidR="004C028C" w:rsidP="004C028C" w:rsidRDefault="004C028C" w14:paraId="00286DEF" w14:textId="77777777">
            <w:pPr>
              <w:spacing w:after="0" w:line="240" w:lineRule="auto"/>
              <w:jc w:val="center"/>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Presence of VF n= 55</w:t>
            </w:r>
          </w:p>
        </w:tc>
        <w:tc>
          <w:tcPr>
            <w:tcW w:w="3171" w:type="dxa"/>
            <w:gridSpan w:val="2"/>
            <w:tcBorders>
              <w:top w:val="single" w:color="auto" w:sz="4" w:space="0"/>
              <w:left w:val="nil"/>
              <w:bottom w:val="nil"/>
              <w:right w:val="nil"/>
            </w:tcBorders>
            <w:shd w:val="clear" w:color="auto" w:fill="FFFFFF" w:themeFill="background1"/>
            <w:noWrap/>
            <w:vAlign w:val="bottom"/>
            <w:hideMark/>
          </w:tcPr>
          <w:p w:rsidRPr="004C028C" w:rsidR="004C028C" w:rsidP="004C028C" w:rsidRDefault="004C028C" w14:paraId="024B78C6" w14:textId="77777777">
            <w:pPr>
              <w:spacing w:after="0" w:line="240" w:lineRule="auto"/>
              <w:jc w:val="center"/>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Absence of VF n= 321</w:t>
            </w:r>
          </w:p>
        </w:tc>
        <w:tc>
          <w:tcPr>
            <w:tcW w:w="1134" w:type="dxa"/>
            <w:vMerge w:val="restart"/>
            <w:tcBorders>
              <w:top w:val="single" w:color="auto" w:sz="4" w:space="0"/>
              <w:left w:val="nil"/>
              <w:bottom w:val="single" w:color="000000" w:themeColor="text1" w:sz="4" w:space="0"/>
              <w:right w:val="nil"/>
            </w:tcBorders>
            <w:shd w:val="clear" w:color="auto" w:fill="FFFFFF" w:themeFill="background1"/>
            <w:noWrap/>
            <w:vAlign w:val="center"/>
            <w:hideMark/>
          </w:tcPr>
          <w:p w:rsidRPr="004C028C" w:rsidR="004C028C" w:rsidP="004C028C" w:rsidRDefault="004C028C" w14:paraId="63E4A9CD" w14:textId="77777777">
            <w:pPr>
              <w:spacing w:after="0" w:line="240" w:lineRule="auto"/>
              <w:jc w:val="center"/>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 </w:t>
            </w:r>
          </w:p>
        </w:tc>
      </w:tr>
      <w:tr w:rsidRPr="004C028C" w:rsidR="004C028C" w:rsidTr="48FF94B6" w14:paraId="73362FFF" w14:textId="77777777">
        <w:trPr>
          <w:trHeight w:val="320"/>
        </w:trPr>
        <w:tc>
          <w:tcPr>
            <w:tcW w:w="3286"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4F6584BE"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 </w:t>
            </w:r>
          </w:p>
        </w:tc>
        <w:tc>
          <w:tcPr>
            <w:tcW w:w="1393"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68DC8EFB" w14:textId="77777777">
            <w:pPr>
              <w:spacing w:after="0" w:line="240" w:lineRule="auto"/>
              <w:jc w:val="right"/>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N or mean</w:t>
            </w:r>
          </w:p>
        </w:tc>
        <w:tc>
          <w:tcPr>
            <w:tcW w:w="1507"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62AD1A18" w14:textId="77777777">
            <w:pPr>
              <w:spacing w:after="0" w:line="240" w:lineRule="auto"/>
              <w:jc w:val="right"/>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 SD</w:t>
            </w:r>
          </w:p>
        </w:tc>
        <w:tc>
          <w:tcPr>
            <w:tcW w:w="1539"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2836E3A0" w14:textId="77777777">
            <w:pPr>
              <w:spacing w:after="0" w:line="240" w:lineRule="auto"/>
              <w:jc w:val="right"/>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N or mean</w:t>
            </w:r>
          </w:p>
        </w:tc>
        <w:tc>
          <w:tcPr>
            <w:tcW w:w="1632"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3A9565A6" w14:textId="77777777">
            <w:pPr>
              <w:spacing w:after="0" w:line="240" w:lineRule="auto"/>
              <w:jc w:val="right"/>
              <w:rPr>
                <w:rFonts w:ascii="Times New Roman" w:hAnsi="Times New Roman" w:eastAsia="Times New Roman" w:cs="Times New Roman"/>
                <w:b/>
                <w:bCs/>
                <w:color w:val="000000"/>
                <w:sz w:val="20"/>
                <w:szCs w:val="20"/>
                <w:lang w:val="en-US" w:eastAsia="fr-FR"/>
              </w:rPr>
            </w:pPr>
            <w:r w:rsidRPr="004C028C">
              <w:rPr>
                <w:rFonts w:ascii="Times New Roman" w:hAnsi="Times New Roman" w:eastAsia="Times New Roman" w:cs="Times New Roman"/>
                <w:b/>
                <w:bCs/>
                <w:color w:val="000000"/>
                <w:sz w:val="20"/>
                <w:szCs w:val="20"/>
                <w:lang w:val="en-US" w:eastAsia="fr-FR"/>
              </w:rPr>
              <w:t>% SD</w:t>
            </w:r>
          </w:p>
        </w:tc>
        <w:tc>
          <w:tcPr>
            <w:tcW w:w="1134" w:type="dxa"/>
            <w:vMerge/>
            <w:vAlign w:val="center"/>
            <w:hideMark/>
          </w:tcPr>
          <w:p w:rsidRPr="004C028C" w:rsidR="004C028C" w:rsidP="004C028C" w:rsidRDefault="004C028C" w14:paraId="5DAB6C7B" w14:textId="77777777">
            <w:pPr>
              <w:spacing w:after="0" w:line="240" w:lineRule="auto"/>
              <w:rPr>
                <w:rFonts w:ascii="Times New Roman" w:hAnsi="Times New Roman" w:eastAsia="Times New Roman" w:cs="Times New Roman"/>
                <w:b/>
                <w:bCs/>
                <w:color w:val="000000"/>
                <w:sz w:val="20"/>
                <w:szCs w:val="20"/>
                <w:lang w:val="en-US" w:eastAsia="fr-FR"/>
              </w:rPr>
            </w:pPr>
          </w:p>
        </w:tc>
      </w:tr>
      <w:tr w:rsidRPr="004C028C" w:rsidR="004C028C" w:rsidTr="48FF94B6" w14:paraId="5FBBF494"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2DB1BF02"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Age</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793370F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56.9</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23CCD661"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7.2</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3EB03957"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54.3</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19848048"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8.5</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31E9B17B"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0.034</w:t>
            </w:r>
          </w:p>
        </w:tc>
      </w:tr>
      <w:tr w:rsidRPr="004C028C" w:rsidR="004C028C" w:rsidTr="48FF94B6" w14:paraId="63DE51C7"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100709D2"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Sex (men)</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55739EF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43</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6395F57B"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78.2%</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6D1032BF"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241</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77475F1C"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75.1%</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1986223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0.735</w:t>
            </w:r>
          </w:p>
        </w:tc>
      </w:tr>
      <w:tr w:rsidRPr="004C028C" w:rsidR="004C028C" w:rsidTr="48FF94B6" w14:paraId="1721352E"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722D6C5B"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BMI (kg/m2)</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2C0197D1"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25.5</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70AEE9D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4.1</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0402077B"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26.5</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059FC444"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4.7</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3E46A38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0.149</w:t>
            </w:r>
          </w:p>
        </w:tc>
      </w:tr>
      <w:tr w:rsidRPr="004C028C" w:rsidR="004C028C" w:rsidTr="48FF94B6" w14:paraId="5740E88B"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022F4C57"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Alcohol</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61A51A77"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39</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4DCCFFD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70.9%</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0AD4F91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142</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13E9D13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44.2%</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5FF0B419"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&lt; 0.001</w:t>
            </w:r>
          </w:p>
        </w:tc>
      </w:tr>
      <w:tr w:rsidRPr="004C028C" w:rsidR="00794E1C" w:rsidTr="48FF94B6" w14:paraId="2FF9EAB9" w14:textId="77777777">
        <w:trPr>
          <w:trHeight w:val="320"/>
        </w:trPr>
        <w:tc>
          <w:tcPr>
            <w:tcW w:w="3286" w:type="dxa"/>
            <w:tcBorders>
              <w:top w:val="nil"/>
              <w:left w:val="nil"/>
              <w:bottom w:val="nil"/>
              <w:right w:val="nil"/>
            </w:tcBorders>
            <w:shd w:val="clear" w:color="auto" w:fill="FFFFFF" w:themeFill="background1"/>
            <w:noWrap/>
            <w:vAlign w:val="bottom"/>
          </w:tcPr>
          <w:p w:rsidRPr="004C028C" w:rsidR="00794E1C" w:rsidP="004C028C" w:rsidRDefault="00794E1C" w14:paraId="42DD0D6E" w14:textId="77777777">
            <w:pPr>
              <w:spacing w:after="0" w:line="240" w:lineRule="auto"/>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Hepatocellular carcinoma</w:t>
            </w:r>
          </w:p>
        </w:tc>
        <w:tc>
          <w:tcPr>
            <w:tcW w:w="1393" w:type="dxa"/>
            <w:tcBorders>
              <w:top w:val="nil"/>
              <w:left w:val="nil"/>
              <w:bottom w:val="nil"/>
              <w:right w:val="nil"/>
            </w:tcBorders>
            <w:shd w:val="clear" w:color="auto" w:fill="FFFFFF" w:themeFill="background1"/>
            <w:noWrap/>
            <w:vAlign w:val="bottom"/>
          </w:tcPr>
          <w:p w:rsidRPr="00CC0F73" w:rsidR="00794E1C" w:rsidP="004C028C" w:rsidRDefault="00794E1C" w14:paraId="5007C906" w14:textId="77777777">
            <w:pPr>
              <w:spacing w:after="0" w:line="240" w:lineRule="auto"/>
              <w:jc w:val="right"/>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20</w:t>
            </w:r>
          </w:p>
        </w:tc>
        <w:tc>
          <w:tcPr>
            <w:tcW w:w="1507" w:type="dxa"/>
            <w:tcBorders>
              <w:top w:val="nil"/>
              <w:left w:val="nil"/>
              <w:bottom w:val="nil"/>
              <w:right w:val="nil"/>
            </w:tcBorders>
            <w:shd w:val="clear" w:color="auto" w:fill="FFFFFF" w:themeFill="background1"/>
            <w:noWrap/>
            <w:vAlign w:val="bottom"/>
          </w:tcPr>
          <w:p w:rsidRPr="00CC0F73" w:rsidR="00794E1C" w:rsidP="004C028C" w:rsidRDefault="00794E1C" w14:paraId="2C89FFEB" w14:textId="77777777">
            <w:pPr>
              <w:spacing w:after="0" w:line="240" w:lineRule="auto"/>
              <w:jc w:val="right"/>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36.4%</w:t>
            </w:r>
          </w:p>
        </w:tc>
        <w:tc>
          <w:tcPr>
            <w:tcW w:w="1539" w:type="dxa"/>
            <w:tcBorders>
              <w:top w:val="nil"/>
              <w:left w:val="nil"/>
              <w:bottom w:val="nil"/>
              <w:right w:val="nil"/>
            </w:tcBorders>
            <w:shd w:val="clear" w:color="auto" w:fill="FFFFFF" w:themeFill="background1"/>
            <w:noWrap/>
            <w:vAlign w:val="bottom"/>
          </w:tcPr>
          <w:p w:rsidRPr="00CC0F73" w:rsidR="00794E1C" w:rsidP="004C028C" w:rsidRDefault="00794E1C" w14:paraId="3D5C510C" w14:textId="77777777">
            <w:pPr>
              <w:spacing w:after="0" w:line="240" w:lineRule="auto"/>
              <w:jc w:val="right"/>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35</w:t>
            </w:r>
          </w:p>
        </w:tc>
        <w:tc>
          <w:tcPr>
            <w:tcW w:w="1632" w:type="dxa"/>
            <w:tcBorders>
              <w:top w:val="nil"/>
              <w:left w:val="nil"/>
              <w:bottom w:val="nil"/>
              <w:right w:val="nil"/>
            </w:tcBorders>
            <w:shd w:val="clear" w:color="auto" w:fill="FFFFFF" w:themeFill="background1"/>
            <w:noWrap/>
            <w:vAlign w:val="bottom"/>
          </w:tcPr>
          <w:p w:rsidRPr="00CC0F73" w:rsidR="00794E1C" w:rsidP="004C028C" w:rsidRDefault="00794E1C" w14:paraId="3B9D7846" w14:textId="77777777">
            <w:pPr>
              <w:spacing w:after="0" w:line="240" w:lineRule="auto"/>
              <w:jc w:val="right"/>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10.9%</w:t>
            </w:r>
          </w:p>
        </w:tc>
        <w:tc>
          <w:tcPr>
            <w:tcW w:w="1134" w:type="dxa"/>
            <w:tcBorders>
              <w:top w:val="nil"/>
              <w:left w:val="nil"/>
              <w:bottom w:val="nil"/>
              <w:right w:val="nil"/>
            </w:tcBorders>
            <w:shd w:val="clear" w:color="auto" w:fill="FFFFFF" w:themeFill="background1"/>
            <w:noWrap/>
            <w:vAlign w:val="bottom"/>
          </w:tcPr>
          <w:p w:rsidRPr="00CC0F73" w:rsidR="00794E1C" w:rsidP="004C028C" w:rsidRDefault="00794E1C" w14:paraId="0C83D89E" w14:textId="77777777">
            <w:pPr>
              <w:spacing w:after="0" w:line="240" w:lineRule="auto"/>
              <w:jc w:val="right"/>
              <w:rPr>
                <w:rFonts w:ascii="Times New Roman" w:hAnsi="Times New Roman" w:eastAsia="Times New Roman" w:cs="Times New Roman"/>
                <w:color w:val="000000"/>
                <w:sz w:val="20"/>
                <w:szCs w:val="20"/>
                <w:lang w:val="en-US" w:eastAsia="fr-FR"/>
              </w:rPr>
            </w:pPr>
            <w:r>
              <w:rPr>
                <w:rFonts w:ascii="Times New Roman" w:hAnsi="Times New Roman" w:eastAsia="Times New Roman" w:cs="Times New Roman"/>
                <w:color w:val="000000"/>
                <w:sz w:val="20"/>
                <w:szCs w:val="20"/>
                <w:lang w:val="en-US" w:eastAsia="fr-FR"/>
              </w:rPr>
              <w:t>0.107</w:t>
            </w:r>
          </w:p>
        </w:tc>
      </w:tr>
      <w:tr w:rsidRPr="004C028C" w:rsidR="004C028C" w:rsidTr="48FF94B6" w14:paraId="0D374C1B"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5824B686"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Refractory ascites</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1D8EB8EE"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24</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4CA33CC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43.6%</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67F82D0C"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70</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5C2ECD1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21.8%</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30CA47C4"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0.001</w:t>
            </w:r>
          </w:p>
        </w:tc>
      </w:tr>
      <w:tr w:rsidRPr="004C028C" w:rsidR="004C028C" w:rsidTr="48FF94B6" w14:paraId="39C31136"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30F63A0B"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Encephalopathy</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7B56821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21</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05FE8B37"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38.2%</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5C30BB71"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97</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3BEF0F9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25.8%</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0710B151"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0.023</w:t>
            </w:r>
          </w:p>
        </w:tc>
      </w:tr>
      <w:tr w:rsidRPr="004C028C" w:rsidR="004C028C" w:rsidTr="48FF94B6" w14:paraId="664310DE"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03D5193D"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Child-Pugh grade</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09AF38FC" w14:textId="77777777">
            <w:pPr>
              <w:spacing w:after="0" w:line="240" w:lineRule="auto"/>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15AA318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01512BE8"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0DA70637"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207E90B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0.018</w:t>
            </w:r>
          </w:p>
        </w:tc>
      </w:tr>
      <w:tr w:rsidRPr="004C028C" w:rsidR="004C028C" w:rsidTr="48FF94B6" w14:paraId="74346A9A"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5316D17B" w14:textId="77777777">
            <w:pPr>
              <w:spacing w:after="0" w:line="240" w:lineRule="auto"/>
              <w:ind w:firstLine="200" w:firstLineChars="100"/>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A</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2B2B7304"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9</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24CDB3B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16.4%</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5F0CA59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112</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316BDC5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34.9%</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4662417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r>
      <w:tr w:rsidRPr="004C028C" w:rsidR="004C028C" w:rsidTr="48FF94B6" w14:paraId="5C46F4A2"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61ED4E73" w14:textId="77777777">
            <w:pPr>
              <w:spacing w:after="0" w:line="240" w:lineRule="auto"/>
              <w:ind w:firstLine="200" w:firstLineChars="100"/>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B</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41C0AA51"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27</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09FC8DD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49.1%</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1C213BE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110</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0B1FD67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34.3%</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4B8484D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r>
      <w:tr w:rsidRPr="004C028C" w:rsidR="004C028C" w:rsidTr="48FF94B6" w14:paraId="7411CB28"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37AAF844" w14:textId="77777777">
            <w:pPr>
              <w:spacing w:after="0" w:line="240" w:lineRule="auto"/>
              <w:ind w:firstLine="200" w:firstLineChars="100"/>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C</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2847A63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19</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26217348"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34.5%</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4C1829E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99</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083C741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30.8%</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4F8F56C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w:t>
            </w:r>
          </w:p>
        </w:tc>
      </w:tr>
      <w:tr w:rsidRPr="004C028C" w:rsidR="004C028C" w:rsidTr="48FF94B6" w14:paraId="22CEB2E1"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1CBA269F"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GFR</w:t>
            </w:r>
            <w:r w:rsidR="006A4CAD">
              <w:rPr>
                <w:rFonts w:ascii="Times New Roman" w:hAnsi="Times New Roman" w:eastAsia="Times New Roman" w:cs="Times New Roman"/>
                <w:color w:val="000000"/>
                <w:sz w:val="20"/>
                <w:szCs w:val="20"/>
                <w:lang w:val="en-US" w:eastAsia="fr-FR"/>
              </w:rPr>
              <w:t xml:space="preserve"> -MDRD6</w:t>
            </w:r>
            <w:r w:rsidRPr="004C028C">
              <w:rPr>
                <w:rFonts w:ascii="Times New Roman" w:hAnsi="Times New Roman" w:eastAsia="Times New Roman" w:cs="Times New Roman"/>
                <w:color w:val="000000"/>
                <w:sz w:val="20"/>
                <w:szCs w:val="20"/>
                <w:lang w:val="en-US" w:eastAsia="fr-FR"/>
              </w:rPr>
              <w:t xml:space="preserve"> (mL/min)</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6A4CAD" w14:paraId="1F09244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82.6</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6A4CAD" w14:paraId="73BC2A6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29</w:t>
            </w:r>
            <w:r w:rsidRPr="00CC0F73" w:rsidR="004C028C">
              <w:rPr>
                <w:rFonts w:ascii="Times New Roman" w:hAnsi="Times New Roman" w:eastAsia="Times New Roman" w:cs="Times New Roman"/>
                <w:color w:val="000000"/>
                <w:sz w:val="20"/>
                <w:szCs w:val="20"/>
                <w:lang w:val="en-US" w:eastAsia="fr-FR"/>
              </w:rPr>
              <w:t>.1</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6A4CAD" w14:paraId="5FB6328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90.6</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6A4CAD" w14:paraId="06C9949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28.4</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6A4CAD" w14:paraId="26E1D3D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0.054</w:t>
            </w:r>
          </w:p>
        </w:tc>
      </w:tr>
      <w:tr w:rsidR="48FF94B6" w:rsidTr="48FF94B6" w14:paraId="462D0DA1" w14:textId="77777777">
        <w:trPr>
          <w:trHeight w:val="320"/>
        </w:trPr>
        <w:tc>
          <w:tcPr>
            <w:tcW w:w="3286" w:type="dxa"/>
            <w:tcBorders>
              <w:top w:val="nil"/>
              <w:left w:val="nil"/>
              <w:bottom w:val="nil"/>
              <w:right w:val="nil"/>
            </w:tcBorders>
            <w:shd w:val="clear" w:color="auto" w:fill="FFFFFF" w:themeFill="background1"/>
            <w:noWrap/>
            <w:vAlign w:val="bottom"/>
            <w:hideMark/>
          </w:tcPr>
          <w:p w:rsidR="48FF94B6" w:rsidP="48FF94B6" w:rsidRDefault="48FF94B6" w14:paraId="5E5CDD7C" w14:textId="6DEA7F89">
            <w:pPr>
              <w:spacing w:line="240" w:lineRule="auto"/>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Natremia (mmol/L)</w:t>
            </w:r>
          </w:p>
        </w:tc>
        <w:tc>
          <w:tcPr>
            <w:tcW w:w="1393" w:type="dxa"/>
            <w:tcBorders>
              <w:top w:val="nil"/>
              <w:left w:val="nil"/>
              <w:bottom w:val="nil"/>
              <w:right w:val="nil"/>
            </w:tcBorders>
            <w:shd w:val="clear" w:color="auto" w:fill="FFFFFF" w:themeFill="background1"/>
            <w:noWrap/>
            <w:vAlign w:val="bottom"/>
            <w:hideMark/>
          </w:tcPr>
          <w:p w:rsidR="48FF94B6" w:rsidP="48FF94B6" w:rsidRDefault="48FF94B6" w14:paraId="1FF2D72D" w14:textId="4D91A0C4">
            <w:pPr>
              <w:spacing w:line="240" w:lineRule="auto"/>
              <w:jc w:val="right"/>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133.0</w:t>
            </w:r>
          </w:p>
        </w:tc>
        <w:tc>
          <w:tcPr>
            <w:tcW w:w="1507" w:type="dxa"/>
            <w:tcBorders>
              <w:top w:val="nil"/>
              <w:left w:val="nil"/>
              <w:bottom w:val="nil"/>
              <w:right w:val="nil"/>
            </w:tcBorders>
            <w:shd w:val="clear" w:color="auto" w:fill="FFFFFF" w:themeFill="background1"/>
            <w:noWrap/>
            <w:vAlign w:val="bottom"/>
            <w:hideMark/>
          </w:tcPr>
          <w:p w:rsidR="48FF94B6" w:rsidP="48FF94B6" w:rsidRDefault="48FF94B6" w14:paraId="422C800B" w14:textId="7B6254F2">
            <w:pPr>
              <w:spacing w:after="0" w:line="240" w:lineRule="auto"/>
              <w:jc w:val="right"/>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 5.5</w:t>
            </w:r>
          </w:p>
        </w:tc>
        <w:tc>
          <w:tcPr>
            <w:tcW w:w="1539" w:type="dxa"/>
            <w:tcBorders>
              <w:top w:val="nil"/>
              <w:left w:val="nil"/>
              <w:bottom w:val="nil"/>
              <w:right w:val="nil"/>
            </w:tcBorders>
            <w:shd w:val="clear" w:color="auto" w:fill="FFFFFF" w:themeFill="background1"/>
            <w:noWrap/>
            <w:vAlign w:val="bottom"/>
            <w:hideMark/>
          </w:tcPr>
          <w:p w:rsidR="48FF94B6" w:rsidP="48FF94B6" w:rsidRDefault="48FF94B6" w14:paraId="4C67FFE2" w14:textId="5CDCE44E">
            <w:pPr>
              <w:spacing w:line="240" w:lineRule="auto"/>
              <w:jc w:val="right"/>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135.5</w:t>
            </w:r>
          </w:p>
        </w:tc>
        <w:tc>
          <w:tcPr>
            <w:tcW w:w="1632" w:type="dxa"/>
            <w:tcBorders>
              <w:top w:val="nil"/>
              <w:left w:val="nil"/>
              <w:bottom w:val="nil"/>
              <w:right w:val="nil"/>
            </w:tcBorders>
            <w:shd w:val="clear" w:color="auto" w:fill="FFFFFF" w:themeFill="background1"/>
            <w:noWrap/>
            <w:vAlign w:val="bottom"/>
            <w:hideMark/>
          </w:tcPr>
          <w:p w:rsidR="48FF94B6" w:rsidP="48FF94B6" w:rsidRDefault="48FF94B6" w14:paraId="70FEAF18" w14:textId="15A0AA70">
            <w:pPr>
              <w:spacing w:line="240" w:lineRule="auto"/>
              <w:jc w:val="right"/>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4.0</w:t>
            </w:r>
          </w:p>
        </w:tc>
        <w:tc>
          <w:tcPr>
            <w:tcW w:w="1134" w:type="dxa"/>
            <w:tcBorders>
              <w:top w:val="nil"/>
              <w:left w:val="nil"/>
              <w:bottom w:val="nil"/>
              <w:right w:val="nil"/>
            </w:tcBorders>
            <w:shd w:val="clear" w:color="auto" w:fill="FFFFFF" w:themeFill="background1"/>
            <w:noWrap/>
            <w:vAlign w:val="bottom"/>
            <w:hideMark/>
          </w:tcPr>
          <w:p w:rsidR="48FF94B6" w:rsidP="48FF94B6" w:rsidRDefault="48FF94B6" w14:paraId="2A001BC8" w14:textId="286D93ED">
            <w:pPr>
              <w:spacing w:after="0" w:line="240" w:lineRule="auto"/>
              <w:jc w:val="right"/>
              <w:rPr>
                <w:rFonts w:ascii="Times New Roman" w:hAnsi="Times New Roman" w:eastAsia="Times New Roman" w:cs="Times New Roman"/>
                <w:color w:val="000000" w:themeColor="text1"/>
                <w:sz w:val="20"/>
                <w:szCs w:val="20"/>
                <w:lang w:val="en-US" w:eastAsia="fr-FR"/>
              </w:rPr>
            </w:pPr>
            <w:r w:rsidRPr="48FF94B6">
              <w:rPr>
                <w:rFonts w:ascii="Times New Roman" w:hAnsi="Times New Roman" w:eastAsia="Times New Roman" w:cs="Times New Roman"/>
                <w:color w:val="000000" w:themeColor="text1"/>
                <w:sz w:val="20"/>
                <w:szCs w:val="20"/>
                <w:lang w:val="en-US" w:eastAsia="fr-FR"/>
              </w:rPr>
              <w:t>&lt; 0.001</w:t>
            </w:r>
          </w:p>
        </w:tc>
      </w:tr>
      <w:tr w:rsidRPr="004C028C" w:rsidR="004C028C" w:rsidTr="48FF94B6" w14:paraId="6B65E1E5"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73F438A4"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SMI (mm2/m2)</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499764CF"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347.8</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143CD564"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106</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2418C667"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359.5</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0FF0E64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108.8</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5E1DAE64"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0.462</w:t>
            </w:r>
          </w:p>
        </w:tc>
      </w:tr>
      <w:tr w:rsidRPr="004C028C" w:rsidR="004C028C" w:rsidTr="48FF94B6" w14:paraId="1F98F562"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5F24D396"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L1-CT attenuation (HU)</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5F74A6F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86.3</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143EC200"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30.3</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53D9A4D2"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137.6</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37F5AC8E"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 40.2</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2E91506C"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&lt; 0.001</w:t>
            </w:r>
          </w:p>
        </w:tc>
      </w:tr>
      <w:tr w:rsidRPr="004C028C" w:rsidR="004C028C" w:rsidTr="48FF94B6" w14:paraId="22233D63" w14:textId="77777777">
        <w:trPr>
          <w:trHeight w:val="320"/>
        </w:trPr>
        <w:tc>
          <w:tcPr>
            <w:tcW w:w="3286" w:type="dxa"/>
            <w:tcBorders>
              <w:top w:val="nil"/>
              <w:left w:val="nil"/>
              <w:bottom w:val="nil"/>
              <w:right w:val="nil"/>
            </w:tcBorders>
            <w:shd w:val="clear" w:color="auto" w:fill="FFFFFF" w:themeFill="background1"/>
            <w:noWrap/>
            <w:vAlign w:val="bottom"/>
            <w:hideMark/>
          </w:tcPr>
          <w:p w:rsidRPr="004C028C" w:rsidR="004C028C" w:rsidP="004C028C" w:rsidRDefault="004C028C" w14:paraId="5D05A1CD"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L1-CT attenuation &gt; 130 HU</w:t>
            </w:r>
          </w:p>
        </w:tc>
        <w:tc>
          <w:tcPr>
            <w:tcW w:w="1393" w:type="dxa"/>
            <w:tcBorders>
              <w:top w:val="nil"/>
              <w:left w:val="nil"/>
              <w:bottom w:val="nil"/>
              <w:right w:val="nil"/>
            </w:tcBorders>
            <w:shd w:val="clear" w:color="auto" w:fill="FFFFFF" w:themeFill="background1"/>
            <w:noWrap/>
            <w:vAlign w:val="bottom"/>
            <w:hideMark/>
          </w:tcPr>
          <w:p w:rsidRPr="00CC0F73" w:rsidR="004C028C" w:rsidP="004C028C" w:rsidRDefault="004C028C" w14:paraId="2598DEE6"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4</w:t>
            </w:r>
          </w:p>
        </w:tc>
        <w:tc>
          <w:tcPr>
            <w:tcW w:w="1507" w:type="dxa"/>
            <w:tcBorders>
              <w:top w:val="nil"/>
              <w:left w:val="nil"/>
              <w:bottom w:val="nil"/>
              <w:right w:val="nil"/>
            </w:tcBorders>
            <w:shd w:val="clear" w:color="auto" w:fill="FFFFFF" w:themeFill="background1"/>
            <w:noWrap/>
            <w:vAlign w:val="bottom"/>
            <w:hideMark/>
          </w:tcPr>
          <w:p w:rsidRPr="00CC0F73" w:rsidR="004C028C" w:rsidP="004C028C" w:rsidRDefault="004C028C" w14:paraId="13AF6F15"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7.3%</w:t>
            </w:r>
          </w:p>
        </w:tc>
        <w:tc>
          <w:tcPr>
            <w:tcW w:w="1539" w:type="dxa"/>
            <w:tcBorders>
              <w:top w:val="nil"/>
              <w:left w:val="nil"/>
              <w:bottom w:val="nil"/>
              <w:right w:val="nil"/>
            </w:tcBorders>
            <w:shd w:val="clear" w:color="auto" w:fill="FFFFFF" w:themeFill="background1"/>
            <w:noWrap/>
            <w:vAlign w:val="bottom"/>
            <w:hideMark/>
          </w:tcPr>
          <w:p w:rsidRPr="00CC0F73" w:rsidR="004C028C" w:rsidP="004C028C" w:rsidRDefault="004C028C" w14:paraId="2FFB8B9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179</w:t>
            </w:r>
          </w:p>
        </w:tc>
        <w:tc>
          <w:tcPr>
            <w:tcW w:w="1632" w:type="dxa"/>
            <w:tcBorders>
              <w:top w:val="nil"/>
              <w:left w:val="nil"/>
              <w:bottom w:val="nil"/>
              <w:right w:val="nil"/>
            </w:tcBorders>
            <w:shd w:val="clear" w:color="auto" w:fill="FFFFFF" w:themeFill="background1"/>
            <w:noWrap/>
            <w:vAlign w:val="bottom"/>
            <w:hideMark/>
          </w:tcPr>
          <w:p w:rsidRPr="00CC0F73" w:rsidR="004C028C" w:rsidP="004C028C" w:rsidRDefault="004C028C" w14:paraId="28D141EA"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55.8%</w:t>
            </w:r>
          </w:p>
        </w:tc>
        <w:tc>
          <w:tcPr>
            <w:tcW w:w="1134" w:type="dxa"/>
            <w:tcBorders>
              <w:top w:val="nil"/>
              <w:left w:val="nil"/>
              <w:bottom w:val="nil"/>
              <w:right w:val="nil"/>
            </w:tcBorders>
            <w:shd w:val="clear" w:color="auto" w:fill="FFFFFF" w:themeFill="background1"/>
            <w:noWrap/>
            <w:vAlign w:val="bottom"/>
            <w:hideMark/>
          </w:tcPr>
          <w:p w:rsidRPr="00CC0F73" w:rsidR="004C028C" w:rsidP="004C028C" w:rsidRDefault="004C028C" w14:paraId="6DF6CD13"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&lt; 0.001</w:t>
            </w:r>
          </w:p>
        </w:tc>
      </w:tr>
      <w:tr w:rsidRPr="004C028C" w:rsidR="004C028C" w:rsidTr="48FF94B6" w14:paraId="2B4D5FCF" w14:textId="77777777">
        <w:trPr>
          <w:trHeight w:val="320"/>
        </w:trPr>
        <w:tc>
          <w:tcPr>
            <w:tcW w:w="3286" w:type="dxa"/>
            <w:tcBorders>
              <w:top w:val="nil"/>
              <w:left w:val="nil"/>
              <w:bottom w:val="single" w:color="auto" w:sz="4" w:space="0"/>
              <w:right w:val="nil"/>
            </w:tcBorders>
            <w:shd w:val="clear" w:color="auto" w:fill="FFFFFF" w:themeFill="background1"/>
            <w:noWrap/>
            <w:vAlign w:val="bottom"/>
            <w:hideMark/>
          </w:tcPr>
          <w:p w:rsidRPr="004C028C" w:rsidR="004C028C" w:rsidP="004C028C" w:rsidRDefault="004C028C" w14:paraId="20271F28" w14:textId="77777777">
            <w:pPr>
              <w:spacing w:after="0" w:line="240" w:lineRule="auto"/>
              <w:rPr>
                <w:rFonts w:ascii="Times New Roman" w:hAnsi="Times New Roman" w:eastAsia="Times New Roman" w:cs="Times New Roman"/>
                <w:color w:val="000000"/>
                <w:sz w:val="20"/>
                <w:szCs w:val="20"/>
                <w:lang w:val="en-US" w:eastAsia="fr-FR"/>
              </w:rPr>
            </w:pPr>
            <w:r w:rsidRPr="004C028C">
              <w:rPr>
                <w:rFonts w:ascii="Times New Roman" w:hAnsi="Times New Roman" w:eastAsia="Times New Roman" w:cs="Times New Roman"/>
                <w:color w:val="000000"/>
                <w:sz w:val="20"/>
                <w:szCs w:val="20"/>
                <w:lang w:val="en-US" w:eastAsia="fr-FR"/>
              </w:rPr>
              <w:t>L1-CT attenuation ≤ 100 HU</w:t>
            </w:r>
          </w:p>
        </w:tc>
        <w:tc>
          <w:tcPr>
            <w:tcW w:w="1393" w:type="dxa"/>
            <w:tcBorders>
              <w:top w:val="nil"/>
              <w:left w:val="nil"/>
              <w:bottom w:val="single" w:color="auto" w:sz="4" w:space="0"/>
              <w:right w:val="nil"/>
            </w:tcBorders>
            <w:shd w:val="clear" w:color="auto" w:fill="FFFFFF" w:themeFill="background1"/>
            <w:noWrap/>
            <w:vAlign w:val="bottom"/>
            <w:hideMark/>
          </w:tcPr>
          <w:p w:rsidRPr="00CC0F73" w:rsidR="004C028C" w:rsidP="004C028C" w:rsidRDefault="004C028C" w14:paraId="0CD124DB"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38</w:t>
            </w:r>
          </w:p>
        </w:tc>
        <w:tc>
          <w:tcPr>
            <w:tcW w:w="1507" w:type="dxa"/>
            <w:tcBorders>
              <w:top w:val="nil"/>
              <w:left w:val="nil"/>
              <w:bottom w:val="single" w:color="auto" w:sz="4" w:space="0"/>
              <w:right w:val="nil"/>
            </w:tcBorders>
            <w:shd w:val="clear" w:color="auto" w:fill="FFFFFF" w:themeFill="background1"/>
            <w:noWrap/>
            <w:vAlign w:val="bottom"/>
            <w:hideMark/>
          </w:tcPr>
          <w:p w:rsidRPr="00CC0F73" w:rsidR="004C028C" w:rsidP="004C028C" w:rsidRDefault="004C028C" w14:paraId="03CF86BE"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69.1%</w:t>
            </w:r>
          </w:p>
        </w:tc>
        <w:tc>
          <w:tcPr>
            <w:tcW w:w="1539" w:type="dxa"/>
            <w:tcBorders>
              <w:top w:val="nil"/>
              <w:left w:val="nil"/>
              <w:bottom w:val="single" w:color="auto" w:sz="4" w:space="0"/>
              <w:right w:val="nil"/>
            </w:tcBorders>
            <w:shd w:val="clear" w:color="auto" w:fill="FFFFFF" w:themeFill="background1"/>
            <w:noWrap/>
            <w:vAlign w:val="bottom"/>
            <w:hideMark/>
          </w:tcPr>
          <w:p w:rsidRPr="00CC0F73" w:rsidR="004C028C" w:rsidP="004C028C" w:rsidRDefault="004C028C" w14:paraId="6E55690C"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59</w:t>
            </w:r>
          </w:p>
        </w:tc>
        <w:tc>
          <w:tcPr>
            <w:tcW w:w="1632" w:type="dxa"/>
            <w:tcBorders>
              <w:top w:val="nil"/>
              <w:left w:val="nil"/>
              <w:bottom w:val="single" w:color="auto" w:sz="4" w:space="0"/>
              <w:right w:val="nil"/>
            </w:tcBorders>
            <w:shd w:val="clear" w:color="auto" w:fill="FFFFFF" w:themeFill="background1"/>
            <w:noWrap/>
            <w:vAlign w:val="bottom"/>
            <w:hideMark/>
          </w:tcPr>
          <w:p w:rsidRPr="00CC0F73" w:rsidR="004C028C" w:rsidP="004C028C" w:rsidRDefault="004C028C" w14:paraId="474443BE"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18.3%</w:t>
            </w:r>
          </w:p>
        </w:tc>
        <w:tc>
          <w:tcPr>
            <w:tcW w:w="1134" w:type="dxa"/>
            <w:tcBorders>
              <w:top w:val="nil"/>
              <w:left w:val="nil"/>
              <w:bottom w:val="single" w:color="auto" w:sz="4" w:space="0"/>
              <w:right w:val="nil"/>
            </w:tcBorders>
            <w:shd w:val="clear" w:color="auto" w:fill="FFFFFF" w:themeFill="background1"/>
            <w:noWrap/>
            <w:vAlign w:val="bottom"/>
            <w:hideMark/>
          </w:tcPr>
          <w:p w:rsidRPr="00CC0F73" w:rsidR="004C028C" w:rsidP="004C028C" w:rsidRDefault="004C028C" w14:paraId="6F00A55D" w14:textId="77777777">
            <w:pPr>
              <w:spacing w:after="0" w:line="240" w:lineRule="auto"/>
              <w:jc w:val="right"/>
              <w:rPr>
                <w:rFonts w:ascii="Times New Roman" w:hAnsi="Times New Roman" w:eastAsia="Times New Roman" w:cs="Times New Roman"/>
                <w:color w:val="000000"/>
                <w:sz w:val="20"/>
                <w:szCs w:val="20"/>
                <w:lang w:val="en-US" w:eastAsia="fr-FR"/>
              </w:rPr>
            </w:pPr>
            <w:r w:rsidRPr="00CC0F73">
              <w:rPr>
                <w:rFonts w:ascii="Times New Roman" w:hAnsi="Times New Roman" w:eastAsia="Times New Roman" w:cs="Times New Roman"/>
                <w:color w:val="000000"/>
                <w:sz w:val="20"/>
                <w:szCs w:val="20"/>
                <w:lang w:val="en-US" w:eastAsia="fr-FR"/>
              </w:rPr>
              <w:t>&lt; 0.001</w:t>
            </w:r>
          </w:p>
        </w:tc>
      </w:tr>
    </w:tbl>
    <w:p w:rsidR="004D5EBF" w:rsidP="004C028C" w:rsidRDefault="004D5EBF" w14:paraId="02EB378F" w14:textId="77777777">
      <w:pPr>
        <w:spacing w:after="120" w:line="240" w:lineRule="auto"/>
        <w:jc w:val="both"/>
        <w:rPr>
          <w:rFonts w:ascii="Times New Roman" w:hAnsi="Times New Roman" w:eastAsia="Times New Roman" w:cs="Times New Roman"/>
          <w:bCs/>
          <w:i/>
          <w:sz w:val="20"/>
          <w:szCs w:val="20"/>
          <w:lang w:val="en-US"/>
        </w:rPr>
      </w:pPr>
    </w:p>
    <w:p w:rsidRPr="004C028C" w:rsidR="004C028C" w:rsidP="004C028C" w:rsidRDefault="004C028C" w14:paraId="066DEFA8" w14:textId="77777777">
      <w:pPr>
        <w:spacing w:after="120" w:line="240" w:lineRule="auto"/>
        <w:jc w:val="both"/>
        <w:rPr>
          <w:rFonts w:ascii="Times New Roman" w:hAnsi="Times New Roman" w:eastAsia="Times New Roman" w:cs="Times New Roman"/>
          <w:bCs/>
          <w:i/>
          <w:sz w:val="20"/>
          <w:szCs w:val="20"/>
          <w:lang w:val="en-US"/>
        </w:rPr>
      </w:pPr>
      <w:r w:rsidRPr="004C028C">
        <w:rPr>
          <w:rFonts w:ascii="Times New Roman" w:hAnsi="Times New Roman" w:eastAsia="Times New Roman" w:cs="Times New Roman"/>
          <w:bCs/>
          <w:i/>
          <w:sz w:val="20"/>
          <w:szCs w:val="20"/>
          <w:lang w:val="en-US"/>
        </w:rPr>
        <w:t>BMI: Body Mass Index; N: number; SD: Standard Deviation; SMI: Skeletal Muscle Index; VF: Vertebral Fracture</w:t>
      </w:r>
    </w:p>
    <w:p w:rsidR="004C028C" w:rsidP="004C028C" w:rsidRDefault="004C028C" w14:paraId="6A05A809" w14:textId="77777777">
      <w:pPr>
        <w:spacing w:after="0" w:line="240" w:lineRule="auto"/>
        <w:rPr>
          <w:rFonts w:eastAsia="Times New Roman" w:cs="Times New Roman"/>
          <w:sz w:val="24"/>
          <w:szCs w:val="24"/>
          <w:lang w:val="en-US"/>
        </w:rPr>
      </w:pPr>
    </w:p>
    <w:p w:rsidRPr="004C028C" w:rsidR="00516E49" w:rsidP="004C028C" w:rsidRDefault="00516E49" w14:paraId="5A39BBE3" w14:textId="77777777">
      <w:pPr>
        <w:spacing w:after="0" w:line="240" w:lineRule="auto"/>
        <w:rPr>
          <w:rFonts w:eastAsia="Times New Roman" w:cs="Times New Roman"/>
          <w:sz w:val="24"/>
          <w:szCs w:val="24"/>
          <w:lang w:val="en-US"/>
        </w:rPr>
      </w:pPr>
    </w:p>
    <w:p w:rsidRPr="00DC3A11" w:rsidR="00DC3A11" w:rsidP="43ED1E53" w:rsidRDefault="00DC3A11" w14:paraId="295BCBB7" w14:textId="6D570F5F">
      <w:pPr>
        <w:pStyle w:val="Normal"/>
        <w:spacing w:after="120" w:line="480" w:lineRule="auto"/>
        <w:rPr>
          <w:lang w:val="en-US"/>
        </w:rPr>
      </w:pPr>
      <w:r>
        <w:br w:type="page"/>
      </w:r>
      <w:r w:rsidRPr="59CA37BE" w:rsidR="59CA37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Supplemental FigureS1: ROC Curves:</w:t>
      </w:r>
      <w:r w:rsidRPr="59CA37BE" w:rsidR="59CA37BE">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 xml:space="preserve"> </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ROC curves showing model performances to detect vertebral fractures. The blue curve </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represents</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model includes age, </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sex</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body mass index (AUC 0.62); the red curve further includes liver-specific variables alcohol, refractory ascites, encephalopathy and natremia (AUC 0.73); the green curve further includes L1-CT attenuation (AUC 0.86); the orange curve </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represents</w:t>
      </w:r>
      <w:r w:rsidRPr="59CA37BE" w:rsidR="59CA37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model with L1-CT attenuation alone (AUC 0.86).</w:t>
      </w:r>
    </w:p>
    <w:p w:rsidRPr="00DC3A11" w:rsidR="00DC3A11" w:rsidP="2F33438E" w:rsidRDefault="00DC3A11" w14:paraId="2DDA944B" w14:textId="148E3D04">
      <w:pPr>
        <w:pStyle w:val="Normal"/>
        <w:spacing w:after="120" w:line="480" w:lineRule="auto"/>
        <w:jc w:val="both"/>
      </w:pPr>
      <w:r>
        <w:drawing>
          <wp:inline wp14:editId="59CA37BE" wp14:anchorId="6D70AB86">
            <wp:extent cx="5962650" cy="3515479"/>
            <wp:effectExtent l="0" t="0" r="0" b="0"/>
            <wp:docPr id="2100612925" name="" title=""/>
            <wp:cNvGraphicFramePr>
              <a:graphicFrameLocks noChangeAspect="1"/>
            </wp:cNvGraphicFramePr>
            <a:graphic>
              <a:graphicData uri="http://schemas.openxmlformats.org/drawingml/2006/picture">
                <pic:pic>
                  <pic:nvPicPr>
                    <pic:cNvPr id="0" name=""/>
                    <pic:cNvPicPr/>
                  </pic:nvPicPr>
                  <pic:blipFill>
                    <a:blip r:embed="R25df2ec3ffc74d6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62650" cy="3515479"/>
                    </a:xfrm>
                    <a:prstGeom prst="rect">
                      <a:avLst/>
                    </a:prstGeom>
                  </pic:spPr>
                </pic:pic>
              </a:graphicData>
            </a:graphic>
          </wp:inline>
        </w:drawing>
      </w:r>
    </w:p>
    <w:p w:rsidR="43ED1E53" w:rsidRDefault="43ED1E53" w14:paraId="4F84E5FE" w14:textId="02476ECC">
      <w:r>
        <w:br w:type="page"/>
      </w:r>
    </w:p>
    <w:p w:rsidRPr="00DC3A11" w:rsidR="00DC3A11" w:rsidP="2F33438E" w:rsidRDefault="00DC3A11" w14:paraId="4102BC14" w14:textId="70695A87">
      <w:pPr>
        <w:pStyle w:val="Normal"/>
        <w:spacing w:after="120" w:line="480" w:lineRule="auto"/>
        <w:jc w:val="both"/>
        <w:rPr>
          <w:rFonts w:ascii="Times New Roman" w:hAnsi="Times New Roman" w:cs="Times New Roman"/>
          <w:b w:val="1"/>
          <w:bCs w:val="1"/>
          <w:sz w:val="24"/>
          <w:szCs w:val="24"/>
          <w:lang w:val="sv-SE"/>
        </w:rPr>
      </w:pPr>
      <w:r w:rsidRPr="2F33438E" w:rsidR="2F33438E">
        <w:rPr>
          <w:rFonts w:ascii="Times New Roman" w:hAnsi="Times New Roman" w:cs="Times New Roman"/>
          <w:b w:val="1"/>
          <w:bCs w:val="1"/>
          <w:sz w:val="24"/>
          <w:szCs w:val="24"/>
          <w:lang w:val="sv-SE"/>
        </w:rPr>
        <w:t>Supplementary</w:t>
      </w:r>
      <w:r w:rsidRPr="2F33438E" w:rsidR="2F33438E">
        <w:rPr>
          <w:rFonts w:ascii="Times New Roman" w:hAnsi="Times New Roman" w:cs="Times New Roman"/>
          <w:b w:val="1"/>
          <w:bCs w:val="1"/>
          <w:sz w:val="24"/>
          <w:szCs w:val="24"/>
          <w:lang w:val="sv-SE"/>
        </w:rPr>
        <w:t xml:space="preserve"> </w:t>
      </w:r>
      <w:r w:rsidRPr="2F33438E" w:rsidR="2F33438E">
        <w:rPr>
          <w:rFonts w:ascii="Times New Roman" w:hAnsi="Times New Roman" w:cs="Times New Roman"/>
          <w:b w:val="1"/>
          <w:bCs w:val="1"/>
          <w:sz w:val="24"/>
          <w:szCs w:val="24"/>
          <w:lang w:val="sv-SE"/>
        </w:rPr>
        <w:t>Methods</w:t>
      </w:r>
    </w:p>
    <w:p w:rsidRPr="00622E1B" w:rsidR="00DC3A11" w:rsidP="00622E1B" w:rsidRDefault="00DC3A11" w14:paraId="167160B6" w14:textId="6BBC5489">
      <w:pPr>
        <w:pStyle w:val="Titre2"/>
        <w:jc w:val="both"/>
        <w:rPr>
          <w:rFonts w:ascii="Times New Roman" w:hAnsi="Times New Roman" w:cs="Times New Roman"/>
          <w:sz w:val="24"/>
          <w:szCs w:val="28"/>
          <w:lang w:val="en-US"/>
        </w:rPr>
      </w:pPr>
      <w:r w:rsidRPr="00622E1B">
        <w:rPr>
          <w:rFonts w:ascii="Times New Roman" w:hAnsi="Times New Roman" w:cs="Times New Roman"/>
          <w:sz w:val="24"/>
          <w:szCs w:val="28"/>
          <w:lang w:val="en-US"/>
        </w:rPr>
        <w:t>Study population &amp; design</w:t>
      </w:r>
    </w:p>
    <w:p w:rsidRPr="00D91A8D" w:rsidR="00DC3A11" w:rsidP="00622E1B" w:rsidRDefault="00DC3A11" w14:paraId="1697F65E" w14:textId="55A4FD26">
      <w:pPr>
        <w:spacing w:line="240" w:lineRule="auto"/>
        <w:jc w:val="both"/>
        <w:rPr>
          <w:rFonts w:ascii="Times New Roman" w:hAnsi="Times New Roman" w:cs="Times New Roman"/>
          <w:lang w:val="en-US"/>
        </w:rPr>
      </w:pPr>
      <w:r w:rsidRPr="3C316B1E" w:rsidR="3C316B1E">
        <w:rPr>
          <w:rFonts w:ascii="Times New Roman" w:hAnsi="Times New Roman" w:cs="Times New Roman"/>
          <w:lang w:val="en-US"/>
        </w:rPr>
        <w:t>We conducted a cross-sectional study in a single center cohort from an academic liver transplant center. We included all consecutive cirrhotic patients evaluated for LT between March 2004 and June 2018 and had thoraco-abdominal CT scans during evaluation. We excluded patients younger than 18, patient without cirrhosis,</w:t>
      </w:r>
      <w:bookmarkStart w:name="_GoBack" w:id="0"/>
      <w:r w:rsidRPr="3C316B1E" w:rsidR="3C316B1E">
        <w:rPr>
          <w:rFonts w:ascii="Times New Roman" w:hAnsi="Times New Roman" w:cs="Times New Roman"/>
          <w:lang w:val="en-US"/>
        </w:rPr>
        <w:t xml:space="preserve"> </w:t>
      </w:r>
      <w:bookmarkEnd w:id="0"/>
      <w:r w:rsidRPr="3C316B1E" w:rsidR="3C316B1E">
        <w:rPr>
          <w:rFonts w:ascii="Times New Roman" w:hAnsi="Times New Roman" w:cs="Times New Roman"/>
          <w:lang w:val="en-US"/>
        </w:rPr>
        <w:t xml:space="preserve">candidates for multiple organ transplantation and patients living with HIV. Hepatocellular carcinoma (HCC) was not an exclusion criterion. All patients had an alpha </w:t>
      </w:r>
      <w:r w:rsidRPr="3C316B1E" w:rsidR="3C316B1E">
        <w:rPr>
          <w:rFonts w:ascii="Times New Roman" w:hAnsi="Times New Roman" w:cs="Times New Roman"/>
          <w:lang w:val="en-US"/>
        </w:rPr>
        <w:t>f</w:t>
      </w:r>
      <w:r w:rsidRPr="3C316B1E" w:rsidR="3C316B1E">
        <w:rPr>
          <w:rFonts w:ascii="Times New Roman" w:hAnsi="Times New Roman" w:cs="Times New Roman"/>
          <w:lang w:val="en-US"/>
        </w:rPr>
        <w:t>oeto</w:t>
      </w:r>
      <w:r w:rsidRPr="3C316B1E" w:rsidR="3C316B1E">
        <w:rPr>
          <w:rFonts w:ascii="Times New Roman" w:hAnsi="Times New Roman" w:cs="Times New Roman"/>
          <w:lang w:val="en-US"/>
        </w:rPr>
        <w:t>-</w:t>
      </w:r>
      <w:r w:rsidRPr="3C316B1E" w:rsidR="3C316B1E">
        <w:rPr>
          <w:rFonts w:ascii="Times New Roman" w:hAnsi="Times New Roman" w:cs="Times New Roman"/>
          <w:lang w:val="en-US"/>
        </w:rPr>
        <w:t xml:space="preserve">protein (AFP) score </w:t>
      </w:r>
      <w:r w:rsidRPr="3C316B1E" w:rsidR="3C316B1E">
        <w:rPr>
          <w:rFonts w:ascii="Symbol" w:hAnsi="Symbol" w:eastAsia="Symbol" w:cs="Symbol"/>
          <w:lang w:val="en-US"/>
        </w:rPr>
        <w:t>£</w:t>
      </w:r>
      <w:r w:rsidRPr="3C316B1E" w:rsidR="3C316B1E">
        <w:rPr>
          <w:rFonts w:ascii="Times New Roman" w:hAnsi="Times New Roman" w:cs="Times New Roman"/>
          <w:lang w:val="en-US"/>
        </w:rPr>
        <w:t xml:space="preserve"> 2 according to the French selection criteria.</w:t>
      </w:r>
      <w:r w:rsidRPr="3C316B1E">
        <w:rPr>
          <w:rFonts w:ascii="Times New Roman" w:hAnsi="Times New Roman" w:cs="Times New Roman"/>
          <w:lang w:val="en-US"/>
        </w:rPr>
        <w:fldChar w:fldCharType="begin"/>
      </w:r>
      <w:r w:rsidRPr="3C316B1E">
        <w:rPr>
          <w:rFonts w:ascii="Times New Roman" w:hAnsi="Times New Roman" w:cs="Times New Roman"/>
          <w:lang w:val="en-US"/>
        </w:rPr>
        <w:instrText xml:space="preserve"> ADDIN ZOTERO_ITEM CSL_CITATION {"citationID":"YP2Dcod8","properties":{"formattedCitation":"\\super 16\\nosupersub{}","plainCitation":"16","noteIndex":0},"citationItems":[{"id":"K6BoWr5g/c5QK3Ykp","uris":["http://zotero.org/users/4757623/items/8XDZH64F"],"itemData":{"id":492,"type":"article-journal","abstract":"BACKGROUND &amp; AIMS: The aim of this study was to generate an improved prognostic model for predicting recurrence in liver transplant candidates with hepatocellular carcinoma (HCC).\nMETHODS: Predictors of recurrence were tested by a Cox model analysis in a training cohort of 537 patients transplanted for HCC. A prognostic score was developed and validated in a national cohort of 435 patients followed up prospectively.\nRESULTS: α-Fetoprotein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 .001) and decreased survival (47.5% ± 8.1% vs 67.8% ± 3.4%; P = .002) as compared with others. Among patients exceeding Milan criteria, a score of 2 or lower identified a subgroup of patients with AFP levels less than 100 ng/mL with a low 5-year risk of recurrence (14.4% ± 5.3% vs 47.6% ± 11.1%; P = .006). Among patients within Milan criteria, a score greater than 2 identified a subgroup of patients with AFP levels greater than 1000 ng/mL at high risk of recurrence (37.1% ± 8.9% vs 13.3% ± 2.0%; P &lt; .001). Net reclassification improvement showed that predictability of the AFP model was superior to Milan criteria.\nCONCLUSIONS: Prediction of tumor recurrence is improved significantly by a model that incorporates AFP. We propose the adoption of new selection criteria for HCC transplant candidates, taking into account AFP.","container-title":"Gastroenterology","DOI":"10.1053/j.gastro.2012.05.052","ISSN":"1528-0012","issue":"4","journalAbbreviation":"Gastroenterology","language":"eng","note":"PMID: 22750200","page":"986-994.e3; quiz e14-15","source":"PubMed","title":"Liver transplantation for hepatocellular carcinoma: a model including α-fetoprotein improves the performance of Milan criteria","title-short":"Liver transplantation for hepatocellular carcinoma","volume":"143","author":[{"family":"Duvoux","given":"Christophe"},{"family":"Roudot-Thoraval","given":"Françoise"},{"family":"Decaens","given":"Thomas"},{"family":"Pessione","given":"Fabienne"},{"family":"Badran","given":"Hanaa"},{"family":"Piardi","given":"Tullio"},{"family":"Francoz","given":"Claire"},{"family":"Compagnon","given":"Philippe"},{"family":"Vanlemmens","given":"Claire"},{"family":"Dumortier","given":"Jérome"},{"family":"Dharancy","given":"Sébastien"},{"family":"Gugenheim","given":"Jean"},{"family":"Bernard","given":"Pierre-Henri"},{"family":"Adam","given":"René"},{"family":"Radenne","given":"Sylvie"},{"family":"Muscari","given":"Fabrice"},{"family":"Conti","given":"Filomena"},{"family":"Hardwigsen","given":"Jean"},{"family":"Pageaux","given":"Georges-Philippe"},{"family":"Chazouillères","given":"Olivier"},{"family":"Salame","given":"Ephrem"},{"family":"Hilleret","given":"Marie-Noelle"},{"family":"Lebray","given":"Pascal"},{"family":"Abergel","given":"Armand"},{"family":"Debette-Gratien","given":"Marilyne"},{"family":"Kluger","given":"Michael D."},{"family":"Mallat","given":"Ariane"},{"family":"Azoulay","given":"Daniel"},{"family":"Cherqui","given":"Daniel"},{"literal":"Liver Transplantation French Study Group"}],"issued":{"date-parts":[["2012",10]]}}}],"schema":"https://github.com/citation-style-language/schema/raw/master/csl-citation.json"} </w:instrText>
      </w:r>
      <w:r w:rsidRPr="3C316B1E">
        <w:rPr>
          <w:rFonts w:ascii="Times New Roman" w:hAnsi="Times New Roman" w:cs="Times New Roman"/>
          <w:lang w:val="en-US"/>
        </w:rPr>
        <w:fldChar w:fldCharType="end"/>
      </w:r>
      <w:r w:rsidRPr="3C316B1E" w:rsidR="3C316B1E">
        <w:rPr>
          <w:rFonts w:ascii="Times New Roman" w:hAnsi="Times New Roman" w:cs="Times New Roman"/>
          <w:lang w:val="en-US"/>
        </w:rPr>
        <w:t xml:space="preserve"> A diagnosis of cirrhosis was based on concordant clinical, laboratory and imaging findings or biopsy. The study protocol conformed to the ethical guidelines of the 1975 declaration of Helsinki and was approved by the local ethics committee (IRB 2017-013).</w:t>
      </w:r>
    </w:p>
    <w:p w:rsidR="00DC3A11" w:rsidP="00622E1B" w:rsidRDefault="00DC3A11" w14:paraId="5ED33C3A" w14:textId="3D0F8F10">
      <w:pPr>
        <w:spacing w:after="120" w:line="240" w:lineRule="auto"/>
        <w:jc w:val="both"/>
        <w:rPr>
          <w:rFonts w:ascii="Times New Roman" w:hAnsi="Times New Roman" w:cs="Times New Roman"/>
          <w:lang w:val="en-US"/>
        </w:rPr>
      </w:pPr>
      <w:r w:rsidRPr="00D91A8D">
        <w:rPr>
          <w:rFonts w:ascii="Times New Roman" w:hAnsi="Times New Roman" w:cs="Times New Roman"/>
          <w:lang w:val="en-US"/>
        </w:rPr>
        <w:t xml:space="preserve">According to our local protocol, all patients with cirrhosis evaluated for LT underwent thoraco-abdominal CT scan as a standard workup, except in patients with end stage kidney diseases who were considered for combined liver and kidney transplantation and, as a result, excluded. VF were identified by full spine evaluation on sagittal and coronal reconstructions of the thoraco-lumbar CT scans from T1 to L5 by one reader (CN, see </w:t>
      </w:r>
      <w:r w:rsidRPr="00D91A8D">
        <w:rPr>
          <w:rFonts w:ascii="Times New Roman" w:hAnsi="Times New Roman" w:cs="Times New Roman"/>
          <w:b/>
          <w:lang w:val="en-US"/>
        </w:rPr>
        <w:t>Figure 1</w:t>
      </w:r>
      <w:r>
        <w:rPr>
          <w:rFonts w:ascii="Times New Roman" w:hAnsi="Times New Roman" w:cs="Times New Roman"/>
          <w:b/>
          <w:lang w:val="en-US"/>
        </w:rPr>
        <w:t>)</w:t>
      </w:r>
      <w:r w:rsidRPr="00D91A8D">
        <w:rPr>
          <w:rFonts w:ascii="Times New Roman" w:hAnsi="Times New Roman" w:cs="Times New Roman"/>
          <w:lang w:val="en-US"/>
        </w:rPr>
        <w:t xml:space="preserve">. </w:t>
      </w:r>
    </w:p>
    <w:p w:rsidRPr="00D91A8D" w:rsidR="00622E1B" w:rsidP="00622E1B" w:rsidRDefault="00622E1B" w14:paraId="18F0240B" w14:textId="77777777">
      <w:pPr>
        <w:spacing w:after="120" w:line="240" w:lineRule="auto"/>
        <w:jc w:val="both"/>
        <w:rPr>
          <w:rFonts w:ascii="Times New Roman" w:hAnsi="Times New Roman" w:cs="Times New Roman"/>
          <w:lang w:val="en-US"/>
        </w:rPr>
      </w:pPr>
    </w:p>
    <w:p w:rsidRPr="00DC3A11" w:rsidR="00DC3A11" w:rsidP="00622E1B" w:rsidRDefault="00DC3A11" w14:paraId="68BA733B" w14:textId="77777777">
      <w:pPr>
        <w:pStyle w:val="Titre2"/>
        <w:jc w:val="both"/>
        <w:rPr>
          <w:rFonts w:ascii="Times New Roman" w:hAnsi="Times New Roman" w:cs="Times New Roman"/>
          <w:sz w:val="24"/>
          <w:szCs w:val="28"/>
          <w:lang w:val="en-US"/>
        </w:rPr>
      </w:pPr>
      <w:r w:rsidRPr="00DC3A11">
        <w:rPr>
          <w:rFonts w:ascii="Times New Roman" w:hAnsi="Times New Roman" w:cs="Times New Roman"/>
          <w:sz w:val="24"/>
          <w:szCs w:val="28"/>
          <w:lang w:val="en-US"/>
        </w:rPr>
        <w:t>CT measurements</w:t>
      </w:r>
    </w:p>
    <w:p w:rsidR="00D243AC" w:rsidP="00D243AC" w:rsidRDefault="0039705E" w14:paraId="16943297" w14:textId="38A0DB30">
      <w:pPr>
        <w:spacing w:after="120" w:line="240" w:lineRule="auto"/>
        <w:jc w:val="both"/>
        <w:rPr>
          <w:rFonts w:ascii="Times New Roman" w:hAnsi="Times New Roman" w:cs="Times New Roman"/>
          <w:lang w:val="en-US"/>
        </w:rPr>
      </w:pPr>
      <w:bookmarkStart w:name="_Hlk134635269" w:id="1"/>
      <w:r>
        <w:rPr>
          <w:rFonts w:ascii="Times New Roman" w:hAnsi="Times New Roman" w:cs="Times New Roman"/>
          <w:lang w:val="en-US"/>
        </w:rPr>
        <w:t>L1-</w:t>
      </w:r>
      <w:r w:rsidRPr="00D91A8D" w:rsidR="00DC3A11">
        <w:rPr>
          <w:rFonts w:ascii="Times New Roman" w:hAnsi="Times New Roman" w:cs="Times New Roman"/>
          <w:lang w:val="en-US"/>
        </w:rPr>
        <w:t>CT attenuation (mean Hounsfield unit) was measured</w:t>
      </w:r>
      <w:r>
        <w:rPr>
          <w:rFonts w:ascii="Times New Roman" w:hAnsi="Times New Roman" w:cs="Times New Roman"/>
          <w:lang w:val="en-US"/>
        </w:rPr>
        <w:t xml:space="preserve"> to assess bone density</w:t>
      </w:r>
      <w:r w:rsidR="00D243AC">
        <w:rPr>
          <w:rFonts w:ascii="Times New Roman" w:hAnsi="Times New Roman" w:cs="Times New Roman"/>
          <w:lang w:val="en-US"/>
        </w:rPr>
        <w:t xml:space="preserve">. Therefore, </w:t>
      </w:r>
      <w:r w:rsidR="00D243AC">
        <w:rPr>
          <w:rFonts w:ascii="Times New Roman" w:hAnsi="Times New Roman" w:cs="Times New Roman"/>
          <w:lang w:val="en-US"/>
        </w:rPr>
        <w:t xml:space="preserve">the lower is L1-CT, the lower is the bone density. </w:t>
      </w:r>
    </w:p>
    <w:p w:rsidR="00A6131D" w:rsidP="00622E1B" w:rsidRDefault="00D243AC" w14:paraId="1C319C84" w14:textId="10C288EB">
      <w:pPr>
        <w:spacing w:after="120" w:line="240" w:lineRule="auto"/>
        <w:jc w:val="both"/>
        <w:rPr>
          <w:rFonts w:ascii="Times New Roman" w:hAnsi="Times New Roman" w:cs="Times New Roman"/>
          <w:lang w:val="en-US"/>
        </w:rPr>
      </w:pPr>
      <w:r>
        <w:rPr>
          <w:rFonts w:ascii="Times New Roman" w:hAnsi="Times New Roman" w:cs="Times New Roman"/>
          <w:lang w:val="en-US"/>
        </w:rPr>
        <w:t xml:space="preserve">L1-CT was measured </w:t>
      </w:r>
      <w:r w:rsidRPr="00D91A8D" w:rsidR="00DC3A11">
        <w:rPr>
          <w:rFonts w:ascii="Times New Roman" w:hAnsi="Times New Roman" w:cs="Times New Roman"/>
          <w:lang w:val="en-US"/>
        </w:rPr>
        <w:t xml:space="preserve">an elliptic region of interest, on an axial section of the L1 vertebral body, in the middle of the upper third of the vertebral body parallel to the upper vertebral plateau, in the anterior part, avoiding the cortical edges of the vertebra (see </w:t>
      </w:r>
      <w:r w:rsidRPr="00D91A8D" w:rsidR="00DC3A11">
        <w:rPr>
          <w:rFonts w:ascii="Times New Roman" w:hAnsi="Times New Roman" w:cs="Times New Roman"/>
          <w:b/>
          <w:bCs/>
          <w:lang w:val="en-US"/>
        </w:rPr>
        <w:t xml:space="preserve">Figure </w:t>
      </w:r>
      <w:r w:rsidR="00DC3A11">
        <w:rPr>
          <w:rFonts w:ascii="Times New Roman" w:hAnsi="Times New Roman" w:cs="Times New Roman"/>
          <w:b/>
          <w:bCs/>
          <w:lang w:val="en-US"/>
        </w:rPr>
        <w:t>1</w:t>
      </w:r>
      <w:r w:rsidRPr="00D91A8D" w:rsidR="00DC3A11">
        <w:rPr>
          <w:rFonts w:ascii="Times New Roman" w:hAnsi="Times New Roman" w:cs="Times New Roman"/>
          <w:lang w:val="en-US"/>
        </w:rPr>
        <w:t xml:space="preserve">). </w:t>
      </w:r>
    </w:p>
    <w:bookmarkEnd w:id="1"/>
    <w:p w:rsidRPr="00D91A8D" w:rsidR="00DC3A11" w:rsidP="00622E1B" w:rsidRDefault="00DC3A11" w14:paraId="53E3896E" w14:textId="75D58A90">
      <w:pPr>
        <w:spacing w:after="120" w:line="240" w:lineRule="auto"/>
        <w:jc w:val="both"/>
        <w:rPr>
          <w:rFonts w:ascii="Times New Roman" w:hAnsi="Times New Roman" w:cs="Times New Roman"/>
          <w:lang w:val="en-US"/>
        </w:rPr>
      </w:pPr>
      <w:r>
        <w:rPr>
          <w:rFonts w:ascii="Times New Roman" w:hAnsi="Times New Roman" w:cs="Times New Roman"/>
          <w:lang w:val="en-US"/>
        </w:rPr>
        <w:t>In</w:t>
      </w:r>
      <w:r w:rsidRPr="00D91A8D">
        <w:rPr>
          <w:rFonts w:ascii="Times New Roman" w:hAnsi="Times New Roman" w:cs="Times New Roman"/>
          <w:lang w:val="en-US"/>
        </w:rPr>
        <w:t xml:space="preserve"> patients with a VF of L1, CT attenuation was measured on L2</w:t>
      </w:r>
      <w:r>
        <w:rPr>
          <w:rFonts w:ascii="Times New Roman" w:hAnsi="Times New Roman" w:cs="Times New Roman"/>
          <w:lang w:val="en-US"/>
        </w:rPr>
        <w:t>.</w:t>
      </w:r>
      <w:r w:rsidRPr="00D91A8D">
        <w:rPr>
          <w:rFonts w:ascii="Times New Roman" w:hAnsi="Times New Roman" w:cs="Times New Roman"/>
          <w:lang w:val="en-US"/>
        </w:rPr>
        <w:t xml:space="preserve"> We measured L1-CT attenuation on enhanced (portal phase) and unenhanced sequences for 344 patients. L1-CT attenuation on unenhanced sequences was used for the analyses. As L1-CT attenuation values for enhanced and unenhanced sequences were highly correlated (r</w:t>
      </w:r>
      <w:r w:rsidRPr="00D91A8D">
        <w:rPr>
          <w:rFonts w:ascii="Times New Roman" w:hAnsi="Times New Roman" w:cs="Times New Roman"/>
          <w:vertAlign w:val="superscript"/>
          <w:lang w:val="en-US"/>
        </w:rPr>
        <w:t>2</w:t>
      </w:r>
      <w:r w:rsidRPr="00D91A8D">
        <w:rPr>
          <w:rFonts w:ascii="Times New Roman" w:hAnsi="Times New Roman" w:cs="Times New Roman"/>
          <w:lang w:val="en-US"/>
        </w:rPr>
        <w:t>= 0.96), values for the 32 CT scans with missing unenhanced sequences were imputed from the values obtained in the enhanced sequences by applying a linear regression correction.</w:t>
      </w:r>
    </w:p>
    <w:p w:rsidR="00622E1B" w:rsidP="00622E1B" w:rsidRDefault="00DC3A11" w14:paraId="76B79EED" w14:textId="77777777">
      <w:pPr>
        <w:spacing w:after="120" w:line="240" w:lineRule="auto"/>
        <w:jc w:val="both"/>
        <w:rPr>
          <w:rFonts w:ascii="Times New Roman" w:hAnsi="Times New Roman" w:cs="Times New Roman"/>
          <w:lang w:val="en-US"/>
        </w:rPr>
      </w:pPr>
      <w:r w:rsidRPr="00D91A8D">
        <w:rPr>
          <w:rFonts w:ascii="Times New Roman" w:hAnsi="Times New Roman" w:cs="Times New Roman"/>
          <w:lang w:val="en-US"/>
        </w:rPr>
        <w:t>All CT measures were performed by one reader (CN), blinded of patient’s characteristics</w:t>
      </w:r>
      <w:r>
        <w:rPr>
          <w:rFonts w:ascii="Times New Roman" w:hAnsi="Times New Roman" w:cs="Times New Roman"/>
          <w:lang w:val="en-US"/>
        </w:rPr>
        <w:t xml:space="preserve"> and outcomes</w:t>
      </w:r>
      <w:r w:rsidRPr="00D91A8D">
        <w:rPr>
          <w:rFonts w:ascii="Times New Roman" w:hAnsi="Times New Roman" w:cs="Times New Roman"/>
          <w:lang w:val="en-US"/>
        </w:rPr>
        <w:t>.</w:t>
      </w:r>
    </w:p>
    <w:p w:rsidR="00622E1B" w:rsidP="00622E1B" w:rsidRDefault="00622E1B" w14:paraId="68641C8B" w14:textId="4275CE21">
      <w:pPr>
        <w:spacing w:after="120" w:line="240" w:lineRule="auto"/>
        <w:jc w:val="both"/>
        <w:rPr>
          <w:rFonts w:ascii="Times New Roman" w:hAnsi="Times New Roman" w:cs="Times New Roman"/>
          <w:lang w:val="en-US"/>
        </w:rPr>
      </w:pPr>
      <w:bookmarkStart w:name="_Hlk134205421" w:id="2"/>
      <w:r>
        <w:rPr>
          <w:rFonts w:ascii="Times New Roman" w:hAnsi="Times New Roman" w:cs="Times New Roman"/>
          <w:lang w:val="en-US"/>
        </w:rPr>
        <w:t>To assess i</w:t>
      </w:r>
      <w:r w:rsidRPr="00D91A8D">
        <w:rPr>
          <w:rFonts w:ascii="Times New Roman" w:hAnsi="Times New Roman" w:cs="Times New Roman"/>
          <w:lang w:val="en-US"/>
        </w:rPr>
        <w:t>ntra-examiner reproducibility</w:t>
      </w:r>
      <w:r>
        <w:rPr>
          <w:rFonts w:ascii="Times New Roman" w:hAnsi="Times New Roman" w:cs="Times New Roman"/>
          <w:lang w:val="en-US"/>
        </w:rPr>
        <w:t xml:space="preserve">, the same examiner (CN) reviewed 20 random cases for L1-CT attenuation measurement. This reproducibility was excellent with an </w:t>
      </w:r>
      <w:r w:rsidRPr="00D91A8D">
        <w:rPr>
          <w:rFonts w:ascii="Times New Roman" w:hAnsi="Times New Roman" w:cs="Times New Roman"/>
          <w:lang w:val="en-US"/>
        </w:rPr>
        <w:t>intraclass correlations (ICC) at 0.99</w:t>
      </w:r>
      <w:r>
        <w:rPr>
          <w:rFonts w:ascii="Times New Roman" w:hAnsi="Times New Roman" w:cs="Times New Roman"/>
          <w:lang w:val="en-US"/>
        </w:rPr>
        <w:t>. To assess inter</w:t>
      </w:r>
      <w:r w:rsidRPr="00D91A8D">
        <w:rPr>
          <w:rFonts w:ascii="Times New Roman" w:hAnsi="Times New Roman" w:cs="Times New Roman"/>
          <w:lang w:val="en-US"/>
        </w:rPr>
        <w:t>-examiner reproducibility</w:t>
      </w:r>
      <w:r>
        <w:rPr>
          <w:rFonts w:ascii="Times New Roman" w:hAnsi="Times New Roman" w:cs="Times New Roman"/>
          <w:lang w:val="en-US"/>
        </w:rPr>
        <w:t xml:space="preserve">, a separate examiner (TFB) reviewed 20 random cases for L1-CT attenuation measurement. This reproducibility was also excellent with an </w:t>
      </w:r>
      <w:r w:rsidRPr="00D91A8D">
        <w:rPr>
          <w:rFonts w:ascii="Times New Roman" w:hAnsi="Times New Roman" w:cs="Times New Roman"/>
          <w:lang w:val="en-US"/>
        </w:rPr>
        <w:t>intraclass correlations (ICC) at 0.99</w:t>
      </w:r>
      <w:r>
        <w:rPr>
          <w:rFonts w:ascii="Times New Roman" w:hAnsi="Times New Roman" w:cs="Times New Roman"/>
          <w:lang w:val="en-US"/>
        </w:rPr>
        <w:t xml:space="preserve">. </w:t>
      </w:r>
    </w:p>
    <w:bookmarkEnd w:id="2"/>
    <w:p w:rsidR="00622E1B" w:rsidP="00622E1B" w:rsidRDefault="00622E1B" w14:paraId="12A3362C" w14:textId="77777777">
      <w:pPr>
        <w:spacing w:after="120" w:line="240" w:lineRule="auto"/>
        <w:jc w:val="both"/>
        <w:rPr>
          <w:rFonts w:ascii="Times New Roman" w:hAnsi="Times New Roman" w:cs="Times New Roman"/>
          <w:lang w:val="en-US"/>
        </w:rPr>
      </w:pPr>
    </w:p>
    <w:p w:rsidRPr="00DC3A11" w:rsidR="00DC3A11" w:rsidP="00622E1B" w:rsidRDefault="00DC3A11" w14:paraId="627062CB" w14:textId="77777777">
      <w:pPr>
        <w:pStyle w:val="Titre2"/>
        <w:jc w:val="both"/>
        <w:rPr>
          <w:rFonts w:ascii="Times New Roman" w:hAnsi="Times New Roman" w:cs="Times New Roman"/>
          <w:sz w:val="24"/>
          <w:szCs w:val="28"/>
          <w:lang w:val="en-US"/>
        </w:rPr>
      </w:pPr>
      <w:r w:rsidRPr="00DC3A11">
        <w:rPr>
          <w:rFonts w:ascii="Times New Roman" w:hAnsi="Times New Roman" w:cs="Times New Roman"/>
          <w:sz w:val="24"/>
          <w:szCs w:val="28"/>
          <w:lang w:val="en-US"/>
        </w:rPr>
        <w:t>Covariates</w:t>
      </w:r>
    </w:p>
    <w:p w:rsidR="00DC3A11" w:rsidP="00622E1B" w:rsidRDefault="00DC3A11" w14:paraId="0C8B0368" w14:textId="3C71ADE4">
      <w:pPr>
        <w:spacing w:after="120" w:line="240" w:lineRule="auto"/>
        <w:jc w:val="both"/>
        <w:rPr>
          <w:rFonts w:ascii="Times New Roman" w:hAnsi="Times New Roman" w:cs="Times New Roman"/>
          <w:lang w:val="en-US"/>
        </w:rPr>
      </w:pPr>
      <w:r w:rsidRPr="00D91A8D">
        <w:rPr>
          <w:rFonts w:ascii="Times New Roman" w:hAnsi="Times New Roman" w:cs="Times New Roman"/>
          <w:lang w:val="en-US"/>
        </w:rPr>
        <w:t xml:space="preserve">We used </w:t>
      </w:r>
      <w:r>
        <w:rPr>
          <w:rFonts w:ascii="Times New Roman" w:hAnsi="Times New Roman" w:cs="Times New Roman"/>
          <w:lang w:val="en-US"/>
        </w:rPr>
        <w:t>demographic</w:t>
      </w:r>
      <w:r w:rsidRPr="00D91A8D">
        <w:rPr>
          <w:rFonts w:ascii="Times New Roman" w:hAnsi="Times New Roman" w:cs="Times New Roman"/>
          <w:lang w:val="en-US"/>
        </w:rPr>
        <w:t xml:space="preserve"> variables obtained at the time of evaluation. Clinical variables included age, sex, anthropometric data, cause of cirrhosis, presence of hepatocellular carcinoma, Child-Pugh </w:t>
      </w:r>
      <w:r>
        <w:rPr>
          <w:rFonts w:ascii="Times New Roman" w:hAnsi="Times New Roman" w:cs="Times New Roman"/>
          <w:lang w:val="en-US"/>
        </w:rPr>
        <w:t>score</w:t>
      </w:r>
      <w:r w:rsidRPr="00D91A8D">
        <w:rPr>
          <w:rFonts w:ascii="Times New Roman" w:hAnsi="Times New Roman" w:cs="Times New Roman"/>
          <w:lang w:val="en-US"/>
        </w:rPr>
        <w:t xml:space="preserve">, </w:t>
      </w:r>
      <w:r>
        <w:rPr>
          <w:rFonts w:ascii="Times New Roman" w:hAnsi="Times New Roman" w:cs="Times New Roman"/>
          <w:lang w:val="en-US"/>
        </w:rPr>
        <w:t xml:space="preserve">the </w:t>
      </w:r>
      <w:r w:rsidRPr="00D91A8D">
        <w:rPr>
          <w:rFonts w:ascii="Times New Roman" w:hAnsi="Times New Roman" w:cs="Times New Roman"/>
          <w:lang w:val="en-US"/>
        </w:rPr>
        <w:t>MELD score</w:t>
      </w:r>
      <w:r>
        <w:rPr>
          <w:rFonts w:ascii="Times New Roman" w:hAnsi="Times New Roman" w:cs="Times New Roman"/>
          <w:lang w:val="en-US"/>
        </w:rPr>
        <w:t xml:space="preserve"> and</w:t>
      </w:r>
      <w:r w:rsidRPr="00D91A8D">
        <w:rPr>
          <w:rFonts w:ascii="Times New Roman" w:hAnsi="Times New Roman" w:cs="Times New Roman"/>
          <w:lang w:val="en-US"/>
        </w:rPr>
        <w:t xml:space="preserve"> refractory ascites. Biological variables included </w:t>
      </w:r>
      <w:r>
        <w:rPr>
          <w:rFonts w:ascii="Times New Roman" w:hAnsi="Times New Roman" w:cs="Times New Roman"/>
          <w:lang w:val="en-US"/>
        </w:rPr>
        <w:t>natremia</w:t>
      </w:r>
      <w:r w:rsidRPr="00D91A8D">
        <w:rPr>
          <w:rFonts w:ascii="Times New Roman" w:hAnsi="Times New Roman" w:cs="Times New Roman"/>
          <w:lang w:val="en-US"/>
        </w:rPr>
        <w:t xml:space="preserve">, serum creatinine (and </w:t>
      </w:r>
      <w:r>
        <w:rPr>
          <w:rFonts w:ascii="Times New Roman" w:hAnsi="Times New Roman" w:cs="Times New Roman"/>
          <w:lang w:val="en-US"/>
        </w:rPr>
        <w:t xml:space="preserve">eGFR according to </w:t>
      </w:r>
      <w:r w:rsidRPr="00D91A8D">
        <w:rPr>
          <w:rFonts w:ascii="Times New Roman" w:hAnsi="Times New Roman" w:cs="Times New Roman"/>
          <w:lang w:val="en-US"/>
        </w:rPr>
        <w:t>MDRD-6), bilirubin, INR and factor V.</w:t>
      </w:r>
    </w:p>
    <w:p w:rsidRPr="00D91A8D" w:rsidR="00622E1B" w:rsidP="00622E1B" w:rsidRDefault="00622E1B" w14:paraId="7028DEDD" w14:textId="77777777">
      <w:pPr>
        <w:spacing w:after="120" w:line="240" w:lineRule="auto"/>
        <w:jc w:val="both"/>
        <w:rPr>
          <w:rFonts w:ascii="Times New Roman" w:hAnsi="Times New Roman" w:cs="Times New Roman"/>
          <w:sz w:val="21"/>
          <w:szCs w:val="20"/>
          <w:lang w:val="en-US"/>
        </w:rPr>
      </w:pPr>
    </w:p>
    <w:p w:rsidRPr="00DC3A11" w:rsidR="00DC3A11" w:rsidP="00622E1B" w:rsidRDefault="00DC3A11" w14:paraId="4C0E5159" w14:textId="77777777">
      <w:pPr>
        <w:pStyle w:val="Titre2"/>
        <w:jc w:val="both"/>
        <w:rPr>
          <w:rFonts w:ascii="Times New Roman" w:hAnsi="Times New Roman" w:cs="Times New Roman"/>
          <w:sz w:val="24"/>
          <w:szCs w:val="28"/>
          <w:lang w:val="en-US"/>
        </w:rPr>
      </w:pPr>
      <w:r w:rsidRPr="00DC3A11">
        <w:rPr>
          <w:rFonts w:ascii="Times New Roman" w:hAnsi="Times New Roman" w:cs="Times New Roman"/>
          <w:sz w:val="24"/>
          <w:szCs w:val="28"/>
          <w:lang w:val="en-US"/>
        </w:rPr>
        <w:t>Statistical analysis</w:t>
      </w:r>
    </w:p>
    <w:p w:rsidRPr="00D91A8D" w:rsidR="00DC3A11" w:rsidP="00622E1B" w:rsidRDefault="00DC3A11" w14:paraId="5C538F62" w14:textId="77777777">
      <w:pPr>
        <w:spacing w:after="120" w:line="240" w:lineRule="auto"/>
        <w:jc w:val="both"/>
        <w:rPr>
          <w:rFonts w:ascii="Times New Roman" w:hAnsi="Times New Roman" w:cs="Times New Roman"/>
          <w:lang w:val="en-US"/>
        </w:rPr>
      </w:pPr>
      <w:r w:rsidRPr="00D91A8D">
        <w:rPr>
          <w:rFonts w:ascii="Times New Roman" w:hAnsi="Times New Roman" w:cs="Times New Roman"/>
          <w:lang w:val="en-US"/>
        </w:rPr>
        <w:t>Our primary analyses aimed to identify the determinants of VF that were documented on CT reconstructions. We first performed univariate analyses to identify baseline differences between patients with and without VF using Student’s t test, or Mann-Whitney test for continuous variables, and Chi</w:t>
      </w:r>
      <w:r w:rsidRPr="00EA200D">
        <w:rPr>
          <w:rFonts w:ascii="Times New Roman" w:hAnsi="Times New Roman" w:cs="Times New Roman"/>
          <w:vertAlign w:val="superscript"/>
          <w:lang w:val="en-US"/>
        </w:rPr>
        <w:t>2</w:t>
      </w:r>
      <w:r w:rsidRPr="00D91A8D">
        <w:rPr>
          <w:rFonts w:ascii="Times New Roman" w:hAnsi="Times New Roman" w:cs="Times New Roman"/>
          <w:lang w:val="en-US"/>
        </w:rPr>
        <w:t xml:space="preserve"> test for categorical variables. Then, multivariate analyses by logistic regression were performed</w:t>
      </w:r>
      <w:r>
        <w:rPr>
          <w:rFonts w:ascii="Times New Roman" w:hAnsi="Times New Roman" w:cs="Times New Roman"/>
          <w:lang w:val="en-US"/>
        </w:rPr>
        <w:t xml:space="preserve">. The best </w:t>
      </w:r>
      <w:r>
        <w:rPr>
          <w:rFonts w:ascii="Times New Roman" w:hAnsi="Times New Roman" w:cs="Times New Roman"/>
          <w:lang w:val="en-US"/>
        </w:rPr>
        <w:lastRenderedPageBreak/>
        <w:t>model was identified by using a stepwise method including a selection of covariates obtained from univariate analyses</w:t>
      </w:r>
      <w:r w:rsidRPr="00D91A8D">
        <w:rPr>
          <w:rFonts w:ascii="Times New Roman" w:hAnsi="Times New Roman" w:cs="Times New Roman"/>
          <w:lang w:val="en-US"/>
        </w:rPr>
        <w:t xml:space="preserve">. All entered continuous variables were normalized and odd ratios (OR) were expressed per standard deviation change of the parameter with 95% confidence intervals. </w:t>
      </w:r>
    </w:p>
    <w:p w:rsidRPr="00D91A8D" w:rsidR="00DC3A11" w:rsidP="00622E1B" w:rsidRDefault="00DC3A11" w14:paraId="0CB08A75" w14:textId="77777777">
      <w:pPr>
        <w:spacing w:after="120" w:line="240" w:lineRule="auto"/>
        <w:jc w:val="both"/>
        <w:rPr>
          <w:rFonts w:ascii="Times New Roman" w:hAnsi="Times New Roman" w:cs="Times New Roman"/>
          <w:lang w:val="en-US"/>
        </w:rPr>
      </w:pPr>
      <w:r w:rsidRPr="00D91A8D">
        <w:rPr>
          <w:rFonts w:ascii="Times New Roman" w:hAnsi="Times New Roman" w:cs="Times New Roman"/>
          <w:lang w:val="en-US"/>
        </w:rPr>
        <w:t xml:space="preserve">We next calculated the performance of the different models to identify VF with the AUC using ROC curves. As L1-CT attenuation appeared to be the main determinant of prevalent VF, we used the ROC curve to identify the best threshold to dichotomize this continuous parameter into low or high values. </w:t>
      </w:r>
      <w:r>
        <w:rPr>
          <w:rFonts w:ascii="Times New Roman" w:hAnsi="Times New Roman" w:cs="Times New Roman"/>
          <w:lang w:val="en-US"/>
        </w:rPr>
        <w:t xml:space="preserve">Finally, we </w:t>
      </w:r>
      <w:r w:rsidRPr="00D91A8D">
        <w:rPr>
          <w:rFonts w:ascii="Times New Roman" w:hAnsi="Times New Roman" w:cs="Times New Roman"/>
          <w:lang w:val="en-US"/>
        </w:rPr>
        <w:t xml:space="preserve">aimed to identify </w:t>
      </w:r>
      <w:r>
        <w:rPr>
          <w:rFonts w:ascii="Times New Roman" w:hAnsi="Times New Roman" w:cs="Times New Roman"/>
          <w:lang w:val="en-US"/>
        </w:rPr>
        <w:t xml:space="preserve">the parameters associated with </w:t>
      </w:r>
      <w:r w:rsidRPr="00D91A8D">
        <w:rPr>
          <w:rFonts w:ascii="Times New Roman" w:hAnsi="Times New Roman" w:cs="Times New Roman"/>
          <w:lang w:val="en-US"/>
        </w:rPr>
        <w:t xml:space="preserve">L1-CT attenuation using multivariate linear regression. A P value of </w:t>
      </w:r>
      <w:r>
        <w:rPr>
          <w:rFonts w:ascii="Times New Roman" w:hAnsi="Times New Roman" w:cs="Times New Roman"/>
          <w:lang w:val="en-US"/>
        </w:rPr>
        <w:t xml:space="preserve">less than </w:t>
      </w:r>
      <w:r w:rsidRPr="00D91A8D">
        <w:rPr>
          <w:rFonts w:ascii="Times New Roman" w:hAnsi="Times New Roman" w:cs="Times New Roman"/>
          <w:lang w:val="en-US"/>
        </w:rPr>
        <w:t>.05 was considered significant. Statistical analyses were performed using SPSS version 24</w:t>
      </w:r>
      <w:r>
        <w:rPr>
          <w:rFonts w:ascii="Times New Roman" w:hAnsi="Times New Roman" w:cs="Times New Roman"/>
          <w:lang w:val="en-US"/>
        </w:rPr>
        <w:t xml:space="preserve"> and R version 4.0.4</w:t>
      </w:r>
      <w:r w:rsidRPr="00D91A8D">
        <w:rPr>
          <w:rFonts w:ascii="Times New Roman" w:hAnsi="Times New Roman" w:cs="Times New Roman"/>
          <w:lang w:val="en-US"/>
        </w:rPr>
        <w:t>.</w:t>
      </w:r>
    </w:p>
    <w:p w:rsidRPr="00DC3A11" w:rsidR="00DC3A11" w:rsidP="00622E1B" w:rsidRDefault="00DC3A11" w14:paraId="4BBE9118" w14:textId="77777777">
      <w:pPr>
        <w:spacing w:line="240" w:lineRule="auto"/>
        <w:rPr>
          <w:lang w:val="en-US"/>
        </w:rPr>
      </w:pPr>
    </w:p>
    <w:sectPr w:rsidRPr="00DC3A11" w:rsidR="00DC3A11" w:rsidSect="000C69A3">
      <w:footerReference w:type="even" r:id="rId6"/>
      <w:footerReference w:type="default" r:id="rId7"/>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76" w:rsidRDefault="00AD3776" w14:paraId="15B6A644" w14:textId="77777777">
      <w:pPr>
        <w:spacing w:after="0" w:line="240" w:lineRule="auto"/>
      </w:pPr>
      <w:r>
        <w:separator/>
      </w:r>
    </w:p>
  </w:endnote>
  <w:endnote w:type="continuationSeparator" w:id="0">
    <w:p w:rsidR="00AD3776" w:rsidRDefault="00AD3776" w14:paraId="15D430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0D" w:rsidP="00220A0E" w:rsidRDefault="004C028C" w14:paraId="1C36B14E" w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60480D" w:rsidP="00D573D0" w:rsidRDefault="00AD3776" w14:paraId="60061E4C"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0D" w:rsidP="00220A0E" w:rsidRDefault="004C028C" w14:paraId="4590CB77" w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D370E">
      <w:rPr>
        <w:rStyle w:val="Numrodepage"/>
        <w:noProof/>
      </w:rPr>
      <w:t>1</w:t>
    </w:r>
    <w:r>
      <w:rPr>
        <w:rStyle w:val="Numrodepage"/>
      </w:rPr>
      <w:fldChar w:fldCharType="end"/>
    </w:r>
  </w:p>
  <w:p w:rsidR="0060480D" w:rsidP="00D573D0" w:rsidRDefault="00AD3776" w14:paraId="0E27B00A"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76" w:rsidRDefault="00AD3776" w14:paraId="5FD73B0D" w14:textId="77777777">
      <w:pPr>
        <w:spacing w:after="0" w:line="240" w:lineRule="auto"/>
      </w:pPr>
      <w:r>
        <w:separator/>
      </w:r>
    </w:p>
  </w:footnote>
  <w:footnote w:type="continuationSeparator" w:id="0">
    <w:p w:rsidR="00AD3776" w:rsidRDefault="00AD3776" w14:paraId="4F288008"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8C"/>
    <w:rsid w:val="000D370E"/>
    <w:rsid w:val="00314E19"/>
    <w:rsid w:val="0039705E"/>
    <w:rsid w:val="004C028C"/>
    <w:rsid w:val="004D5EBF"/>
    <w:rsid w:val="00516E49"/>
    <w:rsid w:val="00622E1B"/>
    <w:rsid w:val="006A4CAD"/>
    <w:rsid w:val="006B31E1"/>
    <w:rsid w:val="00794E1C"/>
    <w:rsid w:val="009A4082"/>
    <w:rsid w:val="009C2A9C"/>
    <w:rsid w:val="009C2FBC"/>
    <w:rsid w:val="00A6131D"/>
    <w:rsid w:val="00AD3776"/>
    <w:rsid w:val="00B618D1"/>
    <w:rsid w:val="00C41932"/>
    <w:rsid w:val="00C81129"/>
    <w:rsid w:val="00CC0F73"/>
    <w:rsid w:val="00D243AC"/>
    <w:rsid w:val="00DC3A11"/>
    <w:rsid w:val="00E1410B"/>
    <w:rsid w:val="131B358A"/>
    <w:rsid w:val="2F33438E"/>
    <w:rsid w:val="3C316B1E"/>
    <w:rsid w:val="43ED1E53"/>
    <w:rsid w:val="48FF94B6"/>
    <w:rsid w:val="59CA3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117C"/>
  <w15:chartTrackingRefBased/>
  <w15:docId w15:val="{7134E6CA-5F68-4028-B1DE-C7E22A403C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itre1">
    <w:name w:val="heading 1"/>
    <w:basedOn w:val="Normal"/>
    <w:next w:val="Normal"/>
    <w:link w:val="Titre1Car"/>
    <w:uiPriority w:val="9"/>
    <w:qFormat/>
    <w:rsid w:val="00DC3A11"/>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DC3A11"/>
    <w:pPr>
      <w:keepNext/>
      <w:keepLines/>
      <w:spacing w:before="40" w:after="0" w:line="240" w:lineRule="auto"/>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Authors" w:customStyle="1">
    <w:name w:val="Authors"/>
    <w:basedOn w:val="Normal"/>
    <w:link w:val="AuthorsCar"/>
    <w:rsid w:val="004C028C"/>
    <w:pPr>
      <w:spacing w:after="240" w:line="360" w:lineRule="auto"/>
    </w:pPr>
    <w:rPr>
      <w:rFonts w:ascii="Arial" w:hAnsi="Arial" w:eastAsia="Times New Roman" w:cs="Times New Roman"/>
      <w:sz w:val="24"/>
      <w:szCs w:val="20"/>
      <w:lang w:val="en-GB"/>
    </w:rPr>
  </w:style>
  <w:style w:type="paragraph" w:styleId="Pieddepage">
    <w:name w:val="footer"/>
    <w:basedOn w:val="Normal"/>
    <w:link w:val="PieddepageCar"/>
    <w:uiPriority w:val="99"/>
    <w:unhideWhenUsed/>
    <w:rsid w:val="004C028C"/>
    <w:pPr>
      <w:tabs>
        <w:tab w:val="center" w:pos="4536"/>
        <w:tab w:val="right" w:pos="9072"/>
      </w:tabs>
      <w:spacing w:after="0" w:line="240" w:lineRule="auto"/>
    </w:pPr>
    <w:rPr>
      <w:rFonts w:eastAsia="Times New Roman" w:cs="Times New Roman"/>
      <w:sz w:val="24"/>
      <w:szCs w:val="24"/>
    </w:rPr>
  </w:style>
  <w:style w:type="character" w:styleId="PieddepageCar" w:customStyle="1">
    <w:name w:val="Pied de page Car"/>
    <w:basedOn w:val="Policepardfaut"/>
    <w:link w:val="Pieddepage"/>
    <w:uiPriority w:val="99"/>
    <w:rsid w:val="004C028C"/>
    <w:rPr>
      <w:rFonts w:eastAsia="Times New Roman" w:cs="Times New Roman"/>
      <w:sz w:val="24"/>
      <w:szCs w:val="24"/>
    </w:rPr>
  </w:style>
  <w:style w:type="character" w:styleId="Numrodepage">
    <w:name w:val="page number"/>
    <w:basedOn w:val="Policepardfaut"/>
    <w:uiPriority w:val="99"/>
    <w:semiHidden/>
    <w:unhideWhenUsed/>
    <w:rsid w:val="004C028C"/>
    <w:rPr>
      <w:rFonts w:cs="Times New Roman"/>
    </w:rPr>
  </w:style>
  <w:style w:type="character" w:styleId="AuthorsCar" w:customStyle="1">
    <w:name w:val="Authors Car"/>
    <w:basedOn w:val="Policepardfaut"/>
    <w:link w:val="Authors"/>
    <w:rsid w:val="00E1410B"/>
    <w:rPr>
      <w:rFonts w:ascii="Arial" w:hAnsi="Arial" w:eastAsia="Times New Roman" w:cs="Times New Roman"/>
      <w:sz w:val="24"/>
      <w:szCs w:val="20"/>
      <w:lang w:val="en-GB"/>
    </w:rPr>
  </w:style>
  <w:style w:type="character" w:styleId="Titre1Car" w:customStyle="1">
    <w:name w:val="Titre 1 Car"/>
    <w:basedOn w:val="Policepardfaut"/>
    <w:link w:val="Titre1"/>
    <w:uiPriority w:val="9"/>
    <w:rsid w:val="00DC3A11"/>
    <w:rPr>
      <w:rFonts w:asciiTheme="majorHAnsi" w:hAnsiTheme="majorHAnsi" w:eastAsiaTheme="majorEastAsia" w:cstheme="majorBidi"/>
      <w:color w:val="2F5496" w:themeColor="accent1" w:themeShade="BF"/>
      <w:sz w:val="32"/>
      <w:szCs w:val="32"/>
    </w:rPr>
  </w:style>
  <w:style w:type="character" w:styleId="Titre2Car" w:customStyle="1">
    <w:name w:val="Titre 2 Car"/>
    <w:basedOn w:val="Policepardfaut"/>
    <w:link w:val="Titre2"/>
    <w:uiPriority w:val="9"/>
    <w:rsid w:val="00DC3A11"/>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3.png" Id="R25df2ec3ffc74d6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Clement</dc:creator>
  <keywords/>
  <dc:description/>
  <lastModifiedBy>Utilisateur invité</lastModifiedBy>
  <revision>12</revision>
  <dcterms:created xsi:type="dcterms:W3CDTF">2023-03-01T09:37:00.0000000Z</dcterms:created>
  <dcterms:modified xsi:type="dcterms:W3CDTF">2023-06-12T15:33:31.7809438Z</dcterms:modified>
</coreProperties>
</file>