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4" w:rsidRDefault="00001C0F" w:rsidP="007974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DIGITAL CONTENT 1:  </w:t>
      </w:r>
      <w:r w:rsidR="006D28D4" w:rsidRPr="0067352D">
        <w:rPr>
          <w:rFonts w:ascii="Arial" w:hAnsi="Arial" w:cs="Arial"/>
          <w:b/>
          <w:sz w:val="24"/>
          <w:szCs w:val="24"/>
        </w:rPr>
        <w:t>Alternative Multivariate Models for Prediction of Ischemic Optic Neuropathy</w:t>
      </w:r>
    </w:p>
    <w:p w:rsidR="00001C0F" w:rsidRDefault="00001C0F" w:rsidP="00797434">
      <w:pPr>
        <w:rPr>
          <w:rFonts w:ascii="Arial" w:hAnsi="Arial" w:cs="Arial"/>
          <w:b/>
          <w:sz w:val="24"/>
          <w:szCs w:val="24"/>
        </w:rPr>
      </w:pPr>
    </w:p>
    <w:p w:rsidR="00001C0F" w:rsidRDefault="00001C0F" w:rsidP="00001C0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01C0F" w:rsidRPr="006B37A4" w:rsidRDefault="00001C0F" w:rsidP="00001C0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Tables 1 and 2 represent alternative multivariate models when total non</w:t>
      </w:r>
      <w:r w:rsidRPr="006B37A4">
        <w:rPr>
          <w:rFonts w:ascii="Arial" w:hAnsi="Arial" w:cs="Arial"/>
          <w:sz w:val="20"/>
          <w:szCs w:val="20"/>
        </w:rPr>
        <w:t xml:space="preserve">blood replacement was utilized as the volume variable </w:t>
      </w:r>
      <w:r>
        <w:rPr>
          <w:rFonts w:ascii="Arial" w:hAnsi="Arial" w:cs="Arial"/>
          <w:sz w:val="20"/>
          <w:szCs w:val="20"/>
        </w:rPr>
        <w:t>(table 1) instead of colloid as % of non</w:t>
      </w:r>
      <w:r w:rsidRPr="006B37A4">
        <w:rPr>
          <w:rFonts w:ascii="Arial" w:hAnsi="Arial" w:cs="Arial"/>
          <w:sz w:val="20"/>
          <w:szCs w:val="20"/>
        </w:rPr>
        <w:t xml:space="preserve">blood </w:t>
      </w:r>
      <w:r w:rsidR="00A91511">
        <w:rPr>
          <w:rFonts w:ascii="Arial" w:hAnsi="Arial" w:cs="Arial"/>
          <w:sz w:val="20"/>
          <w:szCs w:val="20"/>
        </w:rPr>
        <w:t>re</w:t>
      </w:r>
      <w:r w:rsidRPr="006B37A4">
        <w:rPr>
          <w:rFonts w:ascii="Arial" w:hAnsi="Arial" w:cs="Arial"/>
          <w:sz w:val="20"/>
          <w:szCs w:val="20"/>
        </w:rPr>
        <w:t>placement</w:t>
      </w:r>
      <w:r>
        <w:rPr>
          <w:rFonts w:ascii="Arial" w:hAnsi="Arial" w:cs="Arial"/>
          <w:sz w:val="20"/>
          <w:szCs w:val="20"/>
        </w:rPr>
        <w:t xml:space="preserve"> (table 3, fig. 1 from article), and when the interaction factor for total nonblood replacement and anesthesia duration was included (table 2)</w:t>
      </w:r>
      <w:r w:rsidRPr="006B37A4">
        <w:rPr>
          <w:rFonts w:ascii="Arial" w:hAnsi="Arial" w:cs="Arial"/>
          <w:sz w:val="20"/>
          <w:szCs w:val="20"/>
        </w:rPr>
        <w:t xml:space="preserve">. Variable selection for potentially modifiable intraoperative </w:t>
      </w:r>
      <w:r w:rsidRPr="006B37A4">
        <w:rPr>
          <w:rFonts w:ascii="Arial" w:hAnsi="Arial" w:cs="Arial"/>
          <w:i/>
          <w:sz w:val="20"/>
          <w:szCs w:val="20"/>
        </w:rPr>
        <w:t>management</w:t>
      </w:r>
      <w:r w:rsidRPr="006B37A4">
        <w:rPr>
          <w:rFonts w:ascii="Arial" w:hAnsi="Arial" w:cs="Arial"/>
          <w:sz w:val="20"/>
          <w:szCs w:val="20"/>
        </w:rPr>
        <w:t xml:space="preserve"> factors (stage 4) was perfor</w:t>
      </w:r>
      <w:r>
        <w:rPr>
          <w:rFonts w:ascii="Arial" w:hAnsi="Arial" w:cs="Arial"/>
          <w:sz w:val="20"/>
          <w:szCs w:val="20"/>
        </w:rPr>
        <w:t>med twice: first, the total non</w:t>
      </w:r>
      <w:r w:rsidRPr="006B37A4">
        <w:rPr>
          <w:rFonts w:ascii="Arial" w:hAnsi="Arial" w:cs="Arial"/>
          <w:sz w:val="20"/>
          <w:szCs w:val="20"/>
        </w:rPr>
        <w:t>blood replacement was exclude</w:t>
      </w:r>
      <w:r>
        <w:rPr>
          <w:rFonts w:ascii="Arial" w:hAnsi="Arial" w:cs="Arial"/>
          <w:sz w:val="20"/>
          <w:szCs w:val="20"/>
        </w:rPr>
        <w:t>d from the model-building (see t</w:t>
      </w:r>
      <w:r w:rsidRPr="006B37A4">
        <w:rPr>
          <w:rFonts w:ascii="Arial" w:hAnsi="Arial" w:cs="Arial"/>
          <w:sz w:val="20"/>
          <w:szCs w:val="20"/>
        </w:rPr>
        <w:t>able 3</w:t>
      </w:r>
      <w:r>
        <w:rPr>
          <w:rFonts w:ascii="Arial" w:hAnsi="Arial" w:cs="Arial"/>
          <w:sz w:val="20"/>
          <w:szCs w:val="20"/>
        </w:rPr>
        <w:t xml:space="preserve"> from article</w:t>
      </w:r>
      <w:r w:rsidRPr="006B37A4">
        <w:rPr>
          <w:rFonts w:ascii="Arial" w:hAnsi="Arial" w:cs="Arial"/>
          <w:sz w:val="20"/>
          <w:szCs w:val="20"/>
        </w:rPr>
        <w:t>) and in the second iteration it was considered (</w:t>
      </w:r>
      <w:r>
        <w:rPr>
          <w:rFonts w:ascii="Arial" w:hAnsi="Arial" w:cs="Arial"/>
          <w:sz w:val="20"/>
          <w:szCs w:val="20"/>
        </w:rPr>
        <w:t>t</w:t>
      </w:r>
      <w:r w:rsidRPr="006B37A4">
        <w:rPr>
          <w:rFonts w:ascii="Arial" w:hAnsi="Arial" w:cs="Arial"/>
          <w:sz w:val="20"/>
          <w:szCs w:val="20"/>
        </w:rPr>
        <w:t>ables 1 and 2). In both</w:t>
      </w:r>
      <w:r>
        <w:rPr>
          <w:rFonts w:ascii="Arial" w:hAnsi="Arial" w:cs="Arial"/>
          <w:sz w:val="20"/>
          <w:szCs w:val="20"/>
        </w:rPr>
        <w:t xml:space="preserve"> iterations colloid as % of non</w:t>
      </w:r>
      <w:r w:rsidRPr="006B37A4">
        <w:rPr>
          <w:rFonts w:ascii="Arial" w:hAnsi="Arial" w:cs="Arial"/>
          <w:sz w:val="20"/>
          <w:szCs w:val="20"/>
        </w:rPr>
        <w:t>blood replacement remained in the model and in the second iteration (</w:t>
      </w:r>
      <w:r>
        <w:rPr>
          <w:rFonts w:ascii="Arial" w:hAnsi="Arial" w:cs="Arial"/>
          <w:sz w:val="20"/>
          <w:szCs w:val="20"/>
        </w:rPr>
        <w:t>t</w:t>
      </w:r>
      <w:r w:rsidRPr="006B37A4">
        <w:rPr>
          <w:rFonts w:ascii="Arial" w:hAnsi="Arial" w:cs="Arial"/>
          <w:sz w:val="20"/>
          <w:szCs w:val="20"/>
        </w:rPr>
        <w:t xml:space="preserve">ables </w:t>
      </w:r>
      <w:r>
        <w:rPr>
          <w:rFonts w:ascii="Arial" w:hAnsi="Arial" w:cs="Arial"/>
          <w:sz w:val="20"/>
          <w:szCs w:val="20"/>
        </w:rPr>
        <w:t>1 and 2) the total non</w:t>
      </w:r>
      <w:r w:rsidRPr="006B37A4">
        <w:rPr>
          <w:rFonts w:ascii="Arial" w:hAnsi="Arial" w:cs="Arial"/>
          <w:sz w:val="20"/>
          <w:szCs w:val="20"/>
        </w:rPr>
        <w:t>bloo</w:t>
      </w:r>
      <w:r>
        <w:rPr>
          <w:rFonts w:ascii="Arial" w:hAnsi="Arial" w:cs="Arial"/>
          <w:sz w:val="20"/>
          <w:szCs w:val="20"/>
        </w:rPr>
        <w:t>d replacement and the total non</w:t>
      </w:r>
      <w:r w:rsidRPr="006B37A4">
        <w:rPr>
          <w:rFonts w:ascii="Arial" w:hAnsi="Arial" w:cs="Arial"/>
          <w:sz w:val="20"/>
          <w:szCs w:val="20"/>
        </w:rPr>
        <w:t xml:space="preserve">blood replacement-duration interaction were also included. Alternative models using backward elimination variable selection were the same as the models produced by forward selection (data not shown).  </w:t>
      </w:r>
      <w:r w:rsidR="002D55F0">
        <w:rPr>
          <w:rFonts w:ascii="Arial" w:hAnsi="Arial" w:cs="Arial"/>
          <w:sz w:val="20"/>
          <w:szCs w:val="20"/>
        </w:rPr>
        <w:t>A</w:t>
      </w:r>
      <w:r w:rsidR="002D55F0" w:rsidRPr="006B37A4">
        <w:rPr>
          <w:rFonts w:ascii="Arial" w:hAnsi="Arial" w:cs="Arial"/>
          <w:sz w:val="20"/>
          <w:szCs w:val="20"/>
        </w:rPr>
        <w:t xml:space="preserve">rea under the curve </w:t>
      </w:r>
      <w:r w:rsidR="002D55F0">
        <w:rPr>
          <w:rFonts w:ascii="Arial" w:hAnsi="Arial" w:cs="Arial"/>
          <w:sz w:val="20"/>
          <w:szCs w:val="20"/>
        </w:rPr>
        <w:t>(</w:t>
      </w:r>
      <w:r w:rsidRPr="006B37A4">
        <w:rPr>
          <w:rFonts w:ascii="Arial" w:hAnsi="Arial" w:cs="Arial"/>
          <w:sz w:val="20"/>
          <w:szCs w:val="20"/>
        </w:rPr>
        <w:t>AUC</w:t>
      </w:r>
      <w:r w:rsidR="002D55F0">
        <w:rPr>
          <w:rFonts w:ascii="Arial" w:hAnsi="Arial" w:cs="Arial"/>
          <w:sz w:val="20"/>
          <w:szCs w:val="20"/>
        </w:rPr>
        <w:t>)</w:t>
      </w:r>
      <w:r w:rsidRPr="006B37A4">
        <w:rPr>
          <w:rFonts w:ascii="Arial" w:hAnsi="Arial" w:cs="Arial"/>
          <w:sz w:val="20"/>
          <w:szCs w:val="20"/>
        </w:rPr>
        <w:t xml:space="preserve"> for the different multivariate models were similar with </w:t>
      </w:r>
      <w:r>
        <w:rPr>
          <w:rFonts w:ascii="Arial" w:hAnsi="Arial" w:cs="Arial"/>
          <w:sz w:val="20"/>
          <w:szCs w:val="20"/>
        </w:rPr>
        <w:t>table 3, f</w:t>
      </w:r>
      <w:r w:rsidRPr="006B37A4">
        <w:rPr>
          <w:rFonts w:ascii="Arial" w:hAnsi="Arial" w:cs="Arial"/>
          <w:sz w:val="20"/>
          <w:szCs w:val="20"/>
        </w:rPr>
        <w:t xml:space="preserve">igure 1 </w:t>
      </w:r>
      <w:r>
        <w:rPr>
          <w:rFonts w:ascii="Arial" w:hAnsi="Arial" w:cs="Arial"/>
          <w:sz w:val="20"/>
          <w:szCs w:val="20"/>
        </w:rPr>
        <w:t>from the article (</w:t>
      </w:r>
      <w:r w:rsidRPr="006B37A4">
        <w:rPr>
          <w:rFonts w:ascii="Arial" w:hAnsi="Arial" w:cs="Arial"/>
          <w:sz w:val="20"/>
          <w:szCs w:val="20"/>
        </w:rPr>
        <w:t>AUC = 0.87</w:t>
      </w:r>
      <w:r>
        <w:rPr>
          <w:rFonts w:ascii="Arial" w:hAnsi="Arial" w:cs="Arial"/>
          <w:sz w:val="20"/>
          <w:szCs w:val="20"/>
        </w:rPr>
        <w:t>),</w:t>
      </w:r>
      <w:r w:rsidRPr="006B37A4">
        <w:rPr>
          <w:rFonts w:ascii="Arial" w:hAnsi="Arial" w:cs="Arial"/>
          <w:sz w:val="20"/>
          <w:szCs w:val="20"/>
        </w:rPr>
        <w:t xml:space="preserve"> </w:t>
      </w:r>
      <w:r w:rsidR="00353296">
        <w:rPr>
          <w:rFonts w:ascii="Arial" w:hAnsi="Arial" w:cs="Arial"/>
          <w:sz w:val="20"/>
          <w:szCs w:val="20"/>
        </w:rPr>
        <w:t>table</w:t>
      </w:r>
      <w:r w:rsidR="00353296" w:rsidRPr="006B37A4">
        <w:rPr>
          <w:rFonts w:ascii="Arial" w:hAnsi="Arial" w:cs="Arial"/>
          <w:sz w:val="20"/>
          <w:szCs w:val="20"/>
        </w:rPr>
        <w:t xml:space="preserve"> </w:t>
      </w:r>
      <w:r w:rsidRPr="006B37A4">
        <w:rPr>
          <w:rFonts w:ascii="Arial" w:hAnsi="Arial" w:cs="Arial"/>
          <w:sz w:val="20"/>
          <w:szCs w:val="20"/>
        </w:rPr>
        <w:t xml:space="preserve">1 AUC = 0.89, and </w:t>
      </w:r>
      <w:r>
        <w:rPr>
          <w:rFonts w:ascii="Arial" w:hAnsi="Arial" w:cs="Arial"/>
          <w:sz w:val="20"/>
          <w:szCs w:val="20"/>
        </w:rPr>
        <w:t>t</w:t>
      </w:r>
      <w:r w:rsidRPr="006B37A4">
        <w:rPr>
          <w:rFonts w:ascii="Arial" w:hAnsi="Arial" w:cs="Arial"/>
          <w:sz w:val="20"/>
          <w:szCs w:val="20"/>
        </w:rPr>
        <w:t>able 2 AUC = 0.90.</w:t>
      </w:r>
      <w:r>
        <w:rPr>
          <w:rFonts w:ascii="Arial" w:hAnsi="Arial" w:cs="Arial"/>
          <w:sz w:val="20"/>
          <w:szCs w:val="20"/>
        </w:rPr>
        <w:t xml:space="preserve"> Percent colloid of non</w:t>
      </w:r>
      <w:r w:rsidRPr="006B37A4">
        <w:rPr>
          <w:rFonts w:ascii="Arial" w:hAnsi="Arial" w:cs="Arial"/>
          <w:sz w:val="20"/>
          <w:szCs w:val="20"/>
        </w:rPr>
        <w:t>blood replacement was cho</w:t>
      </w:r>
      <w:bookmarkStart w:id="0" w:name="_GoBack"/>
      <w:r w:rsidRPr="006B37A4">
        <w:rPr>
          <w:rFonts w:ascii="Arial" w:hAnsi="Arial" w:cs="Arial"/>
          <w:sz w:val="20"/>
          <w:szCs w:val="20"/>
        </w:rPr>
        <w:t>s</w:t>
      </w:r>
      <w:bookmarkEnd w:id="0"/>
      <w:r w:rsidRPr="006B37A4">
        <w:rPr>
          <w:rFonts w:ascii="Arial" w:hAnsi="Arial" w:cs="Arial"/>
          <w:sz w:val="20"/>
          <w:szCs w:val="20"/>
        </w:rPr>
        <w:t xml:space="preserve">en as the fluid replacement variable in the </w:t>
      </w:r>
      <w:r>
        <w:rPr>
          <w:rFonts w:ascii="Arial" w:hAnsi="Arial" w:cs="Arial"/>
          <w:sz w:val="20"/>
          <w:szCs w:val="20"/>
        </w:rPr>
        <w:t xml:space="preserve">final </w:t>
      </w:r>
      <w:r w:rsidRPr="006B37A4">
        <w:rPr>
          <w:rFonts w:ascii="Arial" w:hAnsi="Arial" w:cs="Arial"/>
          <w:sz w:val="20"/>
          <w:szCs w:val="20"/>
        </w:rPr>
        <w:t xml:space="preserve">multivariate model because it was only weakly correlated with anesthetic duration and </w:t>
      </w:r>
      <w:r w:rsidR="002D55F0">
        <w:rPr>
          <w:rFonts w:ascii="Arial" w:hAnsi="Arial" w:cs="Arial"/>
          <w:sz w:val="20"/>
          <w:szCs w:val="20"/>
        </w:rPr>
        <w:t>estimated blood loss</w:t>
      </w:r>
      <w:r>
        <w:rPr>
          <w:rFonts w:ascii="Arial" w:hAnsi="Arial" w:cs="Arial"/>
          <w:sz w:val="20"/>
          <w:szCs w:val="20"/>
        </w:rPr>
        <w:t xml:space="preserve">, whereas </w:t>
      </w:r>
      <w:r w:rsidRPr="006B37A4">
        <w:rPr>
          <w:rFonts w:ascii="Arial" w:hAnsi="Arial" w:cs="Arial"/>
          <w:sz w:val="20"/>
          <w:szCs w:val="20"/>
        </w:rPr>
        <w:t>total volume and to</w:t>
      </w:r>
      <w:r>
        <w:rPr>
          <w:rFonts w:ascii="Arial" w:hAnsi="Arial" w:cs="Arial"/>
          <w:sz w:val="20"/>
          <w:szCs w:val="20"/>
        </w:rPr>
        <w:t>tal non</w:t>
      </w:r>
      <w:r w:rsidRPr="006B37A4">
        <w:rPr>
          <w:rFonts w:ascii="Arial" w:hAnsi="Arial" w:cs="Arial"/>
          <w:sz w:val="20"/>
          <w:szCs w:val="20"/>
        </w:rPr>
        <w:t>blood volume variables were highly correlated with these variables (</w:t>
      </w:r>
      <w:r>
        <w:rPr>
          <w:rFonts w:ascii="Arial" w:hAnsi="Arial" w:cs="Arial"/>
          <w:sz w:val="20"/>
          <w:szCs w:val="20"/>
        </w:rPr>
        <w:t>t</w:t>
      </w:r>
      <w:r w:rsidRPr="006B37A4">
        <w:rPr>
          <w:rFonts w:ascii="Arial" w:hAnsi="Arial" w:cs="Arial"/>
          <w:sz w:val="20"/>
          <w:szCs w:val="20"/>
        </w:rPr>
        <w:t>able 2</w:t>
      </w:r>
      <w:r w:rsidR="00226806">
        <w:rPr>
          <w:rFonts w:ascii="Arial" w:hAnsi="Arial" w:cs="Arial"/>
          <w:sz w:val="20"/>
          <w:szCs w:val="20"/>
        </w:rPr>
        <w:t xml:space="preserve"> from article</w:t>
      </w:r>
      <w:r w:rsidRPr="006B37A4">
        <w:rPr>
          <w:rFonts w:ascii="Arial" w:hAnsi="Arial" w:cs="Arial"/>
          <w:sz w:val="20"/>
          <w:szCs w:val="20"/>
        </w:rPr>
        <w:t>). Moreover, inclusion of total volume variables would conceal potentially significant differences in volume expansion and transcapillary leakage between crystalloid, colloid, and blood products.</w:t>
      </w:r>
    </w:p>
    <w:p w:rsidR="00001C0F" w:rsidRPr="0067352D" w:rsidRDefault="00001C0F" w:rsidP="00001C0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01C0F" w:rsidRDefault="00001C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D28D4" w:rsidRPr="0067352D" w:rsidRDefault="00854B42" w:rsidP="00797434">
      <w:pPr>
        <w:rPr>
          <w:rFonts w:ascii="Arial" w:hAnsi="Arial" w:cs="Arial"/>
          <w:b/>
          <w:bCs/>
          <w:sz w:val="24"/>
          <w:szCs w:val="24"/>
        </w:rPr>
      </w:pPr>
      <w:r w:rsidRPr="0067352D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6D28D4" w:rsidRPr="0067352D">
        <w:rPr>
          <w:rFonts w:ascii="Arial" w:hAnsi="Arial" w:cs="Arial"/>
          <w:b/>
          <w:bCs/>
          <w:sz w:val="24"/>
          <w:szCs w:val="24"/>
        </w:rPr>
        <w:t xml:space="preserve">1. 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>Stage 4 (With Total Non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>blood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="00686D1F">
        <w:rPr>
          <w:rFonts w:ascii="Arial" w:hAnsi="Arial" w:cs="Arial"/>
          <w:b/>
          <w:bCs/>
          <w:sz w:val="24"/>
          <w:szCs w:val="24"/>
          <w:u w:val="single"/>
        </w:rPr>
        <w:t>eplacement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tbl>
      <w:tblPr>
        <w:tblW w:w="0" w:type="auto"/>
        <w:tblInd w:w="88" w:type="dxa"/>
        <w:tblLook w:val="0000"/>
      </w:tblPr>
      <w:tblGrid>
        <w:gridCol w:w="4763"/>
        <w:gridCol w:w="1640"/>
        <w:gridCol w:w="1283"/>
        <w:gridCol w:w="834"/>
      </w:tblGrid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52D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52D">
              <w:rPr>
                <w:rFonts w:ascii="Arial" w:hAnsi="Arial" w:cs="Arial"/>
                <w:b/>
                <w:sz w:val="20"/>
                <w:szCs w:val="20"/>
              </w:rPr>
              <w:t>Coef. ±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001C0F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C0F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2.49 (1.27-5.02)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0.91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2.67 (1.40-5.21)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0.98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4.23 (2.06-8.78)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1.44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001C0F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Anesthesia duration (h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), OR per 1 h</w:t>
            </w:r>
            <w:r w:rsidR="00A74B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1.11 (0.94-1.30)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0.10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Estimated blood loss (l), OR per 1 l</w:t>
            </w:r>
            <w:r w:rsidR="00A74B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1.05 (0.88-1.27)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0.05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001C0F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Colloid as % of non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blood replacement, OR per 5%</w:t>
            </w:r>
            <w:r w:rsidR="00A74B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0.70 (0.54-0.89)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-0.35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6D28D4" w:rsidRPr="0067352D" w:rsidTr="006B2EC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001C0F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non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blood replacement (l), OR  per 1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1.43 (1.23-1.68)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0.36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:rsidR="006D28D4" w:rsidRDefault="006D28D4" w:rsidP="00001C0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01C0F">
        <w:rPr>
          <w:rFonts w:ascii="Arial" w:hAnsi="Arial" w:cs="Arial"/>
          <w:sz w:val="24"/>
          <w:szCs w:val="24"/>
        </w:rPr>
        <w:t>N</w:t>
      </w:r>
      <w:r w:rsidR="00001C0F">
        <w:rPr>
          <w:rFonts w:ascii="Arial" w:hAnsi="Arial" w:cs="Arial"/>
          <w:sz w:val="24"/>
          <w:szCs w:val="24"/>
        </w:rPr>
        <w:t xml:space="preserve"> </w:t>
      </w:r>
      <w:r w:rsidRPr="00001C0F">
        <w:rPr>
          <w:rFonts w:ascii="Arial" w:hAnsi="Arial" w:cs="Arial"/>
          <w:sz w:val="24"/>
          <w:szCs w:val="24"/>
        </w:rPr>
        <w:t>=</w:t>
      </w:r>
      <w:r w:rsidR="00001C0F">
        <w:rPr>
          <w:rFonts w:ascii="Arial" w:hAnsi="Arial" w:cs="Arial"/>
          <w:sz w:val="24"/>
          <w:szCs w:val="24"/>
        </w:rPr>
        <w:t xml:space="preserve"> 386;</w:t>
      </w:r>
      <w:r w:rsidRPr="00001C0F">
        <w:rPr>
          <w:rFonts w:ascii="Arial" w:hAnsi="Arial" w:cs="Arial"/>
          <w:sz w:val="24"/>
          <w:szCs w:val="24"/>
        </w:rPr>
        <w:t xml:space="preserve"> AUC = 0.89.</w:t>
      </w:r>
    </w:p>
    <w:p w:rsidR="00001C0F" w:rsidRDefault="00001C0F" w:rsidP="00001C0F">
      <w:pPr>
        <w:spacing w:after="0"/>
        <w:rPr>
          <w:rFonts w:ascii="Arial" w:hAnsi="Arial" w:cs="Arial"/>
          <w:sz w:val="20"/>
          <w:szCs w:val="20"/>
        </w:rPr>
      </w:pPr>
      <w:r w:rsidRPr="006B37A4">
        <w:rPr>
          <w:rFonts w:ascii="Arial" w:hAnsi="Arial" w:cs="Arial"/>
          <w:sz w:val="20"/>
          <w:szCs w:val="20"/>
        </w:rPr>
        <w:t>AUC</w:t>
      </w:r>
      <w:r>
        <w:rPr>
          <w:rFonts w:ascii="Arial" w:hAnsi="Arial" w:cs="Arial"/>
          <w:sz w:val="20"/>
          <w:szCs w:val="20"/>
        </w:rPr>
        <w:t xml:space="preserve"> =</w:t>
      </w:r>
      <w:r w:rsidRPr="006B37A4">
        <w:rPr>
          <w:rFonts w:ascii="Arial" w:hAnsi="Arial" w:cs="Arial"/>
          <w:sz w:val="20"/>
          <w:szCs w:val="20"/>
        </w:rPr>
        <w:t xml:space="preserve"> area under the curve</w:t>
      </w:r>
      <w:r>
        <w:rPr>
          <w:rFonts w:ascii="Arial" w:hAnsi="Arial" w:cs="Arial"/>
          <w:sz w:val="20"/>
          <w:szCs w:val="20"/>
        </w:rPr>
        <w:t>; h = hours; l = liters; OR = odds ratio</w:t>
      </w:r>
      <w:r w:rsidRPr="006B37A4">
        <w:rPr>
          <w:rFonts w:ascii="Arial" w:hAnsi="Arial" w:cs="Arial"/>
          <w:sz w:val="20"/>
          <w:szCs w:val="20"/>
        </w:rPr>
        <w:t>.</w:t>
      </w:r>
    </w:p>
    <w:p w:rsidR="00A74B03" w:rsidRPr="006B37A4" w:rsidRDefault="00A74B03" w:rsidP="00001C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6B37A4">
        <w:rPr>
          <w:rFonts w:ascii="Arial" w:hAnsi="Arial" w:cs="Arial"/>
          <w:bCs/>
          <w:sz w:val="20"/>
          <w:szCs w:val="20"/>
        </w:rPr>
        <w:t xml:space="preserve">centered at the mean values of 7.6 </w:t>
      </w:r>
      <w:r>
        <w:rPr>
          <w:rFonts w:ascii="Arial" w:hAnsi="Arial" w:cs="Arial"/>
          <w:bCs/>
          <w:sz w:val="20"/>
          <w:szCs w:val="20"/>
        </w:rPr>
        <w:t>h</w:t>
      </w:r>
      <w:r w:rsidRPr="006B37A4">
        <w:rPr>
          <w:rFonts w:ascii="Arial" w:hAnsi="Arial" w:cs="Arial"/>
          <w:bCs/>
          <w:sz w:val="20"/>
          <w:szCs w:val="20"/>
        </w:rPr>
        <w:t xml:space="preserve"> (anesthesia duration), 1.7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37A4">
        <w:rPr>
          <w:rFonts w:ascii="Arial" w:hAnsi="Arial" w:cs="Arial"/>
          <w:bCs/>
          <w:sz w:val="20"/>
          <w:szCs w:val="20"/>
        </w:rPr>
        <w:t>l for estimated blood loss, 7.4% f</w:t>
      </w:r>
      <w:r>
        <w:rPr>
          <w:rFonts w:ascii="Arial" w:hAnsi="Arial" w:cs="Arial"/>
          <w:bCs/>
          <w:sz w:val="20"/>
          <w:szCs w:val="20"/>
        </w:rPr>
        <w:t>or colloid, and 6.2l (total non</w:t>
      </w:r>
      <w:r w:rsidRPr="006B37A4">
        <w:rPr>
          <w:rFonts w:ascii="Arial" w:hAnsi="Arial" w:cs="Arial"/>
          <w:bCs/>
          <w:sz w:val="20"/>
          <w:szCs w:val="20"/>
        </w:rPr>
        <w:t>blood replacement).</w:t>
      </w:r>
    </w:p>
    <w:p w:rsidR="00001C0F" w:rsidRPr="00001C0F" w:rsidRDefault="00001C0F" w:rsidP="00001C0F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001C0F" w:rsidRDefault="00001C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D28D4" w:rsidRPr="0067352D" w:rsidRDefault="00854B42" w:rsidP="00797434">
      <w:pPr>
        <w:rPr>
          <w:rFonts w:ascii="Arial" w:hAnsi="Arial" w:cs="Arial"/>
          <w:b/>
          <w:bCs/>
          <w:sz w:val="24"/>
          <w:szCs w:val="24"/>
        </w:rPr>
      </w:pPr>
      <w:r w:rsidRPr="0067352D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6D28D4" w:rsidRPr="0067352D">
        <w:rPr>
          <w:rFonts w:ascii="Arial" w:hAnsi="Arial" w:cs="Arial"/>
          <w:b/>
          <w:bCs/>
          <w:sz w:val="24"/>
          <w:szCs w:val="24"/>
        </w:rPr>
        <w:t xml:space="preserve">2. 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>Stage 4 (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 xml:space="preserve">ith 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 xml:space="preserve">otal 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>Non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 xml:space="preserve">blood and 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>Total Nonblood R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>eplacement: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 xml:space="preserve"> Anesthesia Duration I</w:t>
      </w:r>
      <w:r w:rsidR="006D28D4" w:rsidRPr="0067352D">
        <w:rPr>
          <w:rFonts w:ascii="Arial" w:hAnsi="Arial" w:cs="Arial"/>
          <w:b/>
          <w:bCs/>
          <w:sz w:val="24"/>
          <w:szCs w:val="24"/>
          <w:u w:val="single"/>
        </w:rPr>
        <w:t>nteraction)</w:t>
      </w:r>
      <w:r w:rsidR="00001C0F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tbl>
      <w:tblPr>
        <w:tblW w:w="0" w:type="auto"/>
        <w:tblInd w:w="88" w:type="dxa"/>
        <w:tblLook w:val="0000"/>
      </w:tblPr>
      <w:tblGrid>
        <w:gridCol w:w="4758"/>
        <w:gridCol w:w="1640"/>
        <w:gridCol w:w="1283"/>
        <w:gridCol w:w="834"/>
      </w:tblGrid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52D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52D">
              <w:rPr>
                <w:rFonts w:ascii="Arial" w:hAnsi="Arial" w:cs="Arial"/>
                <w:b/>
                <w:sz w:val="20"/>
                <w:szCs w:val="20"/>
              </w:rPr>
              <w:t>Coef. ±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001C0F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C0F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2.29 (1.16-4.63)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0.83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2.55 (1.32-5.03)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0.94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4.47 (2.13-9.60)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1.50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001C0F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Anesthesia duration (h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), OR per 1 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1.24 (1.04-1.47)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0.21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Estimated blood loss (l), OR per 1 l</w:t>
            </w:r>
            <w:r w:rsidR="00001C0F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1.06 (0.89-1.29)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0.06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6D28D4" w:rsidRPr="0067352D" w:rsidTr="006B2EC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001C0F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Colloid as % of non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blood replacement, OR per 5%</w:t>
            </w:r>
            <w:r w:rsidR="006D28D4" w:rsidRPr="0067352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0.69 (0.53-0.87)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-0.37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6D28D4" w:rsidRPr="0067352D" w:rsidTr="006B2EC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001C0F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non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blood replacement (l), OR  per 1 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1.54 (1.31-1.83)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0.43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6D28D4" w:rsidRPr="0067352D" w:rsidTr="006B2EC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001C0F" w:rsidP="00001C0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non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blood: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8D4" w:rsidRPr="0067352D">
              <w:rPr>
                <w:rFonts w:ascii="Arial" w:hAnsi="Arial" w:cs="Arial"/>
                <w:sz w:val="20"/>
                <w:szCs w:val="20"/>
              </w:rPr>
              <w:t>anesthesia duration interaction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0.96 (0.93-0.99)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-0.04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±</w:t>
            </w:r>
            <w:r w:rsidR="00001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52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8D4" w:rsidRPr="0067352D" w:rsidRDefault="006D28D4" w:rsidP="00001C0F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52D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</w:tbl>
    <w:p w:rsidR="006D28D4" w:rsidRPr="006B37A4" w:rsidRDefault="006D28D4" w:rsidP="00797434">
      <w:pPr>
        <w:rPr>
          <w:rFonts w:ascii="Arial" w:hAnsi="Arial" w:cs="Arial"/>
          <w:sz w:val="20"/>
          <w:szCs w:val="20"/>
        </w:rPr>
      </w:pPr>
      <w:r w:rsidRPr="006B37A4">
        <w:rPr>
          <w:rFonts w:ascii="Arial" w:hAnsi="Arial" w:cs="Arial"/>
          <w:sz w:val="20"/>
          <w:szCs w:val="20"/>
        </w:rPr>
        <w:t>N=386. AUC = 0.90.</w:t>
      </w:r>
    </w:p>
    <w:p w:rsidR="00001C0F" w:rsidRPr="006B37A4" w:rsidRDefault="00001C0F" w:rsidP="00001C0F">
      <w:pPr>
        <w:spacing w:after="0"/>
        <w:rPr>
          <w:rFonts w:ascii="Arial" w:hAnsi="Arial" w:cs="Arial"/>
          <w:sz w:val="20"/>
          <w:szCs w:val="20"/>
        </w:rPr>
      </w:pPr>
      <w:r w:rsidRPr="006B37A4">
        <w:rPr>
          <w:rFonts w:ascii="Arial" w:hAnsi="Arial" w:cs="Arial"/>
          <w:sz w:val="20"/>
          <w:szCs w:val="20"/>
        </w:rPr>
        <w:t>AUC</w:t>
      </w:r>
      <w:r>
        <w:rPr>
          <w:rFonts w:ascii="Arial" w:hAnsi="Arial" w:cs="Arial"/>
          <w:sz w:val="20"/>
          <w:szCs w:val="20"/>
        </w:rPr>
        <w:t xml:space="preserve"> =</w:t>
      </w:r>
      <w:r w:rsidRPr="006B37A4">
        <w:rPr>
          <w:rFonts w:ascii="Arial" w:hAnsi="Arial" w:cs="Arial"/>
          <w:sz w:val="20"/>
          <w:szCs w:val="20"/>
        </w:rPr>
        <w:t xml:space="preserve"> area under the curve</w:t>
      </w:r>
      <w:r>
        <w:rPr>
          <w:rFonts w:ascii="Arial" w:hAnsi="Arial" w:cs="Arial"/>
          <w:sz w:val="20"/>
          <w:szCs w:val="20"/>
        </w:rPr>
        <w:t>; h = hours; l = liters; OR = odds ratio</w:t>
      </w:r>
      <w:r w:rsidRPr="006B37A4">
        <w:rPr>
          <w:rFonts w:ascii="Arial" w:hAnsi="Arial" w:cs="Arial"/>
          <w:sz w:val="20"/>
          <w:szCs w:val="20"/>
        </w:rPr>
        <w:t>.</w:t>
      </w:r>
    </w:p>
    <w:p w:rsidR="006B37A4" w:rsidRDefault="00001C0F" w:rsidP="006B37A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*</w:t>
      </w:r>
      <w:r w:rsidR="006D28D4" w:rsidRPr="006B37A4">
        <w:rPr>
          <w:rFonts w:ascii="Arial" w:hAnsi="Arial" w:cs="Arial"/>
          <w:bCs/>
          <w:sz w:val="20"/>
          <w:szCs w:val="20"/>
        </w:rPr>
        <w:t xml:space="preserve">centered at the mean values of 7.6 </w:t>
      </w:r>
      <w:r>
        <w:rPr>
          <w:rFonts w:ascii="Arial" w:hAnsi="Arial" w:cs="Arial"/>
          <w:bCs/>
          <w:sz w:val="20"/>
          <w:szCs w:val="20"/>
        </w:rPr>
        <w:t>h</w:t>
      </w:r>
      <w:r w:rsidR="006D28D4" w:rsidRPr="006B37A4">
        <w:rPr>
          <w:rFonts w:ascii="Arial" w:hAnsi="Arial" w:cs="Arial"/>
          <w:bCs/>
          <w:sz w:val="20"/>
          <w:szCs w:val="20"/>
        </w:rPr>
        <w:t xml:space="preserve"> (anesthesia duration), 1.7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28D4" w:rsidRPr="006B37A4">
        <w:rPr>
          <w:rFonts w:ascii="Arial" w:hAnsi="Arial" w:cs="Arial"/>
          <w:bCs/>
          <w:sz w:val="20"/>
          <w:szCs w:val="20"/>
        </w:rPr>
        <w:t>l for estimated blood loss, 7.4% f</w:t>
      </w:r>
      <w:r>
        <w:rPr>
          <w:rFonts w:ascii="Arial" w:hAnsi="Arial" w:cs="Arial"/>
          <w:bCs/>
          <w:sz w:val="20"/>
          <w:szCs w:val="20"/>
        </w:rPr>
        <w:t>or colloid, and 6.2l (total non</w:t>
      </w:r>
      <w:r w:rsidR="006D28D4" w:rsidRPr="006B37A4">
        <w:rPr>
          <w:rFonts w:ascii="Arial" w:hAnsi="Arial" w:cs="Arial"/>
          <w:bCs/>
          <w:sz w:val="20"/>
          <w:szCs w:val="20"/>
        </w:rPr>
        <w:t>blood replacement).</w:t>
      </w:r>
    </w:p>
    <w:p w:rsidR="00001C0F" w:rsidRDefault="00001C0F" w:rsidP="006B37A4">
      <w:pPr>
        <w:spacing w:after="0"/>
        <w:rPr>
          <w:rFonts w:ascii="Arial" w:hAnsi="Arial" w:cs="Arial"/>
          <w:bCs/>
          <w:sz w:val="20"/>
          <w:szCs w:val="20"/>
        </w:rPr>
      </w:pPr>
    </w:p>
    <w:p w:rsidR="006D28D4" w:rsidRPr="006B37A4" w:rsidRDefault="006D28D4" w:rsidP="00797434">
      <w:pPr>
        <w:spacing w:after="0"/>
        <w:rPr>
          <w:rFonts w:ascii="Arial" w:hAnsi="Arial" w:cs="Arial"/>
          <w:sz w:val="20"/>
          <w:szCs w:val="20"/>
        </w:rPr>
      </w:pPr>
    </w:p>
    <w:p w:rsidR="006D28D4" w:rsidRPr="006B37A4" w:rsidRDefault="006D28D4" w:rsidP="00797434">
      <w:pPr>
        <w:rPr>
          <w:rFonts w:ascii="Arial" w:hAnsi="Arial" w:cs="Arial"/>
          <w:sz w:val="20"/>
          <w:szCs w:val="20"/>
        </w:rPr>
      </w:pPr>
    </w:p>
    <w:p w:rsidR="006D28D4" w:rsidRPr="0067352D" w:rsidRDefault="006D28D4" w:rsidP="000E76D0">
      <w:pPr>
        <w:spacing w:after="0" w:line="480" w:lineRule="auto"/>
        <w:rPr>
          <w:rFonts w:ascii="Arial" w:hAnsi="Arial" w:cs="Arial"/>
        </w:rPr>
      </w:pPr>
    </w:p>
    <w:sectPr w:rsidR="006D28D4" w:rsidRPr="0067352D" w:rsidSect="00A32D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06" w:rsidRDefault="00141806" w:rsidP="00C668F8">
      <w:pPr>
        <w:spacing w:after="0" w:line="240" w:lineRule="auto"/>
      </w:pPr>
      <w:r>
        <w:separator/>
      </w:r>
    </w:p>
  </w:endnote>
  <w:endnote w:type="continuationSeparator" w:id="1">
    <w:p w:rsidR="00141806" w:rsidRDefault="00141806" w:rsidP="00C6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D4" w:rsidRDefault="002865A3">
    <w:pPr>
      <w:pStyle w:val="Footer"/>
      <w:jc w:val="right"/>
    </w:pPr>
    <w:r>
      <w:fldChar w:fldCharType="begin"/>
    </w:r>
    <w:r w:rsidR="00001C0F">
      <w:instrText xml:space="preserve"> PAGE   \* MERGEFORMAT </w:instrText>
    </w:r>
    <w:r>
      <w:fldChar w:fldCharType="separate"/>
    </w:r>
    <w:r w:rsidR="00A74B03">
      <w:rPr>
        <w:noProof/>
      </w:rPr>
      <w:t>3</w:t>
    </w:r>
    <w:r>
      <w:rPr>
        <w:noProof/>
      </w:rPr>
      <w:fldChar w:fldCharType="end"/>
    </w:r>
  </w:p>
  <w:p w:rsidR="006D28D4" w:rsidRDefault="006D2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06" w:rsidRDefault="00141806" w:rsidP="00C668F8">
      <w:pPr>
        <w:spacing w:after="0" w:line="240" w:lineRule="auto"/>
      </w:pPr>
      <w:r>
        <w:separator/>
      </w:r>
    </w:p>
  </w:footnote>
  <w:footnote w:type="continuationSeparator" w:id="1">
    <w:p w:rsidR="00141806" w:rsidRDefault="00141806" w:rsidP="00C6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3E8"/>
    <w:multiLevelType w:val="hybridMultilevel"/>
    <w:tmpl w:val="0A105E4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2836"/>
    <w:rsid w:val="000007EB"/>
    <w:rsid w:val="00001C0F"/>
    <w:rsid w:val="000028D1"/>
    <w:rsid w:val="00003515"/>
    <w:rsid w:val="00004351"/>
    <w:rsid w:val="00005740"/>
    <w:rsid w:val="00007727"/>
    <w:rsid w:val="000103B9"/>
    <w:rsid w:val="00012790"/>
    <w:rsid w:val="00015EA9"/>
    <w:rsid w:val="0001616F"/>
    <w:rsid w:val="0002438A"/>
    <w:rsid w:val="000268CE"/>
    <w:rsid w:val="00027647"/>
    <w:rsid w:val="00031DD8"/>
    <w:rsid w:val="0003257B"/>
    <w:rsid w:val="000351E5"/>
    <w:rsid w:val="0004006A"/>
    <w:rsid w:val="000434FF"/>
    <w:rsid w:val="00044ACD"/>
    <w:rsid w:val="000467EA"/>
    <w:rsid w:val="00053A56"/>
    <w:rsid w:val="0005468E"/>
    <w:rsid w:val="00057132"/>
    <w:rsid w:val="000579D8"/>
    <w:rsid w:val="00057A7B"/>
    <w:rsid w:val="00063846"/>
    <w:rsid w:val="000660CB"/>
    <w:rsid w:val="00071F2A"/>
    <w:rsid w:val="00072814"/>
    <w:rsid w:val="00072ACB"/>
    <w:rsid w:val="00075E2D"/>
    <w:rsid w:val="000818CF"/>
    <w:rsid w:val="00081F20"/>
    <w:rsid w:val="00082736"/>
    <w:rsid w:val="00082E6E"/>
    <w:rsid w:val="00091FA4"/>
    <w:rsid w:val="000931B5"/>
    <w:rsid w:val="00094C8B"/>
    <w:rsid w:val="000966E7"/>
    <w:rsid w:val="000A0D7C"/>
    <w:rsid w:val="000A0DB2"/>
    <w:rsid w:val="000A783E"/>
    <w:rsid w:val="000A7FAC"/>
    <w:rsid w:val="000B458B"/>
    <w:rsid w:val="000B49EE"/>
    <w:rsid w:val="000B6058"/>
    <w:rsid w:val="000B6127"/>
    <w:rsid w:val="000C210D"/>
    <w:rsid w:val="000C3222"/>
    <w:rsid w:val="000D1A69"/>
    <w:rsid w:val="000E1A3A"/>
    <w:rsid w:val="000E31DC"/>
    <w:rsid w:val="000E4B75"/>
    <w:rsid w:val="000E6481"/>
    <w:rsid w:val="000E76D0"/>
    <w:rsid w:val="000E7F74"/>
    <w:rsid w:val="000F530C"/>
    <w:rsid w:val="000F629F"/>
    <w:rsid w:val="000F7AAF"/>
    <w:rsid w:val="00101770"/>
    <w:rsid w:val="001021A5"/>
    <w:rsid w:val="00103EEB"/>
    <w:rsid w:val="001105AF"/>
    <w:rsid w:val="00110B5F"/>
    <w:rsid w:val="001110C8"/>
    <w:rsid w:val="00111976"/>
    <w:rsid w:val="00111ED0"/>
    <w:rsid w:val="00112504"/>
    <w:rsid w:val="00112A9A"/>
    <w:rsid w:val="001161E0"/>
    <w:rsid w:val="00117889"/>
    <w:rsid w:val="00117EA3"/>
    <w:rsid w:val="001211DA"/>
    <w:rsid w:val="00124639"/>
    <w:rsid w:val="00126010"/>
    <w:rsid w:val="00130BAD"/>
    <w:rsid w:val="00130FFE"/>
    <w:rsid w:val="00132DB2"/>
    <w:rsid w:val="00133320"/>
    <w:rsid w:val="0013399B"/>
    <w:rsid w:val="00141806"/>
    <w:rsid w:val="001533AD"/>
    <w:rsid w:val="00156DE8"/>
    <w:rsid w:val="00160019"/>
    <w:rsid w:val="00164F5D"/>
    <w:rsid w:val="0016704D"/>
    <w:rsid w:val="00170540"/>
    <w:rsid w:val="0017065D"/>
    <w:rsid w:val="0017603E"/>
    <w:rsid w:val="00177483"/>
    <w:rsid w:val="00181B05"/>
    <w:rsid w:val="0018349E"/>
    <w:rsid w:val="001853D6"/>
    <w:rsid w:val="00185A96"/>
    <w:rsid w:val="00187E6D"/>
    <w:rsid w:val="00193D01"/>
    <w:rsid w:val="00194011"/>
    <w:rsid w:val="001A7B52"/>
    <w:rsid w:val="001B25AE"/>
    <w:rsid w:val="001B5FFD"/>
    <w:rsid w:val="001C4515"/>
    <w:rsid w:val="001C51ED"/>
    <w:rsid w:val="001D0378"/>
    <w:rsid w:val="001D47B6"/>
    <w:rsid w:val="001E12CE"/>
    <w:rsid w:val="001E2748"/>
    <w:rsid w:val="001F06A9"/>
    <w:rsid w:val="001F5541"/>
    <w:rsid w:val="001F70E3"/>
    <w:rsid w:val="00200CC4"/>
    <w:rsid w:val="00201242"/>
    <w:rsid w:val="00202647"/>
    <w:rsid w:val="0020347D"/>
    <w:rsid w:val="00205A5F"/>
    <w:rsid w:val="0022082F"/>
    <w:rsid w:val="0022233D"/>
    <w:rsid w:val="00222D30"/>
    <w:rsid w:val="00224357"/>
    <w:rsid w:val="002267FD"/>
    <w:rsid w:val="00226806"/>
    <w:rsid w:val="00226828"/>
    <w:rsid w:val="0022718E"/>
    <w:rsid w:val="00227462"/>
    <w:rsid w:val="002277F1"/>
    <w:rsid w:val="002303DD"/>
    <w:rsid w:val="002314A6"/>
    <w:rsid w:val="002327F5"/>
    <w:rsid w:val="0023347C"/>
    <w:rsid w:val="002376F6"/>
    <w:rsid w:val="002405C1"/>
    <w:rsid w:val="00241137"/>
    <w:rsid w:val="002418F2"/>
    <w:rsid w:val="00242DB9"/>
    <w:rsid w:val="00242EA4"/>
    <w:rsid w:val="00242F08"/>
    <w:rsid w:val="00243AED"/>
    <w:rsid w:val="00245FE1"/>
    <w:rsid w:val="00246349"/>
    <w:rsid w:val="00247C7F"/>
    <w:rsid w:val="002518A3"/>
    <w:rsid w:val="002529C2"/>
    <w:rsid w:val="00255667"/>
    <w:rsid w:val="00255786"/>
    <w:rsid w:val="00255BA5"/>
    <w:rsid w:val="00257110"/>
    <w:rsid w:val="00257535"/>
    <w:rsid w:val="002603C8"/>
    <w:rsid w:val="00265C78"/>
    <w:rsid w:val="002673A4"/>
    <w:rsid w:val="00270399"/>
    <w:rsid w:val="00272CE8"/>
    <w:rsid w:val="00273633"/>
    <w:rsid w:val="002740D1"/>
    <w:rsid w:val="002756B2"/>
    <w:rsid w:val="00283A73"/>
    <w:rsid w:val="002865A3"/>
    <w:rsid w:val="00287144"/>
    <w:rsid w:val="00293A9D"/>
    <w:rsid w:val="00295889"/>
    <w:rsid w:val="00296CAE"/>
    <w:rsid w:val="002A0602"/>
    <w:rsid w:val="002A1955"/>
    <w:rsid w:val="002A2A90"/>
    <w:rsid w:val="002A2CAF"/>
    <w:rsid w:val="002A37E7"/>
    <w:rsid w:val="002A4283"/>
    <w:rsid w:val="002A6F4E"/>
    <w:rsid w:val="002A739C"/>
    <w:rsid w:val="002B0B6C"/>
    <w:rsid w:val="002B172E"/>
    <w:rsid w:val="002B4663"/>
    <w:rsid w:val="002B4893"/>
    <w:rsid w:val="002B4CB2"/>
    <w:rsid w:val="002B7A71"/>
    <w:rsid w:val="002C0378"/>
    <w:rsid w:val="002C76AA"/>
    <w:rsid w:val="002D33F4"/>
    <w:rsid w:val="002D55F0"/>
    <w:rsid w:val="002D7A4E"/>
    <w:rsid w:val="002E0151"/>
    <w:rsid w:val="002E1437"/>
    <w:rsid w:val="002E22C9"/>
    <w:rsid w:val="002E282A"/>
    <w:rsid w:val="002E428F"/>
    <w:rsid w:val="002E5E5B"/>
    <w:rsid w:val="002E72AE"/>
    <w:rsid w:val="002F2EC4"/>
    <w:rsid w:val="002F33E0"/>
    <w:rsid w:val="002F4A67"/>
    <w:rsid w:val="002F4CA0"/>
    <w:rsid w:val="002F5C71"/>
    <w:rsid w:val="00302712"/>
    <w:rsid w:val="0030529E"/>
    <w:rsid w:val="00305E1A"/>
    <w:rsid w:val="00314CE6"/>
    <w:rsid w:val="003163E0"/>
    <w:rsid w:val="00321289"/>
    <w:rsid w:val="00321335"/>
    <w:rsid w:val="00324911"/>
    <w:rsid w:val="00324D57"/>
    <w:rsid w:val="00325D09"/>
    <w:rsid w:val="00326278"/>
    <w:rsid w:val="00326778"/>
    <w:rsid w:val="00326892"/>
    <w:rsid w:val="003309EE"/>
    <w:rsid w:val="00331CF9"/>
    <w:rsid w:val="00335B51"/>
    <w:rsid w:val="00343694"/>
    <w:rsid w:val="00345A45"/>
    <w:rsid w:val="003507DF"/>
    <w:rsid w:val="00353296"/>
    <w:rsid w:val="00353D96"/>
    <w:rsid w:val="00354F5A"/>
    <w:rsid w:val="003557CD"/>
    <w:rsid w:val="0035704A"/>
    <w:rsid w:val="00363497"/>
    <w:rsid w:val="00374375"/>
    <w:rsid w:val="00374705"/>
    <w:rsid w:val="00380D09"/>
    <w:rsid w:val="00381BE3"/>
    <w:rsid w:val="003855A6"/>
    <w:rsid w:val="003861A8"/>
    <w:rsid w:val="003A08C7"/>
    <w:rsid w:val="003A2782"/>
    <w:rsid w:val="003A457D"/>
    <w:rsid w:val="003A51EE"/>
    <w:rsid w:val="003A5AF3"/>
    <w:rsid w:val="003A5E28"/>
    <w:rsid w:val="003A5E2A"/>
    <w:rsid w:val="003B16E3"/>
    <w:rsid w:val="003B2338"/>
    <w:rsid w:val="003B2F36"/>
    <w:rsid w:val="003B5500"/>
    <w:rsid w:val="003B59A2"/>
    <w:rsid w:val="003C750D"/>
    <w:rsid w:val="003D1F96"/>
    <w:rsid w:val="003D39F2"/>
    <w:rsid w:val="003D3DD4"/>
    <w:rsid w:val="003D67D2"/>
    <w:rsid w:val="003E2DC7"/>
    <w:rsid w:val="003E3016"/>
    <w:rsid w:val="003E41BF"/>
    <w:rsid w:val="003E4AA6"/>
    <w:rsid w:val="003F109B"/>
    <w:rsid w:val="003F2633"/>
    <w:rsid w:val="003F28E6"/>
    <w:rsid w:val="003F66C6"/>
    <w:rsid w:val="003F75F1"/>
    <w:rsid w:val="004027CF"/>
    <w:rsid w:val="00405F3C"/>
    <w:rsid w:val="00407E70"/>
    <w:rsid w:val="00407F6F"/>
    <w:rsid w:val="00427BE1"/>
    <w:rsid w:val="00432232"/>
    <w:rsid w:val="00433EDD"/>
    <w:rsid w:val="00434261"/>
    <w:rsid w:val="004349EC"/>
    <w:rsid w:val="0043536F"/>
    <w:rsid w:val="00444B72"/>
    <w:rsid w:val="004453E3"/>
    <w:rsid w:val="00447699"/>
    <w:rsid w:val="00450D36"/>
    <w:rsid w:val="004573D0"/>
    <w:rsid w:val="004604B1"/>
    <w:rsid w:val="00466218"/>
    <w:rsid w:val="00470223"/>
    <w:rsid w:val="00470B04"/>
    <w:rsid w:val="00472CB6"/>
    <w:rsid w:val="00472CE1"/>
    <w:rsid w:val="0047461A"/>
    <w:rsid w:val="00474BBE"/>
    <w:rsid w:val="004753B8"/>
    <w:rsid w:val="00482D26"/>
    <w:rsid w:val="004956C6"/>
    <w:rsid w:val="004970FE"/>
    <w:rsid w:val="004A2F57"/>
    <w:rsid w:val="004A587E"/>
    <w:rsid w:val="004A7B6C"/>
    <w:rsid w:val="004B093B"/>
    <w:rsid w:val="004B0B8B"/>
    <w:rsid w:val="004B6841"/>
    <w:rsid w:val="004B717B"/>
    <w:rsid w:val="004C07BE"/>
    <w:rsid w:val="004C2836"/>
    <w:rsid w:val="004C3746"/>
    <w:rsid w:val="004C7B28"/>
    <w:rsid w:val="004D28EA"/>
    <w:rsid w:val="004D7496"/>
    <w:rsid w:val="004E0B3D"/>
    <w:rsid w:val="004E22D0"/>
    <w:rsid w:val="004E4C80"/>
    <w:rsid w:val="004E512C"/>
    <w:rsid w:val="004E6D7D"/>
    <w:rsid w:val="004F1132"/>
    <w:rsid w:val="004F18DF"/>
    <w:rsid w:val="004F34FC"/>
    <w:rsid w:val="004F4382"/>
    <w:rsid w:val="004F709E"/>
    <w:rsid w:val="00505E1D"/>
    <w:rsid w:val="00510692"/>
    <w:rsid w:val="005149C7"/>
    <w:rsid w:val="00517A76"/>
    <w:rsid w:val="0052019F"/>
    <w:rsid w:val="005206D1"/>
    <w:rsid w:val="00520FE1"/>
    <w:rsid w:val="00524D4D"/>
    <w:rsid w:val="0052533B"/>
    <w:rsid w:val="0053242F"/>
    <w:rsid w:val="00533C83"/>
    <w:rsid w:val="00536635"/>
    <w:rsid w:val="00543333"/>
    <w:rsid w:val="00543CE7"/>
    <w:rsid w:val="00546F7E"/>
    <w:rsid w:val="00550266"/>
    <w:rsid w:val="00552E09"/>
    <w:rsid w:val="005532CB"/>
    <w:rsid w:val="00554CBD"/>
    <w:rsid w:val="00557137"/>
    <w:rsid w:val="00557D66"/>
    <w:rsid w:val="00560439"/>
    <w:rsid w:val="00560513"/>
    <w:rsid w:val="00570214"/>
    <w:rsid w:val="005729F6"/>
    <w:rsid w:val="00577A6E"/>
    <w:rsid w:val="00582808"/>
    <w:rsid w:val="00590C0C"/>
    <w:rsid w:val="00591397"/>
    <w:rsid w:val="005924F8"/>
    <w:rsid w:val="0059481F"/>
    <w:rsid w:val="005962E9"/>
    <w:rsid w:val="00596CD6"/>
    <w:rsid w:val="00597BC3"/>
    <w:rsid w:val="005A1048"/>
    <w:rsid w:val="005A512F"/>
    <w:rsid w:val="005A5578"/>
    <w:rsid w:val="005A64A1"/>
    <w:rsid w:val="005A76BE"/>
    <w:rsid w:val="005B0C3B"/>
    <w:rsid w:val="005B2809"/>
    <w:rsid w:val="005B6EF1"/>
    <w:rsid w:val="005C042E"/>
    <w:rsid w:val="005C2739"/>
    <w:rsid w:val="005C3271"/>
    <w:rsid w:val="005C5314"/>
    <w:rsid w:val="005C79BA"/>
    <w:rsid w:val="005D1249"/>
    <w:rsid w:val="005D1A24"/>
    <w:rsid w:val="005D7512"/>
    <w:rsid w:val="005E06F5"/>
    <w:rsid w:val="005E328F"/>
    <w:rsid w:val="005E383F"/>
    <w:rsid w:val="005E445E"/>
    <w:rsid w:val="005E5991"/>
    <w:rsid w:val="005F4B4C"/>
    <w:rsid w:val="005F6369"/>
    <w:rsid w:val="005F73C4"/>
    <w:rsid w:val="006018A3"/>
    <w:rsid w:val="006054E7"/>
    <w:rsid w:val="00605F84"/>
    <w:rsid w:val="00605F8A"/>
    <w:rsid w:val="00614621"/>
    <w:rsid w:val="006177F6"/>
    <w:rsid w:val="00617A66"/>
    <w:rsid w:val="00621034"/>
    <w:rsid w:val="00621F41"/>
    <w:rsid w:val="00622AFF"/>
    <w:rsid w:val="00623D8D"/>
    <w:rsid w:val="0062565C"/>
    <w:rsid w:val="006327A0"/>
    <w:rsid w:val="006344EA"/>
    <w:rsid w:val="006349BE"/>
    <w:rsid w:val="00635CC8"/>
    <w:rsid w:val="0064184F"/>
    <w:rsid w:val="00642F90"/>
    <w:rsid w:val="00643FD4"/>
    <w:rsid w:val="006517CC"/>
    <w:rsid w:val="00651B7C"/>
    <w:rsid w:val="00653977"/>
    <w:rsid w:val="00653BF6"/>
    <w:rsid w:val="00656004"/>
    <w:rsid w:val="00664D38"/>
    <w:rsid w:val="0067352D"/>
    <w:rsid w:val="006736A9"/>
    <w:rsid w:val="006742D5"/>
    <w:rsid w:val="00680411"/>
    <w:rsid w:val="00686B43"/>
    <w:rsid w:val="00686D1F"/>
    <w:rsid w:val="0069309A"/>
    <w:rsid w:val="006943D7"/>
    <w:rsid w:val="00696876"/>
    <w:rsid w:val="00697B26"/>
    <w:rsid w:val="006A00C2"/>
    <w:rsid w:val="006A03F9"/>
    <w:rsid w:val="006A2316"/>
    <w:rsid w:val="006A2403"/>
    <w:rsid w:val="006A2964"/>
    <w:rsid w:val="006A33F5"/>
    <w:rsid w:val="006A4287"/>
    <w:rsid w:val="006A4660"/>
    <w:rsid w:val="006A4710"/>
    <w:rsid w:val="006A4B34"/>
    <w:rsid w:val="006A6397"/>
    <w:rsid w:val="006B02FD"/>
    <w:rsid w:val="006B2510"/>
    <w:rsid w:val="006B2EC0"/>
    <w:rsid w:val="006B37A4"/>
    <w:rsid w:val="006B79BC"/>
    <w:rsid w:val="006B7AF3"/>
    <w:rsid w:val="006C0207"/>
    <w:rsid w:val="006D0FB4"/>
    <w:rsid w:val="006D21B3"/>
    <w:rsid w:val="006D28D4"/>
    <w:rsid w:val="006D428F"/>
    <w:rsid w:val="006D4D9D"/>
    <w:rsid w:val="006E3654"/>
    <w:rsid w:val="006E5D88"/>
    <w:rsid w:val="006F1091"/>
    <w:rsid w:val="006F3557"/>
    <w:rsid w:val="00701D91"/>
    <w:rsid w:val="00702CFA"/>
    <w:rsid w:val="007039F2"/>
    <w:rsid w:val="00705C79"/>
    <w:rsid w:val="00710833"/>
    <w:rsid w:val="00710EEE"/>
    <w:rsid w:val="00711ADC"/>
    <w:rsid w:val="00714928"/>
    <w:rsid w:val="00715B0F"/>
    <w:rsid w:val="00721E48"/>
    <w:rsid w:val="00725C5E"/>
    <w:rsid w:val="00734FFF"/>
    <w:rsid w:val="007374B3"/>
    <w:rsid w:val="00737715"/>
    <w:rsid w:val="00737F3B"/>
    <w:rsid w:val="0074437D"/>
    <w:rsid w:val="00750B30"/>
    <w:rsid w:val="00754520"/>
    <w:rsid w:val="007554D6"/>
    <w:rsid w:val="00755E6D"/>
    <w:rsid w:val="00761358"/>
    <w:rsid w:val="00770893"/>
    <w:rsid w:val="007847A3"/>
    <w:rsid w:val="00785091"/>
    <w:rsid w:val="00787C20"/>
    <w:rsid w:val="007944F1"/>
    <w:rsid w:val="00795769"/>
    <w:rsid w:val="00797434"/>
    <w:rsid w:val="007A380F"/>
    <w:rsid w:val="007A4B91"/>
    <w:rsid w:val="007A53F4"/>
    <w:rsid w:val="007B0890"/>
    <w:rsid w:val="007B310B"/>
    <w:rsid w:val="007B316D"/>
    <w:rsid w:val="007B4B1A"/>
    <w:rsid w:val="007B4D70"/>
    <w:rsid w:val="007B6278"/>
    <w:rsid w:val="007B7013"/>
    <w:rsid w:val="007C1B23"/>
    <w:rsid w:val="007C3C94"/>
    <w:rsid w:val="007C61D9"/>
    <w:rsid w:val="007D1286"/>
    <w:rsid w:val="007D17B1"/>
    <w:rsid w:val="007D2737"/>
    <w:rsid w:val="007D6FEB"/>
    <w:rsid w:val="007E0EF5"/>
    <w:rsid w:val="007E1966"/>
    <w:rsid w:val="007E2091"/>
    <w:rsid w:val="007E2B6F"/>
    <w:rsid w:val="007E36DE"/>
    <w:rsid w:val="007E7199"/>
    <w:rsid w:val="007F07BD"/>
    <w:rsid w:val="007F5417"/>
    <w:rsid w:val="007F70B9"/>
    <w:rsid w:val="007F74C2"/>
    <w:rsid w:val="008009F8"/>
    <w:rsid w:val="0080331A"/>
    <w:rsid w:val="00803F39"/>
    <w:rsid w:val="00804765"/>
    <w:rsid w:val="00811260"/>
    <w:rsid w:val="00822255"/>
    <w:rsid w:val="0082461E"/>
    <w:rsid w:val="00827CD8"/>
    <w:rsid w:val="00830037"/>
    <w:rsid w:val="008369C3"/>
    <w:rsid w:val="008370BC"/>
    <w:rsid w:val="0083782F"/>
    <w:rsid w:val="008408BA"/>
    <w:rsid w:val="00840B71"/>
    <w:rsid w:val="0084176E"/>
    <w:rsid w:val="00845FC1"/>
    <w:rsid w:val="00846C24"/>
    <w:rsid w:val="00851C7F"/>
    <w:rsid w:val="00852EA2"/>
    <w:rsid w:val="00853D93"/>
    <w:rsid w:val="00854B42"/>
    <w:rsid w:val="00855540"/>
    <w:rsid w:val="0085585D"/>
    <w:rsid w:val="00865A82"/>
    <w:rsid w:val="00867234"/>
    <w:rsid w:val="00871DFC"/>
    <w:rsid w:val="00872157"/>
    <w:rsid w:val="008732D9"/>
    <w:rsid w:val="0087433C"/>
    <w:rsid w:val="008825B3"/>
    <w:rsid w:val="00882BC5"/>
    <w:rsid w:val="00883BC6"/>
    <w:rsid w:val="008863D4"/>
    <w:rsid w:val="008906ED"/>
    <w:rsid w:val="0089081A"/>
    <w:rsid w:val="00897DF6"/>
    <w:rsid w:val="008A39B6"/>
    <w:rsid w:val="008A756C"/>
    <w:rsid w:val="008B2A5C"/>
    <w:rsid w:val="008B63ED"/>
    <w:rsid w:val="008B6F32"/>
    <w:rsid w:val="008B7CC6"/>
    <w:rsid w:val="008C1E42"/>
    <w:rsid w:val="008C2C99"/>
    <w:rsid w:val="008C2E80"/>
    <w:rsid w:val="008C3B7B"/>
    <w:rsid w:val="008D207A"/>
    <w:rsid w:val="008D730F"/>
    <w:rsid w:val="008E1A22"/>
    <w:rsid w:val="008E4D0F"/>
    <w:rsid w:val="008E5160"/>
    <w:rsid w:val="008F01EC"/>
    <w:rsid w:val="008F3277"/>
    <w:rsid w:val="009024B3"/>
    <w:rsid w:val="009071C6"/>
    <w:rsid w:val="00907D8F"/>
    <w:rsid w:val="00910390"/>
    <w:rsid w:val="00912E20"/>
    <w:rsid w:val="009167A5"/>
    <w:rsid w:val="0092576B"/>
    <w:rsid w:val="009261E8"/>
    <w:rsid w:val="00931F5C"/>
    <w:rsid w:val="00932955"/>
    <w:rsid w:val="00935400"/>
    <w:rsid w:val="00941A4E"/>
    <w:rsid w:val="009450BB"/>
    <w:rsid w:val="00946961"/>
    <w:rsid w:val="0095066F"/>
    <w:rsid w:val="009508D3"/>
    <w:rsid w:val="009526C7"/>
    <w:rsid w:val="0095462D"/>
    <w:rsid w:val="00957723"/>
    <w:rsid w:val="00962A2D"/>
    <w:rsid w:val="00966A96"/>
    <w:rsid w:val="009703AB"/>
    <w:rsid w:val="00970E74"/>
    <w:rsid w:val="00972DAD"/>
    <w:rsid w:val="00976B68"/>
    <w:rsid w:val="0097703B"/>
    <w:rsid w:val="00980BFE"/>
    <w:rsid w:val="0098252B"/>
    <w:rsid w:val="0098608E"/>
    <w:rsid w:val="00986519"/>
    <w:rsid w:val="00993897"/>
    <w:rsid w:val="00994764"/>
    <w:rsid w:val="009967D6"/>
    <w:rsid w:val="009A17B5"/>
    <w:rsid w:val="009A4E3F"/>
    <w:rsid w:val="009A77C9"/>
    <w:rsid w:val="009B16CA"/>
    <w:rsid w:val="009B79E4"/>
    <w:rsid w:val="009C0DB2"/>
    <w:rsid w:val="009C56D5"/>
    <w:rsid w:val="009D1209"/>
    <w:rsid w:val="009D1E5B"/>
    <w:rsid w:val="009D3395"/>
    <w:rsid w:val="009D4145"/>
    <w:rsid w:val="009D4664"/>
    <w:rsid w:val="009D7166"/>
    <w:rsid w:val="009E07F3"/>
    <w:rsid w:val="009E10DC"/>
    <w:rsid w:val="009E40E0"/>
    <w:rsid w:val="009E5B3D"/>
    <w:rsid w:val="009E7979"/>
    <w:rsid w:val="009F10F0"/>
    <w:rsid w:val="009F1817"/>
    <w:rsid w:val="009F5174"/>
    <w:rsid w:val="00A052BD"/>
    <w:rsid w:val="00A0535B"/>
    <w:rsid w:val="00A07088"/>
    <w:rsid w:val="00A07C57"/>
    <w:rsid w:val="00A11BDD"/>
    <w:rsid w:val="00A15116"/>
    <w:rsid w:val="00A159B5"/>
    <w:rsid w:val="00A211AD"/>
    <w:rsid w:val="00A21785"/>
    <w:rsid w:val="00A227C3"/>
    <w:rsid w:val="00A228FF"/>
    <w:rsid w:val="00A22A7E"/>
    <w:rsid w:val="00A22B95"/>
    <w:rsid w:val="00A23D12"/>
    <w:rsid w:val="00A2451B"/>
    <w:rsid w:val="00A27253"/>
    <w:rsid w:val="00A306EC"/>
    <w:rsid w:val="00A32D43"/>
    <w:rsid w:val="00A333CB"/>
    <w:rsid w:val="00A3481A"/>
    <w:rsid w:val="00A36320"/>
    <w:rsid w:val="00A40452"/>
    <w:rsid w:val="00A40DF0"/>
    <w:rsid w:val="00A43814"/>
    <w:rsid w:val="00A44382"/>
    <w:rsid w:val="00A46E5F"/>
    <w:rsid w:val="00A47F71"/>
    <w:rsid w:val="00A52D64"/>
    <w:rsid w:val="00A539A4"/>
    <w:rsid w:val="00A55EDE"/>
    <w:rsid w:val="00A5700F"/>
    <w:rsid w:val="00A577AE"/>
    <w:rsid w:val="00A601B7"/>
    <w:rsid w:val="00A630B5"/>
    <w:rsid w:val="00A64F2B"/>
    <w:rsid w:val="00A65626"/>
    <w:rsid w:val="00A74210"/>
    <w:rsid w:val="00A74B03"/>
    <w:rsid w:val="00A7625E"/>
    <w:rsid w:val="00A76DAD"/>
    <w:rsid w:val="00A778FF"/>
    <w:rsid w:val="00A81381"/>
    <w:rsid w:val="00A84ECD"/>
    <w:rsid w:val="00A8582A"/>
    <w:rsid w:val="00A91511"/>
    <w:rsid w:val="00A91FD0"/>
    <w:rsid w:val="00A976FA"/>
    <w:rsid w:val="00AA1526"/>
    <w:rsid w:val="00AA28B2"/>
    <w:rsid w:val="00AA2F8A"/>
    <w:rsid w:val="00AA3DED"/>
    <w:rsid w:val="00AA7C63"/>
    <w:rsid w:val="00AB09FE"/>
    <w:rsid w:val="00AB16B9"/>
    <w:rsid w:val="00AB4CE0"/>
    <w:rsid w:val="00AB5093"/>
    <w:rsid w:val="00AB5A6E"/>
    <w:rsid w:val="00AC2A1F"/>
    <w:rsid w:val="00AC6A84"/>
    <w:rsid w:val="00AC7B64"/>
    <w:rsid w:val="00AD27A5"/>
    <w:rsid w:val="00AD4546"/>
    <w:rsid w:val="00AD6A25"/>
    <w:rsid w:val="00AE0108"/>
    <w:rsid w:val="00AE4AEE"/>
    <w:rsid w:val="00AE7028"/>
    <w:rsid w:val="00AF4AD7"/>
    <w:rsid w:val="00AF5FB9"/>
    <w:rsid w:val="00AF7129"/>
    <w:rsid w:val="00AF7226"/>
    <w:rsid w:val="00B02DA2"/>
    <w:rsid w:val="00B11000"/>
    <w:rsid w:val="00B11CE2"/>
    <w:rsid w:val="00B13D2E"/>
    <w:rsid w:val="00B14FAC"/>
    <w:rsid w:val="00B153B8"/>
    <w:rsid w:val="00B1737B"/>
    <w:rsid w:val="00B17763"/>
    <w:rsid w:val="00B2245E"/>
    <w:rsid w:val="00B2367F"/>
    <w:rsid w:val="00B26602"/>
    <w:rsid w:val="00B26C20"/>
    <w:rsid w:val="00B2771F"/>
    <w:rsid w:val="00B27904"/>
    <w:rsid w:val="00B30FD7"/>
    <w:rsid w:val="00B34052"/>
    <w:rsid w:val="00B3487D"/>
    <w:rsid w:val="00B35EC9"/>
    <w:rsid w:val="00B43B9C"/>
    <w:rsid w:val="00B44391"/>
    <w:rsid w:val="00B46713"/>
    <w:rsid w:val="00B47A6D"/>
    <w:rsid w:val="00B54884"/>
    <w:rsid w:val="00B60C0A"/>
    <w:rsid w:val="00B645FD"/>
    <w:rsid w:val="00B646C9"/>
    <w:rsid w:val="00B649F6"/>
    <w:rsid w:val="00B65D36"/>
    <w:rsid w:val="00B7065D"/>
    <w:rsid w:val="00B713B2"/>
    <w:rsid w:val="00B71695"/>
    <w:rsid w:val="00B72891"/>
    <w:rsid w:val="00B72984"/>
    <w:rsid w:val="00B82E69"/>
    <w:rsid w:val="00B8316D"/>
    <w:rsid w:val="00B83244"/>
    <w:rsid w:val="00B83798"/>
    <w:rsid w:val="00B83F4A"/>
    <w:rsid w:val="00B86148"/>
    <w:rsid w:val="00B90143"/>
    <w:rsid w:val="00BA271C"/>
    <w:rsid w:val="00BB0C24"/>
    <w:rsid w:val="00BB171B"/>
    <w:rsid w:val="00BB21C2"/>
    <w:rsid w:val="00BB6383"/>
    <w:rsid w:val="00BC0132"/>
    <w:rsid w:val="00BC298D"/>
    <w:rsid w:val="00BC3722"/>
    <w:rsid w:val="00BD2515"/>
    <w:rsid w:val="00BD3368"/>
    <w:rsid w:val="00BD4400"/>
    <w:rsid w:val="00BD76EE"/>
    <w:rsid w:val="00BE1314"/>
    <w:rsid w:val="00BE1424"/>
    <w:rsid w:val="00BE32E8"/>
    <w:rsid w:val="00BE55D2"/>
    <w:rsid w:val="00BF02A4"/>
    <w:rsid w:val="00BF315E"/>
    <w:rsid w:val="00BF5161"/>
    <w:rsid w:val="00C002CE"/>
    <w:rsid w:val="00C00391"/>
    <w:rsid w:val="00C01898"/>
    <w:rsid w:val="00C10E35"/>
    <w:rsid w:val="00C13CFD"/>
    <w:rsid w:val="00C13D8E"/>
    <w:rsid w:val="00C14B83"/>
    <w:rsid w:val="00C15D7E"/>
    <w:rsid w:val="00C167A5"/>
    <w:rsid w:val="00C1716F"/>
    <w:rsid w:val="00C20D2C"/>
    <w:rsid w:val="00C23D72"/>
    <w:rsid w:val="00C243F0"/>
    <w:rsid w:val="00C258FE"/>
    <w:rsid w:val="00C2674A"/>
    <w:rsid w:val="00C27D6F"/>
    <w:rsid w:val="00C31B33"/>
    <w:rsid w:val="00C4771D"/>
    <w:rsid w:val="00C6011B"/>
    <w:rsid w:val="00C61178"/>
    <w:rsid w:val="00C62BCB"/>
    <w:rsid w:val="00C63D0B"/>
    <w:rsid w:val="00C643E8"/>
    <w:rsid w:val="00C668F8"/>
    <w:rsid w:val="00C6752C"/>
    <w:rsid w:val="00C70EC4"/>
    <w:rsid w:val="00C71621"/>
    <w:rsid w:val="00C72FB6"/>
    <w:rsid w:val="00C76EE8"/>
    <w:rsid w:val="00C7742E"/>
    <w:rsid w:val="00C8243F"/>
    <w:rsid w:val="00C86AE8"/>
    <w:rsid w:val="00C903CA"/>
    <w:rsid w:val="00C95EA8"/>
    <w:rsid w:val="00C97A05"/>
    <w:rsid w:val="00CA3870"/>
    <w:rsid w:val="00CA6D3D"/>
    <w:rsid w:val="00CB5708"/>
    <w:rsid w:val="00CB6687"/>
    <w:rsid w:val="00CB6F77"/>
    <w:rsid w:val="00CB72D8"/>
    <w:rsid w:val="00CC078E"/>
    <w:rsid w:val="00CC3A3F"/>
    <w:rsid w:val="00CC4876"/>
    <w:rsid w:val="00CC5620"/>
    <w:rsid w:val="00CC5851"/>
    <w:rsid w:val="00CC5EC5"/>
    <w:rsid w:val="00CD125E"/>
    <w:rsid w:val="00CD1EF2"/>
    <w:rsid w:val="00CD2488"/>
    <w:rsid w:val="00CD545B"/>
    <w:rsid w:val="00CE2DA2"/>
    <w:rsid w:val="00CE3465"/>
    <w:rsid w:val="00CE53A5"/>
    <w:rsid w:val="00CE6A0C"/>
    <w:rsid w:val="00CE6F40"/>
    <w:rsid w:val="00CE70C8"/>
    <w:rsid w:val="00CF04A0"/>
    <w:rsid w:val="00CF1469"/>
    <w:rsid w:val="00CF2AEC"/>
    <w:rsid w:val="00CF44C1"/>
    <w:rsid w:val="00D013AB"/>
    <w:rsid w:val="00D076CE"/>
    <w:rsid w:val="00D10EAC"/>
    <w:rsid w:val="00D13FD6"/>
    <w:rsid w:val="00D1602F"/>
    <w:rsid w:val="00D205F2"/>
    <w:rsid w:val="00D20D2A"/>
    <w:rsid w:val="00D20FBA"/>
    <w:rsid w:val="00D2176E"/>
    <w:rsid w:val="00D237BA"/>
    <w:rsid w:val="00D24D97"/>
    <w:rsid w:val="00D274F2"/>
    <w:rsid w:val="00D27F75"/>
    <w:rsid w:val="00D32BD0"/>
    <w:rsid w:val="00D37397"/>
    <w:rsid w:val="00D40D48"/>
    <w:rsid w:val="00D41E61"/>
    <w:rsid w:val="00D43A84"/>
    <w:rsid w:val="00D44E94"/>
    <w:rsid w:val="00D465E0"/>
    <w:rsid w:val="00D476FB"/>
    <w:rsid w:val="00D506C0"/>
    <w:rsid w:val="00D5115B"/>
    <w:rsid w:val="00D5353F"/>
    <w:rsid w:val="00D5557F"/>
    <w:rsid w:val="00D65888"/>
    <w:rsid w:val="00D670F3"/>
    <w:rsid w:val="00D70149"/>
    <w:rsid w:val="00D70E91"/>
    <w:rsid w:val="00D74A78"/>
    <w:rsid w:val="00D75B3C"/>
    <w:rsid w:val="00D80B3B"/>
    <w:rsid w:val="00D80E33"/>
    <w:rsid w:val="00D82340"/>
    <w:rsid w:val="00D87A07"/>
    <w:rsid w:val="00D90954"/>
    <w:rsid w:val="00D942B2"/>
    <w:rsid w:val="00D94E1E"/>
    <w:rsid w:val="00D94F16"/>
    <w:rsid w:val="00D95F3D"/>
    <w:rsid w:val="00DA11DE"/>
    <w:rsid w:val="00DB1AC6"/>
    <w:rsid w:val="00DB30CF"/>
    <w:rsid w:val="00DB3592"/>
    <w:rsid w:val="00DB6329"/>
    <w:rsid w:val="00DC2661"/>
    <w:rsid w:val="00DC280D"/>
    <w:rsid w:val="00DC3B51"/>
    <w:rsid w:val="00DD7B6F"/>
    <w:rsid w:val="00DE0862"/>
    <w:rsid w:val="00DE0B52"/>
    <w:rsid w:val="00DE18C7"/>
    <w:rsid w:val="00DE1AA3"/>
    <w:rsid w:val="00DE1CEA"/>
    <w:rsid w:val="00DE3519"/>
    <w:rsid w:val="00DE5BA4"/>
    <w:rsid w:val="00DE66A9"/>
    <w:rsid w:val="00DF43EE"/>
    <w:rsid w:val="00DF4DEB"/>
    <w:rsid w:val="00DF63B5"/>
    <w:rsid w:val="00DF7D78"/>
    <w:rsid w:val="00E003FE"/>
    <w:rsid w:val="00E01A72"/>
    <w:rsid w:val="00E02583"/>
    <w:rsid w:val="00E02841"/>
    <w:rsid w:val="00E042B2"/>
    <w:rsid w:val="00E0438D"/>
    <w:rsid w:val="00E06F40"/>
    <w:rsid w:val="00E149C0"/>
    <w:rsid w:val="00E17909"/>
    <w:rsid w:val="00E21CBF"/>
    <w:rsid w:val="00E22DBD"/>
    <w:rsid w:val="00E245D2"/>
    <w:rsid w:val="00E256A3"/>
    <w:rsid w:val="00E263A8"/>
    <w:rsid w:val="00E2699E"/>
    <w:rsid w:val="00E3525B"/>
    <w:rsid w:val="00E36692"/>
    <w:rsid w:val="00E37B48"/>
    <w:rsid w:val="00E40307"/>
    <w:rsid w:val="00E40A78"/>
    <w:rsid w:val="00E4138B"/>
    <w:rsid w:val="00E44325"/>
    <w:rsid w:val="00E4567D"/>
    <w:rsid w:val="00E45F9A"/>
    <w:rsid w:val="00E479D0"/>
    <w:rsid w:val="00E54C00"/>
    <w:rsid w:val="00E5694D"/>
    <w:rsid w:val="00E61AA2"/>
    <w:rsid w:val="00E621BE"/>
    <w:rsid w:val="00E62CF8"/>
    <w:rsid w:val="00E650BF"/>
    <w:rsid w:val="00E65BCD"/>
    <w:rsid w:val="00E666F1"/>
    <w:rsid w:val="00E666F9"/>
    <w:rsid w:val="00E66E9F"/>
    <w:rsid w:val="00E7036E"/>
    <w:rsid w:val="00E7502A"/>
    <w:rsid w:val="00E76773"/>
    <w:rsid w:val="00E779B1"/>
    <w:rsid w:val="00E77F13"/>
    <w:rsid w:val="00E81A18"/>
    <w:rsid w:val="00E83C63"/>
    <w:rsid w:val="00E8400B"/>
    <w:rsid w:val="00E84924"/>
    <w:rsid w:val="00E84D2E"/>
    <w:rsid w:val="00E940BD"/>
    <w:rsid w:val="00EA372B"/>
    <w:rsid w:val="00EA7D66"/>
    <w:rsid w:val="00EB0346"/>
    <w:rsid w:val="00EB4269"/>
    <w:rsid w:val="00EC7C03"/>
    <w:rsid w:val="00ED0C43"/>
    <w:rsid w:val="00ED15CC"/>
    <w:rsid w:val="00ED3BA6"/>
    <w:rsid w:val="00ED5AB8"/>
    <w:rsid w:val="00ED7952"/>
    <w:rsid w:val="00EE2C3D"/>
    <w:rsid w:val="00EE519D"/>
    <w:rsid w:val="00EE6F68"/>
    <w:rsid w:val="00EF2CFA"/>
    <w:rsid w:val="00EF3002"/>
    <w:rsid w:val="00EF3E43"/>
    <w:rsid w:val="00F005C1"/>
    <w:rsid w:val="00F0076B"/>
    <w:rsid w:val="00F057C4"/>
    <w:rsid w:val="00F06C22"/>
    <w:rsid w:val="00F07110"/>
    <w:rsid w:val="00F10B1E"/>
    <w:rsid w:val="00F11A7A"/>
    <w:rsid w:val="00F11D42"/>
    <w:rsid w:val="00F13570"/>
    <w:rsid w:val="00F13C03"/>
    <w:rsid w:val="00F15EBF"/>
    <w:rsid w:val="00F15ED8"/>
    <w:rsid w:val="00F17B7E"/>
    <w:rsid w:val="00F21B34"/>
    <w:rsid w:val="00F24F75"/>
    <w:rsid w:val="00F26926"/>
    <w:rsid w:val="00F269CA"/>
    <w:rsid w:val="00F3056C"/>
    <w:rsid w:val="00F30C21"/>
    <w:rsid w:val="00F31826"/>
    <w:rsid w:val="00F358BD"/>
    <w:rsid w:val="00F35D3A"/>
    <w:rsid w:val="00F4522E"/>
    <w:rsid w:val="00F4530D"/>
    <w:rsid w:val="00F46852"/>
    <w:rsid w:val="00F50E75"/>
    <w:rsid w:val="00F50F31"/>
    <w:rsid w:val="00F519C4"/>
    <w:rsid w:val="00F52310"/>
    <w:rsid w:val="00F640A0"/>
    <w:rsid w:val="00F64749"/>
    <w:rsid w:val="00F705F0"/>
    <w:rsid w:val="00F853FB"/>
    <w:rsid w:val="00F85894"/>
    <w:rsid w:val="00F9004B"/>
    <w:rsid w:val="00F908EC"/>
    <w:rsid w:val="00F928B2"/>
    <w:rsid w:val="00F937E1"/>
    <w:rsid w:val="00F93886"/>
    <w:rsid w:val="00F93F45"/>
    <w:rsid w:val="00F95E3E"/>
    <w:rsid w:val="00F9678F"/>
    <w:rsid w:val="00F96ADC"/>
    <w:rsid w:val="00F97450"/>
    <w:rsid w:val="00F97B6E"/>
    <w:rsid w:val="00F97F86"/>
    <w:rsid w:val="00FA2703"/>
    <w:rsid w:val="00FA3706"/>
    <w:rsid w:val="00FA466C"/>
    <w:rsid w:val="00FA52A7"/>
    <w:rsid w:val="00FA6E4D"/>
    <w:rsid w:val="00FB1A07"/>
    <w:rsid w:val="00FB1EBD"/>
    <w:rsid w:val="00FB7DEF"/>
    <w:rsid w:val="00FC65D8"/>
    <w:rsid w:val="00FD0F47"/>
    <w:rsid w:val="00FD4EC1"/>
    <w:rsid w:val="00FE4115"/>
    <w:rsid w:val="00FF0726"/>
    <w:rsid w:val="00FF0F43"/>
    <w:rsid w:val="00FF10C9"/>
    <w:rsid w:val="00FF1CA0"/>
    <w:rsid w:val="00FF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3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74375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375"/>
    <w:rPr>
      <w:rFonts w:ascii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rsid w:val="00A91FD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B4893"/>
    <w:pPr>
      <w:spacing w:after="0" w:line="480" w:lineRule="auto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893"/>
    <w:rPr>
      <w:rFonts w:ascii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F26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2633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7B4D7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B4D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4D70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4D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4D70"/>
    <w:rPr>
      <w:rFonts w:cs="Times New Roman"/>
      <w:b/>
      <w:bCs/>
      <w:sz w:val="20"/>
      <w:szCs w:val="20"/>
    </w:rPr>
  </w:style>
  <w:style w:type="paragraph" w:customStyle="1" w:styleId="citation">
    <w:name w:val="citation"/>
    <w:basedOn w:val="Normal"/>
    <w:uiPriority w:val="99"/>
    <w:rsid w:val="0037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uiPriority w:val="99"/>
    <w:rsid w:val="0037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8F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103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97434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99"/>
    <w:rsid w:val="00797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42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42F9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3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74375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375"/>
    <w:rPr>
      <w:rFonts w:ascii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rsid w:val="00A91FD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B4893"/>
    <w:pPr>
      <w:spacing w:after="0" w:line="480" w:lineRule="auto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893"/>
    <w:rPr>
      <w:rFonts w:ascii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F26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2633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7B4D7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B4D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4D70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4D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4D70"/>
    <w:rPr>
      <w:rFonts w:cs="Times New Roman"/>
      <w:b/>
      <w:bCs/>
      <w:sz w:val="20"/>
      <w:szCs w:val="20"/>
    </w:rPr>
  </w:style>
  <w:style w:type="paragraph" w:customStyle="1" w:styleId="citation">
    <w:name w:val="citation"/>
    <w:basedOn w:val="Normal"/>
    <w:uiPriority w:val="99"/>
    <w:rsid w:val="0037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uiPriority w:val="99"/>
    <w:rsid w:val="0037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8F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103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97434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99"/>
    <w:rsid w:val="00797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42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42F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7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77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47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Factors Associated with Ischemic Optic Neuropathy after Spinal Fusion Surgery</vt:lpstr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Factors Associated with Ischemic Optic Neuropathy after Spinal Fusion Surgery</dc:title>
  <dc:creator>lorri</dc:creator>
  <cp:lastModifiedBy>Albrecht, Joe</cp:lastModifiedBy>
  <cp:revision>3</cp:revision>
  <cp:lastPrinted>2011-04-21T19:00:00Z</cp:lastPrinted>
  <dcterms:created xsi:type="dcterms:W3CDTF">2011-11-11T17:43:00Z</dcterms:created>
  <dcterms:modified xsi:type="dcterms:W3CDTF">2011-11-11T17:47:00Z</dcterms:modified>
</cp:coreProperties>
</file>