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8D" w:rsidRPr="00DB69AF" w:rsidRDefault="00FA3AD6" w:rsidP="00FA548D">
      <w:pPr>
        <w:spacing w:before="120" w:after="120" w:line="240" w:lineRule="auto"/>
        <w:rPr>
          <w:rFonts w:ascii="Times New Roman" w:hAnsi="Times New Roman" w:cs="Times New Roman"/>
          <w:sz w:val="24"/>
        </w:rPr>
      </w:pPr>
      <w:r w:rsidRPr="00DB69AF">
        <w:rPr>
          <w:rFonts w:ascii="Times New Roman" w:eastAsiaTheme="minorEastAsia" w:hAnsi="Times New Roman" w:cs="Times New Roman"/>
          <w:b/>
          <w:sz w:val="24"/>
        </w:rPr>
        <w:t>Table</w:t>
      </w:r>
      <w:r w:rsidR="00A46EB5">
        <w:rPr>
          <w:rFonts w:ascii="Times New Roman" w:eastAsiaTheme="minorEastAsia" w:hAnsi="Times New Roman" w:cs="Times New Roman"/>
          <w:b/>
          <w:sz w:val="24"/>
        </w:rPr>
        <w:t>, Supplemental Digital Content 7</w:t>
      </w:r>
      <w:bookmarkStart w:id="0" w:name="_GoBack"/>
      <w:bookmarkEnd w:id="0"/>
      <w:r w:rsidR="00FA548D" w:rsidRPr="00DB69AF">
        <w:rPr>
          <w:rFonts w:ascii="Times New Roman" w:hAnsi="Times New Roman" w:cs="Times New Roman"/>
          <w:b/>
          <w:sz w:val="24"/>
        </w:rPr>
        <w:t>.</w:t>
      </w:r>
      <w:r w:rsidR="00FA548D" w:rsidRPr="00DB69AF">
        <w:rPr>
          <w:rFonts w:ascii="Times New Roman" w:hAnsi="Times New Roman" w:cs="Times New Roman"/>
          <w:sz w:val="24"/>
        </w:rPr>
        <w:t xml:space="preserve"> Comparison of hazard ratios of </w:t>
      </w:r>
      <w:r w:rsidR="00226F95">
        <w:rPr>
          <w:rFonts w:ascii="Times New Roman" w:hAnsi="Times New Roman" w:cs="Times New Roman"/>
          <w:sz w:val="24"/>
        </w:rPr>
        <w:t>learning disabilities (</w:t>
      </w:r>
      <w:r w:rsidR="00FA548D" w:rsidRPr="00DB69AF">
        <w:rPr>
          <w:rFonts w:ascii="Times New Roman" w:hAnsi="Times New Roman" w:cs="Times New Roman"/>
          <w:sz w:val="24"/>
        </w:rPr>
        <w:t>LD</w:t>
      </w:r>
      <w:r w:rsidR="00226F95">
        <w:rPr>
          <w:rFonts w:ascii="Times New Roman" w:hAnsi="Times New Roman" w:cs="Times New Roman"/>
          <w:sz w:val="24"/>
        </w:rPr>
        <w:t>)</w:t>
      </w:r>
      <w:r w:rsidR="00FA548D" w:rsidRPr="00DB69AF">
        <w:rPr>
          <w:rFonts w:ascii="Times New Roman" w:hAnsi="Times New Roman" w:cs="Times New Roman"/>
          <w:sz w:val="24"/>
        </w:rPr>
        <w:t xml:space="preserve"> and </w:t>
      </w:r>
      <w:r w:rsidR="00226F95">
        <w:rPr>
          <w:rFonts w:ascii="Times New Roman" w:hAnsi="Times New Roman" w:cs="Times New Roman"/>
          <w:sz w:val="24"/>
        </w:rPr>
        <w:t>attention deficit hyperactivity disorder (</w:t>
      </w:r>
      <w:r w:rsidR="00FA548D" w:rsidRPr="00DB69AF">
        <w:rPr>
          <w:rFonts w:ascii="Times New Roman" w:hAnsi="Times New Roman" w:cs="Times New Roman"/>
          <w:sz w:val="24"/>
        </w:rPr>
        <w:t>ADHD</w:t>
      </w:r>
      <w:r w:rsidR="00226F95">
        <w:rPr>
          <w:rFonts w:ascii="Times New Roman" w:hAnsi="Times New Roman" w:cs="Times New Roman"/>
          <w:sz w:val="24"/>
        </w:rPr>
        <w:t>)</w:t>
      </w:r>
      <w:r w:rsidR="00FA548D" w:rsidRPr="00DB69AF">
        <w:rPr>
          <w:rFonts w:ascii="Times New Roman" w:hAnsi="Times New Roman" w:cs="Times New Roman"/>
          <w:sz w:val="24"/>
        </w:rPr>
        <w:t xml:space="preserve"> for multiply and singly exposed children as compared to unexposed children in the current (born 1996-2000) and prior (born 1976-1982) study cohorts </w:t>
      </w:r>
    </w:p>
    <w:tbl>
      <w:tblPr>
        <w:tblpPr w:leftFromText="180" w:rightFromText="180" w:vertAnchor="text" w:horzAnchor="margin" w:tblpY="250"/>
        <w:tblW w:w="9423" w:type="dxa"/>
        <w:tblLayout w:type="fixed"/>
        <w:tblLook w:val="04A0" w:firstRow="1" w:lastRow="0" w:firstColumn="1" w:lastColumn="0" w:noHBand="0" w:noVBand="1"/>
      </w:tblPr>
      <w:tblGrid>
        <w:gridCol w:w="2088"/>
        <w:gridCol w:w="2295"/>
        <w:gridCol w:w="1440"/>
        <w:gridCol w:w="2340"/>
        <w:gridCol w:w="1260"/>
      </w:tblGrid>
      <w:tr w:rsidR="00FA548D" w:rsidRPr="00490B90" w:rsidTr="009C54AC">
        <w:tc>
          <w:tcPr>
            <w:tcW w:w="2088" w:type="dxa"/>
            <w:tcBorders>
              <w:top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3735" w:type="dxa"/>
            <w:gridSpan w:val="2"/>
            <w:tcBorders>
              <w:top w:val="single" w:sz="4" w:space="0" w:color="auto"/>
            </w:tcBorders>
            <w:shd w:val="clear" w:color="auto" w:fill="auto"/>
            <w:vAlign w:val="center"/>
          </w:tcPr>
          <w:p w:rsidR="00FA548D" w:rsidRPr="00B32DB0" w:rsidRDefault="00FA548D" w:rsidP="009C54AC">
            <w:pPr>
              <w:spacing w:before="120" w:after="120"/>
              <w:jc w:val="center"/>
              <w:rPr>
                <w:rFonts w:ascii="Times New Roman" w:eastAsia="Times New Roman" w:hAnsi="Times New Roman" w:cs="Times New Roman"/>
              </w:rPr>
            </w:pPr>
            <w:r w:rsidRPr="00B32DB0">
              <w:rPr>
                <w:rFonts w:ascii="Times New Roman" w:eastAsia="Times New Roman" w:hAnsi="Times New Roman" w:cs="Times New Roman"/>
              </w:rPr>
              <w:t>LD</w:t>
            </w:r>
            <w:r w:rsidR="00120F5A">
              <w:rPr>
                <w:rFonts w:ascii="Times New Roman" w:eastAsia="Times New Roman" w:hAnsi="Times New Roman" w:cs="Times New Roman"/>
              </w:rPr>
              <w:t xml:space="preserve"> </w:t>
            </w:r>
          </w:p>
        </w:tc>
        <w:tc>
          <w:tcPr>
            <w:tcW w:w="3600" w:type="dxa"/>
            <w:gridSpan w:val="2"/>
            <w:tcBorders>
              <w:top w:val="single" w:sz="4" w:space="0" w:color="auto"/>
            </w:tcBorders>
            <w:shd w:val="clear" w:color="auto" w:fill="auto"/>
            <w:vAlign w:val="center"/>
          </w:tcPr>
          <w:p w:rsidR="00FA548D" w:rsidRPr="00B32DB0" w:rsidRDefault="00FA548D" w:rsidP="009C54AC">
            <w:pPr>
              <w:spacing w:before="120" w:after="120"/>
              <w:jc w:val="center"/>
              <w:rPr>
                <w:rFonts w:ascii="Times New Roman" w:eastAsia="Times New Roman" w:hAnsi="Times New Roman" w:cs="Times New Roman"/>
              </w:rPr>
            </w:pPr>
            <w:r w:rsidRPr="00B32DB0">
              <w:rPr>
                <w:rFonts w:ascii="Times New Roman" w:eastAsia="Times New Roman" w:hAnsi="Times New Roman" w:cs="Times New Roman"/>
              </w:rPr>
              <w:t>ADHD</w:t>
            </w:r>
          </w:p>
        </w:tc>
      </w:tr>
      <w:tr w:rsidR="00FA548D" w:rsidRPr="00490B90" w:rsidTr="009C54AC">
        <w:tc>
          <w:tcPr>
            <w:tcW w:w="2088" w:type="dxa"/>
            <w:tcBorders>
              <w:bottom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2295" w:type="dxa"/>
            <w:tcBorders>
              <w:bottom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Hazard Ratio (95% CI)</w:t>
            </w:r>
          </w:p>
        </w:tc>
        <w:tc>
          <w:tcPr>
            <w:tcW w:w="1440" w:type="dxa"/>
            <w:tcBorders>
              <w:bottom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p value</w:t>
            </w:r>
          </w:p>
        </w:tc>
        <w:tc>
          <w:tcPr>
            <w:tcW w:w="2340" w:type="dxa"/>
            <w:tcBorders>
              <w:bottom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Hazard Ratio (95% CI)</w:t>
            </w:r>
          </w:p>
        </w:tc>
        <w:tc>
          <w:tcPr>
            <w:tcW w:w="1260" w:type="dxa"/>
            <w:tcBorders>
              <w:bottom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p value</w:t>
            </w:r>
          </w:p>
        </w:tc>
      </w:tr>
      <w:tr w:rsidR="00FA548D" w:rsidRPr="00490B90" w:rsidTr="009C54AC">
        <w:tc>
          <w:tcPr>
            <w:tcW w:w="2088" w:type="dxa"/>
            <w:tcBorders>
              <w:top w:val="single" w:sz="4" w:space="0" w:color="auto"/>
            </w:tcBorders>
            <w:shd w:val="clear" w:color="auto" w:fill="auto"/>
            <w:vAlign w:val="center"/>
          </w:tcPr>
          <w:p w:rsidR="00FA548D" w:rsidRPr="00B32DB0" w:rsidRDefault="00FA548D" w:rsidP="00120F5A">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No. of exposures prior to age 2 in the prior cohort (born 1976-1982) </w:t>
            </w:r>
            <w:r>
              <w:rPr>
                <w:rFonts w:ascii="Times New Roman" w:eastAsia="Times New Roman" w:hAnsi="Times New Roman" w:cs="Times New Roman"/>
              </w:rPr>
              <w:t xml:space="preserve"> </w:t>
            </w:r>
          </w:p>
        </w:tc>
        <w:tc>
          <w:tcPr>
            <w:tcW w:w="2295" w:type="dxa"/>
            <w:tcBorders>
              <w:top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1440" w:type="dxa"/>
            <w:tcBorders>
              <w:top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0.016</w:t>
            </w:r>
          </w:p>
        </w:tc>
        <w:tc>
          <w:tcPr>
            <w:tcW w:w="2340" w:type="dxa"/>
            <w:tcBorders>
              <w:top w:val="single" w:sz="4" w:space="0" w:color="auto"/>
            </w:tcBorders>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1260" w:type="dxa"/>
            <w:tcBorders>
              <w:top w:val="single" w:sz="4" w:space="0" w:color="auto"/>
            </w:tcBorders>
            <w:shd w:val="clear" w:color="auto" w:fill="auto"/>
            <w:vAlign w:val="center"/>
          </w:tcPr>
          <w:p w:rsidR="00FA548D" w:rsidRPr="00B32DB0" w:rsidRDefault="00D927DA" w:rsidP="00D927DA">
            <w:pPr>
              <w:spacing w:before="120" w:after="120"/>
              <w:jc w:val="center"/>
              <w:rPr>
                <w:rFonts w:ascii="Times New Roman" w:eastAsia="Times New Roman" w:hAnsi="Times New Roman" w:cs="Times New Roman"/>
              </w:rPr>
            </w:pPr>
            <w:r>
              <w:rPr>
                <w:rFonts w:ascii="Times New Roman" w:eastAsia="Times New Roman" w:hAnsi="Times New Roman" w:cs="Times New Roman"/>
              </w:rPr>
              <w:t>Not calculated</w:t>
            </w:r>
          </w:p>
        </w:tc>
      </w:tr>
      <w:tr w:rsidR="00FA548D" w:rsidRPr="00490B90" w:rsidTr="009C54AC">
        <w:tc>
          <w:tcPr>
            <w:tcW w:w="2088"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0 </w:t>
            </w:r>
          </w:p>
        </w:tc>
        <w:tc>
          <w:tcPr>
            <w:tcW w:w="2295" w:type="dxa"/>
            <w:shd w:val="clear" w:color="auto" w:fill="auto"/>
            <w:vAlign w:val="center"/>
          </w:tcPr>
          <w:p w:rsidR="00FA548D" w:rsidRPr="00B32DB0" w:rsidRDefault="00226F95" w:rsidP="00226F95">
            <w:pPr>
              <w:spacing w:before="120" w:after="120"/>
              <w:rPr>
                <w:rFonts w:ascii="Times New Roman" w:eastAsia="Times New Roman" w:hAnsi="Times New Roman" w:cs="Times New Roman"/>
              </w:rPr>
            </w:pPr>
            <w:r>
              <w:rPr>
                <w:rFonts w:ascii="Times New Roman" w:eastAsia="Times New Roman" w:hAnsi="Times New Roman" w:cs="Times New Roman"/>
              </w:rPr>
              <w:t>Reference**</w:t>
            </w:r>
          </w:p>
        </w:tc>
        <w:tc>
          <w:tcPr>
            <w:tcW w:w="14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2340" w:type="dxa"/>
            <w:shd w:val="clear" w:color="auto" w:fill="auto"/>
            <w:vAlign w:val="center"/>
          </w:tcPr>
          <w:p w:rsidR="00FA548D" w:rsidRPr="00B32DB0" w:rsidRDefault="00226F95" w:rsidP="009C54AC">
            <w:pPr>
              <w:spacing w:before="120" w:after="120"/>
              <w:rPr>
                <w:rFonts w:ascii="Times New Roman" w:eastAsia="Times New Roman" w:hAnsi="Times New Roman" w:cs="Times New Roman"/>
              </w:rPr>
            </w:pPr>
            <w:r>
              <w:rPr>
                <w:rFonts w:ascii="Times New Roman" w:eastAsia="Times New Roman" w:hAnsi="Times New Roman" w:cs="Times New Roman"/>
              </w:rPr>
              <w:t>Reference***</w:t>
            </w:r>
          </w:p>
        </w:tc>
        <w:tc>
          <w:tcPr>
            <w:tcW w:w="126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r>
      <w:tr w:rsidR="00FA548D" w:rsidRPr="00490B90" w:rsidTr="009C54AC">
        <w:tc>
          <w:tcPr>
            <w:tcW w:w="2088"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1 </w:t>
            </w:r>
          </w:p>
        </w:tc>
        <w:tc>
          <w:tcPr>
            <w:tcW w:w="2295"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1.06 (0.77-1.46)</w:t>
            </w:r>
          </w:p>
        </w:tc>
        <w:tc>
          <w:tcPr>
            <w:tcW w:w="14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23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1.</w:t>
            </w:r>
            <w:r>
              <w:rPr>
                <w:rFonts w:ascii="Times New Roman" w:eastAsia="Times New Roman" w:hAnsi="Times New Roman" w:cs="Times New Roman"/>
              </w:rPr>
              <w:t>1</w:t>
            </w:r>
            <w:r w:rsidRPr="00B32DB0">
              <w:rPr>
                <w:rFonts w:ascii="Times New Roman" w:eastAsia="Times New Roman" w:hAnsi="Times New Roman" w:cs="Times New Roman"/>
              </w:rPr>
              <w:t>8 (0.</w:t>
            </w:r>
            <w:r>
              <w:rPr>
                <w:rFonts w:ascii="Times New Roman" w:eastAsia="Times New Roman" w:hAnsi="Times New Roman" w:cs="Times New Roman"/>
              </w:rPr>
              <w:t>79</w:t>
            </w:r>
            <w:r w:rsidRPr="00B32DB0">
              <w:rPr>
                <w:rFonts w:ascii="Times New Roman" w:eastAsia="Times New Roman" w:hAnsi="Times New Roman" w:cs="Times New Roman"/>
              </w:rPr>
              <w:t>-</w:t>
            </w:r>
            <w:r>
              <w:rPr>
                <w:rFonts w:ascii="Times New Roman" w:eastAsia="Times New Roman" w:hAnsi="Times New Roman" w:cs="Times New Roman"/>
              </w:rPr>
              <w:t>1.77</w:t>
            </w:r>
            <w:r w:rsidRPr="00B32DB0">
              <w:rPr>
                <w:rFonts w:ascii="Times New Roman" w:eastAsia="Times New Roman" w:hAnsi="Times New Roman" w:cs="Times New Roman"/>
              </w:rPr>
              <w:t>)</w:t>
            </w:r>
          </w:p>
        </w:tc>
        <w:tc>
          <w:tcPr>
            <w:tcW w:w="126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0.</w:t>
            </w:r>
            <w:r>
              <w:rPr>
                <w:rFonts w:ascii="Times New Roman" w:eastAsia="Times New Roman" w:hAnsi="Times New Roman" w:cs="Times New Roman"/>
              </w:rPr>
              <w:t>41</w:t>
            </w:r>
            <w:r w:rsidRPr="00B32DB0">
              <w:rPr>
                <w:rFonts w:ascii="Times New Roman" w:eastAsia="Times New Roman" w:hAnsi="Times New Roman" w:cs="Times New Roman"/>
              </w:rPr>
              <w:t>4</w:t>
            </w:r>
          </w:p>
        </w:tc>
      </w:tr>
      <w:tr w:rsidR="00FA548D" w:rsidRPr="00490B90" w:rsidTr="009C54AC">
        <w:tc>
          <w:tcPr>
            <w:tcW w:w="2088"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≥2 </w:t>
            </w:r>
          </w:p>
        </w:tc>
        <w:tc>
          <w:tcPr>
            <w:tcW w:w="2295"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2.12 (1.26-3.54)</w:t>
            </w:r>
          </w:p>
        </w:tc>
        <w:tc>
          <w:tcPr>
            <w:tcW w:w="14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23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Pr>
                <w:rFonts w:ascii="Times New Roman" w:eastAsia="Times New Roman" w:hAnsi="Times New Roman" w:cs="Times New Roman"/>
              </w:rPr>
              <w:t>1.95</w:t>
            </w:r>
            <w:r w:rsidRPr="00B32DB0">
              <w:rPr>
                <w:rFonts w:ascii="Times New Roman" w:eastAsia="Times New Roman" w:hAnsi="Times New Roman" w:cs="Times New Roman"/>
              </w:rPr>
              <w:t xml:space="preserve"> (1.</w:t>
            </w:r>
            <w:r>
              <w:rPr>
                <w:rFonts w:ascii="Times New Roman" w:eastAsia="Times New Roman" w:hAnsi="Times New Roman" w:cs="Times New Roman"/>
              </w:rPr>
              <w:t>03</w:t>
            </w:r>
            <w:r w:rsidRPr="00B32DB0">
              <w:rPr>
                <w:rFonts w:ascii="Times New Roman" w:eastAsia="Times New Roman" w:hAnsi="Times New Roman" w:cs="Times New Roman"/>
              </w:rPr>
              <w:t>-</w:t>
            </w:r>
            <w:r>
              <w:rPr>
                <w:rFonts w:ascii="Times New Roman" w:eastAsia="Times New Roman" w:hAnsi="Times New Roman" w:cs="Times New Roman"/>
              </w:rPr>
              <w:t>3.71</w:t>
            </w:r>
            <w:r w:rsidRPr="00B32DB0">
              <w:rPr>
                <w:rFonts w:ascii="Times New Roman" w:eastAsia="Times New Roman" w:hAnsi="Times New Roman" w:cs="Times New Roman"/>
              </w:rPr>
              <w:t>)</w:t>
            </w:r>
          </w:p>
        </w:tc>
        <w:tc>
          <w:tcPr>
            <w:tcW w:w="126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0.0</w:t>
            </w:r>
            <w:r>
              <w:rPr>
                <w:rFonts w:ascii="Times New Roman" w:eastAsia="Times New Roman" w:hAnsi="Times New Roman" w:cs="Times New Roman"/>
              </w:rPr>
              <w:t>42</w:t>
            </w:r>
          </w:p>
        </w:tc>
      </w:tr>
      <w:tr w:rsidR="00FA548D" w:rsidRPr="00490B90" w:rsidTr="009C54AC">
        <w:tc>
          <w:tcPr>
            <w:tcW w:w="2088"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No. of exposures prior to age 3 in the current cohort (born 1996-2000)</w:t>
            </w:r>
            <w:r w:rsidR="00120F5A">
              <w:rPr>
                <w:rFonts w:ascii="Times New Roman" w:eastAsia="Times New Roman" w:hAnsi="Times New Roman" w:cs="Times New Roman"/>
              </w:rPr>
              <w:t>*</w:t>
            </w:r>
          </w:p>
        </w:tc>
        <w:tc>
          <w:tcPr>
            <w:tcW w:w="2295"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1440" w:type="dxa"/>
            <w:shd w:val="clear" w:color="auto" w:fill="auto"/>
            <w:vAlign w:val="center"/>
          </w:tcPr>
          <w:p w:rsidR="00FA548D" w:rsidRPr="00B32DB0" w:rsidRDefault="00120F5A" w:rsidP="009C54AC">
            <w:pPr>
              <w:spacing w:before="120" w:after="120"/>
              <w:rPr>
                <w:rFonts w:ascii="Times New Roman" w:eastAsia="Times New Roman" w:hAnsi="Times New Roman" w:cs="Times New Roman"/>
              </w:rPr>
            </w:pPr>
            <w:r>
              <w:rPr>
                <w:rFonts w:ascii="Times New Roman" w:eastAsia="Times New Roman" w:hAnsi="Times New Roman" w:cs="Times New Roman"/>
              </w:rPr>
              <w:t>0.005</w:t>
            </w:r>
          </w:p>
        </w:tc>
        <w:tc>
          <w:tcPr>
            <w:tcW w:w="23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126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&lt;0.001</w:t>
            </w:r>
          </w:p>
        </w:tc>
      </w:tr>
      <w:tr w:rsidR="00FA548D" w:rsidRPr="00490B90" w:rsidTr="009C54AC">
        <w:tc>
          <w:tcPr>
            <w:tcW w:w="2088"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0 </w:t>
            </w:r>
          </w:p>
        </w:tc>
        <w:tc>
          <w:tcPr>
            <w:tcW w:w="2295"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Reference</w:t>
            </w:r>
          </w:p>
        </w:tc>
        <w:tc>
          <w:tcPr>
            <w:tcW w:w="14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c>
          <w:tcPr>
            <w:tcW w:w="234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r w:rsidRPr="00B32DB0">
              <w:rPr>
                <w:rFonts w:ascii="Times New Roman" w:eastAsia="Times New Roman" w:hAnsi="Times New Roman" w:cs="Times New Roman"/>
              </w:rPr>
              <w:t>Reference</w:t>
            </w:r>
          </w:p>
        </w:tc>
        <w:tc>
          <w:tcPr>
            <w:tcW w:w="1260" w:type="dxa"/>
            <w:shd w:val="clear" w:color="auto" w:fill="auto"/>
            <w:vAlign w:val="center"/>
          </w:tcPr>
          <w:p w:rsidR="00FA548D" w:rsidRPr="00B32DB0" w:rsidRDefault="00FA548D" w:rsidP="009C54AC">
            <w:pPr>
              <w:spacing w:before="120" w:after="120"/>
              <w:rPr>
                <w:rFonts w:ascii="Times New Roman" w:eastAsia="Times New Roman" w:hAnsi="Times New Roman" w:cs="Times New Roman"/>
              </w:rPr>
            </w:pPr>
          </w:p>
        </w:tc>
      </w:tr>
      <w:tr w:rsidR="00465783" w:rsidRPr="00490B90" w:rsidTr="009C54AC">
        <w:tc>
          <w:tcPr>
            <w:tcW w:w="2088" w:type="dxa"/>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1 </w:t>
            </w:r>
          </w:p>
        </w:tc>
        <w:tc>
          <w:tcPr>
            <w:tcW w:w="2295" w:type="dxa"/>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Pr>
                <w:rFonts w:ascii="Times New Roman" w:eastAsia="Times New Roman" w:hAnsi="Times New Roman" w:cs="Times New Roman"/>
              </w:rPr>
              <w:t>1.02</w:t>
            </w:r>
            <w:r w:rsidRPr="00B32DB0">
              <w:rPr>
                <w:rFonts w:ascii="Times New Roman" w:eastAsia="Times New Roman" w:hAnsi="Times New Roman" w:cs="Times New Roman"/>
              </w:rPr>
              <w:t xml:space="preserve"> </w:t>
            </w:r>
            <w:r>
              <w:rPr>
                <w:rFonts w:ascii="Times New Roman" w:eastAsia="Times New Roman" w:hAnsi="Times New Roman" w:cs="Times New Roman"/>
              </w:rPr>
              <w:t>(0.70-1.49</w:t>
            </w:r>
            <w:r w:rsidRPr="00B32DB0">
              <w:rPr>
                <w:rFonts w:ascii="Times New Roman" w:eastAsia="Times New Roman" w:hAnsi="Times New Roman" w:cs="Times New Roman"/>
              </w:rPr>
              <w:t>)</w:t>
            </w:r>
          </w:p>
        </w:tc>
        <w:tc>
          <w:tcPr>
            <w:tcW w:w="1440" w:type="dxa"/>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Pr>
                <w:rFonts w:ascii="Times New Roman" w:eastAsia="Times New Roman" w:hAnsi="Times New Roman" w:cs="Times New Roman"/>
              </w:rPr>
              <w:t>0.913</w:t>
            </w:r>
          </w:p>
        </w:tc>
        <w:tc>
          <w:tcPr>
            <w:tcW w:w="2340" w:type="dxa"/>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1.3</w:t>
            </w:r>
            <w:r>
              <w:rPr>
                <w:rFonts w:ascii="Times New Roman" w:eastAsia="Times New Roman" w:hAnsi="Times New Roman" w:cs="Times New Roman"/>
              </w:rPr>
              <w:t>6</w:t>
            </w:r>
            <w:r w:rsidRPr="00B32DB0">
              <w:rPr>
                <w:rFonts w:ascii="Times New Roman" w:eastAsia="Times New Roman" w:hAnsi="Times New Roman" w:cs="Times New Roman"/>
              </w:rPr>
              <w:t xml:space="preserve"> (0.9</w:t>
            </w:r>
            <w:r>
              <w:rPr>
                <w:rFonts w:ascii="Times New Roman" w:eastAsia="Times New Roman" w:hAnsi="Times New Roman" w:cs="Times New Roman"/>
              </w:rPr>
              <w:t>5</w:t>
            </w:r>
            <w:r w:rsidRPr="00B32DB0">
              <w:rPr>
                <w:rFonts w:ascii="Times New Roman" w:eastAsia="Times New Roman" w:hAnsi="Times New Roman" w:cs="Times New Roman"/>
              </w:rPr>
              <w:t>-1.9</w:t>
            </w:r>
            <w:r>
              <w:rPr>
                <w:rFonts w:ascii="Times New Roman" w:eastAsia="Times New Roman" w:hAnsi="Times New Roman" w:cs="Times New Roman"/>
              </w:rPr>
              <w:t>5</w:t>
            </w:r>
            <w:r w:rsidRPr="00B32DB0">
              <w:rPr>
                <w:rFonts w:ascii="Times New Roman" w:eastAsia="Times New Roman" w:hAnsi="Times New Roman" w:cs="Times New Roman"/>
              </w:rPr>
              <w:t>)</w:t>
            </w:r>
          </w:p>
        </w:tc>
        <w:tc>
          <w:tcPr>
            <w:tcW w:w="1260" w:type="dxa"/>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0.0</w:t>
            </w:r>
            <w:r>
              <w:rPr>
                <w:rFonts w:ascii="Times New Roman" w:eastAsia="Times New Roman" w:hAnsi="Times New Roman" w:cs="Times New Roman"/>
              </w:rPr>
              <w:t>91</w:t>
            </w:r>
          </w:p>
        </w:tc>
      </w:tr>
      <w:tr w:rsidR="00465783" w:rsidRPr="00490B90" w:rsidTr="009C54AC">
        <w:tc>
          <w:tcPr>
            <w:tcW w:w="2088" w:type="dxa"/>
            <w:tcBorders>
              <w:bottom w:val="single" w:sz="4" w:space="0" w:color="auto"/>
            </w:tcBorders>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 xml:space="preserve">≥2 </w:t>
            </w:r>
          </w:p>
        </w:tc>
        <w:tc>
          <w:tcPr>
            <w:tcW w:w="2295" w:type="dxa"/>
            <w:tcBorders>
              <w:bottom w:val="single" w:sz="4" w:space="0" w:color="auto"/>
            </w:tcBorders>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Pr>
                <w:rFonts w:ascii="Times New Roman" w:eastAsia="Times New Roman" w:hAnsi="Times New Roman" w:cs="Times New Roman"/>
              </w:rPr>
              <w:t>2.10 (1.30-3.40</w:t>
            </w:r>
            <w:r w:rsidRPr="00B32DB0">
              <w:rPr>
                <w:rFonts w:ascii="Times New Roman" w:eastAsia="Times New Roman" w:hAnsi="Times New Roman" w:cs="Times New Roman"/>
              </w:rPr>
              <w:t>)</w:t>
            </w:r>
          </w:p>
        </w:tc>
        <w:tc>
          <w:tcPr>
            <w:tcW w:w="1440" w:type="dxa"/>
            <w:tcBorders>
              <w:bottom w:val="single" w:sz="4" w:space="0" w:color="auto"/>
            </w:tcBorders>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Pr>
                <w:rFonts w:ascii="Times New Roman" w:eastAsia="Times New Roman" w:hAnsi="Times New Roman" w:cs="Times New Roman"/>
              </w:rPr>
              <w:t>0.003</w:t>
            </w:r>
          </w:p>
        </w:tc>
        <w:tc>
          <w:tcPr>
            <w:tcW w:w="2340" w:type="dxa"/>
            <w:tcBorders>
              <w:bottom w:val="single" w:sz="4" w:space="0" w:color="auto"/>
            </w:tcBorders>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2.6</w:t>
            </w:r>
            <w:r>
              <w:rPr>
                <w:rFonts w:ascii="Times New Roman" w:eastAsia="Times New Roman" w:hAnsi="Times New Roman" w:cs="Times New Roman"/>
              </w:rPr>
              <w:t>8</w:t>
            </w:r>
            <w:r w:rsidRPr="00B32DB0">
              <w:rPr>
                <w:rFonts w:ascii="Times New Roman" w:eastAsia="Times New Roman" w:hAnsi="Times New Roman" w:cs="Times New Roman"/>
              </w:rPr>
              <w:t xml:space="preserve"> (1.</w:t>
            </w:r>
            <w:r>
              <w:rPr>
                <w:rFonts w:ascii="Times New Roman" w:eastAsia="Times New Roman" w:hAnsi="Times New Roman" w:cs="Times New Roman"/>
              </w:rPr>
              <w:t>68</w:t>
            </w:r>
            <w:r w:rsidRPr="00B32DB0">
              <w:rPr>
                <w:rFonts w:ascii="Times New Roman" w:eastAsia="Times New Roman" w:hAnsi="Times New Roman" w:cs="Times New Roman"/>
              </w:rPr>
              <w:t>-4.2</w:t>
            </w:r>
            <w:r>
              <w:rPr>
                <w:rFonts w:ascii="Times New Roman" w:eastAsia="Times New Roman" w:hAnsi="Times New Roman" w:cs="Times New Roman"/>
              </w:rPr>
              <w:t>6</w:t>
            </w:r>
            <w:r w:rsidRPr="00B32DB0">
              <w:rPr>
                <w:rFonts w:ascii="Times New Roman" w:eastAsia="Times New Roman" w:hAnsi="Times New Roman" w:cs="Times New Roman"/>
              </w:rPr>
              <w:t>)</w:t>
            </w:r>
          </w:p>
        </w:tc>
        <w:tc>
          <w:tcPr>
            <w:tcW w:w="1260" w:type="dxa"/>
            <w:tcBorders>
              <w:bottom w:val="single" w:sz="4" w:space="0" w:color="auto"/>
            </w:tcBorders>
            <w:shd w:val="clear" w:color="auto" w:fill="auto"/>
            <w:vAlign w:val="center"/>
          </w:tcPr>
          <w:p w:rsidR="00465783" w:rsidRPr="00B32DB0" w:rsidRDefault="00465783" w:rsidP="00465783">
            <w:pPr>
              <w:spacing w:before="120" w:after="120"/>
              <w:rPr>
                <w:rFonts w:ascii="Times New Roman" w:eastAsia="Times New Roman" w:hAnsi="Times New Roman" w:cs="Times New Roman"/>
              </w:rPr>
            </w:pPr>
            <w:r w:rsidRPr="00B32DB0">
              <w:rPr>
                <w:rFonts w:ascii="Times New Roman" w:eastAsia="Times New Roman" w:hAnsi="Times New Roman" w:cs="Times New Roman"/>
              </w:rPr>
              <w:t>&lt;.001</w:t>
            </w:r>
          </w:p>
        </w:tc>
      </w:tr>
    </w:tbl>
    <w:p w:rsidR="006E3E83" w:rsidRDefault="006E3E83">
      <w:pPr>
        <w:rPr>
          <w:rFonts w:ascii="Times New Roman" w:hAnsi="Times New Roman" w:cs="Times New Roman"/>
          <w:b/>
          <w:sz w:val="24"/>
        </w:rPr>
      </w:pPr>
    </w:p>
    <w:p w:rsidR="006E3E83" w:rsidRPr="00DB69AF" w:rsidRDefault="006E3E83" w:rsidP="00CB286B">
      <w:pPr>
        <w:spacing w:before="120" w:after="120" w:line="480" w:lineRule="auto"/>
        <w:rPr>
          <w:rFonts w:ascii="Times New Roman" w:hAnsi="Times New Roman" w:cs="Times New Roman"/>
          <w:sz w:val="24"/>
        </w:rPr>
      </w:pPr>
      <w:r w:rsidRPr="006E3E83">
        <w:rPr>
          <w:rFonts w:ascii="Times New Roman" w:hAnsi="Times New Roman" w:cs="Times New Roman"/>
        </w:rPr>
        <w:t xml:space="preserve">*Analysis for the current cohort was adjusted for sex, birth weight, gestational age, and mother’s education, as most comparable to the data from the prior cohort. Data for the prior cohort were presented in </w:t>
      </w:r>
      <w:r w:rsidR="00226F95">
        <w:rPr>
          <w:rFonts w:ascii="Times New Roman" w:hAnsi="Times New Roman" w:cs="Times New Roman"/>
        </w:rPr>
        <w:t xml:space="preserve">**Flick </w:t>
      </w:r>
      <w:proofErr w:type="gramStart"/>
      <w:r w:rsidR="00226F95">
        <w:rPr>
          <w:rFonts w:ascii="Times New Roman" w:hAnsi="Times New Roman" w:cs="Times New Roman"/>
        </w:rPr>
        <w:t>et</w:t>
      </w:r>
      <w:proofErr w:type="gramEnd"/>
      <w:r w:rsidR="00226F95">
        <w:rPr>
          <w:rFonts w:ascii="Times New Roman" w:hAnsi="Times New Roman" w:cs="Times New Roman"/>
        </w:rPr>
        <w:t xml:space="preserve"> al</w:t>
      </w:r>
      <w:r w:rsidR="00D927DA">
        <w:rPr>
          <w:rFonts w:ascii="Times New Roman" w:hAnsi="Times New Roman" w:cs="Times New Roman"/>
          <w:vertAlign w:val="superscript"/>
        </w:rPr>
        <w:t xml:space="preserve">9 </w:t>
      </w:r>
      <w:r w:rsidRPr="006E3E83">
        <w:rPr>
          <w:rFonts w:ascii="Times New Roman" w:hAnsi="Times New Roman" w:cs="Times New Roman"/>
        </w:rPr>
        <w:t xml:space="preserve">and </w:t>
      </w:r>
      <w:r w:rsidR="00226F95">
        <w:rPr>
          <w:rFonts w:ascii="Times New Roman" w:hAnsi="Times New Roman" w:cs="Times New Roman"/>
        </w:rPr>
        <w:t>***Sprung et al</w:t>
      </w:r>
      <w:r w:rsidR="00D927DA">
        <w:rPr>
          <w:rFonts w:ascii="Times New Roman" w:hAnsi="Times New Roman" w:cs="Times New Roman"/>
        </w:rPr>
        <w:t>.</w:t>
      </w:r>
      <w:r w:rsidR="00CB286B">
        <w:rPr>
          <w:rFonts w:ascii="Times New Roman" w:hAnsi="Times New Roman" w:cs="Times New Roman"/>
          <w:vertAlign w:val="superscript"/>
        </w:rPr>
        <w:t>11</w:t>
      </w:r>
    </w:p>
    <w:sectPr w:rsidR="006E3E83" w:rsidRPr="00DB69AF" w:rsidSect="00CB2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9E"/>
    <w:rsid w:val="00120F5A"/>
    <w:rsid w:val="001D1B53"/>
    <w:rsid w:val="00226F95"/>
    <w:rsid w:val="00364777"/>
    <w:rsid w:val="00386F62"/>
    <w:rsid w:val="003B21EC"/>
    <w:rsid w:val="00406F6E"/>
    <w:rsid w:val="00421EDD"/>
    <w:rsid w:val="00465783"/>
    <w:rsid w:val="004E2061"/>
    <w:rsid w:val="005E233E"/>
    <w:rsid w:val="006E3E83"/>
    <w:rsid w:val="009C54AC"/>
    <w:rsid w:val="00A46EB5"/>
    <w:rsid w:val="00CB286B"/>
    <w:rsid w:val="00CE459E"/>
    <w:rsid w:val="00D067AB"/>
    <w:rsid w:val="00D545B8"/>
    <w:rsid w:val="00D927DA"/>
    <w:rsid w:val="00E06E83"/>
    <w:rsid w:val="00EB7A42"/>
    <w:rsid w:val="00F52516"/>
    <w:rsid w:val="00F63CC6"/>
    <w:rsid w:val="00FA3AD6"/>
    <w:rsid w:val="00FA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8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783"/>
    <w:rPr>
      <w:sz w:val="16"/>
      <w:szCs w:val="16"/>
    </w:rPr>
  </w:style>
  <w:style w:type="paragraph" w:styleId="CommentText">
    <w:name w:val="annotation text"/>
    <w:basedOn w:val="Normal"/>
    <w:link w:val="CommentTextChar"/>
    <w:uiPriority w:val="99"/>
    <w:semiHidden/>
    <w:unhideWhenUsed/>
    <w:rsid w:val="00465783"/>
    <w:pPr>
      <w:spacing w:line="240" w:lineRule="auto"/>
    </w:pPr>
    <w:rPr>
      <w:sz w:val="20"/>
      <w:szCs w:val="20"/>
    </w:rPr>
  </w:style>
  <w:style w:type="character" w:customStyle="1" w:styleId="CommentTextChar">
    <w:name w:val="Comment Text Char"/>
    <w:basedOn w:val="DefaultParagraphFont"/>
    <w:link w:val="CommentText"/>
    <w:uiPriority w:val="99"/>
    <w:semiHidden/>
    <w:rsid w:val="00465783"/>
    <w:rPr>
      <w:sz w:val="20"/>
      <w:szCs w:val="20"/>
    </w:rPr>
  </w:style>
  <w:style w:type="paragraph" w:styleId="BalloonText">
    <w:name w:val="Balloon Text"/>
    <w:basedOn w:val="Normal"/>
    <w:link w:val="BalloonTextChar"/>
    <w:uiPriority w:val="99"/>
    <w:semiHidden/>
    <w:unhideWhenUsed/>
    <w:rsid w:val="0046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83"/>
    <w:rPr>
      <w:rFonts w:ascii="Tahoma" w:hAnsi="Tahoma" w:cs="Tahoma"/>
      <w:sz w:val="16"/>
      <w:szCs w:val="16"/>
    </w:rPr>
  </w:style>
  <w:style w:type="numbering" w:customStyle="1" w:styleId="NoList1">
    <w:name w:val="No List1"/>
    <w:next w:val="NoList"/>
    <w:uiPriority w:val="99"/>
    <w:semiHidden/>
    <w:unhideWhenUsed/>
    <w:rsid w:val="009C54AC"/>
  </w:style>
  <w:style w:type="paragraph" w:styleId="EnvelopeAddress">
    <w:name w:val="envelope address"/>
    <w:basedOn w:val="Normal"/>
    <w:uiPriority w:val="99"/>
    <w:semiHidden/>
    <w:unhideWhenUsed/>
    <w:rsid w:val="009C54A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9C54AC"/>
    <w:pPr>
      <w:spacing w:after="0" w:line="240" w:lineRule="auto"/>
      <w:ind w:left="720"/>
      <w:contextualSpacing/>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E8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783"/>
    <w:rPr>
      <w:sz w:val="16"/>
      <w:szCs w:val="16"/>
    </w:rPr>
  </w:style>
  <w:style w:type="paragraph" w:styleId="CommentText">
    <w:name w:val="annotation text"/>
    <w:basedOn w:val="Normal"/>
    <w:link w:val="CommentTextChar"/>
    <w:uiPriority w:val="99"/>
    <w:semiHidden/>
    <w:unhideWhenUsed/>
    <w:rsid w:val="00465783"/>
    <w:pPr>
      <w:spacing w:line="240" w:lineRule="auto"/>
    </w:pPr>
    <w:rPr>
      <w:sz w:val="20"/>
      <w:szCs w:val="20"/>
    </w:rPr>
  </w:style>
  <w:style w:type="character" w:customStyle="1" w:styleId="CommentTextChar">
    <w:name w:val="Comment Text Char"/>
    <w:basedOn w:val="DefaultParagraphFont"/>
    <w:link w:val="CommentText"/>
    <w:uiPriority w:val="99"/>
    <w:semiHidden/>
    <w:rsid w:val="00465783"/>
    <w:rPr>
      <w:sz w:val="20"/>
      <w:szCs w:val="20"/>
    </w:rPr>
  </w:style>
  <w:style w:type="paragraph" w:styleId="BalloonText">
    <w:name w:val="Balloon Text"/>
    <w:basedOn w:val="Normal"/>
    <w:link w:val="BalloonTextChar"/>
    <w:uiPriority w:val="99"/>
    <w:semiHidden/>
    <w:unhideWhenUsed/>
    <w:rsid w:val="00465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783"/>
    <w:rPr>
      <w:rFonts w:ascii="Tahoma" w:hAnsi="Tahoma" w:cs="Tahoma"/>
      <w:sz w:val="16"/>
      <w:szCs w:val="16"/>
    </w:rPr>
  </w:style>
  <w:style w:type="numbering" w:customStyle="1" w:styleId="NoList1">
    <w:name w:val="No List1"/>
    <w:next w:val="NoList"/>
    <w:uiPriority w:val="99"/>
    <w:semiHidden/>
    <w:unhideWhenUsed/>
    <w:rsid w:val="009C54AC"/>
  </w:style>
  <w:style w:type="paragraph" w:styleId="EnvelopeAddress">
    <w:name w:val="envelope address"/>
    <w:basedOn w:val="Normal"/>
    <w:uiPriority w:val="99"/>
    <w:semiHidden/>
    <w:unhideWhenUsed/>
    <w:rsid w:val="009C54AC"/>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9C54AC"/>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CE841-4B06-41E1-B214-81163A41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 Warner</dc:creator>
  <cp:lastModifiedBy>David O Warner</cp:lastModifiedBy>
  <cp:revision>5</cp:revision>
  <dcterms:created xsi:type="dcterms:W3CDTF">2016-10-28T21:56:00Z</dcterms:created>
  <dcterms:modified xsi:type="dcterms:W3CDTF">2017-02-01T23:10:00Z</dcterms:modified>
</cp:coreProperties>
</file>