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7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89"/>
        <w:gridCol w:w="1389"/>
        <w:gridCol w:w="1389"/>
        <w:gridCol w:w="1389"/>
        <w:gridCol w:w="1390"/>
        <w:gridCol w:w="2015"/>
      </w:tblGrid>
      <w:tr w:rsidR="00A00F03" w:rsidRPr="00A00F03" w14:paraId="31270061" w14:textId="77777777" w:rsidTr="005346FF">
        <w:tc>
          <w:tcPr>
            <w:tcW w:w="2518" w:type="dxa"/>
            <w:tcBorders>
              <w:bottom w:val="nil"/>
            </w:tcBorders>
          </w:tcPr>
          <w:p w14:paraId="34D7EAB6" w14:textId="77777777" w:rsidR="005346FF" w:rsidRPr="00A00F03" w:rsidRDefault="005346FF" w:rsidP="005346FF">
            <w:pPr>
              <w:jc w:val="center"/>
              <w:rPr>
                <w:b/>
                <w:color w:val="000000" w:themeColor="text1"/>
              </w:rPr>
            </w:pPr>
            <w:bookmarkStart w:id="0" w:name="_GoBack"/>
            <w:bookmarkEnd w:id="0"/>
            <w:r w:rsidRPr="00A00F03">
              <w:rPr>
                <w:b/>
                <w:color w:val="000000" w:themeColor="text1"/>
              </w:rPr>
              <w:t>Final Diagnosis</w:t>
            </w:r>
          </w:p>
          <w:p w14:paraId="5A541F2F" w14:textId="77E104AA" w:rsidR="005346FF" w:rsidRPr="00A00F03" w:rsidRDefault="00C760D4" w:rsidP="005346FF">
            <w:pPr>
              <w:jc w:val="center"/>
              <w:rPr>
                <w:b/>
                <w:color w:val="000000" w:themeColor="text1"/>
              </w:rPr>
            </w:pPr>
            <w:r w:rsidRPr="00A00F03">
              <w:rPr>
                <w:b/>
                <w:color w:val="000000" w:themeColor="text1"/>
              </w:rPr>
              <w:t>of postextubation distress</w:t>
            </w:r>
          </w:p>
          <w:p w14:paraId="683D4176" w14:textId="77777777" w:rsidR="005346FF" w:rsidRPr="00A00F03" w:rsidRDefault="005346FF" w:rsidP="005346FF">
            <w:pPr>
              <w:jc w:val="center"/>
              <w:rPr>
                <w:b/>
                <w:color w:val="000000" w:themeColor="text1"/>
              </w:rPr>
            </w:pPr>
          </w:p>
        </w:tc>
        <w:tc>
          <w:tcPr>
            <w:tcW w:w="1389" w:type="dxa"/>
            <w:tcBorders>
              <w:bottom w:val="nil"/>
            </w:tcBorders>
          </w:tcPr>
          <w:p w14:paraId="11054195" w14:textId="77777777" w:rsidR="005346FF" w:rsidRPr="00A00F03" w:rsidRDefault="005346FF" w:rsidP="005346FF">
            <w:pPr>
              <w:jc w:val="center"/>
              <w:rPr>
                <w:b/>
                <w:color w:val="000000" w:themeColor="text1"/>
              </w:rPr>
            </w:pPr>
            <w:r w:rsidRPr="00A00F03">
              <w:rPr>
                <w:b/>
                <w:color w:val="000000" w:themeColor="text1"/>
              </w:rPr>
              <w:t>N (%)</w:t>
            </w:r>
          </w:p>
        </w:tc>
        <w:tc>
          <w:tcPr>
            <w:tcW w:w="1389" w:type="dxa"/>
            <w:tcBorders>
              <w:bottom w:val="nil"/>
            </w:tcBorders>
          </w:tcPr>
          <w:p w14:paraId="2D6A7772" w14:textId="77777777" w:rsidR="005346FF" w:rsidRPr="00A00F03" w:rsidRDefault="005346FF" w:rsidP="005346FF">
            <w:pPr>
              <w:jc w:val="center"/>
              <w:rPr>
                <w:b/>
                <w:color w:val="000000" w:themeColor="text1"/>
              </w:rPr>
            </w:pPr>
            <w:r w:rsidRPr="00A00F03">
              <w:rPr>
                <w:b/>
                <w:color w:val="000000" w:themeColor="text1"/>
              </w:rPr>
              <w:t>Se</w:t>
            </w:r>
          </w:p>
          <w:p w14:paraId="11B1B252" w14:textId="687527C7" w:rsidR="001F126A" w:rsidRPr="00A00F03" w:rsidRDefault="001F126A" w:rsidP="005346FF">
            <w:pPr>
              <w:jc w:val="center"/>
              <w:rPr>
                <w:color w:val="000000" w:themeColor="text1"/>
              </w:rPr>
            </w:pPr>
            <w:r w:rsidRPr="00A00F03">
              <w:rPr>
                <w:color w:val="000000" w:themeColor="text1"/>
              </w:rPr>
              <w:t>%</w:t>
            </w:r>
          </w:p>
        </w:tc>
        <w:tc>
          <w:tcPr>
            <w:tcW w:w="1389" w:type="dxa"/>
            <w:tcBorders>
              <w:bottom w:val="nil"/>
            </w:tcBorders>
          </w:tcPr>
          <w:p w14:paraId="7183F58D" w14:textId="77777777" w:rsidR="005346FF" w:rsidRPr="00A00F03" w:rsidRDefault="005346FF" w:rsidP="005346FF">
            <w:pPr>
              <w:jc w:val="center"/>
              <w:rPr>
                <w:b/>
                <w:color w:val="000000" w:themeColor="text1"/>
              </w:rPr>
            </w:pPr>
            <w:proofErr w:type="spellStart"/>
            <w:r w:rsidRPr="00A00F03">
              <w:rPr>
                <w:b/>
                <w:color w:val="000000" w:themeColor="text1"/>
              </w:rPr>
              <w:t>Sp</w:t>
            </w:r>
            <w:proofErr w:type="spellEnd"/>
          </w:p>
          <w:p w14:paraId="6912A850" w14:textId="6E701084" w:rsidR="001F126A" w:rsidRPr="00A00F03" w:rsidRDefault="001F126A" w:rsidP="005346FF">
            <w:pPr>
              <w:jc w:val="center"/>
              <w:rPr>
                <w:color w:val="000000" w:themeColor="text1"/>
              </w:rPr>
            </w:pPr>
            <w:r w:rsidRPr="00A00F03">
              <w:rPr>
                <w:color w:val="000000" w:themeColor="text1"/>
              </w:rPr>
              <w:t>%</w:t>
            </w:r>
          </w:p>
        </w:tc>
        <w:tc>
          <w:tcPr>
            <w:tcW w:w="1389" w:type="dxa"/>
            <w:tcBorders>
              <w:bottom w:val="nil"/>
            </w:tcBorders>
          </w:tcPr>
          <w:p w14:paraId="5C36802D" w14:textId="77777777" w:rsidR="005346FF" w:rsidRPr="00A00F03" w:rsidRDefault="005346FF" w:rsidP="005346FF">
            <w:pPr>
              <w:jc w:val="center"/>
              <w:rPr>
                <w:b/>
                <w:color w:val="000000" w:themeColor="text1"/>
              </w:rPr>
            </w:pPr>
            <w:r w:rsidRPr="00A00F03">
              <w:rPr>
                <w:b/>
                <w:color w:val="000000" w:themeColor="text1"/>
              </w:rPr>
              <w:t>PPV</w:t>
            </w:r>
          </w:p>
          <w:p w14:paraId="0BCFEB91" w14:textId="31E031AA" w:rsidR="001F126A" w:rsidRPr="00A00F03" w:rsidRDefault="001F126A" w:rsidP="005346FF">
            <w:pPr>
              <w:jc w:val="center"/>
              <w:rPr>
                <w:color w:val="000000" w:themeColor="text1"/>
              </w:rPr>
            </w:pPr>
            <w:r w:rsidRPr="00A00F03">
              <w:rPr>
                <w:color w:val="000000" w:themeColor="text1"/>
              </w:rPr>
              <w:t>%</w:t>
            </w:r>
          </w:p>
        </w:tc>
        <w:tc>
          <w:tcPr>
            <w:tcW w:w="1390" w:type="dxa"/>
            <w:tcBorders>
              <w:bottom w:val="nil"/>
            </w:tcBorders>
          </w:tcPr>
          <w:p w14:paraId="00DE0F25" w14:textId="77777777" w:rsidR="005346FF" w:rsidRPr="00A00F03" w:rsidRDefault="005346FF" w:rsidP="005346FF">
            <w:pPr>
              <w:jc w:val="center"/>
              <w:rPr>
                <w:b/>
                <w:color w:val="000000" w:themeColor="text1"/>
              </w:rPr>
            </w:pPr>
            <w:r w:rsidRPr="00A00F03">
              <w:rPr>
                <w:b/>
                <w:color w:val="000000" w:themeColor="text1"/>
              </w:rPr>
              <w:t>NPV</w:t>
            </w:r>
          </w:p>
          <w:p w14:paraId="428CDFBC" w14:textId="61F79D63" w:rsidR="001F126A" w:rsidRPr="00A00F03" w:rsidRDefault="001F126A" w:rsidP="005346FF">
            <w:pPr>
              <w:jc w:val="center"/>
              <w:rPr>
                <w:color w:val="000000" w:themeColor="text1"/>
              </w:rPr>
            </w:pPr>
            <w:r w:rsidRPr="00A00F03">
              <w:rPr>
                <w:color w:val="000000" w:themeColor="text1"/>
              </w:rPr>
              <w:t>%</w:t>
            </w:r>
          </w:p>
        </w:tc>
        <w:tc>
          <w:tcPr>
            <w:tcW w:w="2015" w:type="dxa"/>
            <w:tcBorders>
              <w:bottom w:val="nil"/>
            </w:tcBorders>
          </w:tcPr>
          <w:p w14:paraId="735DB97A" w14:textId="77777777" w:rsidR="005346FF" w:rsidRPr="00A00F03" w:rsidRDefault="005346FF" w:rsidP="005346FF">
            <w:pPr>
              <w:jc w:val="center"/>
              <w:rPr>
                <w:b/>
                <w:color w:val="000000" w:themeColor="text1"/>
              </w:rPr>
            </w:pPr>
            <w:r w:rsidRPr="00A00F03">
              <w:rPr>
                <w:b/>
                <w:color w:val="000000" w:themeColor="text1"/>
              </w:rPr>
              <w:t>Accuracy</w:t>
            </w:r>
          </w:p>
          <w:p w14:paraId="317002C5" w14:textId="6DA172CE" w:rsidR="001F126A" w:rsidRPr="00A00F03" w:rsidRDefault="001F126A" w:rsidP="005346FF">
            <w:pPr>
              <w:jc w:val="center"/>
              <w:rPr>
                <w:color w:val="000000" w:themeColor="text1"/>
              </w:rPr>
            </w:pPr>
            <w:r w:rsidRPr="00A00F03">
              <w:rPr>
                <w:color w:val="000000" w:themeColor="text1"/>
              </w:rPr>
              <w:t>%</w:t>
            </w:r>
          </w:p>
        </w:tc>
      </w:tr>
      <w:tr w:rsidR="00A00F03" w:rsidRPr="00A00F03" w14:paraId="69FEB5AB" w14:textId="77777777" w:rsidTr="005346FF">
        <w:tc>
          <w:tcPr>
            <w:tcW w:w="2518" w:type="dxa"/>
            <w:tcBorders>
              <w:top w:val="nil"/>
              <w:bottom w:val="nil"/>
            </w:tcBorders>
            <w:shd w:val="clear" w:color="auto" w:fill="E6E6E6"/>
          </w:tcPr>
          <w:p w14:paraId="404667A6" w14:textId="77777777" w:rsidR="005346FF" w:rsidRPr="00A00F03" w:rsidRDefault="005346FF" w:rsidP="005346FF">
            <w:pPr>
              <w:rPr>
                <w:b/>
                <w:i/>
                <w:color w:val="000000" w:themeColor="text1"/>
              </w:rPr>
            </w:pPr>
            <w:r w:rsidRPr="00A00F03">
              <w:rPr>
                <w:i/>
                <w:color w:val="000000" w:themeColor="text1"/>
              </w:rPr>
              <w:t xml:space="preserve">Cardiogenic </w:t>
            </w:r>
            <w:proofErr w:type="spellStart"/>
            <w:r w:rsidRPr="00A00F03">
              <w:rPr>
                <w:i/>
                <w:color w:val="000000" w:themeColor="text1"/>
              </w:rPr>
              <w:t>edema</w:t>
            </w:r>
            <w:proofErr w:type="spellEnd"/>
          </w:p>
          <w:p w14:paraId="6803200C" w14:textId="77777777" w:rsidR="005346FF" w:rsidRPr="00A00F03" w:rsidRDefault="005346FF">
            <w:pPr>
              <w:rPr>
                <w:color w:val="000000" w:themeColor="text1"/>
              </w:rPr>
            </w:pPr>
          </w:p>
        </w:tc>
        <w:tc>
          <w:tcPr>
            <w:tcW w:w="1389" w:type="dxa"/>
            <w:tcBorders>
              <w:top w:val="nil"/>
              <w:bottom w:val="nil"/>
            </w:tcBorders>
            <w:shd w:val="clear" w:color="auto" w:fill="E6E6E6"/>
          </w:tcPr>
          <w:p w14:paraId="5AF156E8" w14:textId="48E76E46" w:rsidR="005346FF" w:rsidRPr="00A00F03" w:rsidRDefault="00B75791" w:rsidP="00C87778">
            <w:pPr>
              <w:jc w:val="center"/>
              <w:rPr>
                <w:color w:val="000000" w:themeColor="text1"/>
              </w:rPr>
            </w:pPr>
            <w:r w:rsidRPr="00A00F03">
              <w:rPr>
                <w:color w:val="000000" w:themeColor="text1"/>
              </w:rPr>
              <w:t>10 (32%)</w:t>
            </w:r>
          </w:p>
        </w:tc>
        <w:tc>
          <w:tcPr>
            <w:tcW w:w="1389" w:type="dxa"/>
            <w:tcBorders>
              <w:top w:val="nil"/>
              <w:bottom w:val="nil"/>
            </w:tcBorders>
            <w:shd w:val="clear" w:color="auto" w:fill="E6E6E6"/>
          </w:tcPr>
          <w:p w14:paraId="13F4995D" w14:textId="1B552B4A" w:rsidR="005346FF" w:rsidRPr="00A00F03" w:rsidRDefault="001F126A" w:rsidP="001F126A">
            <w:pPr>
              <w:tabs>
                <w:tab w:val="left" w:pos="760"/>
              </w:tabs>
              <w:jc w:val="center"/>
              <w:rPr>
                <w:color w:val="000000" w:themeColor="text1"/>
              </w:rPr>
            </w:pPr>
            <w:r w:rsidRPr="00A00F03">
              <w:rPr>
                <w:color w:val="000000" w:themeColor="text1"/>
              </w:rPr>
              <w:t>100</w:t>
            </w:r>
          </w:p>
        </w:tc>
        <w:tc>
          <w:tcPr>
            <w:tcW w:w="1389" w:type="dxa"/>
            <w:tcBorders>
              <w:top w:val="nil"/>
              <w:bottom w:val="nil"/>
            </w:tcBorders>
            <w:shd w:val="clear" w:color="auto" w:fill="E6E6E6"/>
          </w:tcPr>
          <w:p w14:paraId="4C7B8F89" w14:textId="65BE41D8" w:rsidR="005346FF" w:rsidRPr="00A00F03" w:rsidRDefault="001F126A" w:rsidP="00C87778">
            <w:pPr>
              <w:jc w:val="center"/>
              <w:rPr>
                <w:color w:val="000000" w:themeColor="text1"/>
              </w:rPr>
            </w:pPr>
            <w:r w:rsidRPr="00A00F03">
              <w:rPr>
                <w:color w:val="000000" w:themeColor="text1"/>
              </w:rPr>
              <w:t>90</w:t>
            </w:r>
          </w:p>
        </w:tc>
        <w:tc>
          <w:tcPr>
            <w:tcW w:w="1389" w:type="dxa"/>
            <w:tcBorders>
              <w:top w:val="nil"/>
              <w:bottom w:val="nil"/>
            </w:tcBorders>
            <w:shd w:val="clear" w:color="auto" w:fill="E6E6E6"/>
          </w:tcPr>
          <w:p w14:paraId="3B3E4FD0" w14:textId="4018D053" w:rsidR="005346FF" w:rsidRPr="00A00F03" w:rsidRDefault="00115331" w:rsidP="00C87778">
            <w:pPr>
              <w:jc w:val="center"/>
              <w:rPr>
                <w:color w:val="000000" w:themeColor="text1"/>
              </w:rPr>
            </w:pPr>
            <w:r w:rsidRPr="00A00F03">
              <w:rPr>
                <w:color w:val="000000" w:themeColor="text1"/>
              </w:rPr>
              <w:t>83</w:t>
            </w:r>
          </w:p>
        </w:tc>
        <w:tc>
          <w:tcPr>
            <w:tcW w:w="1390" w:type="dxa"/>
            <w:tcBorders>
              <w:top w:val="nil"/>
              <w:bottom w:val="nil"/>
            </w:tcBorders>
            <w:shd w:val="clear" w:color="auto" w:fill="E6E6E6"/>
          </w:tcPr>
          <w:p w14:paraId="6088BE9E" w14:textId="12FCD6D9" w:rsidR="005346FF" w:rsidRPr="00A00F03" w:rsidRDefault="00115331" w:rsidP="00C87778">
            <w:pPr>
              <w:jc w:val="center"/>
              <w:rPr>
                <w:color w:val="000000" w:themeColor="text1"/>
              </w:rPr>
            </w:pPr>
            <w:r w:rsidRPr="00A00F03">
              <w:rPr>
                <w:color w:val="000000" w:themeColor="text1"/>
              </w:rPr>
              <w:t>100</w:t>
            </w:r>
          </w:p>
        </w:tc>
        <w:tc>
          <w:tcPr>
            <w:tcW w:w="2015" w:type="dxa"/>
            <w:tcBorders>
              <w:top w:val="nil"/>
              <w:bottom w:val="nil"/>
            </w:tcBorders>
            <w:shd w:val="clear" w:color="auto" w:fill="E6E6E6"/>
          </w:tcPr>
          <w:p w14:paraId="7905AE5A" w14:textId="5F4A28C3" w:rsidR="005346FF" w:rsidRPr="00A00F03" w:rsidRDefault="001F126A" w:rsidP="00C87778">
            <w:pPr>
              <w:jc w:val="center"/>
              <w:rPr>
                <w:color w:val="000000" w:themeColor="text1"/>
              </w:rPr>
            </w:pPr>
            <w:r w:rsidRPr="00A00F03">
              <w:rPr>
                <w:color w:val="000000" w:themeColor="text1"/>
              </w:rPr>
              <w:t>94</w:t>
            </w:r>
          </w:p>
        </w:tc>
      </w:tr>
      <w:tr w:rsidR="00A00F03" w:rsidRPr="00A00F03" w14:paraId="1F67FF54" w14:textId="77777777" w:rsidTr="005346FF">
        <w:tc>
          <w:tcPr>
            <w:tcW w:w="2518" w:type="dxa"/>
            <w:tcBorders>
              <w:top w:val="nil"/>
              <w:bottom w:val="nil"/>
            </w:tcBorders>
          </w:tcPr>
          <w:p w14:paraId="6B8C4E70" w14:textId="77777777" w:rsidR="005346FF" w:rsidRPr="00A00F03" w:rsidRDefault="005346FF" w:rsidP="005346FF">
            <w:pPr>
              <w:rPr>
                <w:b/>
                <w:i/>
                <w:color w:val="000000" w:themeColor="text1"/>
              </w:rPr>
            </w:pPr>
            <w:r w:rsidRPr="00A00F03">
              <w:rPr>
                <w:i/>
                <w:color w:val="000000" w:themeColor="text1"/>
              </w:rPr>
              <w:t>Pneumonia</w:t>
            </w:r>
          </w:p>
          <w:p w14:paraId="00AA1F6B" w14:textId="77777777" w:rsidR="005346FF" w:rsidRPr="00A00F03" w:rsidRDefault="005346FF">
            <w:pPr>
              <w:rPr>
                <w:color w:val="000000" w:themeColor="text1"/>
              </w:rPr>
            </w:pPr>
          </w:p>
        </w:tc>
        <w:tc>
          <w:tcPr>
            <w:tcW w:w="1389" w:type="dxa"/>
            <w:tcBorders>
              <w:top w:val="nil"/>
              <w:bottom w:val="nil"/>
            </w:tcBorders>
          </w:tcPr>
          <w:p w14:paraId="198401BF" w14:textId="12BDCAE3" w:rsidR="005346FF" w:rsidRPr="00A00F03" w:rsidRDefault="00D2261E" w:rsidP="00C87778">
            <w:pPr>
              <w:jc w:val="center"/>
              <w:rPr>
                <w:color w:val="000000" w:themeColor="text1"/>
              </w:rPr>
            </w:pPr>
            <w:r w:rsidRPr="00A00F03">
              <w:rPr>
                <w:color w:val="000000" w:themeColor="text1"/>
              </w:rPr>
              <w:t>17</w:t>
            </w:r>
            <w:r w:rsidR="00475C35" w:rsidRPr="00A00F03">
              <w:rPr>
                <w:color w:val="000000" w:themeColor="text1"/>
              </w:rPr>
              <w:t xml:space="preserve"> (55</w:t>
            </w:r>
            <w:r w:rsidR="00B75791" w:rsidRPr="00A00F03">
              <w:rPr>
                <w:color w:val="000000" w:themeColor="text1"/>
              </w:rPr>
              <w:t>%)</w:t>
            </w:r>
          </w:p>
        </w:tc>
        <w:tc>
          <w:tcPr>
            <w:tcW w:w="1389" w:type="dxa"/>
            <w:tcBorders>
              <w:top w:val="nil"/>
              <w:bottom w:val="nil"/>
            </w:tcBorders>
          </w:tcPr>
          <w:p w14:paraId="7843C6DD" w14:textId="0A397219" w:rsidR="005346FF" w:rsidRPr="00A00F03" w:rsidRDefault="001F126A" w:rsidP="00C87778">
            <w:pPr>
              <w:jc w:val="center"/>
              <w:rPr>
                <w:color w:val="000000" w:themeColor="text1"/>
              </w:rPr>
            </w:pPr>
            <w:r w:rsidRPr="00A00F03">
              <w:rPr>
                <w:color w:val="000000" w:themeColor="text1"/>
              </w:rPr>
              <w:t>89</w:t>
            </w:r>
          </w:p>
        </w:tc>
        <w:tc>
          <w:tcPr>
            <w:tcW w:w="1389" w:type="dxa"/>
            <w:tcBorders>
              <w:top w:val="nil"/>
              <w:bottom w:val="nil"/>
            </w:tcBorders>
          </w:tcPr>
          <w:p w14:paraId="5B3106C1" w14:textId="58DACF38" w:rsidR="005346FF" w:rsidRPr="00A00F03" w:rsidRDefault="001F126A" w:rsidP="00C87778">
            <w:pPr>
              <w:jc w:val="center"/>
              <w:rPr>
                <w:color w:val="000000" w:themeColor="text1"/>
              </w:rPr>
            </w:pPr>
            <w:r w:rsidRPr="00A00F03">
              <w:rPr>
                <w:color w:val="000000" w:themeColor="text1"/>
              </w:rPr>
              <w:t>100</w:t>
            </w:r>
          </w:p>
        </w:tc>
        <w:tc>
          <w:tcPr>
            <w:tcW w:w="1389" w:type="dxa"/>
            <w:tcBorders>
              <w:top w:val="nil"/>
              <w:bottom w:val="nil"/>
            </w:tcBorders>
          </w:tcPr>
          <w:p w14:paraId="02DD0318" w14:textId="696B12D2" w:rsidR="005346FF" w:rsidRPr="00A00F03" w:rsidRDefault="004054D3" w:rsidP="00C87778">
            <w:pPr>
              <w:jc w:val="center"/>
              <w:rPr>
                <w:color w:val="000000" w:themeColor="text1"/>
              </w:rPr>
            </w:pPr>
            <w:r w:rsidRPr="00A00F03">
              <w:rPr>
                <w:color w:val="000000" w:themeColor="text1"/>
              </w:rPr>
              <w:t>100</w:t>
            </w:r>
          </w:p>
        </w:tc>
        <w:tc>
          <w:tcPr>
            <w:tcW w:w="1390" w:type="dxa"/>
            <w:tcBorders>
              <w:top w:val="nil"/>
              <w:bottom w:val="nil"/>
            </w:tcBorders>
          </w:tcPr>
          <w:p w14:paraId="73CC4F30" w14:textId="50502865" w:rsidR="005346FF" w:rsidRPr="00A00F03" w:rsidRDefault="004054D3" w:rsidP="00C87778">
            <w:pPr>
              <w:jc w:val="center"/>
              <w:rPr>
                <w:color w:val="000000" w:themeColor="text1"/>
              </w:rPr>
            </w:pPr>
            <w:r w:rsidRPr="00A00F03">
              <w:rPr>
                <w:color w:val="000000" w:themeColor="text1"/>
              </w:rPr>
              <w:t>87</w:t>
            </w:r>
          </w:p>
        </w:tc>
        <w:tc>
          <w:tcPr>
            <w:tcW w:w="2015" w:type="dxa"/>
            <w:tcBorders>
              <w:top w:val="nil"/>
              <w:bottom w:val="nil"/>
            </w:tcBorders>
          </w:tcPr>
          <w:p w14:paraId="0006C95F" w14:textId="5D4C82A4" w:rsidR="005346FF" w:rsidRPr="00A00F03" w:rsidRDefault="001F126A" w:rsidP="00C87778">
            <w:pPr>
              <w:jc w:val="center"/>
              <w:rPr>
                <w:color w:val="000000" w:themeColor="text1"/>
              </w:rPr>
            </w:pPr>
            <w:r w:rsidRPr="00A00F03">
              <w:rPr>
                <w:color w:val="000000" w:themeColor="text1"/>
              </w:rPr>
              <w:t>94</w:t>
            </w:r>
          </w:p>
        </w:tc>
      </w:tr>
      <w:tr w:rsidR="00A00F03" w:rsidRPr="00A00F03" w14:paraId="03AC15FB" w14:textId="77777777" w:rsidTr="005346FF">
        <w:tc>
          <w:tcPr>
            <w:tcW w:w="2518" w:type="dxa"/>
            <w:tcBorders>
              <w:top w:val="nil"/>
              <w:bottom w:val="nil"/>
            </w:tcBorders>
            <w:shd w:val="clear" w:color="auto" w:fill="E0E0E0"/>
          </w:tcPr>
          <w:p w14:paraId="73BB0DBC" w14:textId="58ADED10" w:rsidR="005346FF" w:rsidRPr="00A00F03" w:rsidRDefault="00767F03">
            <w:pPr>
              <w:rPr>
                <w:i/>
                <w:color w:val="000000" w:themeColor="text1"/>
              </w:rPr>
            </w:pPr>
            <w:r w:rsidRPr="00A00F03">
              <w:rPr>
                <w:i/>
                <w:color w:val="000000" w:themeColor="text1"/>
              </w:rPr>
              <w:t>Phrenic paralysis</w:t>
            </w:r>
          </w:p>
          <w:p w14:paraId="6A0AD311" w14:textId="77777777" w:rsidR="005346FF" w:rsidRPr="00A00F03" w:rsidRDefault="005346FF">
            <w:pPr>
              <w:rPr>
                <w:color w:val="000000" w:themeColor="text1"/>
              </w:rPr>
            </w:pPr>
          </w:p>
        </w:tc>
        <w:tc>
          <w:tcPr>
            <w:tcW w:w="1389" w:type="dxa"/>
            <w:tcBorders>
              <w:top w:val="nil"/>
              <w:bottom w:val="nil"/>
            </w:tcBorders>
            <w:shd w:val="clear" w:color="auto" w:fill="E0E0E0"/>
          </w:tcPr>
          <w:p w14:paraId="3C501110" w14:textId="3445DDF8" w:rsidR="005346FF" w:rsidRPr="00A00F03" w:rsidRDefault="00B75791" w:rsidP="00C87778">
            <w:pPr>
              <w:jc w:val="center"/>
              <w:rPr>
                <w:color w:val="000000" w:themeColor="text1"/>
              </w:rPr>
            </w:pPr>
            <w:r w:rsidRPr="00A00F03">
              <w:rPr>
                <w:color w:val="000000" w:themeColor="text1"/>
              </w:rPr>
              <w:t>3 (</w:t>
            </w:r>
            <w:r w:rsidR="007A1B41" w:rsidRPr="00A00F03">
              <w:rPr>
                <w:color w:val="000000" w:themeColor="text1"/>
              </w:rPr>
              <w:t>10%)</w:t>
            </w:r>
          </w:p>
        </w:tc>
        <w:tc>
          <w:tcPr>
            <w:tcW w:w="1389" w:type="dxa"/>
            <w:tcBorders>
              <w:top w:val="nil"/>
              <w:bottom w:val="nil"/>
            </w:tcBorders>
            <w:shd w:val="clear" w:color="auto" w:fill="E0E0E0"/>
          </w:tcPr>
          <w:p w14:paraId="66AB5D24" w14:textId="3B0AA40C" w:rsidR="005346FF" w:rsidRPr="00A00F03" w:rsidRDefault="001F126A" w:rsidP="00C87778">
            <w:pPr>
              <w:jc w:val="center"/>
              <w:rPr>
                <w:color w:val="000000" w:themeColor="text1"/>
              </w:rPr>
            </w:pPr>
            <w:r w:rsidRPr="00A00F03">
              <w:rPr>
                <w:color w:val="000000" w:themeColor="text1"/>
              </w:rPr>
              <w:t>100</w:t>
            </w:r>
          </w:p>
        </w:tc>
        <w:tc>
          <w:tcPr>
            <w:tcW w:w="1389" w:type="dxa"/>
            <w:tcBorders>
              <w:top w:val="nil"/>
              <w:bottom w:val="nil"/>
            </w:tcBorders>
            <w:shd w:val="clear" w:color="auto" w:fill="E0E0E0"/>
          </w:tcPr>
          <w:p w14:paraId="57210F1C" w14:textId="224426B8" w:rsidR="005346FF" w:rsidRPr="00A00F03" w:rsidRDefault="001F126A" w:rsidP="00C87778">
            <w:pPr>
              <w:jc w:val="center"/>
              <w:rPr>
                <w:color w:val="000000" w:themeColor="text1"/>
              </w:rPr>
            </w:pPr>
            <w:r w:rsidRPr="00A00F03">
              <w:rPr>
                <w:color w:val="000000" w:themeColor="text1"/>
              </w:rPr>
              <w:t>100</w:t>
            </w:r>
          </w:p>
        </w:tc>
        <w:tc>
          <w:tcPr>
            <w:tcW w:w="1389" w:type="dxa"/>
            <w:tcBorders>
              <w:top w:val="nil"/>
              <w:bottom w:val="nil"/>
            </w:tcBorders>
            <w:shd w:val="clear" w:color="auto" w:fill="E0E0E0"/>
          </w:tcPr>
          <w:p w14:paraId="2A4D87A1" w14:textId="4FB8E4F9" w:rsidR="005346FF" w:rsidRPr="00A00F03" w:rsidRDefault="00F57575" w:rsidP="00C87778">
            <w:pPr>
              <w:jc w:val="center"/>
              <w:rPr>
                <w:color w:val="000000" w:themeColor="text1"/>
              </w:rPr>
            </w:pPr>
            <w:r w:rsidRPr="00A00F03">
              <w:rPr>
                <w:color w:val="000000" w:themeColor="text1"/>
              </w:rPr>
              <w:t>100</w:t>
            </w:r>
          </w:p>
        </w:tc>
        <w:tc>
          <w:tcPr>
            <w:tcW w:w="1390" w:type="dxa"/>
            <w:tcBorders>
              <w:top w:val="nil"/>
              <w:bottom w:val="nil"/>
            </w:tcBorders>
            <w:shd w:val="clear" w:color="auto" w:fill="E0E0E0"/>
          </w:tcPr>
          <w:p w14:paraId="7B58F8E3" w14:textId="0334F250" w:rsidR="005346FF" w:rsidRPr="00A00F03" w:rsidRDefault="00F57575" w:rsidP="00C87778">
            <w:pPr>
              <w:jc w:val="center"/>
              <w:rPr>
                <w:color w:val="000000" w:themeColor="text1"/>
              </w:rPr>
            </w:pPr>
            <w:r w:rsidRPr="00A00F03">
              <w:rPr>
                <w:color w:val="000000" w:themeColor="text1"/>
              </w:rPr>
              <w:t>100</w:t>
            </w:r>
          </w:p>
        </w:tc>
        <w:tc>
          <w:tcPr>
            <w:tcW w:w="2015" w:type="dxa"/>
            <w:tcBorders>
              <w:top w:val="nil"/>
              <w:bottom w:val="nil"/>
            </w:tcBorders>
            <w:shd w:val="clear" w:color="auto" w:fill="E0E0E0"/>
          </w:tcPr>
          <w:p w14:paraId="1F510EA8" w14:textId="2B8E29D3" w:rsidR="005346FF" w:rsidRPr="00A00F03" w:rsidRDefault="001F126A" w:rsidP="00C87778">
            <w:pPr>
              <w:jc w:val="center"/>
              <w:rPr>
                <w:color w:val="000000" w:themeColor="text1"/>
              </w:rPr>
            </w:pPr>
            <w:r w:rsidRPr="00A00F03">
              <w:rPr>
                <w:color w:val="000000" w:themeColor="text1"/>
              </w:rPr>
              <w:t>100</w:t>
            </w:r>
          </w:p>
        </w:tc>
      </w:tr>
      <w:tr w:rsidR="00A00F03" w:rsidRPr="00A00F03" w14:paraId="24C4DE42" w14:textId="77777777" w:rsidTr="0066345B">
        <w:tc>
          <w:tcPr>
            <w:tcW w:w="2518" w:type="dxa"/>
            <w:tcBorders>
              <w:top w:val="nil"/>
              <w:bottom w:val="nil"/>
            </w:tcBorders>
          </w:tcPr>
          <w:p w14:paraId="78F17D4C" w14:textId="2AA78689" w:rsidR="00C760D4" w:rsidRPr="00A00F03" w:rsidRDefault="00C760D4" w:rsidP="0066345B">
            <w:pPr>
              <w:rPr>
                <w:b/>
                <w:i/>
                <w:color w:val="000000" w:themeColor="text1"/>
              </w:rPr>
            </w:pPr>
            <w:r w:rsidRPr="00A00F03">
              <w:rPr>
                <w:i/>
                <w:color w:val="000000" w:themeColor="text1"/>
              </w:rPr>
              <w:t>Pneumothorax</w:t>
            </w:r>
          </w:p>
          <w:p w14:paraId="6360C35E" w14:textId="77777777" w:rsidR="00C760D4" w:rsidRPr="00A00F03" w:rsidRDefault="00C760D4" w:rsidP="0066345B">
            <w:pPr>
              <w:rPr>
                <w:color w:val="000000" w:themeColor="text1"/>
              </w:rPr>
            </w:pPr>
          </w:p>
        </w:tc>
        <w:tc>
          <w:tcPr>
            <w:tcW w:w="1389" w:type="dxa"/>
            <w:tcBorders>
              <w:top w:val="nil"/>
              <w:bottom w:val="nil"/>
            </w:tcBorders>
          </w:tcPr>
          <w:p w14:paraId="1233E99C" w14:textId="388CE636" w:rsidR="00C760D4" w:rsidRPr="00A00F03" w:rsidRDefault="00D2261E" w:rsidP="0066345B">
            <w:pPr>
              <w:jc w:val="center"/>
              <w:rPr>
                <w:color w:val="000000" w:themeColor="text1"/>
              </w:rPr>
            </w:pPr>
            <w:r w:rsidRPr="00A00F03">
              <w:rPr>
                <w:color w:val="000000" w:themeColor="text1"/>
              </w:rPr>
              <w:t>1 (</w:t>
            </w:r>
            <w:r w:rsidR="00475C35" w:rsidRPr="00A00F03">
              <w:rPr>
                <w:color w:val="000000" w:themeColor="text1"/>
              </w:rPr>
              <w:t>3%)</w:t>
            </w:r>
          </w:p>
        </w:tc>
        <w:tc>
          <w:tcPr>
            <w:tcW w:w="1389" w:type="dxa"/>
            <w:tcBorders>
              <w:top w:val="nil"/>
              <w:bottom w:val="nil"/>
            </w:tcBorders>
          </w:tcPr>
          <w:p w14:paraId="6C95ADD5" w14:textId="66B1BE0F" w:rsidR="00C760D4" w:rsidRPr="00A00F03" w:rsidRDefault="007227E1" w:rsidP="007227E1">
            <w:pPr>
              <w:jc w:val="center"/>
              <w:rPr>
                <w:color w:val="000000" w:themeColor="text1"/>
              </w:rPr>
            </w:pPr>
            <w:r w:rsidRPr="00A00F03">
              <w:rPr>
                <w:color w:val="000000" w:themeColor="text1"/>
              </w:rPr>
              <w:t>100</w:t>
            </w:r>
          </w:p>
        </w:tc>
        <w:tc>
          <w:tcPr>
            <w:tcW w:w="1389" w:type="dxa"/>
            <w:tcBorders>
              <w:top w:val="nil"/>
              <w:bottom w:val="nil"/>
            </w:tcBorders>
          </w:tcPr>
          <w:p w14:paraId="453AAC01" w14:textId="4BD5232F" w:rsidR="00C760D4" w:rsidRPr="00A00F03" w:rsidRDefault="007227E1" w:rsidP="0066345B">
            <w:pPr>
              <w:jc w:val="center"/>
              <w:rPr>
                <w:color w:val="000000" w:themeColor="text1"/>
              </w:rPr>
            </w:pPr>
            <w:r w:rsidRPr="00A00F03">
              <w:rPr>
                <w:color w:val="000000" w:themeColor="text1"/>
              </w:rPr>
              <w:t>100</w:t>
            </w:r>
          </w:p>
        </w:tc>
        <w:tc>
          <w:tcPr>
            <w:tcW w:w="1389" w:type="dxa"/>
            <w:tcBorders>
              <w:top w:val="nil"/>
              <w:bottom w:val="nil"/>
            </w:tcBorders>
          </w:tcPr>
          <w:p w14:paraId="76E5844B" w14:textId="4AB3A4D4" w:rsidR="00C760D4" w:rsidRPr="00A00F03" w:rsidRDefault="007227E1" w:rsidP="0066345B">
            <w:pPr>
              <w:jc w:val="center"/>
              <w:rPr>
                <w:color w:val="000000" w:themeColor="text1"/>
              </w:rPr>
            </w:pPr>
            <w:r w:rsidRPr="00A00F03">
              <w:rPr>
                <w:color w:val="000000" w:themeColor="text1"/>
              </w:rPr>
              <w:t>100</w:t>
            </w:r>
          </w:p>
        </w:tc>
        <w:tc>
          <w:tcPr>
            <w:tcW w:w="1390" w:type="dxa"/>
            <w:tcBorders>
              <w:top w:val="nil"/>
              <w:bottom w:val="nil"/>
            </w:tcBorders>
          </w:tcPr>
          <w:p w14:paraId="5E111A98" w14:textId="68C7424A" w:rsidR="00C760D4" w:rsidRPr="00A00F03" w:rsidRDefault="007227E1" w:rsidP="0066345B">
            <w:pPr>
              <w:jc w:val="center"/>
              <w:rPr>
                <w:color w:val="000000" w:themeColor="text1"/>
              </w:rPr>
            </w:pPr>
            <w:r w:rsidRPr="00A00F03">
              <w:rPr>
                <w:color w:val="000000" w:themeColor="text1"/>
              </w:rPr>
              <w:t>100</w:t>
            </w:r>
          </w:p>
        </w:tc>
        <w:tc>
          <w:tcPr>
            <w:tcW w:w="2015" w:type="dxa"/>
            <w:tcBorders>
              <w:top w:val="nil"/>
              <w:bottom w:val="nil"/>
            </w:tcBorders>
          </w:tcPr>
          <w:p w14:paraId="5136220B" w14:textId="3F46F297" w:rsidR="00C760D4" w:rsidRPr="00A00F03" w:rsidRDefault="007227E1" w:rsidP="0066345B">
            <w:pPr>
              <w:jc w:val="center"/>
              <w:rPr>
                <w:color w:val="000000" w:themeColor="text1"/>
              </w:rPr>
            </w:pPr>
            <w:r w:rsidRPr="00A00F03">
              <w:rPr>
                <w:color w:val="000000" w:themeColor="text1"/>
              </w:rPr>
              <w:t>100</w:t>
            </w:r>
          </w:p>
        </w:tc>
      </w:tr>
    </w:tbl>
    <w:p w14:paraId="7BD3F494" w14:textId="50FDAC94" w:rsidR="00882655" w:rsidRDefault="00786E02" w:rsidP="00792E8C">
      <w:pPr>
        <w:ind w:right="2336"/>
        <w:jc w:val="both"/>
        <w:rPr>
          <w:rFonts w:ascii="Times New Roman" w:hAnsi="Times New Roman" w:cs="Times New Roman"/>
          <w:color w:val="000000" w:themeColor="text1"/>
          <w:lang w:val="en-US"/>
        </w:rPr>
      </w:pPr>
      <w:r>
        <w:rPr>
          <w:rFonts w:ascii="Times New Roman" w:hAnsi="Times New Roman" w:cs="Times New Roman"/>
          <w:color w:val="000000" w:themeColor="text1"/>
        </w:rPr>
        <w:t>Supplemental Digital Content 9</w:t>
      </w:r>
      <w:r w:rsidR="002367CB" w:rsidRPr="00A00F03">
        <w:rPr>
          <w:rFonts w:ascii="Times New Roman" w:hAnsi="Times New Roman" w:cs="Times New Roman"/>
          <w:color w:val="000000" w:themeColor="text1"/>
        </w:rPr>
        <w:t xml:space="preserve">. </w:t>
      </w:r>
      <w:r w:rsidR="002367CB" w:rsidRPr="00A00F03">
        <w:rPr>
          <w:rFonts w:ascii="Times New Roman" w:hAnsi="Times New Roman" w:cs="Times New Roman"/>
          <w:b/>
          <w:color w:val="000000" w:themeColor="text1"/>
        </w:rPr>
        <w:t>Postextubation distress aetiology</w:t>
      </w:r>
      <w:r w:rsidR="002367CB" w:rsidRPr="00A00F03">
        <w:rPr>
          <w:rFonts w:ascii="Times New Roman" w:hAnsi="Times New Roman" w:cs="Times New Roman"/>
          <w:color w:val="000000" w:themeColor="text1"/>
        </w:rPr>
        <w:t>.</w:t>
      </w:r>
      <w:r w:rsidR="002367CB" w:rsidRPr="00A00F03">
        <w:rPr>
          <w:rFonts w:ascii="Times New Roman" w:hAnsi="Times New Roman" w:cs="Times New Roman"/>
          <w:color w:val="000000" w:themeColor="text1"/>
          <w:lang w:val="en-US"/>
        </w:rPr>
        <w:t xml:space="preserve"> As previously reported</w:t>
      </w:r>
      <w:r w:rsidR="0060670C" w:rsidRPr="0060670C">
        <w:rPr>
          <w:rFonts w:ascii="Times New Roman" w:hAnsi="Times New Roman" w:cs="Times New Roman"/>
          <w:color w:val="000000" w:themeColor="text1"/>
          <w:vertAlign w:val="superscript"/>
          <w:lang w:val="en-US"/>
        </w:rPr>
        <w:t>1,2</w:t>
      </w:r>
      <w:r w:rsidR="002367CB" w:rsidRPr="0060670C">
        <w:rPr>
          <w:rFonts w:ascii="Times New Roman" w:hAnsi="Times New Roman" w:cs="Times New Roman"/>
          <w:color w:val="000000" w:themeColor="text1"/>
          <w:vertAlign w:val="superscript"/>
          <w:lang w:val="en-US"/>
        </w:rPr>
        <w:t xml:space="preserve"> </w:t>
      </w:r>
      <w:r w:rsidR="002367CB" w:rsidRPr="00A00F03">
        <w:rPr>
          <w:rFonts w:ascii="Times New Roman" w:hAnsi="Times New Roman" w:cs="Times New Roman"/>
          <w:color w:val="000000" w:themeColor="text1"/>
          <w:lang w:val="en-US"/>
        </w:rPr>
        <w:t xml:space="preserve">and operationally defined, the “final diagnosis” of acute respiratory failure was determined by two independent senior experts from an examination of the complete medical chart, including all initial clinical findings; emergency laboratory tests; chest radiograph data; and the results of thoracic high-resolution CT scans (performed in 35 % of the patients). Additionally, transthoracic Doppler echocardiography was performed in 40% of the patients by a senior cardiologist who was blinded to the ultrasound data to allow an independent comparison between the different diagnostic methods. Responses to treatments were specifically analyzed and were used as diagnosis criteria. In case of disagreement between the two experts, a consensus was reached with the help of a third expert. Abbreviations: Se = sensitivity; </w:t>
      </w:r>
      <w:proofErr w:type="spellStart"/>
      <w:r w:rsidR="002367CB" w:rsidRPr="00A00F03">
        <w:rPr>
          <w:rFonts w:ascii="Times New Roman" w:hAnsi="Times New Roman" w:cs="Times New Roman"/>
          <w:color w:val="000000" w:themeColor="text1"/>
          <w:lang w:val="en-US"/>
        </w:rPr>
        <w:t>Sp</w:t>
      </w:r>
      <w:proofErr w:type="spellEnd"/>
      <w:r w:rsidR="002367CB" w:rsidRPr="00A00F03">
        <w:rPr>
          <w:rFonts w:ascii="Times New Roman" w:hAnsi="Times New Roman" w:cs="Times New Roman"/>
          <w:color w:val="000000" w:themeColor="text1"/>
          <w:lang w:val="en-US"/>
        </w:rPr>
        <w:t xml:space="preserve"> =specificity; PPV = positive predictive value; NPV = negative predictive value.</w:t>
      </w:r>
    </w:p>
    <w:p w14:paraId="68D828C7" w14:textId="77777777" w:rsidR="0060670C" w:rsidRDefault="0060670C" w:rsidP="00792E8C">
      <w:pPr>
        <w:ind w:right="2336"/>
        <w:jc w:val="both"/>
        <w:rPr>
          <w:rFonts w:ascii="Times New Roman" w:hAnsi="Times New Roman" w:cs="Times New Roman"/>
          <w:color w:val="000000" w:themeColor="text1"/>
          <w:lang w:val="en-US"/>
        </w:rPr>
      </w:pPr>
    </w:p>
    <w:p w14:paraId="47A15819" w14:textId="13BD8FF3" w:rsidR="0060670C" w:rsidRPr="008A709A" w:rsidRDefault="0060670C" w:rsidP="00792E8C">
      <w:pPr>
        <w:ind w:right="2336"/>
        <w:jc w:val="both"/>
        <w:rPr>
          <w:rFonts w:ascii="Times New Roman" w:hAnsi="Times New Roman" w:cs="Times New Roman"/>
          <w:b/>
          <w:color w:val="000000" w:themeColor="text1"/>
          <w:lang w:val="en-US"/>
        </w:rPr>
      </w:pPr>
      <w:r w:rsidRPr="008A709A">
        <w:rPr>
          <w:rFonts w:ascii="Times New Roman" w:hAnsi="Times New Roman" w:cs="Times New Roman"/>
          <w:b/>
          <w:color w:val="000000" w:themeColor="text1"/>
          <w:lang w:val="en-US"/>
        </w:rPr>
        <w:t>References</w:t>
      </w:r>
    </w:p>
    <w:p w14:paraId="7EF43398" w14:textId="6C45C3F4" w:rsidR="0060670C" w:rsidRPr="008A709A" w:rsidRDefault="0060670C" w:rsidP="0060670C">
      <w:pPr>
        <w:ind w:right="2336"/>
        <w:jc w:val="both"/>
        <w:rPr>
          <w:rFonts w:ascii="Times New Roman" w:hAnsi="Times New Roman" w:cs="Times New Roman"/>
          <w:noProof/>
        </w:rPr>
      </w:pPr>
      <w:r w:rsidRPr="008A709A">
        <w:rPr>
          <w:rFonts w:ascii="Times New Roman" w:hAnsi="Times New Roman" w:cs="Times New Roman"/>
          <w:noProof/>
        </w:rPr>
        <w:t>1. Silva S, Biendel C, Ruiz J, Olivier M, Bataille B, Geeraerts T, Mari A, Riu B, Fourcade O, Genestal M: Usefulness of cardiothoracic chest ultrasound in the management of acute respiratory failure in critical care practice. Chest 2013; 144: 859-65.</w:t>
      </w:r>
    </w:p>
    <w:p w14:paraId="796C4760" w14:textId="01672F9C" w:rsidR="0060670C" w:rsidRPr="008A709A" w:rsidRDefault="0060670C" w:rsidP="0060670C">
      <w:pPr>
        <w:ind w:right="2336"/>
        <w:jc w:val="both"/>
        <w:rPr>
          <w:rFonts w:ascii="Times New Roman" w:hAnsi="Times New Roman" w:cs="Times New Roman"/>
          <w:color w:val="000000" w:themeColor="text1"/>
        </w:rPr>
      </w:pPr>
      <w:r w:rsidRPr="008A709A">
        <w:rPr>
          <w:rFonts w:ascii="Times New Roman" w:hAnsi="Times New Roman" w:cs="Times New Roman"/>
          <w:noProof/>
        </w:rPr>
        <w:t>2. Silva S: Response. Chest 2014; 146: e230-1.</w:t>
      </w:r>
    </w:p>
    <w:sectPr w:rsidR="0060670C" w:rsidRPr="008A709A" w:rsidSect="005346FF">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7A7"/>
    <w:multiLevelType w:val="hybridMultilevel"/>
    <w:tmpl w:val="0818E69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C5"/>
    <w:rsid w:val="00115331"/>
    <w:rsid w:val="001653A0"/>
    <w:rsid w:val="001F126A"/>
    <w:rsid w:val="001F1EFD"/>
    <w:rsid w:val="001F2859"/>
    <w:rsid w:val="002367CB"/>
    <w:rsid w:val="00337A82"/>
    <w:rsid w:val="00360DA3"/>
    <w:rsid w:val="004054D3"/>
    <w:rsid w:val="00475C35"/>
    <w:rsid w:val="004A682B"/>
    <w:rsid w:val="004E08E0"/>
    <w:rsid w:val="005279D4"/>
    <w:rsid w:val="005346FF"/>
    <w:rsid w:val="005E24D9"/>
    <w:rsid w:val="0060670C"/>
    <w:rsid w:val="006E6576"/>
    <w:rsid w:val="007227E1"/>
    <w:rsid w:val="00767F03"/>
    <w:rsid w:val="00786E02"/>
    <w:rsid w:val="00792E8C"/>
    <w:rsid w:val="007A1B41"/>
    <w:rsid w:val="007F0E1C"/>
    <w:rsid w:val="00882655"/>
    <w:rsid w:val="008A709A"/>
    <w:rsid w:val="008C57C5"/>
    <w:rsid w:val="009F53D0"/>
    <w:rsid w:val="00A00F03"/>
    <w:rsid w:val="00B2391E"/>
    <w:rsid w:val="00B30E4F"/>
    <w:rsid w:val="00B75791"/>
    <w:rsid w:val="00C57D97"/>
    <w:rsid w:val="00C760D4"/>
    <w:rsid w:val="00C87778"/>
    <w:rsid w:val="00D2261E"/>
    <w:rsid w:val="00F41EC5"/>
    <w:rsid w:val="00F57575"/>
    <w:rsid w:val="00FB157F"/>
    <w:rsid w:val="00FF39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831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FF"/>
    <w:rPr>
      <w:lang w:eastAsia="fr-FR"/>
    </w:rPr>
  </w:style>
  <w:style w:type="paragraph" w:styleId="Heading1">
    <w:name w:val="heading 1"/>
    <w:basedOn w:val="Normal"/>
    <w:next w:val="Normal"/>
    <w:link w:val="Heading1Char"/>
    <w:uiPriority w:val="9"/>
    <w:qFormat/>
    <w:rsid w:val="005346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7C5"/>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57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346FF"/>
    <w:rPr>
      <w:rFonts w:asciiTheme="majorHAnsi" w:eastAsiaTheme="majorEastAsia" w:hAnsiTheme="majorHAnsi" w:cstheme="majorBidi"/>
      <w:b/>
      <w:bCs/>
      <w:color w:val="345A8A" w:themeColor="accent1" w:themeShade="B5"/>
      <w:sz w:val="32"/>
      <w:szCs w:val="32"/>
      <w:lang w:eastAsia="fr-FR"/>
    </w:rPr>
  </w:style>
  <w:style w:type="paragraph" w:styleId="ListParagraph">
    <w:name w:val="List Paragraph"/>
    <w:basedOn w:val="Normal"/>
    <w:uiPriority w:val="34"/>
    <w:qFormat/>
    <w:rsid w:val="0060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Inserm</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Stein/Silva</dc:creator>
  <cp:lastModifiedBy>Moore, Emily</cp:lastModifiedBy>
  <cp:revision>2</cp:revision>
  <dcterms:created xsi:type="dcterms:W3CDTF">2017-06-09T20:17:00Z</dcterms:created>
  <dcterms:modified xsi:type="dcterms:W3CDTF">2017-06-09T20:17:00Z</dcterms:modified>
</cp:coreProperties>
</file>