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47" w:rsidRDefault="000D1847" w:rsidP="001C145A">
      <w:pPr>
        <w:spacing w:line="360" w:lineRule="auto"/>
        <w:jc w:val="both"/>
        <w:rPr>
          <w:b/>
        </w:rPr>
      </w:pPr>
      <w:r>
        <w:rPr>
          <w:b/>
        </w:rPr>
        <w:t xml:space="preserve">Supplemental Digital Content </w:t>
      </w:r>
      <w:r w:rsidR="00624BD7">
        <w:rPr>
          <w:b/>
        </w:rPr>
        <w:t>9</w:t>
      </w:r>
    </w:p>
    <w:p w:rsidR="001C145A" w:rsidRPr="00165B48" w:rsidRDefault="001C145A" w:rsidP="001C145A">
      <w:pPr>
        <w:spacing w:line="360" w:lineRule="auto"/>
        <w:jc w:val="both"/>
        <w:rPr>
          <w:b/>
        </w:rPr>
      </w:pPr>
      <w:r w:rsidRPr="00165B48">
        <w:rPr>
          <w:b/>
        </w:rPr>
        <w:t xml:space="preserve">Table </w:t>
      </w:r>
      <w:r w:rsidR="000D1847" w:rsidRPr="00165B48">
        <w:rPr>
          <w:b/>
        </w:rPr>
        <w:t>4</w:t>
      </w:r>
      <w:r w:rsidRPr="00165B48">
        <w:rPr>
          <w:b/>
        </w:rPr>
        <w:t xml:space="preserve">. </w:t>
      </w:r>
      <w:r w:rsidR="00C330B7" w:rsidRPr="00165B48">
        <w:rPr>
          <w:b/>
        </w:rPr>
        <w:t xml:space="preserve">Coefficients of </w:t>
      </w:r>
      <w:r w:rsidR="009E55D9" w:rsidRPr="00165B48">
        <w:rPr>
          <w:b/>
        </w:rPr>
        <w:t>m</w:t>
      </w:r>
      <w:r w:rsidR="00C330B7" w:rsidRPr="00165B48">
        <w:rPr>
          <w:b/>
        </w:rPr>
        <w:t xml:space="preserve">ultiple </w:t>
      </w:r>
      <w:r w:rsidR="009E55D9" w:rsidRPr="00165B48">
        <w:rPr>
          <w:b/>
        </w:rPr>
        <w:t>l</w:t>
      </w:r>
      <w:r w:rsidR="00C330B7" w:rsidRPr="00165B48">
        <w:rPr>
          <w:b/>
        </w:rPr>
        <w:t xml:space="preserve">inear </w:t>
      </w:r>
      <w:r w:rsidR="009E55D9" w:rsidRPr="00165B48">
        <w:rPr>
          <w:b/>
        </w:rPr>
        <w:t>r</w:t>
      </w:r>
      <w:r w:rsidR="00C330B7" w:rsidRPr="00165B48">
        <w:rPr>
          <w:b/>
        </w:rPr>
        <w:t>egression</w:t>
      </w:r>
      <w:r w:rsidR="009E55D9" w:rsidRPr="00165B48">
        <w:rPr>
          <w:b/>
        </w:rPr>
        <w:t xml:space="preserve"> analysis</w:t>
      </w:r>
    </w:p>
    <w:tbl>
      <w:tblPr>
        <w:tblW w:w="506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2957"/>
        <w:gridCol w:w="2143"/>
        <w:gridCol w:w="2526"/>
        <w:gridCol w:w="2152"/>
      </w:tblGrid>
      <w:tr w:rsidR="00B550B5" w:rsidRPr="000360BA" w:rsidTr="00322F01">
        <w:trPr>
          <w:trHeight w:val="602"/>
        </w:trPr>
        <w:tc>
          <w:tcPr>
            <w:tcW w:w="1551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550B5" w:rsidRPr="000360BA" w:rsidRDefault="00B550B5" w:rsidP="00322F01">
            <w:pPr>
              <w:spacing w:before="120" w:after="0" w:line="480" w:lineRule="auto"/>
              <w:contextualSpacing/>
              <w:jc w:val="center"/>
            </w:pPr>
          </w:p>
        </w:tc>
        <w:tc>
          <w:tcPr>
            <w:tcW w:w="1043" w:type="pct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B550B5" w:rsidRPr="00322F01" w:rsidRDefault="00B550B5" w:rsidP="00322F01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</w:t>
            </w:r>
            <w:r w:rsidRPr="00316B50">
              <w:rPr>
                <w:szCs w:val="24"/>
                <w:vertAlign w:val="subscript"/>
              </w:rPr>
              <w:t>T</w:t>
            </w:r>
          </w:p>
        </w:tc>
        <w:tc>
          <w:tcPr>
            <w:tcW w:w="7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50B5" w:rsidRPr="00C330B7" w:rsidRDefault="00B550B5" w:rsidP="00322F01">
            <w:pPr>
              <w:spacing w:before="120"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RR</w:t>
            </w:r>
          </w:p>
        </w:tc>
        <w:tc>
          <w:tcPr>
            <w:tcW w:w="891" w:type="pct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550B5" w:rsidRPr="000360BA" w:rsidRDefault="00B550B5" w:rsidP="00322F01">
            <w:pPr>
              <w:spacing w:before="120" w:line="480" w:lineRule="auto"/>
              <w:jc w:val="center"/>
              <w:rPr>
                <w:szCs w:val="24"/>
              </w:rPr>
            </w:pPr>
            <w:r w:rsidRPr="00316B50">
              <w:rPr>
                <w:rFonts w:ascii="Symbol" w:hAnsi="Symbol"/>
                <w:szCs w:val="24"/>
              </w:rPr>
              <w:t></w:t>
            </w:r>
            <w:proofErr w:type="gramStart"/>
            <w:r>
              <w:rPr>
                <w:szCs w:val="24"/>
              </w:rPr>
              <w:t>P,L</w:t>
            </w:r>
            <w:proofErr w:type="gramEnd"/>
          </w:p>
        </w:tc>
        <w:tc>
          <w:tcPr>
            <w:tcW w:w="759" w:type="pct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550B5" w:rsidRPr="00B550B5" w:rsidRDefault="00B550B5" w:rsidP="00322F01">
            <w:pPr>
              <w:spacing w:before="120" w:line="480" w:lineRule="auto"/>
              <w:jc w:val="center"/>
              <w:rPr>
                <w:szCs w:val="24"/>
              </w:rPr>
            </w:pPr>
            <w:r w:rsidRPr="008D371F">
              <w:rPr>
                <w:i/>
                <w:szCs w:val="24"/>
              </w:rPr>
              <w:t>r</w:t>
            </w:r>
            <w:r w:rsidRPr="00B550B5">
              <w:rPr>
                <w:szCs w:val="24"/>
                <w:vertAlign w:val="superscript"/>
              </w:rPr>
              <w:t>2</w:t>
            </w:r>
          </w:p>
        </w:tc>
      </w:tr>
      <w:tr w:rsidR="00B550B5" w:rsidRPr="005D7404" w:rsidTr="00322F01">
        <w:trPr>
          <w:trHeight w:val="602"/>
        </w:trPr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550B5" w:rsidRPr="0052168F" w:rsidRDefault="00B550B5" w:rsidP="00322F01">
            <w:pPr>
              <w:spacing w:before="120" w:after="0" w:line="480" w:lineRule="auto"/>
              <w:contextualSpacing/>
              <w:jc w:val="center"/>
            </w:pPr>
            <w:r w:rsidRPr="0052168F">
              <w:t xml:space="preserve">DAD </w:t>
            </w:r>
            <w:r w:rsidR="009E55D9">
              <w:t>s</w:t>
            </w:r>
            <w:r w:rsidRPr="0052168F">
              <w:t>core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550B5" w:rsidRPr="0052168F" w:rsidRDefault="00063DD6" w:rsidP="00322F01">
            <w:pPr>
              <w:spacing w:before="120" w:after="0" w:line="480" w:lineRule="auto"/>
              <w:contextualSpacing/>
              <w:jc w:val="center"/>
            </w:pPr>
            <w:r>
              <w:t>1.84</w:t>
            </w:r>
            <w:r w:rsidR="00253B2C">
              <w:t xml:space="preserve"> </w:t>
            </w:r>
            <w:r w:rsidR="009E55D9">
              <w:t>(</w:t>
            </w:r>
            <w:r w:rsidR="00253B2C">
              <w:t xml:space="preserve">0.5 </w:t>
            </w:r>
            <w:r w:rsidR="009E55D9">
              <w:t>to</w:t>
            </w:r>
            <w:r>
              <w:t xml:space="preserve"> </w:t>
            </w:r>
            <w:proofErr w:type="gramStart"/>
            <w:r>
              <w:t>3.17</w:t>
            </w:r>
            <w:r w:rsidR="009E55D9">
              <w:t>)</w:t>
            </w:r>
            <w:r w:rsidR="004568B8">
              <w:t>*</w:t>
            </w:r>
            <w:proofErr w:type="gramEnd"/>
          </w:p>
        </w:tc>
        <w:tc>
          <w:tcPr>
            <w:tcW w:w="7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0B5" w:rsidRPr="0052168F" w:rsidRDefault="00063DD6" w:rsidP="00322F01">
            <w:pPr>
              <w:spacing w:before="120" w:after="0" w:line="480" w:lineRule="auto"/>
              <w:contextualSpacing/>
              <w:jc w:val="center"/>
            </w:pPr>
            <w:r>
              <w:t>-</w:t>
            </w:r>
            <w:r w:rsidR="00B550B5" w:rsidRPr="0052168F">
              <w:t>0.</w:t>
            </w:r>
            <w:r>
              <w:t>16</w:t>
            </w:r>
            <w:r w:rsidR="00253B2C">
              <w:t xml:space="preserve"> </w:t>
            </w:r>
            <w:r w:rsidR="009E55D9">
              <w:t>(</w:t>
            </w:r>
            <w:r w:rsidR="00253B2C">
              <w:t xml:space="preserve">-0.08 </w:t>
            </w:r>
            <w:r w:rsidR="009E55D9">
              <w:t>to</w:t>
            </w:r>
            <w:r>
              <w:t xml:space="preserve"> 0.05</w:t>
            </w:r>
            <w:r w:rsidR="009E55D9">
              <w:t>)</w:t>
            </w:r>
          </w:p>
        </w:tc>
        <w:tc>
          <w:tcPr>
            <w:tcW w:w="891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50B5" w:rsidRPr="0052168F" w:rsidRDefault="00B550B5" w:rsidP="00322F01">
            <w:pPr>
              <w:spacing w:before="120" w:after="0" w:line="480" w:lineRule="auto"/>
              <w:contextualSpacing/>
              <w:jc w:val="center"/>
            </w:pPr>
            <w:r w:rsidRPr="0052168F">
              <w:t>0.</w:t>
            </w:r>
            <w:r w:rsidR="00063DD6">
              <w:t>7</w:t>
            </w:r>
            <w:r w:rsidR="00253B2C">
              <w:t xml:space="preserve">9 </w:t>
            </w:r>
            <w:r w:rsidR="009E55D9">
              <w:t>(</w:t>
            </w:r>
            <w:r w:rsidR="00253B2C">
              <w:t xml:space="preserve">-0.02 </w:t>
            </w:r>
            <w:r w:rsidR="009E55D9">
              <w:t>to</w:t>
            </w:r>
            <w:r w:rsidR="00063DD6">
              <w:t xml:space="preserve"> 1.59</w:t>
            </w:r>
            <w:r w:rsidR="009E55D9">
              <w:t>)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50B5" w:rsidRPr="0052168F" w:rsidRDefault="00B550B5" w:rsidP="00322F01">
            <w:pPr>
              <w:spacing w:before="120" w:after="0" w:line="480" w:lineRule="auto"/>
              <w:contextualSpacing/>
              <w:jc w:val="center"/>
            </w:pPr>
            <w:r>
              <w:t>0.</w:t>
            </w:r>
            <w:r w:rsidR="00063DD6">
              <w:t>45</w:t>
            </w:r>
          </w:p>
        </w:tc>
      </w:tr>
      <w:tr w:rsidR="00B550B5" w:rsidRPr="000360BA" w:rsidTr="00322F01">
        <w:trPr>
          <w:trHeight w:val="602"/>
        </w:trPr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550B5" w:rsidRPr="00B550B5" w:rsidRDefault="00B550B5" w:rsidP="00322F01">
            <w:pPr>
              <w:spacing w:before="120" w:after="0" w:line="480" w:lineRule="auto"/>
              <w:contextualSpacing/>
              <w:jc w:val="center"/>
            </w:pPr>
            <w:r w:rsidRPr="00B550B5">
              <w:t>E-cadherin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B550B5" w:rsidRPr="00B550B5" w:rsidRDefault="00575702" w:rsidP="00322F01">
            <w:pPr>
              <w:spacing w:before="120" w:after="0" w:line="480" w:lineRule="auto"/>
              <w:contextualSpacing/>
              <w:jc w:val="center"/>
            </w:pPr>
            <w:r>
              <w:t>-2.95</w:t>
            </w:r>
            <w:r w:rsidR="00253B2C">
              <w:t xml:space="preserve"> </w:t>
            </w:r>
            <w:r w:rsidR="009E55D9">
              <w:t>(</w:t>
            </w:r>
            <w:r>
              <w:t>-5.07</w:t>
            </w:r>
            <w:r w:rsidR="00253B2C">
              <w:t xml:space="preserve"> </w:t>
            </w:r>
            <w:r w:rsidR="009E55D9">
              <w:t>to</w:t>
            </w:r>
            <w:r w:rsidR="00670B71">
              <w:t xml:space="preserve"> </w:t>
            </w:r>
            <w:r>
              <w:t>-</w:t>
            </w:r>
            <w:r w:rsidR="00B550B5" w:rsidRPr="00B550B5">
              <w:t>0.</w:t>
            </w:r>
            <w:proofErr w:type="gramStart"/>
            <w:r>
              <w:t>83</w:t>
            </w:r>
            <w:r w:rsidR="009E55D9">
              <w:t>)</w:t>
            </w:r>
            <w:r w:rsidR="004568B8">
              <w:t>*</w:t>
            </w:r>
            <w:proofErr w:type="gramEnd"/>
          </w:p>
        </w:tc>
        <w:tc>
          <w:tcPr>
            <w:tcW w:w="7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550B5" w:rsidRPr="00B550B5" w:rsidRDefault="00B550B5" w:rsidP="00322F01">
            <w:pPr>
              <w:spacing w:before="120" w:after="0" w:line="480" w:lineRule="auto"/>
              <w:contextualSpacing/>
              <w:jc w:val="center"/>
            </w:pPr>
            <w:r w:rsidRPr="00B550B5">
              <w:t>0.</w:t>
            </w:r>
            <w:r w:rsidR="00575702">
              <w:t>11</w:t>
            </w:r>
            <w:r w:rsidR="00253B2C">
              <w:t xml:space="preserve"> </w:t>
            </w:r>
            <w:r w:rsidR="009E55D9">
              <w:t>(</w:t>
            </w:r>
            <w:r w:rsidR="00253B2C">
              <w:t xml:space="preserve">-0.01 </w:t>
            </w:r>
            <w:r w:rsidR="009E55D9">
              <w:t>to</w:t>
            </w:r>
            <w:r w:rsidR="00575702">
              <w:t xml:space="preserve"> </w:t>
            </w:r>
            <w:r w:rsidRPr="00B550B5">
              <w:t>0.2</w:t>
            </w:r>
            <w:r w:rsidR="00575702">
              <w:t>2</w:t>
            </w:r>
            <w:r w:rsidR="009E55D9">
              <w:t>)</w:t>
            </w:r>
          </w:p>
        </w:tc>
        <w:tc>
          <w:tcPr>
            <w:tcW w:w="891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50B5" w:rsidRPr="00B550B5" w:rsidRDefault="00B550B5" w:rsidP="00322F01">
            <w:pPr>
              <w:spacing w:before="120" w:after="0" w:line="480" w:lineRule="auto"/>
              <w:contextualSpacing/>
              <w:jc w:val="center"/>
            </w:pPr>
            <w:r w:rsidRPr="00B550B5">
              <w:t>0.</w:t>
            </w:r>
            <w:r w:rsidR="00575702">
              <w:t>39</w:t>
            </w:r>
            <w:r w:rsidR="00253B2C">
              <w:t xml:space="preserve"> </w:t>
            </w:r>
            <w:r w:rsidR="009E55D9">
              <w:t>(</w:t>
            </w:r>
            <w:r w:rsidR="00253B2C">
              <w:t xml:space="preserve">-1.01 </w:t>
            </w:r>
            <w:r w:rsidR="009E55D9">
              <w:t>to</w:t>
            </w:r>
            <w:r w:rsidR="00575702">
              <w:t xml:space="preserve"> 1.80</w:t>
            </w:r>
            <w:r w:rsidR="009E55D9">
              <w:t>)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50B5" w:rsidRPr="00B550B5" w:rsidRDefault="00575702" w:rsidP="00322F01">
            <w:pPr>
              <w:spacing w:before="120" w:after="0" w:line="480" w:lineRule="auto"/>
              <w:contextualSpacing/>
              <w:jc w:val="center"/>
            </w:pPr>
            <w:r>
              <w:t>0.30</w:t>
            </w:r>
          </w:p>
        </w:tc>
      </w:tr>
      <w:tr w:rsidR="00670B71" w:rsidRPr="005006EB" w:rsidTr="00322F01">
        <w:trPr>
          <w:trHeight w:val="602"/>
        </w:trPr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 w:rsidRPr="0052168F">
              <w:t>IL-6 (fold change relative to NV)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>
              <w:t xml:space="preserve">3.99 </w:t>
            </w:r>
            <w:r w:rsidR="009E55D9">
              <w:t>(</w:t>
            </w:r>
            <w:r>
              <w:t xml:space="preserve">0.57 </w:t>
            </w:r>
            <w:r w:rsidR="009E55D9">
              <w:t>to</w:t>
            </w:r>
            <w:r>
              <w:t xml:space="preserve"> </w:t>
            </w:r>
            <w:proofErr w:type="gramStart"/>
            <w:r>
              <w:t>7.40</w:t>
            </w:r>
            <w:r w:rsidR="009E55D9">
              <w:t>)</w:t>
            </w:r>
            <w:r>
              <w:t>*</w:t>
            </w:r>
            <w:proofErr w:type="gramEnd"/>
          </w:p>
        </w:tc>
        <w:tc>
          <w:tcPr>
            <w:tcW w:w="7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 w:rsidRPr="0052168F">
              <w:t>0.</w:t>
            </w:r>
            <w:r>
              <w:t xml:space="preserve">10 </w:t>
            </w:r>
            <w:r w:rsidR="009E55D9">
              <w:t>(</w:t>
            </w:r>
            <w:r>
              <w:t xml:space="preserve">-0.09 </w:t>
            </w:r>
            <w:r w:rsidR="009E55D9">
              <w:t>to</w:t>
            </w:r>
            <w:r>
              <w:t xml:space="preserve"> 0.29</w:t>
            </w:r>
            <w:r w:rsidR="009E55D9">
              <w:t>)</w:t>
            </w:r>
          </w:p>
        </w:tc>
        <w:tc>
          <w:tcPr>
            <w:tcW w:w="891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 w:rsidRPr="0052168F">
              <w:t>-0.</w:t>
            </w:r>
            <w:r>
              <w:t xml:space="preserve">46 </w:t>
            </w:r>
            <w:r w:rsidR="009E55D9">
              <w:t>(</w:t>
            </w:r>
            <w:r>
              <w:t xml:space="preserve">-2.64 </w:t>
            </w:r>
            <w:r w:rsidR="009E55D9">
              <w:t>to</w:t>
            </w:r>
            <w:r>
              <w:t xml:space="preserve"> 1.72</w:t>
            </w:r>
            <w:r w:rsidR="009E55D9">
              <w:t>)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>
              <w:t>0.25</w:t>
            </w:r>
          </w:p>
        </w:tc>
      </w:tr>
      <w:tr w:rsidR="00670B71" w:rsidRPr="005006EB" w:rsidTr="00322F01">
        <w:trPr>
          <w:trHeight w:val="602"/>
        </w:trPr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 w:rsidRPr="0052168F">
              <w:t>Amphiregulin (fold change relative to NV)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>
              <w:t xml:space="preserve">2.09 </w:t>
            </w:r>
            <w:r w:rsidR="009E55D9">
              <w:t>(</w:t>
            </w:r>
            <w:r>
              <w:t xml:space="preserve">0.99 </w:t>
            </w:r>
            <w:r w:rsidR="009E55D9">
              <w:t>to</w:t>
            </w:r>
            <w:r>
              <w:t xml:space="preserve"> </w:t>
            </w:r>
            <w:proofErr w:type="gramStart"/>
            <w:r>
              <w:t>3.20</w:t>
            </w:r>
            <w:r w:rsidR="009E55D9">
              <w:t>)</w:t>
            </w:r>
            <w:r>
              <w:t>*</w:t>
            </w:r>
            <w:proofErr w:type="gramEnd"/>
          </w:p>
        </w:tc>
        <w:tc>
          <w:tcPr>
            <w:tcW w:w="75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>
              <w:t xml:space="preserve">-0.17 </w:t>
            </w:r>
            <w:r w:rsidR="009E55D9">
              <w:t>(</w:t>
            </w:r>
            <w:r>
              <w:t xml:space="preserve">-0.08 </w:t>
            </w:r>
            <w:r w:rsidR="009E55D9">
              <w:t>to</w:t>
            </w:r>
            <w:r>
              <w:t xml:space="preserve"> 0.05</w:t>
            </w:r>
            <w:r w:rsidR="009E55D9">
              <w:t>)</w:t>
            </w:r>
          </w:p>
        </w:tc>
        <w:tc>
          <w:tcPr>
            <w:tcW w:w="891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 w:rsidRPr="0052168F">
              <w:t>0.</w:t>
            </w:r>
            <w:r>
              <w:t xml:space="preserve">04 </w:t>
            </w:r>
            <w:r w:rsidR="009E55D9">
              <w:t>(</w:t>
            </w:r>
            <w:r>
              <w:t xml:space="preserve">-0.66 </w:t>
            </w:r>
            <w:r w:rsidR="009E55D9">
              <w:t>to</w:t>
            </w:r>
            <w:r>
              <w:t xml:space="preserve"> 0.75</w:t>
            </w:r>
            <w:r w:rsidR="009E55D9">
              <w:t>)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>
              <w:t>0.40</w:t>
            </w:r>
          </w:p>
        </w:tc>
      </w:tr>
      <w:tr w:rsidR="00670B71" w:rsidRPr="005006EB" w:rsidTr="00322F01">
        <w:trPr>
          <w:trHeight w:val="602"/>
        </w:trPr>
        <w:tc>
          <w:tcPr>
            <w:tcW w:w="1551" w:type="pct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 w:rsidRPr="0052168F">
              <w:t>CC16 (fold change relative to NV)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 w:rsidRPr="0052168F">
              <w:t>1.</w:t>
            </w:r>
            <w:r>
              <w:t xml:space="preserve">48 </w:t>
            </w:r>
            <w:r w:rsidR="009E55D9">
              <w:t>(</w:t>
            </w:r>
            <w:r>
              <w:t xml:space="preserve">-0.69 </w:t>
            </w:r>
            <w:r w:rsidR="009E55D9">
              <w:t>to</w:t>
            </w:r>
            <w:r>
              <w:t xml:space="preserve"> 3.65</w:t>
            </w:r>
            <w:r w:rsidR="009E55D9">
              <w:t>)</w:t>
            </w:r>
          </w:p>
        </w:tc>
        <w:tc>
          <w:tcPr>
            <w:tcW w:w="756" w:type="pc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>
              <w:t xml:space="preserve">-0.08 </w:t>
            </w:r>
            <w:r w:rsidR="009E55D9">
              <w:t>(</w:t>
            </w:r>
            <w:r>
              <w:t xml:space="preserve">-0.20 </w:t>
            </w:r>
            <w:r w:rsidR="009E55D9">
              <w:t>to</w:t>
            </w:r>
            <w:r>
              <w:t xml:space="preserve"> 0.04</w:t>
            </w:r>
            <w:r w:rsidR="009E55D9">
              <w:t>)</w:t>
            </w:r>
          </w:p>
        </w:tc>
        <w:tc>
          <w:tcPr>
            <w:tcW w:w="891" w:type="pct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>
              <w:t xml:space="preserve">0.10 </w:t>
            </w:r>
            <w:r w:rsidR="009E55D9">
              <w:t>(</w:t>
            </w:r>
            <w:r>
              <w:t xml:space="preserve">-1.28 </w:t>
            </w:r>
            <w:r w:rsidR="009E55D9">
              <w:t>to</w:t>
            </w:r>
            <w:r>
              <w:t xml:space="preserve"> 1.50</w:t>
            </w:r>
            <w:r w:rsidR="009E55D9">
              <w:t>)</w:t>
            </w:r>
          </w:p>
        </w:tc>
        <w:tc>
          <w:tcPr>
            <w:tcW w:w="759" w:type="pct"/>
            <w:tcBorders>
              <w:top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670B71" w:rsidRPr="0052168F" w:rsidRDefault="00670B71" w:rsidP="00322F01">
            <w:pPr>
              <w:spacing w:before="120" w:after="0" w:line="480" w:lineRule="auto"/>
              <w:contextualSpacing/>
              <w:jc w:val="center"/>
            </w:pPr>
            <w:r>
              <w:t>0.11</w:t>
            </w:r>
          </w:p>
        </w:tc>
      </w:tr>
    </w:tbl>
    <w:p w:rsidR="006B0852" w:rsidRDefault="006B0852" w:rsidP="006B0852">
      <w:pPr>
        <w:spacing w:line="360" w:lineRule="auto"/>
        <w:jc w:val="both"/>
        <w:rPr>
          <w:b/>
        </w:rPr>
      </w:pPr>
    </w:p>
    <w:p w:rsidR="00E61ECD" w:rsidRPr="005006EB" w:rsidRDefault="00E61ECD" w:rsidP="00127AE1">
      <w:pPr>
        <w:spacing w:line="480" w:lineRule="auto"/>
        <w:jc w:val="both"/>
      </w:pPr>
      <w:r w:rsidRPr="00FB35BC">
        <w:t>Values represent the</w:t>
      </w:r>
      <w:r w:rsidR="009E55D9">
        <w:t xml:space="preserve"> beta </w:t>
      </w:r>
      <w:r w:rsidRPr="00FB35BC">
        <w:t xml:space="preserve">coefficients </w:t>
      </w:r>
      <w:r w:rsidR="009E55D9">
        <w:t xml:space="preserve">(with </w:t>
      </w:r>
      <w:r w:rsidRPr="00FB35BC">
        <w:t xml:space="preserve">95% </w:t>
      </w:r>
      <w:r>
        <w:t>confidence interval</w:t>
      </w:r>
      <w:r w:rsidR="009E55D9">
        <w:t xml:space="preserve">) </w:t>
      </w:r>
      <w:r w:rsidRPr="00FB35BC">
        <w:t xml:space="preserve">of multiple linear regression analyses. The dependent variables are </w:t>
      </w:r>
      <w:r w:rsidR="005D202B">
        <w:t>tidal volume (</w:t>
      </w:r>
      <w:r w:rsidRPr="00FB35BC">
        <w:t>V</w:t>
      </w:r>
      <w:r w:rsidRPr="00FB35BC">
        <w:rPr>
          <w:vertAlign w:val="subscript"/>
        </w:rPr>
        <w:t>T</w:t>
      </w:r>
      <w:r w:rsidR="005D202B">
        <w:t>)</w:t>
      </w:r>
      <w:r w:rsidR="005D202B">
        <w:t>, respiratory rate (</w:t>
      </w:r>
      <w:r>
        <w:t>RR</w:t>
      </w:r>
      <w:r w:rsidR="005D202B">
        <w:t>)</w:t>
      </w:r>
      <w:r>
        <w:t xml:space="preserve">, and </w:t>
      </w:r>
      <w:proofErr w:type="spellStart"/>
      <w:r w:rsidR="00322F01">
        <w:t>transpulmonary</w:t>
      </w:r>
      <w:proofErr w:type="spellEnd"/>
      <w:r w:rsidR="00322F01">
        <w:t xml:space="preserve"> driving pressure (</w:t>
      </w:r>
      <w:r w:rsidRPr="00FB35BC">
        <w:rPr>
          <w:rFonts w:ascii="Symbol" w:hAnsi="Symbol"/>
          <w:szCs w:val="24"/>
        </w:rPr>
        <w:t></w:t>
      </w:r>
      <w:r w:rsidRPr="00FB35BC">
        <w:rPr>
          <w:szCs w:val="24"/>
        </w:rPr>
        <w:t>P,L</w:t>
      </w:r>
      <w:r w:rsidR="00322F01">
        <w:rPr>
          <w:szCs w:val="24"/>
        </w:rPr>
        <w:t>)</w:t>
      </w:r>
      <w:r w:rsidR="009E55D9">
        <w:rPr>
          <w:szCs w:val="24"/>
        </w:rPr>
        <w:t xml:space="preserve">; </w:t>
      </w:r>
      <w:r w:rsidRPr="00FB35BC">
        <w:t>the independent variables are DAD score</w:t>
      </w:r>
      <w:r w:rsidR="009E55D9">
        <w:t xml:space="preserve"> and </w:t>
      </w:r>
      <w:r>
        <w:t xml:space="preserve">E-cadherin, </w:t>
      </w:r>
      <w:r w:rsidR="00367304">
        <w:t>interleukin (</w:t>
      </w:r>
      <w:r w:rsidR="00670B71">
        <w:t>IL-6</w:t>
      </w:r>
      <w:r w:rsidR="00367304">
        <w:t>)</w:t>
      </w:r>
      <w:r w:rsidR="00670B71">
        <w:t xml:space="preserve">, </w:t>
      </w:r>
      <w:r w:rsidR="009E55D9">
        <w:t>a</w:t>
      </w:r>
      <w:r w:rsidRPr="00FB35BC">
        <w:t xml:space="preserve">mphiregulin, </w:t>
      </w:r>
      <w:r w:rsidR="009E55D9">
        <w:t xml:space="preserve">and </w:t>
      </w:r>
      <w:r w:rsidR="00367304">
        <w:t>club cell protein 16 (</w:t>
      </w:r>
      <w:r w:rsidRPr="00FB35BC">
        <w:t>CC16</w:t>
      </w:r>
      <w:r w:rsidR="00367304">
        <w:t>)</w:t>
      </w:r>
      <w:bookmarkStart w:id="0" w:name="_GoBack"/>
      <w:bookmarkEnd w:id="0"/>
      <w:r w:rsidRPr="00FB35BC">
        <w:t xml:space="preserve"> gene expressions. </w:t>
      </w:r>
      <w:r w:rsidRPr="00FB35BC">
        <w:rPr>
          <w:i/>
        </w:rPr>
        <w:t>r</w:t>
      </w:r>
      <w:r w:rsidRPr="00FB35BC">
        <w:rPr>
          <w:vertAlign w:val="superscript"/>
        </w:rPr>
        <w:t>2</w:t>
      </w:r>
      <w:r w:rsidRPr="00FB35BC">
        <w:t xml:space="preserve"> represents the percentage of the response</w:t>
      </w:r>
      <w:r w:rsidR="009E55D9">
        <w:t>-</w:t>
      </w:r>
      <w:r w:rsidRPr="00FB35BC">
        <w:t>variable variation that is explained by the multiple linear model.</w:t>
      </w:r>
      <w:r w:rsidR="009E55D9">
        <w:t xml:space="preserve"> </w:t>
      </w:r>
      <w:r>
        <w:t>*p&lt;0.05</w:t>
      </w:r>
      <w:r w:rsidR="009E55D9">
        <w:t>.</w:t>
      </w:r>
    </w:p>
    <w:p w:rsidR="00EF5B03" w:rsidRPr="000360BA" w:rsidRDefault="00EF5B03" w:rsidP="001C145A">
      <w:pPr>
        <w:jc w:val="both"/>
      </w:pPr>
    </w:p>
    <w:sectPr w:rsidR="00EF5B03" w:rsidRPr="000360BA" w:rsidSect="001C14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5A"/>
    <w:rsid w:val="000407BB"/>
    <w:rsid w:val="00063DD6"/>
    <w:rsid w:val="000D1847"/>
    <w:rsid w:val="00127AE1"/>
    <w:rsid w:val="001533B2"/>
    <w:rsid w:val="00165B48"/>
    <w:rsid w:val="00185676"/>
    <w:rsid w:val="001C145A"/>
    <w:rsid w:val="00253B2C"/>
    <w:rsid w:val="002D64DA"/>
    <w:rsid w:val="00316B50"/>
    <w:rsid w:val="00322F01"/>
    <w:rsid w:val="003643B6"/>
    <w:rsid w:val="00367304"/>
    <w:rsid w:val="004568B8"/>
    <w:rsid w:val="00475354"/>
    <w:rsid w:val="004A73E2"/>
    <w:rsid w:val="005006EB"/>
    <w:rsid w:val="00500BDD"/>
    <w:rsid w:val="0052168F"/>
    <w:rsid w:val="00575702"/>
    <w:rsid w:val="005D202B"/>
    <w:rsid w:val="005D7404"/>
    <w:rsid w:val="00624BD7"/>
    <w:rsid w:val="00670B71"/>
    <w:rsid w:val="006B0852"/>
    <w:rsid w:val="00797D03"/>
    <w:rsid w:val="007E49D9"/>
    <w:rsid w:val="008D371F"/>
    <w:rsid w:val="009C0FAB"/>
    <w:rsid w:val="009E045A"/>
    <w:rsid w:val="009E55D9"/>
    <w:rsid w:val="00B525BD"/>
    <w:rsid w:val="00B550B5"/>
    <w:rsid w:val="00BE543C"/>
    <w:rsid w:val="00C330B7"/>
    <w:rsid w:val="00DC738A"/>
    <w:rsid w:val="00DF0BF7"/>
    <w:rsid w:val="00E2274B"/>
    <w:rsid w:val="00E61ECD"/>
    <w:rsid w:val="00E77D31"/>
    <w:rsid w:val="00E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36F6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45A"/>
    <w:pPr>
      <w:suppressAutoHyphens/>
      <w:spacing w:after="120" w:line="240" w:lineRule="auto"/>
    </w:pPr>
    <w:rPr>
      <w:rFonts w:ascii="Times New Roman" w:eastAsia="Times" w:hAnsi="Times New Roman" w:cs="Times New Roman"/>
      <w:sz w:val="24"/>
      <w:szCs w:val="20"/>
      <w:lang w:val="en-US" w:eastAsia="zh-CN" w:bidi="bn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B08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852"/>
    <w:rPr>
      <w:sz w:val="20"/>
      <w:szCs w:val="25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852"/>
    <w:rPr>
      <w:rFonts w:ascii="Times New Roman" w:eastAsia="Times" w:hAnsi="Times New Roman" w:cs="Times New Roman"/>
      <w:sz w:val="20"/>
      <w:szCs w:val="25"/>
      <w:lang w:val="en-US" w:eastAsia="zh-CN" w:bidi="bn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852"/>
    <w:pPr>
      <w:spacing w:after="0"/>
    </w:pPr>
    <w:rPr>
      <w:rFonts w:ascii="Segoe UI" w:hAnsi="Segoe UI" w:cs="Segoe UI"/>
      <w:sz w:val="18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852"/>
    <w:rPr>
      <w:rFonts w:ascii="Segoe UI" w:eastAsia="Times" w:hAnsi="Segoe UI" w:cs="Segoe UI"/>
      <w:sz w:val="18"/>
      <w:lang w:val="en-US" w:eastAsia="zh-CN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Patricia Rocco</cp:lastModifiedBy>
  <cp:revision>6</cp:revision>
  <cp:lastPrinted>2017-08-16T18:48:00Z</cp:lastPrinted>
  <dcterms:created xsi:type="dcterms:W3CDTF">2017-12-30T18:42:00Z</dcterms:created>
  <dcterms:modified xsi:type="dcterms:W3CDTF">2017-12-30T21:38:00Z</dcterms:modified>
</cp:coreProperties>
</file>