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BC2D" w14:textId="33DF2598" w:rsidR="00E11529" w:rsidRPr="00946332" w:rsidRDefault="005F39D5" w:rsidP="009B774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80338C">
        <w:rPr>
          <w:rFonts w:ascii="Arial" w:hAnsi="Arial" w:cs="Arial"/>
          <w:b/>
          <w:sz w:val="22"/>
          <w:szCs w:val="22"/>
        </w:rPr>
        <w:t>Supplemental digital content</w:t>
      </w:r>
      <w:r w:rsidR="003D575D">
        <w:rPr>
          <w:rFonts w:ascii="Arial" w:hAnsi="Arial" w:cs="Arial"/>
          <w:b/>
          <w:sz w:val="22"/>
          <w:szCs w:val="22"/>
        </w:rPr>
        <w:t xml:space="preserve"> 2</w:t>
      </w:r>
      <w:r w:rsidR="00E11529" w:rsidRPr="00946332">
        <w:rPr>
          <w:rFonts w:ascii="Arial" w:hAnsi="Arial" w:cs="Arial"/>
          <w:b/>
          <w:sz w:val="22"/>
          <w:szCs w:val="22"/>
          <w:lang w:val="en-US"/>
        </w:rPr>
        <w:t xml:space="preserve">:  Cox </w:t>
      </w:r>
      <w:bookmarkStart w:id="0" w:name="_GoBack"/>
      <w:bookmarkEnd w:id="0"/>
      <w:r w:rsidR="00E11529" w:rsidRPr="00946332">
        <w:rPr>
          <w:rFonts w:ascii="Arial" w:hAnsi="Arial" w:cs="Arial"/>
          <w:b/>
          <w:sz w:val="22"/>
          <w:szCs w:val="22"/>
          <w:lang w:val="en-US"/>
        </w:rPr>
        <w:t>regression analysis in patients with ARDS (n=136)</w:t>
      </w:r>
    </w:p>
    <w:tbl>
      <w:tblPr>
        <w:tblStyle w:val="Tabellenrast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832"/>
        <w:gridCol w:w="236"/>
        <w:gridCol w:w="1625"/>
        <w:gridCol w:w="851"/>
        <w:gridCol w:w="236"/>
        <w:gridCol w:w="1606"/>
        <w:gridCol w:w="851"/>
      </w:tblGrid>
      <w:tr w:rsidR="00E11529" w:rsidRPr="00DE56E7" w14:paraId="0B47A77F" w14:textId="77777777" w:rsidTr="009B7746">
        <w:tc>
          <w:tcPr>
            <w:tcW w:w="2411" w:type="dxa"/>
            <w:tcBorders>
              <w:top w:val="single" w:sz="18" w:space="0" w:color="C45911" w:themeColor="accent2" w:themeShade="BF"/>
            </w:tcBorders>
          </w:tcPr>
          <w:p w14:paraId="471ED354" w14:textId="77777777" w:rsidR="00E11529" w:rsidRPr="00946332" w:rsidRDefault="00E11529" w:rsidP="009B77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sz="18" w:space="0" w:color="C45911" w:themeColor="accent2" w:themeShade="BF"/>
              <w:bottom w:val="single" w:sz="12" w:space="0" w:color="C45911" w:themeColor="accent2" w:themeShade="BF"/>
            </w:tcBorders>
          </w:tcPr>
          <w:p w14:paraId="049E1436" w14:textId="77777777" w:rsidR="00E11529" w:rsidRPr="009464A2" w:rsidRDefault="00E11529" w:rsidP="009B77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7A152A" w14:textId="1F30D53F" w:rsidR="00E11529" w:rsidRPr="009464A2" w:rsidRDefault="00C007C3" w:rsidP="009B77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Single predictor</w:t>
            </w:r>
          </w:p>
        </w:tc>
        <w:tc>
          <w:tcPr>
            <w:tcW w:w="236" w:type="dxa"/>
            <w:tcBorders>
              <w:top w:val="single" w:sz="18" w:space="0" w:color="C45911" w:themeColor="accent2" w:themeShade="BF"/>
            </w:tcBorders>
          </w:tcPr>
          <w:p w14:paraId="498AB2EA" w14:textId="77777777" w:rsidR="00E11529" w:rsidRPr="009464A2" w:rsidRDefault="00E11529" w:rsidP="009B77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69" w:type="dxa"/>
            <w:gridSpan w:val="5"/>
            <w:tcBorders>
              <w:top w:val="single" w:sz="18" w:space="0" w:color="C45911" w:themeColor="accent2" w:themeShade="BF"/>
              <w:bottom w:val="single" w:sz="12" w:space="0" w:color="C45911" w:themeColor="accent2" w:themeShade="BF"/>
            </w:tcBorders>
          </w:tcPr>
          <w:p w14:paraId="68FE9FDC" w14:textId="16CE87AB" w:rsidR="00E11529" w:rsidRPr="009464A2" w:rsidRDefault="00C007C3" w:rsidP="009B77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Multiple predictors</w:t>
            </w:r>
          </w:p>
        </w:tc>
      </w:tr>
      <w:tr w:rsidR="00E11529" w:rsidRPr="00DE56E7" w14:paraId="35CCD712" w14:textId="77777777" w:rsidTr="009B7746">
        <w:tc>
          <w:tcPr>
            <w:tcW w:w="2411" w:type="dxa"/>
          </w:tcPr>
          <w:p w14:paraId="56F16E2E" w14:textId="77777777" w:rsidR="00E11529" w:rsidRPr="00DE56E7" w:rsidRDefault="00E11529" w:rsidP="009B77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18" w:space="0" w:color="auto"/>
              <w:bottom w:val="single" w:sz="12" w:space="0" w:color="C45911" w:themeColor="accent2" w:themeShade="BF"/>
            </w:tcBorders>
          </w:tcPr>
          <w:p w14:paraId="071CB9A6" w14:textId="77777777" w:rsidR="00E11529" w:rsidRPr="009464A2" w:rsidRDefault="00E11529" w:rsidP="009B77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14:paraId="740ACE19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C45911" w:themeColor="accent2" w:themeShade="BF"/>
              <w:bottom w:val="single" w:sz="12" w:space="0" w:color="C45911" w:themeColor="accent2" w:themeShade="BF"/>
            </w:tcBorders>
          </w:tcPr>
          <w:p w14:paraId="5D918925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236" w:type="dxa"/>
            <w:tcBorders>
              <w:top w:val="single" w:sz="12" w:space="0" w:color="C45911" w:themeColor="accent2" w:themeShade="BF"/>
            </w:tcBorders>
          </w:tcPr>
          <w:p w14:paraId="33473838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gridSpan w:val="2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</w:tcPr>
          <w:p w14:paraId="4E4485C6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Restricted</w:t>
            </w:r>
          </w:p>
        </w:tc>
      </w:tr>
      <w:tr w:rsidR="00E11529" w:rsidRPr="00DE56E7" w14:paraId="5249C4AA" w14:textId="77777777" w:rsidTr="009B7746">
        <w:tc>
          <w:tcPr>
            <w:tcW w:w="2411" w:type="dxa"/>
            <w:tcBorders>
              <w:bottom w:val="single" w:sz="18" w:space="0" w:color="C45911" w:themeColor="accent2" w:themeShade="BF"/>
            </w:tcBorders>
            <w:vAlign w:val="bottom"/>
          </w:tcPr>
          <w:p w14:paraId="0E6394B9" w14:textId="77777777" w:rsidR="00E11529" w:rsidRPr="00DE56E7" w:rsidRDefault="00E11529" w:rsidP="009B7746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Covariable</w:t>
            </w:r>
            <w:proofErr w:type="spellEnd"/>
          </w:p>
        </w:tc>
        <w:tc>
          <w:tcPr>
            <w:tcW w:w="1559" w:type="dxa"/>
            <w:tcBorders>
              <w:top w:val="single" w:sz="12" w:space="0" w:color="C45911" w:themeColor="accent2" w:themeShade="BF"/>
              <w:bottom w:val="single" w:sz="18" w:space="0" w:color="C45911" w:themeColor="accent2" w:themeShade="BF"/>
            </w:tcBorders>
            <w:vAlign w:val="bottom"/>
          </w:tcPr>
          <w:p w14:paraId="1D4D461D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832" w:type="dxa"/>
            <w:tcBorders>
              <w:top w:val="single" w:sz="12" w:space="0" w:color="C45911" w:themeColor="accent2" w:themeShade="BF"/>
              <w:bottom w:val="single" w:sz="18" w:space="0" w:color="C45911" w:themeColor="accent2" w:themeShade="BF"/>
            </w:tcBorders>
            <w:vAlign w:val="bottom"/>
          </w:tcPr>
          <w:p w14:paraId="38879642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gramEnd"/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236" w:type="dxa"/>
            <w:tcBorders>
              <w:bottom w:val="single" w:sz="18" w:space="0" w:color="C45911" w:themeColor="accent2" w:themeShade="BF"/>
            </w:tcBorders>
          </w:tcPr>
          <w:p w14:paraId="449C4602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tcBorders>
              <w:top w:val="single" w:sz="8" w:space="0" w:color="C45911" w:themeColor="accent2" w:themeShade="BF"/>
              <w:bottom w:val="single" w:sz="18" w:space="0" w:color="C45911" w:themeColor="accent2" w:themeShade="BF"/>
            </w:tcBorders>
            <w:vAlign w:val="bottom"/>
          </w:tcPr>
          <w:p w14:paraId="3A368103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851" w:type="dxa"/>
            <w:tcBorders>
              <w:top w:val="single" w:sz="12" w:space="0" w:color="C45911" w:themeColor="accent2" w:themeShade="BF"/>
              <w:bottom w:val="single" w:sz="18" w:space="0" w:color="C45911" w:themeColor="accent2" w:themeShade="BF"/>
            </w:tcBorders>
            <w:vAlign w:val="bottom"/>
          </w:tcPr>
          <w:p w14:paraId="5800121A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gramEnd"/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236" w:type="dxa"/>
            <w:tcBorders>
              <w:bottom w:val="single" w:sz="18" w:space="0" w:color="C45911" w:themeColor="accent2" w:themeShade="BF"/>
            </w:tcBorders>
            <w:vAlign w:val="bottom"/>
          </w:tcPr>
          <w:p w14:paraId="15C34A43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tcBorders>
              <w:bottom w:val="single" w:sz="18" w:space="0" w:color="C45911" w:themeColor="accent2" w:themeShade="BF"/>
            </w:tcBorders>
            <w:vAlign w:val="bottom"/>
          </w:tcPr>
          <w:p w14:paraId="0004A584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851" w:type="dxa"/>
            <w:tcBorders>
              <w:bottom w:val="single" w:sz="18" w:space="0" w:color="C45911" w:themeColor="accent2" w:themeShade="BF"/>
            </w:tcBorders>
            <w:vAlign w:val="bottom"/>
          </w:tcPr>
          <w:p w14:paraId="4D4E5CC5" w14:textId="77777777" w:rsidR="00E11529" w:rsidRPr="009464A2" w:rsidRDefault="00E11529" w:rsidP="009B774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gramEnd"/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</w:tr>
      <w:tr w:rsidR="00E11529" w:rsidRPr="00DE56E7" w14:paraId="3A1E841E" w14:textId="77777777" w:rsidTr="009B7746">
        <w:tc>
          <w:tcPr>
            <w:tcW w:w="2411" w:type="dxa"/>
            <w:tcBorders>
              <w:top w:val="single" w:sz="18" w:space="0" w:color="C45911" w:themeColor="accent2" w:themeShade="BF"/>
            </w:tcBorders>
          </w:tcPr>
          <w:p w14:paraId="730A7FF4" w14:textId="77777777" w:rsidR="00E11529" w:rsidRPr="00DE56E7" w:rsidRDefault="00E11529" w:rsidP="009B7746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Aquaporin 5 –1364A/C genotype</w:t>
            </w:r>
          </w:p>
          <w:p w14:paraId="74DB9771" w14:textId="60EFD7E9" w:rsidR="00E11529" w:rsidRPr="00DE56E7" w:rsidRDefault="009464A2" w:rsidP="009B7746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AA</w:t>
            </w:r>
          </w:p>
          <w:p w14:paraId="7BBBAF66" w14:textId="77777777" w:rsidR="00E11529" w:rsidRDefault="00E11529" w:rsidP="009B7746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</w:p>
          <w:p w14:paraId="274DC828" w14:textId="6A44DF2D" w:rsidR="009464A2" w:rsidRPr="00DE56E7" w:rsidRDefault="009464A2" w:rsidP="009B7746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CC</w:t>
            </w:r>
          </w:p>
        </w:tc>
        <w:tc>
          <w:tcPr>
            <w:tcW w:w="1559" w:type="dxa"/>
            <w:tcBorders>
              <w:top w:val="single" w:sz="18" w:space="0" w:color="C45911" w:themeColor="accent2" w:themeShade="BF"/>
            </w:tcBorders>
          </w:tcPr>
          <w:p w14:paraId="6E0474FB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08A1D7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359B3C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237EAA58" w14:textId="77777777" w:rsidR="00E11529" w:rsidRDefault="009464A2" w:rsidP="000330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0.30 (0.12-0.75</w:t>
            </w:r>
            <w:r w:rsidR="00E11529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4D911660" w14:textId="4D59AB37" w:rsidR="009464A2" w:rsidRPr="009464A2" w:rsidRDefault="009464A2" w:rsidP="000330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0.44 (0.06-3.19)</w:t>
            </w:r>
          </w:p>
        </w:tc>
        <w:tc>
          <w:tcPr>
            <w:tcW w:w="832" w:type="dxa"/>
            <w:tcBorders>
              <w:top w:val="single" w:sz="18" w:space="0" w:color="C45911" w:themeColor="accent2" w:themeShade="BF"/>
            </w:tcBorders>
          </w:tcPr>
          <w:p w14:paraId="521448F3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3F7794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DB58C8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518A671" w14:textId="77777777" w:rsidR="00E11529" w:rsidRDefault="00E11529" w:rsidP="000330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</w:t>
            </w:r>
            <w:r w:rsid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  <w:p w14:paraId="29E9DFC7" w14:textId="7B17F756" w:rsidR="009464A2" w:rsidRPr="009464A2" w:rsidRDefault="009464A2" w:rsidP="000330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0.437</w:t>
            </w:r>
          </w:p>
        </w:tc>
        <w:tc>
          <w:tcPr>
            <w:tcW w:w="236" w:type="dxa"/>
            <w:tcBorders>
              <w:top w:val="single" w:sz="18" w:space="0" w:color="C45911" w:themeColor="accent2" w:themeShade="BF"/>
            </w:tcBorders>
          </w:tcPr>
          <w:p w14:paraId="0C3A9729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tcBorders>
              <w:top w:val="single" w:sz="18" w:space="0" w:color="C45911" w:themeColor="accent2" w:themeShade="BF"/>
            </w:tcBorders>
          </w:tcPr>
          <w:p w14:paraId="3EC5A668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8DCB8F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C6F661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48FE83DE" w14:textId="77777777" w:rsidR="00E11529" w:rsidRDefault="009464A2" w:rsidP="000330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0.31 (0.89-1.06</w:t>
            </w:r>
            <w:r w:rsidR="00E11529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14E6C161" w14:textId="6715A84C" w:rsidR="009464A2" w:rsidRPr="009464A2" w:rsidRDefault="009464A2" w:rsidP="000330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0.29 (0.04-2.33)</w:t>
            </w:r>
          </w:p>
        </w:tc>
        <w:tc>
          <w:tcPr>
            <w:tcW w:w="851" w:type="dxa"/>
            <w:tcBorders>
              <w:top w:val="single" w:sz="18" w:space="0" w:color="C45911" w:themeColor="accent2" w:themeShade="BF"/>
            </w:tcBorders>
          </w:tcPr>
          <w:p w14:paraId="73956D6B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939124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33E1E1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6294B5B" w14:textId="77777777" w:rsidR="00E11529" w:rsidRDefault="00E11529" w:rsidP="009464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</w:t>
            </w:r>
            <w:r w:rsid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62</w:t>
            </w:r>
          </w:p>
          <w:p w14:paraId="2F6D3960" w14:textId="193CB528" w:rsidR="009464A2" w:rsidRPr="009464A2" w:rsidRDefault="009464A2" w:rsidP="009464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0.245</w:t>
            </w:r>
          </w:p>
        </w:tc>
        <w:tc>
          <w:tcPr>
            <w:tcW w:w="236" w:type="dxa"/>
            <w:tcBorders>
              <w:top w:val="single" w:sz="18" w:space="0" w:color="C45911" w:themeColor="accent2" w:themeShade="BF"/>
            </w:tcBorders>
          </w:tcPr>
          <w:p w14:paraId="0C3EDA0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tcBorders>
              <w:top w:val="single" w:sz="18" w:space="0" w:color="C45911" w:themeColor="accent2" w:themeShade="BF"/>
            </w:tcBorders>
          </w:tcPr>
          <w:p w14:paraId="623F7404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52BB1C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E0EC19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4493434C" w14:textId="77777777" w:rsidR="00E11529" w:rsidRDefault="009464A2" w:rsidP="00B93A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0.26 (0</w:t>
            </w:r>
            <w:r w:rsidR="00E11529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  <w:r w:rsidR="00E11529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E11529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75</w:t>
            </w:r>
            <w:r w:rsidR="00E11529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7ECE6D7E" w14:textId="6089974B" w:rsidR="009464A2" w:rsidRPr="009464A2" w:rsidRDefault="009464A2" w:rsidP="00B93A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0.40 (0.06-2.99)</w:t>
            </w:r>
          </w:p>
        </w:tc>
        <w:tc>
          <w:tcPr>
            <w:tcW w:w="851" w:type="dxa"/>
            <w:tcBorders>
              <w:top w:val="single" w:sz="18" w:space="0" w:color="C45911" w:themeColor="accent2" w:themeShade="BF"/>
            </w:tcBorders>
          </w:tcPr>
          <w:p w14:paraId="504B8910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D60240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21507B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F32BCC1" w14:textId="7989DE1D" w:rsidR="00E11529" w:rsidRDefault="00E11529" w:rsidP="00B93A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</w:t>
            </w:r>
            <w:r w:rsid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  <w:p w14:paraId="4E1942A5" w14:textId="0880182D" w:rsidR="009464A2" w:rsidRPr="009464A2" w:rsidRDefault="009464A2" w:rsidP="00B93A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0.377</w:t>
            </w:r>
          </w:p>
        </w:tc>
      </w:tr>
      <w:tr w:rsidR="00E11529" w:rsidRPr="00DE56E7" w14:paraId="5C1C8901" w14:textId="77777777" w:rsidTr="009B7746">
        <w:tc>
          <w:tcPr>
            <w:tcW w:w="2411" w:type="dxa"/>
          </w:tcPr>
          <w:p w14:paraId="3FBF3403" w14:textId="6DB6062E" w:rsidR="00E11529" w:rsidRPr="00DE56E7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  <w:p w14:paraId="253B2B03" w14:textId="77777777" w:rsidR="00E11529" w:rsidRPr="00DE56E7" w:rsidRDefault="00E11529" w:rsidP="009B7746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Women</w:t>
            </w:r>
          </w:p>
          <w:p w14:paraId="69EDD659" w14:textId="77777777" w:rsidR="00E11529" w:rsidRPr="00DE56E7" w:rsidRDefault="00E11529" w:rsidP="009B7746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1559" w:type="dxa"/>
          </w:tcPr>
          <w:p w14:paraId="6445006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2C603B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2F748CD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0.97 (0.56-2.21)</w:t>
            </w:r>
          </w:p>
        </w:tc>
        <w:tc>
          <w:tcPr>
            <w:tcW w:w="832" w:type="dxa"/>
          </w:tcPr>
          <w:p w14:paraId="254C63BC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9AE34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70E4602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0.654</w:t>
            </w:r>
          </w:p>
        </w:tc>
        <w:tc>
          <w:tcPr>
            <w:tcW w:w="236" w:type="dxa"/>
          </w:tcPr>
          <w:p w14:paraId="19A07027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3AFB4F33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1A38DC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470427E3" w14:textId="18B92B16" w:rsidR="00E11529" w:rsidRPr="009464A2" w:rsidRDefault="00E11529" w:rsidP="009464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9464A2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 xml:space="preserve"> (0.61-3.</w:t>
            </w:r>
            <w:r w:rsidR="009464A2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57B12C0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8AF6B6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37278F57" w14:textId="7CF34B5A" w:rsidR="00E11529" w:rsidRPr="009464A2" w:rsidRDefault="00E11529" w:rsidP="009464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 w:rsidR="009464A2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36" w:type="dxa"/>
          </w:tcPr>
          <w:p w14:paraId="03B2D3AD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7E6F49DE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71C86E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3E22E453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9E1F1D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1529" w:rsidRPr="00DE56E7" w14:paraId="5C774167" w14:textId="77777777" w:rsidTr="009B7746">
        <w:tc>
          <w:tcPr>
            <w:tcW w:w="2411" w:type="dxa"/>
          </w:tcPr>
          <w:p w14:paraId="4DC0D3AA" w14:textId="77777777" w:rsidR="00E11529" w:rsidRPr="00DE56E7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Age [years]</w:t>
            </w:r>
          </w:p>
        </w:tc>
        <w:tc>
          <w:tcPr>
            <w:tcW w:w="1559" w:type="dxa"/>
          </w:tcPr>
          <w:p w14:paraId="7984F499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1.01 (0.98-1.03)</w:t>
            </w:r>
          </w:p>
        </w:tc>
        <w:tc>
          <w:tcPr>
            <w:tcW w:w="832" w:type="dxa"/>
          </w:tcPr>
          <w:p w14:paraId="7CA89B99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0.531</w:t>
            </w:r>
          </w:p>
        </w:tc>
        <w:tc>
          <w:tcPr>
            <w:tcW w:w="236" w:type="dxa"/>
          </w:tcPr>
          <w:p w14:paraId="6B662CE6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49D5582F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1.01 (0.98-1.03)</w:t>
            </w:r>
          </w:p>
        </w:tc>
        <w:tc>
          <w:tcPr>
            <w:tcW w:w="851" w:type="dxa"/>
          </w:tcPr>
          <w:p w14:paraId="18A4DAD1" w14:textId="061D6E69" w:rsidR="00E11529" w:rsidRPr="009464A2" w:rsidRDefault="00E11529" w:rsidP="009464A2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  <w:r w:rsidR="009464A2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236" w:type="dxa"/>
          </w:tcPr>
          <w:p w14:paraId="076B524E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3B412DAA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E81967E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1529" w:rsidRPr="00DE56E7" w14:paraId="169C9E01" w14:textId="77777777" w:rsidTr="009B7746">
        <w:tc>
          <w:tcPr>
            <w:tcW w:w="2411" w:type="dxa"/>
          </w:tcPr>
          <w:p w14:paraId="66150041" w14:textId="78936C02" w:rsidR="00E11529" w:rsidRPr="00DE56E7" w:rsidRDefault="00E11529" w:rsidP="001B1410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Body mass index [kg/m</w:t>
            </w:r>
            <w:r w:rsidRPr="00DE56E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  <w:r w:rsidR="001B1410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559" w:type="dxa"/>
          </w:tcPr>
          <w:p w14:paraId="4EB7B6C6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0.93 (0.87-1.00)</w:t>
            </w:r>
          </w:p>
        </w:tc>
        <w:tc>
          <w:tcPr>
            <w:tcW w:w="832" w:type="dxa"/>
          </w:tcPr>
          <w:p w14:paraId="78EB98C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0.059</w:t>
            </w:r>
          </w:p>
        </w:tc>
        <w:tc>
          <w:tcPr>
            <w:tcW w:w="236" w:type="dxa"/>
          </w:tcPr>
          <w:p w14:paraId="01500141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754CC5B2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0.92 (0.83-1.02</w:t>
            </w: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1D492884" w14:textId="48695DBB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0.10</w:t>
            </w:r>
            <w:r w:rsidR="009464A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</w:tcPr>
          <w:p w14:paraId="1AA40FB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22FBCF6D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31514A5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1529" w:rsidRPr="00DE56E7" w14:paraId="57949574" w14:textId="77777777" w:rsidTr="009B7746">
        <w:tc>
          <w:tcPr>
            <w:tcW w:w="2411" w:type="dxa"/>
          </w:tcPr>
          <w:p w14:paraId="11665605" w14:textId="77777777" w:rsidR="00E11529" w:rsidRPr="00DE56E7" w:rsidRDefault="00E11529" w:rsidP="009B774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b/>
                <w:sz w:val="18"/>
                <w:szCs w:val="18"/>
                <w:lang w:val="en-US"/>
              </w:rPr>
              <w:t>SAPS II [per unit]</w:t>
            </w:r>
          </w:p>
        </w:tc>
        <w:tc>
          <w:tcPr>
            <w:tcW w:w="1559" w:type="dxa"/>
          </w:tcPr>
          <w:p w14:paraId="1DFEC68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1.04 (1.01-1.06)</w:t>
            </w:r>
          </w:p>
        </w:tc>
        <w:tc>
          <w:tcPr>
            <w:tcW w:w="832" w:type="dxa"/>
          </w:tcPr>
          <w:p w14:paraId="5211D751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0.006</w:t>
            </w:r>
          </w:p>
        </w:tc>
        <w:tc>
          <w:tcPr>
            <w:tcW w:w="236" w:type="dxa"/>
          </w:tcPr>
          <w:p w14:paraId="117E2ED2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30D6F373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1.04 (1.01-1.06)</w:t>
            </w:r>
          </w:p>
        </w:tc>
        <w:tc>
          <w:tcPr>
            <w:tcW w:w="851" w:type="dxa"/>
          </w:tcPr>
          <w:p w14:paraId="41464F5B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0.008</w:t>
            </w:r>
          </w:p>
        </w:tc>
        <w:tc>
          <w:tcPr>
            <w:tcW w:w="236" w:type="dxa"/>
          </w:tcPr>
          <w:p w14:paraId="415F21F6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79A6B447" w14:textId="14732559" w:rsidR="00E11529" w:rsidRPr="009464A2" w:rsidRDefault="00E11529" w:rsidP="00B93A4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1.0</w:t>
            </w:r>
            <w:r w:rsidR="00B93A42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(1.01-1.0</w:t>
            </w:r>
            <w:r w:rsidR="00B93A42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B5F06CD" w14:textId="5720BD9B" w:rsidR="00E11529" w:rsidRPr="009464A2" w:rsidRDefault="00E11529" w:rsidP="00B93A4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</w:t>
            </w:r>
            <w:r w:rsidR="00B93A42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E11529" w:rsidRPr="00DE56E7" w14:paraId="0F06E910" w14:textId="77777777" w:rsidTr="009B7746">
        <w:tc>
          <w:tcPr>
            <w:tcW w:w="2411" w:type="dxa"/>
          </w:tcPr>
          <w:p w14:paraId="7A3658B5" w14:textId="65F9163A" w:rsidR="00E11529" w:rsidRPr="00DE56E7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DE56E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a</w:t>
            </w: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O2</w:t>
            </w:r>
            <w:proofErr w:type="gramEnd"/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 xml:space="preserve"> / F</w:t>
            </w:r>
            <w:r w:rsidRPr="00DE56E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O2</w:t>
            </w:r>
            <w:r w:rsidR="00DD234C">
              <w:rPr>
                <w:rFonts w:ascii="Arial" w:hAnsi="Arial"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1559" w:type="dxa"/>
          </w:tcPr>
          <w:p w14:paraId="11F6023B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1.00 (0.99-1.00)</w:t>
            </w:r>
          </w:p>
        </w:tc>
        <w:tc>
          <w:tcPr>
            <w:tcW w:w="832" w:type="dxa"/>
          </w:tcPr>
          <w:p w14:paraId="25C04942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0.193</w:t>
            </w:r>
          </w:p>
        </w:tc>
        <w:tc>
          <w:tcPr>
            <w:tcW w:w="236" w:type="dxa"/>
          </w:tcPr>
          <w:p w14:paraId="5CC728D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5F75AA79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1.00 (0.99-1.00)</w:t>
            </w:r>
          </w:p>
        </w:tc>
        <w:tc>
          <w:tcPr>
            <w:tcW w:w="851" w:type="dxa"/>
          </w:tcPr>
          <w:p w14:paraId="4019C7E9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0.161</w:t>
            </w:r>
          </w:p>
        </w:tc>
        <w:tc>
          <w:tcPr>
            <w:tcW w:w="236" w:type="dxa"/>
          </w:tcPr>
          <w:p w14:paraId="38171B53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6980054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F579BF5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11529" w:rsidRPr="00DE56E7" w14:paraId="73D263C1" w14:textId="77777777" w:rsidTr="009B7746">
        <w:tc>
          <w:tcPr>
            <w:tcW w:w="2411" w:type="dxa"/>
          </w:tcPr>
          <w:p w14:paraId="1727C363" w14:textId="77777777" w:rsidR="00E11529" w:rsidRPr="00DE56E7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Dialysis</w:t>
            </w:r>
          </w:p>
          <w:p w14:paraId="6B7F65C2" w14:textId="77777777" w:rsidR="00E11529" w:rsidRPr="00DE56E7" w:rsidRDefault="00E11529" w:rsidP="009B7746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116FB78B" w14:textId="77777777" w:rsidR="00E11529" w:rsidRPr="00DE56E7" w:rsidRDefault="00E11529" w:rsidP="009B7746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</w:tcPr>
          <w:p w14:paraId="05E110E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528413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46A1A70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1.37 (0.66-2.87)</w:t>
            </w:r>
          </w:p>
        </w:tc>
        <w:tc>
          <w:tcPr>
            <w:tcW w:w="832" w:type="dxa"/>
          </w:tcPr>
          <w:p w14:paraId="4292182E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9B6659D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5652E1F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0.398</w:t>
            </w:r>
          </w:p>
        </w:tc>
        <w:tc>
          <w:tcPr>
            <w:tcW w:w="236" w:type="dxa"/>
          </w:tcPr>
          <w:p w14:paraId="75A73F4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2C33E688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1FB191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00EBF06E" w14:textId="0AE72535" w:rsidR="00E11529" w:rsidRPr="009464A2" w:rsidRDefault="00E11529" w:rsidP="005F39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1.21 (0.48-3.0</w:t>
            </w:r>
            <w:r w:rsidR="005F39D5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76735CE3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BF61C2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43162711" w14:textId="79084086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0.68</w:t>
            </w:r>
            <w:r w:rsidR="005F39D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</w:tcPr>
          <w:p w14:paraId="43E59DF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5AEA61C0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CB4EC19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1529" w:rsidRPr="00DE56E7" w14:paraId="3CF7C148" w14:textId="77777777" w:rsidTr="009B7746">
        <w:tc>
          <w:tcPr>
            <w:tcW w:w="2411" w:type="dxa"/>
          </w:tcPr>
          <w:p w14:paraId="6949D9DF" w14:textId="77777777" w:rsidR="00E11529" w:rsidRPr="00DE56E7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ECMO</w:t>
            </w:r>
          </w:p>
          <w:p w14:paraId="51383C78" w14:textId="77777777" w:rsidR="00E11529" w:rsidRPr="00DE56E7" w:rsidRDefault="00E11529" w:rsidP="009B7746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7574961E" w14:textId="77777777" w:rsidR="00E11529" w:rsidRPr="00DE56E7" w:rsidRDefault="00E11529" w:rsidP="009B7746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</w:tcPr>
          <w:p w14:paraId="14AFE487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DECA9D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100FAC06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1.16 (0.51-2.61)</w:t>
            </w:r>
          </w:p>
        </w:tc>
        <w:tc>
          <w:tcPr>
            <w:tcW w:w="832" w:type="dxa"/>
          </w:tcPr>
          <w:p w14:paraId="4447247E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4FC61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76F7C22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236" w:type="dxa"/>
          </w:tcPr>
          <w:p w14:paraId="7AF9F01A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617D07C9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A08B0E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6E03542D" w14:textId="54BEC23B" w:rsidR="00E11529" w:rsidRPr="009464A2" w:rsidRDefault="005F39D5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0.77 (0.28</w:t>
            </w:r>
            <w:r w:rsidR="00E11529" w:rsidRPr="009464A2">
              <w:rPr>
                <w:rFonts w:ascii="Arial" w:hAnsi="Arial" w:cs="Arial"/>
                <w:sz w:val="18"/>
                <w:szCs w:val="18"/>
                <w:lang w:val="en-US"/>
              </w:rPr>
              <w:t>-2.10)</w:t>
            </w:r>
          </w:p>
        </w:tc>
        <w:tc>
          <w:tcPr>
            <w:tcW w:w="851" w:type="dxa"/>
          </w:tcPr>
          <w:p w14:paraId="10C1361D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45C27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2411C9B" w14:textId="3E4CAF31" w:rsidR="00E11529" w:rsidRPr="009464A2" w:rsidRDefault="00E11529" w:rsidP="005F39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0.61</w:t>
            </w:r>
            <w:r w:rsidR="005F39D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6" w:type="dxa"/>
          </w:tcPr>
          <w:p w14:paraId="66F31895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170307C3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A4D9270" w14:textId="77777777" w:rsidR="00E11529" w:rsidRPr="009464A2" w:rsidRDefault="00E11529" w:rsidP="000330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1529" w:rsidRPr="00DE56E7" w14:paraId="52B481FC" w14:textId="77777777" w:rsidTr="009B7746">
        <w:tc>
          <w:tcPr>
            <w:tcW w:w="2411" w:type="dxa"/>
          </w:tcPr>
          <w:p w14:paraId="07BEC4E5" w14:textId="68BE4675" w:rsidR="00E11529" w:rsidRPr="00DE56E7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C-react</w:t>
            </w:r>
            <w:r w:rsidR="00204C98">
              <w:rPr>
                <w:rFonts w:ascii="Arial" w:hAnsi="Arial" w:cs="Arial"/>
                <w:sz w:val="18"/>
                <w:szCs w:val="18"/>
                <w:lang w:val="en-US"/>
              </w:rPr>
              <w:t>ive protein concentration [mg/</w:t>
            </w:r>
            <w:proofErr w:type="spellStart"/>
            <w:r w:rsidR="00204C98">
              <w:rPr>
                <w:rFonts w:ascii="Arial" w:hAnsi="Arial" w:cs="Arial"/>
                <w:sz w:val="18"/>
                <w:szCs w:val="18"/>
                <w:lang w:val="en-US"/>
              </w:rPr>
              <w:t>dL</w:t>
            </w:r>
            <w:proofErr w:type="spellEnd"/>
            <w:r w:rsidRPr="00DE56E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  <w:r w:rsidR="00DD2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559" w:type="dxa"/>
          </w:tcPr>
          <w:p w14:paraId="3C944196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0.99 (0.96-1.02)</w:t>
            </w:r>
          </w:p>
        </w:tc>
        <w:tc>
          <w:tcPr>
            <w:tcW w:w="832" w:type="dxa"/>
          </w:tcPr>
          <w:p w14:paraId="1EA4DA6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0.542</w:t>
            </w:r>
          </w:p>
        </w:tc>
        <w:tc>
          <w:tcPr>
            <w:tcW w:w="236" w:type="dxa"/>
          </w:tcPr>
          <w:p w14:paraId="355B832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12C23713" w14:textId="0F499DF1" w:rsidR="00E11529" w:rsidRPr="009464A2" w:rsidRDefault="005F39D5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="00E11529" w:rsidRPr="009464A2">
              <w:rPr>
                <w:rFonts w:ascii="Arial" w:hAnsi="Arial" w:cs="Arial"/>
                <w:sz w:val="18"/>
                <w:szCs w:val="18"/>
                <w:lang w:val="en-US"/>
              </w:rPr>
              <w:t xml:space="preserve"> (0.96-1.01)</w:t>
            </w:r>
          </w:p>
        </w:tc>
        <w:tc>
          <w:tcPr>
            <w:tcW w:w="851" w:type="dxa"/>
          </w:tcPr>
          <w:p w14:paraId="3FC77C37" w14:textId="4991F355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0.29</w:t>
            </w:r>
            <w:r w:rsidR="005F39D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</w:tcPr>
          <w:p w14:paraId="62F5192E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6FD3D353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C5EFA49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1529" w:rsidRPr="00DE56E7" w14:paraId="334CCB7D" w14:textId="77777777" w:rsidTr="009B7746">
        <w:tc>
          <w:tcPr>
            <w:tcW w:w="2411" w:type="dxa"/>
          </w:tcPr>
          <w:p w14:paraId="71EB749D" w14:textId="6D34DE6D" w:rsidR="00E11529" w:rsidRPr="00DE56E7" w:rsidRDefault="00E11529" w:rsidP="009B774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56E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serum bilirubin </w:t>
            </w:r>
            <w:r w:rsidR="00204C98">
              <w:rPr>
                <w:rFonts w:ascii="Arial" w:hAnsi="Arial" w:cs="Arial"/>
                <w:b/>
                <w:sz w:val="18"/>
                <w:szCs w:val="18"/>
                <w:lang w:val="en-US"/>
              </w:rPr>
              <w:t>concentration [mg/</w:t>
            </w:r>
            <w:proofErr w:type="spellStart"/>
            <w:r w:rsidR="00204C98">
              <w:rPr>
                <w:rFonts w:ascii="Arial" w:hAnsi="Arial" w:cs="Arial"/>
                <w:b/>
                <w:sz w:val="18"/>
                <w:szCs w:val="18"/>
                <w:lang w:val="en-US"/>
              </w:rPr>
              <w:t>dL</w:t>
            </w:r>
            <w:proofErr w:type="spellEnd"/>
            <w:r w:rsidRPr="00DE56E7">
              <w:rPr>
                <w:rFonts w:ascii="Arial" w:hAnsi="Arial" w:cs="Arial"/>
                <w:b/>
                <w:sz w:val="18"/>
                <w:szCs w:val="18"/>
                <w:lang w:val="en-US"/>
              </w:rPr>
              <w:t>]</w:t>
            </w:r>
            <w:r w:rsidR="001B1410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559" w:type="dxa"/>
          </w:tcPr>
          <w:p w14:paraId="70E5A39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1.31 (1.08-1.59)</w:t>
            </w:r>
          </w:p>
        </w:tc>
        <w:tc>
          <w:tcPr>
            <w:tcW w:w="832" w:type="dxa"/>
          </w:tcPr>
          <w:p w14:paraId="34C1E219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0.006</w:t>
            </w:r>
          </w:p>
        </w:tc>
        <w:tc>
          <w:tcPr>
            <w:tcW w:w="236" w:type="dxa"/>
          </w:tcPr>
          <w:p w14:paraId="0D0BB7DF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159990E0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1.19 (1.00-1.41)</w:t>
            </w:r>
          </w:p>
        </w:tc>
        <w:tc>
          <w:tcPr>
            <w:tcW w:w="851" w:type="dxa"/>
          </w:tcPr>
          <w:p w14:paraId="3F5790F4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0.050</w:t>
            </w:r>
          </w:p>
        </w:tc>
        <w:tc>
          <w:tcPr>
            <w:tcW w:w="236" w:type="dxa"/>
          </w:tcPr>
          <w:p w14:paraId="1D60C798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14:paraId="24D5DBBA" w14:textId="7CEC8627" w:rsidR="00E11529" w:rsidRPr="009464A2" w:rsidRDefault="00E11529" w:rsidP="00B93A4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1.1</w:t>
            </w:r>
            <w:r w:rsidR="00B93A42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(1.0</w:t>
            </w:r>
            <w:r w:rsidR="00B93A42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4-1.</w:t>
            </w: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24) </w:t>
            </w:r>
          </w:p>
        </w:tc>
        <w:tc>
          <w:tcPr>
            <w:tcW w:w="851" w:type="dxa"/>
          </w:tcPr>
          <w:p w14:paraId="3B5B2951" w14:textId="0FF4C4E4" w:rsidR="00E11529" w:rsidRPr="009464A2" w:rsidRDefault="00E11529" w:rsidP="00B93A4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0.0</w:t>
            </w:r>
            <w:r w:rsidR="00B93A42" w:rsidRPr="009464A2"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</w:p>
        </w:tc>
      </w:tr>
      <w:tr w:rsidR="00E11529" w:rsidRPr="00DE56E7" w14:paraId="4958F2DC" w14:textId="77777777" w:rsidTr="009B7746">
        <w:tc>
          <w:tcPr>
            <w:tcW w:w="2411" w:type="dxa"/>
            <w:tcBorders>
              <w:bottom w:val="single" w:sz="12" w:space="0" w:color="C45911" w:themeColor="accent2" w:themeShade="BF"/>
            </w:tcBorders>
          </w:tcPr>
          <w:p w14:paraId="242743B1" w14:textId="34AF1DB1" w:rsidR="00E11529" w:rsidRPr="00DD234C" w:rsidRDefault="00E11529" w:rsidP="009B7746">
            <w:pPr>
              <w:spacing w:before="120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93A42">
              <w:rPr>
                <w:rFonts w:ascii="Arial" w:hAnsi="Arial" w:cs="Arial"/>
                <w:sz w:val="18"/>
                <w:szCs w:val="18"/>
                <w:lang w:val="en-US"/>
              </w:rPr>
              <w:t>Platelet concentration [10</w:t>
            </w:r>
            <w:r w:rsidRPr="00B93A4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9</w:t>
            </w:r>
            <w:r w:rsidR="00204C98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gramStart"/>
            <w:r w:rsidR="00204C98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B93A42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  <w:r w:rsidR="00DD2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π</w:t>
            </w:r>
            <w:proofErr w:type="gramEnd"/>
          </w:p>
        </w:tc>
        <w:tc>
          <w:tcPr>
            <w:tcW w:w="1559" w:type="dxa"/>
            <w:tcBorders>
              <w:bottom w:val="single" w:sz="12" w:space="0" w:color="C45911" w:themeColor="accent2" w:themeShade="BF"/>
            </w:tcBorders>
          </w:tcPr>
          <w:p w14:paraId="115CA982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0.99 (0.99-1.00)</w:t>
            </w:r>
          </w:p>
        </w:tc>
        <w:tc>
          <w:tcPr>
            <w:tcW w:w="832" w:type="dxa"/>
            <w:tcBorders>
              <w:bottom w:val="single" w:sz="12" w:space="0" w:color="C45911" w:themeColor="accent2" w:themeShade="BF"/>
            </w:tcBorders>
          </w:tcPr>
          <w:p w14:paraId="2ADF894A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236" w:type="dxa"/>
            <w:tcBorders>
              <w:bottom w:val="single" w:sz="12" w:space="0" w:color="C45911" w:themeColor="accent2" w:themeShade="BF"/>
            </w:tcBorders>
          </w:tcPr>
          <w:p w14:paraId="5CA2A40A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tcBorders>
              <w:bottom w:val="single" w:sz="12" w:space="0" w:color="C45911" w:themeColor="accent2" w:themeShade="BF"/>
            </w:tcBorders>
          </w:tcPr>
          <w:p w14:paraId="667BEA66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1.00 (0.99-1.00)</w:t>
            </w:r>
          </w:p>
        </w:tc>
        <w:tc>
          <w:tcPr>
            <w:tcW w:w="851" w:type="dxa"/>
            <w:tcBorders>
              <w:bottom w:val="single" w:sz="12" w:space="0" w:color="C45911" w:themeColor="accent2" w:themeShade="BF"/>
            </w:tcBorders>
          </w:tcPr>
          <w:p w14:paraId="3ADC31EF" w14:textId="3B286650" w:rsidR="00E11529" w:rsidRPr="009464A2" w:rsidRDefault="00E11529" w:rsidP="005F39D5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4A2">
              <w:rPr>
                <w:rFonts w:ascii="Arial" w:hAnsi="Arial" w:cs="Arial"/>
                <w:sz w:val="18"/>
                <w:szCs w:val="18"/>
                <w:lang w:val="en-US"/>
              </w:rPr>
              <w:t>0.2</w:t>
            </w:r>
            <w:r w:rsidR="005F39D5">
              <w:rPr>
                <w:rFonts w:ascii="Arial" w:hAnsi="Arial" w:cs="Arial"/>
                <w:sz w:val="18"/>
                <w:szCs w:val="18"/>
                <w:lang w:val="en-US"/>
              </w:rPr>
              <w:t>09</w:t>
            </w:r>
          </w:p>
        </w:tc>
        <w:tc>
          <w:tcPr>
            <w:tcW w:w="236" w:type="dxa"/>
            <w:tcBorders>
              <w:bottom w:val="single" w:sz="12" w:space="0" w:color="C45911" w:themeColor="accent2" w:themeShade="BF"/>
            </w:tcBorders>
          </w:tcPr>
          <w:p w14:paraId="2C74605D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606" w:type="dxa"/>
            <w:tcBorders>
              <w:bottom w:val="single" w:sz="12" w:space="0" w:color="C45911" w:themeColor="accent2" w:themeShade="BF"/>
            </w:tcBorders>
          </w:tcPr>
          <w:p w14:paraId="07A18EA7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C45911" w:themeColor="accent2" w:themeShade="BF"/>
            </w:tcBorders>
          </w:tcPr>
          <w:p w14:paraId="5BEA5F5A" w14:textId="77777777" w:rsidR="00E11529" w:rsidRPr="009464A2" w:rsidRDefault="00E11529" w:rsidP="000330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469C2BA" w14:textId="17DD942E" w:rsidR="00E11529" w:rsidRDefault="00E11529" w:rsidP="00E11529">
      <w:pPr>
        <w:tabs>
          <w:tab w:val="left" w:pos="9498"/>
        </w:tabs>
        <w:ind w:right="-92"/>
        <w:jc w:val="both"/>
        <w:rPr>
          <w:rFonts w:ascii="Arial" w:hAnsi="Arial" w:cs="Arial"/>
          <w:sz w:val="21"/>
          <w:szCs w:val="22"/>
        </w:rPr>
      </w:pPr>
      <w:r w:rsidRPr="00E11529">
        <w:rPr>
          <w:rFonts w:ascii="Arial" w:hAnsi="Arial" w:cs="Arial"/>
          <w:sz w:val="21"/>
          <w:szCs w:val="22"/>
          <w:lang w:val="en-US"/>
        </w:rPr>
        <w:t xml:space="preserve">Hazard ratio point estimates, 95% CI, and p-values (two-sided) are reported, SAPS II: </w:t>
      </w:r>
      <w:r w:rsidRPr="00E11529">
        <w:rPr>
          <w:rFonts w:ascii="Arial" w:hAnsi="Arial" w:cs="Arial"/>
          <w:sz w:val="21"/>
          <w:szCs w:val="22"/>
        </w:rPr>
        <w:t>Simplified Acute Physiology Score</w:t>
      </w:r>
      <w:r w:rsidRPr="00E11529">
        <w:rPr>
          <w:rFonts w:ascii="Arial" w:hAnsi="Arial" w:cs="Arial"/>
          <w:sz w:val="21"/>
          <w:szCs w:val="22"/>
          <w:lang w:val="en-US"/>
        </w:rPr>
        <w:t xml:space="preserve">, ECMO: </w:t>
      </w:r>
      <w:r w:rsidRPr="00E11529">
        <w:rPr>
          <w:rFonts w:ascii="Arial" w:hAnsi="Arial" w:cs="Arial"/>
          <w:sz w:val="21"/>
          <w:szCs w:val="22"/>
        </w:rPr>
        <w:t>extracorporeal membrane oxygenation</w:t>
      </w:r>
    </w:p>
    <w:p w14:paraId="10006C9B" w14:textId="3BBBF165" w:rsidR="005F39D5" w:rsidRPr="005F39D5" w:rsidRDefault="00DD234C" w:rsidP="005F39D5">
      <w:pPr>
        <w:tabs>
          <w:tab w:val="left" w:pos="9498"/>
        </w:tabs>
        <w:ind w:right="-92"/>
        <w:jc w:val="both"/>
        <w:rPr>
          <w:rFonts w:ascii="Arial" w:hAnsi="Arial" w:cs="Arial"/>
          <w:sz w:val="21"/>
          <w:szCs w:val="22"/>
        </w:rPr>
      </w:pPr>
      <w:r w:rsidRPr="009464A2">
        <w:rPr>
          <w:rFonts w:ascii="Arial" w:hAnsi="Arial" w:cs="Arial"/>
          <w:sz w:val="21"/>
          <w:szCs w:val="22"/>
        </w:rPr>
        <w:t>M</w:t>
      </w:r>
      <w:r w:rsidR="002470E1" w:rsidRPr="009464A2">
        <w:rPr>
          <w:rFonts w:ascii="Arial" w:hAnsi="Arial" w:cs="Arial"/>
          <w:sz w:val="21"/>
          <w:szCs w:val="22"/>
        </w:rPr>
        <w:t>issing data</w:t>
      </w:r>
      <w:r w:rsidRPr="009464A2">
        <w:rPr>
          <w:rFonts w:ascii="Arial" w:hAnsi="Arial" w:cs="Arial"/>
          <w:sz w:val="21"/>
          <w:szCs w:val="22"/>
        </w:rPr>
        <w:t xml:space="preserve"> were right censored: * </w:t>
      </w:r>
      <w:proofErr w:type="gramStart"/>
      <w:r w:rsidRPr="009464A2">
        <w:rPr>
          <w:rFonts w:ascii="Arial" w:hAnsi="Arial" w:cs="Arial"/>
          <w:sz w:val="21"/>
          <w:szCs w:val="22"/>
        </w:rPr>
        <w:t>One</w:t>
      </w:r>
      <w:proofErr w:type="gramEnd"/>
      <w:r w:rsidRPr="009464A2">
        <w:rPr>
          <w:rFonts w:ascii="Arial" w:hAnsi="Arial" w:cs="Arial"/>
          <w:sz w:val="21"/>
          <w:szCs w:val="22"/>
        </w:rPr>
        <w:t xml:space="preserve"> case missing,</w:t>
      </w:r>
      <w:r w:rsidR="00563229" w:rsidRPr="009464A2">
        <w:rPr>
          <w:rFonts w:ascii="Arial" w:hAnsi="Arial" w:cs="Arial"/>
          <w:sz w:val="21"/>
          <w:szCs w:val="22"/>
        </w:rPr>
        <w:t xml:space="preserve"> </w:t>
      </w:r>
      <w:r w:rsidRPr="009464A2">
        <w:rPr>
          <w:rFonts w:ascii="Arial" w:hAnsi="Arial" w:cs="Arial"/>
          <w:sz w:val="21"/>
          <w:szCs w:val="22"/>
          <w:vertAlign w:val="superscript"/>
        </w:rPr>
        <w:t>§</w:t>
      </w:r>
      <w:r w:rsidRPr="009464A2">
        <w:rPr>
          <w:rFonts w:ascii="Arial" w:hAnsi="Arial" w:cs="Arial"/>
          <w:sz w:val="21"/>
          <w:szCs w:val="22"/>
        </w:rPr>
        <w:t xml:space="preserve"> Eight cases missing, </w:t>
      </w:r>
      <w:r w:rsidRPr="009464A2">
        <w:rPr>
          <w:rFonts w:ascii="Arial" w:hAnsi="Arial" w:cs="Arial"/>
          <w:sz w:val="21"/>
          <w:szCs w:val="22"/>
          <w:vertAlign w:val="superscript"/>
        </w:rPr>
        <w:t>π</w:t>
      </w:r>
      <w:r w:rsidR="007A1866" w:rsidRPr="009464A2">
        <w:rPr>
          <w:rFonts w:ascii="Arial" w:hAnsi="Arial" w:cs="Arial"/>
          <w:sz w:val="21"/>
          <w:szCs w:val="22"/>
        </w:rPr>
        <w:t xml:space="preserve"> Seven cases missing</w:t>
      </w:r>
      <w:r w:rsidR="002470E1" w:rsidRPr="009464A2">
        <w:rPr>
          <w:rFonts w:ascii="Arial" w:hAnsi="Arial" w:cs="Arial"/>
          <w:sz w:val="21"/>
          <w:szCs w:val="22"/>
        </w:rPr>
        <w:t>.</w:t>
      </w:r>
      <w:r w:rsidR="005F39D5">
        <w:rPr>
          <w:rFonts w:ascii="Arial" w:hAnsi="Arial" w:cs="Arial"/>
          <w:sz w:val="21"/>
          <w:szCs w:val="22"/>
        </w:rPr>
        <w:t xml:space="preserve"> </w:t>
      </w:r>
      <w:r w:rsidR="005F39D5" w:rsidRPr="005F39D5">
        <w:rPr>
          <w:rFonts w:ascii="Arial" w:hAnsi="Arial" w:cs="Arial"/>
          <w:sz w:val="21"/>
          <w:szCs w:val="22"/>
        </w:rPr>
        <w:t>Homer-</w:t>
      </w:r>
      <w:proofErr w:type="spellStart"/>
      <w:r w:rsidR="005F39D5" w:rsidRPr="005F39D5">
        <w:rPr>
          <w:rFonts w:ascii="Arial" w:hAnsi="Arial" w:cs="Arial"/>
          <w:sz w:val="21"/>
          <w:szCs w:val="22"/>
        </w:rPr>
        <w:t>Lemeshow</w:t>
      </w:r>
      <w:proofErr w:type="spellEnd"/>
      <w:r w:rsidR="005F39D5" w:rsidRPr="005F39D5">
        <w:rPr>
          <w:rFonts w:ascii="Arial" w:hAnsi="Arial" w:cs="Arial"/>
          <w:sz w:val="21"/>
          <w:szCs w:val="22"/>
        </w:rPr>
        <w:t xml:space="preserve"> statistics were as follows: κ</w:t>
      </w:r>
      <w:r w:rsidR="005F39D5" w:rsidRPr="005F39D5">
        <w:rPr>
          <w:rFonts w:ascii="Arial" w:hAnsi="Arial" w:cs="Arial"/>
          <w:sz w:val="21"/>
          <w:szCs w:val="22"/>
          <w:vertAlign w:val="superscript"/>
        </w:rPr>
        <w:t>2</w:t>
      </w:r>
      <w:r w:rsidR="005F39D5" w:rsidRPr="005F39D5">
        <w:rPr>
          <w:rFonts w:ascii="Arial" w:hAnsi="Arial" w:cs="Arial"/>
          <w:sz w:val="21"/>
          <w:szCs w:val="22"/>
        </w:rPr>
        <w:t>=8.538; p=0.383</w:t>
      </w:r>
    </w:p>
    <w:p w14:paraId="0EE089D6" w14:textId="71F21939" w:rsidR="00024F05" w:rsidRPr="009464A2" w:rsidRDefault="00024F05" w:rsidP="00E11529">
      <w:pPr>
        <w:tabs>
          <w:tab w:val="left" w:pos="9498"/>
        </w:tabs>
        <w:ind w:right="-92"/>
        <w:jc w:val="both"/>
        <w:rPr>
          <w:rFonts w:ascii="Arial" w:hAnsi="Arial" w:cs="Arial"/>
          <w:sz w:val="21"/>
          <w:szCs w:val="22"/>
        </w:rPr>
      </w:pPr>
    </w:p>
    <w:p w14:paraId="171062F0" w14:textId="77777777" w:rsidR="00024F05" w:rsidRPr="00E11529" w:rsidRDefault="00024F05" w:rsidP="00E11529">
      <w:pPr>
        <w:tabs>
          <w:tab w:val="left" w:pos="9498"/>
        </w:tabs>
        <w:ind w:right="-92"/>
        <w:jc w:val="both"/>
        <w:rPr>
          <w:rFonts w:ascii="Arial" w:hAnsi="Arial" w:cs="Arial"/>
          <w:sz w:val="21"/>
          <w:szCs w:val="22"/>
          <w:lang w:val="en-US"/>
        </w:rPr>
      </w:pPr>
    </w:p>
    <w:p w14:paraId="18604D7D" w14:textId="77777777" w:rsidR="000330E4" w:rsidRPr="00E11529" w:rsidRDefault="000330E4" w:rsidP="00E11529"/>
    <w:sectPr w:rsidR="000330E4" w:rsidRPr="00E11529" w:rsidSect="00E11529">
      <w:pgSz w:w="11900" w:h="16840"/>
      <w:pgMar w:top="1417" w:right="1417" w:bottom="113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5ED"/>
    <w:multiLevelType w:val="hybridMultilevel"/>
    <w:tmpl w:val="52448F84"/>
    <w:lvl w:ilvl="0" w:tplc="467C5B86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4BF3"/>
    <w:multiLevelType w:val="hybridMultilevel"/>
    <w:tmpl w:val="E1D8B1F8"/>
    <w:lvl w:ilvl="0" w:tplc="467C5B86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D1BDA"/>
    <w:multiLevelType w:val="hybridMultilevel"/>
    <w:tmpl w:val="3E9A1A8A"/>
    <w:lvl w:ilvl="0" w:tplc="467C5B8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9"/>
    <w:rsid w:val="000016B1"/>
    <w:rsid w:val="000066C5"/>
    <w:rsid w:val="00011760"/>
    <w:rsid w:val="00024F05"/>
    <w:rsid w:val="000330E4"/>
    <w:rsid w:val="0008362B"/>
    <w:rsid w:val="000A7A2B"/>
    <w:rsid w:val="000C3651"/>
    <w:rsid w:val="00104542"/>
    <w:rsid w:val="00162883"/>
    <w:rsid w:val="001A29AB"/>
    <w:rsid w:val="001B09B2"/>
    <w:rsid w:val="001B1410"/>
    <w:rsid w:val="001C4439"/>
    <w:rsid w:val="001C6B56"/>
    <w:rsid w:val="001D78BC"/>
    <w:rsid w:val="001E78AA"/>
    <w:rsid w:val="00200756"/>
    <w:rsid w:val="00204C98"/>
    <w:rsid w:val="00213759"/>
    <w:rsid w:val="002405AE"/>
    <w:rsid w:val="002470E1"/>
    <w:rsid w:val="00251396"/>
    <w:rsid w:val="002900A1"/>
    <w:rsid w:val="002A42E1"/>
    <w:rsid w:val="002D0C54"/>
    <w:rsid w:val="002D6F7C"/>
    <w:rsid w:val="00302065"/>
    <w:rsid w:val="003504FF"/>
    <w:rsid w:val="00371D3B"/>
    <w:rsid w:val="00375958"/>
    <w:rsid w:val="003C1BCD"/>
    <w:rsid w:val="003C773F"/>
    <w:rsid w:val="003D575D"/>
    <w:rsid w:val="003D770A"/>
    <w:rsid w:val="003F4C80"/>
    <w:rsid w:val="004067CA"/>
    <w:rsid w:val="00475D43"/>
    <w:rsid w:val="0049733C"/>
    <w:rsid w:val="004D39F3"/>
    <w:rsid w:val="004E604B"/>
    <w:rsid w:val="004E6B43"/>
    <w:rsid w:val="004E7B80"/>
    <w:rsid w:val="004F5918"/>
    <w:rsid w:val="00501923"/>
    <w:rsid w:val="00563229"/>
    <w:rsid w:val="00592E54"/>
    <w:rsid w:val="005E0A16"/>
    <w:rsid w:val="005E3DD2"/>
    <w:rsid w:val="005E4E89"/>
    <w:rsid w:val="005E58C4"/>
    <w:rsid w:val="005F07B9"/>
    <w:rsid w:val="005F09CC"/>
    <w:rsid w:val="005F0D45"/>
    <w:rsid w:val="005F39D5"/>
    <w:rsid w:val="00603256"/>
    <w:rsid w:val="006559FC"/>
    <w:rsid w:val="006621F5"/>
    <w:rsid w:val="00733944"/>
    <w:rsid w:val="00764BA4"/>
    <w:rsid w:val="007A1866"/>
    <w:rsid w:val="007A7D4A"/>
    <w:rsid w:val="007D5E0B"/>
    <w:rsid w:val="007E1CC7"/>
    <w:rsid w:val="00836C21"/>
    <w:rsid w:val="00851F47"/>
    <w:rsid w:val="00857146"/>
    <w:rsid w:val="00866E41"/>
    <w:rsid w:val="00870D46"/>
    <w:rsid w:val="00895441"/>
    <w:rsid w:val="008B4F70"/>
    <w:rsid w:val="008D3934"/>
    <w:rsid w:val="008D4A0D"/>
    <w:rsid w:val="00914D2B"/>
    <w:rsid w:val="009343D1"/>
    <w:rsid w:val="009444D2"/>
    <w:rsid w:val="00946332"/>
    <w:rsid w:val="009464A2"/>
    <w:rsid w:val="009B7746"/>
    <w:rsid w:val="009C13E2"/>
    <w:rsid w:val="009F6CAC"/>
    <w:rsid w:val="00A30A99"/>
    <w:rsid w:val="00A6564C"/>
    <w:rsid w:val="00AA69B3"/>
    <w:rsid w:val="00B11CE7"/>
    <w:rsid w:val="00B1581F"/>
    <w:rsid w:val="00B15833"/>
    <w:rsid w:val="00B21FD8"/>
    <w:rsid w:val="00B44DBD"/>
    <w:rsid w:val="00B93A42"/>
    <w:rsid w:val="00BC4540"/>
    <w:rsid w:val="00BE6AB5"/>
    <w:rsid w:val="00C007C3"/>
    <w:rsid w:val="00C1241C"/>
    <w:rsid w:val="00C13B2E"/>
    <w:rsid w:val="00C64AF9"/>
    <w:rsid w:val="00C73F1F"/>
    <w:rsid w:val="00CB0EDE"/>
    <w:rsid w:val="00CC5B20"/>
    <w:rsid w:val="00CF109E"/>
    <w:rsid w:val="00D1402C"/>
    <w:rsid w:val="00D357C8"/>
    <w:rsid w:val="00D52DDC"/>
    <w:rsid w:val="00D6708B"/>
    <w:rsid w:val="00D70E28"/>
    <w:rsid w:val="00D715B0"/>
    <w:rsid w:val="00DC7845"/>
    <w:rsid w:val="00DD234C"/>
    <w:rsid w:val="00DD5110"/>
    <w:rsid w:val="00E017EC"/>
    <w:rsid w:val="00E10E94"/>
    <w:rsid w:val="00E11529"/>
    <w:rsid w:val="00E8176C"/>
    <w:rsid w:val="00E81F0A"/>
    <w:rsid w:val="00E92768"/>
    <w:rsid w:val="00E93740"/>
    <w:rsid w:val="00ED4D36"/>
    <w:rsid w:val="00F05DD1"/>
    <w:rsid w:val="00F54144"/>
    <w:rsid w:val="00F5766F"/>
    <w:rsid w:val="00F7436D"/>
    <w:rsid w:val="00FA1806"/>
    <w:rsid w:val="00FB54B9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34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529"/>
    <w:rPr>
      <w:rFonts w:eastAsiaTheme="minorEastAsia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529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529"/>
    <w:rPr>
      <w:rFonts w:eastAsiaTheme="minorEastAsia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529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Rahmel</dc:creator>
  <cp:keywords/>
  <dc:description/>
  <cp:lastModifiedBy>Tim Rahmel</cp:lastModifiedBy>
  <cp:revision>4</cp:revision>
  <dcterms:created xsi:type="dcterms:W3CDTF">2018-10-15T10:41:00Z</dcterms:created>
  <dcterms:modified xsi:type="dcterms:W3CDTF">2018-10-15T11:56:00Z</dcterms:modified>
</cp:coreProperties>
</file>