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6A6C1" w14:textId="77777777" w:rsidR="00555164" w:rsidRDefault="00555164">
      <w:pPr>
        <w:spacing w:beforeLines="50" w:before="120" w:afterLines="50" w:after="120"/>
        <w:jc w:val="both"/>
        <w:rPr>
          <w:rFonts w:eastAsia="等线"/>
          <w:sz w:val="20"/>
          <w:szCs w:val="20"/>
        </w:rPr>
      </w:pPr>
    </w:p>
    <w:p w14:paraId="76883392" w14:textId="77777777" w:rsidR="00555164" w:rsidRDefault="00555164">
      <w:pPr>
        <w:spacing w:beforeLines="50" w:before="120" w:afterLines="50" w:after="120"/>
        <w:jc w:val="both"/>
        <w:rPr>
          <w:rFonts w:eastAsia="等线"/>
          <w:sz w:val="20"/>
          <w:szCs w:val="20"/>
        </w:rPr>
      </w:pPr>
    </w:p>
    <w:p w14:paraId="622F52BC" w14:textId="77777777" w:rsidR="00555164" w:rsidRDefault="00555164">
      <w:pPr>
        <w:spacing w:beforeLines="50" w:before="120" w:afterLines="50" w:after="120"/>
        <w:jc w:val="both"/>
        <w:rPr>
          <w:rFonts w:eastAsia="等线"/>
          <w:sz w:val="20"/>
          <w:szCs w:val="20"/>
        </w:rPr>
      </w:pPr>
    </w:p>
    <w:p w14:paraId="4C85E950" w14:textId="1AE49898" w:rsidR="00555164" w:rsidRDefault="002C73C0">
      <w:pPr>
        <w:spacing w:before="120" w:after="120"/>
        <w:jc w:val="center"/>
        <w:rPr>
          <w:b/>
        </w:rPr>
      </w:pPr>
      <w:r>
        <w:rPr>
          <w:b/>
        </w:rPr>
        <w:t>Supplement 1</w:t>
      </w:r>
    </w:p>
    <w:p w14:paraId="485474EF" w14:textId="77777777" w:rsidR="00555164" w:rsidRDefault="00555164">
      <w:pPr>
        <w:spacing w:beforeLines="50" w:before="120" w:afterLines="50" w:after="120"/>
        <w:rPr>
          <w:rFonts w:eastAsiaTheme="minorEastAsia"/>
          <w:b/>
          <w:sz w:val="20"/>
          <w:szCs w:val="20"/>
        </w:rPr>
      </w:pPr>
    </w:p>
    <w:p w14:paraId="6B16CA9D" w14:textId="77777777" w:rsidR="00555164" w:rsidRDefault="00555164">
      <w:pPr>
        <w:spacing w:beforeLines="50" w:before="120" w:afterLines="50" w:after="120"/>
        <w:rPr>
          <w:rFonts w:eastAsiaTheme="minorEastAsia"/>
          <w:b/>
          <w:sz w:val="20"/>
          <w:szCs w:val="20"/>
        </w:rPr>
      </w:pPr>
    </w:p>
    <w:p w14:paraId="6467E869" w14:textId="77777777" w:rsidR="00555164" w:rsidRDefault="00555164">
      <w:pPr>
        <w:spacing w:beforeLines="50" w:before="120" w:afterLines="50" w:after="120"/>
        <w:rPr>
          <w:rFonts w:eastAsiaTheme="minorEastAsia"/>
          <w:b/>
          <w:sz w:val="20"/>
          <w:szCs w:val="20"/>
        </w:rPr>
      </w:pPr>
    </w:p>
    <w:p w14:paraId="014BFC42" w14:textId="18D170DF" w:rsidR="00555164" w:rsidRPr="000C5CC1" w:rsidRDefault="002C73C0">
      <w:pPr>
        <w:spacing w:before="50" w:after="50"/>
        <w:rPr>
          <w:color w:val="000000" w:themeColor="text1"/>
          <w:sz w:val="20"/>
          <w:szCs w:val="20"/>
        </w:rPr>
      </w:pPr>
      <w:r w:rsidRPr="000C5CC1">
        <w:rPr>
          <w:color w:val="000000" w:themeColor="text1"/>
          <w:sz w:val="20"/>
          <w:szCs w:val="20"/>
        </w:rPr>
        <w:t xml:space="preserve">For: </w:t>
      </w:r>
      <w:proofErr w:type="spellStart"/>
      <w:r w:rsidRPr="000C5CC1">
        <w:rPr>
          <w:color w:val="000000" w:themeColor="text1"/>
          <w:sz w:val="20"/>
          <w:szCs w:val="20"/>
        </w:rPr>
        <w:t>Ya</w:t>
      </w:r>
      <w:proofErr w:type="spellEnd"/>
      <w:r w:rsidRPr="000C5CC1">
        <w:rPr>
          <w:color w:val="000000" w:themeColor="text1"/>
          <w:sz w:val="20"/>
          <w:szCs w:val="20"/>
        </w:rPr>
        <w:t xml:space="preserve">-Wei Li, </w:t>
      </w:r>
      <w:proofErr w:type="spellStart"/>
      <w:r w:rsidRPr="000C5CC1">
        <w:rPr>
          <w:color w:val="000000" w:themeColor="text1"/>
          <w:sz w:val="20"/>
          <w:szCs w:val="20"/>
        </w:rPr>
        <w:t>Huai-Jin</w:t>
      </w:r>
      <w:proofErr w:type="spellEnd"/>
      <w:r w:rsidRPr="000C5CC1">
        <w:rPr>
          <w:color w:val="000000" w:themeColor="text1"/>
          <w:sz w:val="20"/>
          <w:szCs w:val="20"/>
        </w:rPr>
        <w:t xml:space="preserve"> Li, Hui-Juan Li, et al. </w:t>
      </w:r>
      <w:r w:rsidR="006551D1" w:rsidRPr="000C5CC1">
        <w:rPr>
          <w:color w:val="000000" w:themeColor="text1"/>
          <w:sz w:val="22"/>
          <w:szCs w:val="22"/>
        </w:rPr>
        <w:t>Delirium in older patients after combined epidural-general anesthesia or general anesthesia for major surgery: A randomized trial</w:t>
      </w:r>
    </w:p>
    <w:p w14:paraId="5B1929F8" w14:textId="77777777" w:rsidR="00555164" w:rsidRDefault="00555164">
      <w:pPr>
        <w:spacing w:beforeLines="50" w:before="120" w:afterLines="50" w:after="120"/>
        <w:rPr>
          <w:b/>
          <w:sz w:val="20"/>
          <w:szCs w:val="20"/>
        </w:rPr>
      </w:pPr>
    </w:p>
    <w:p w14:paraId="6F6BFF8F" w14:textId="77777777" w:rsidR="00555164" w:rsidRDefault="00555164">
      <w:pPr>
        <w:spacing w:beforeLines="50" w:before="120" w:afterLines="50" w:after="120"/>
        <w:rPr>
          <w:b/>
          <w:sz w:val="20"/>
          <w:szCs w:val="20"/>
        </w:rPr>
      </w:pPr>
    </w:p>
    <w:p w14:paraId="1D380EE8" w14:textId="77777777" w:rsidR="00555164" w:rsidRDefault="002C73C0">
      <w:pPr>
        <w:rPr>
          <w:b/>
          <w:sz w:val="20"/>
          <w:szCs w:val="20"/>
        </w:rPr>
      </w:pPr>
      <w:r>
        <w:rPr>
          <w:b/>
          <w:sz w:val="20"/>
          <w:szCs w:val="20"/>
        </w:rPr>
        <w:br w:type="page"/>
      </w:r>
    </w:p>
    <w:p w14:paraId="0AA09ACC" w14:textId="77777777" w:rsidR="00555164" w:rsidRDefault="002C73C0">
      <w:pPr>
        <w:spacing w:beforeLines="50" w:before="120" w:afterLines="50" w:after="120"/>
        <w:rPr>
          <w:b/>
        </w:rPr>
      </w:pPr>
      <w:r>
        <w:rPr>
          <w:b/>
        </w:rPr>
        <w:lastRenderedPageBreak/>
        <w:t>This supplement contains the following items:</w:t>
      </w:r>
    </w:p>
    <w:p w14:paraId="4E5F46A5" w14:textId="77777777" w:rsidR="00555164" w:rsidRDefault="00555164">
      <w:pPr>
        <w:spacing w:beforeLines="50" w:before="120" w:afterLines="50" w:after="120"/>
        <w:rPr>
          <w:rFonts w:eastAsiaTheme="minorEastAsia"/>
          <w:b/>
          <w:sz w:val="22"/>
          <w:szCs w:val="22"/>
        </w:rPr>
      </w:pPr>
    </w:p>
    <w:p w14:paraId="38260D2C" w14:textId="77777777" w:rsidR="00555164" w:rsidRDefault="00555164">
      <w:pPr>
        <w:spacing w:beforeLines="50" w:before="120" w:afterLines="50" w:after="120"/>
        <w:rPr>
          <w:rFonts w:eastAsiaTheme="minorEastAsia"/>
          <w:b/>
          <w:sz w:val="22"/>
          <w:szCs w:val="22"/>
        </w:rPr>
      </w:pPr>
    </w:p>
    <w:p w14:paraId="26D413AC" w14:textId="77777777" w:rsidR="00555164" w:rsidRDefault="002C73C0">
      <w:pPr>
        <w:pStyle w:val="af7"/>
        <w:numPr>
          <w:ilvl w:val="0"/>
          <w:numId w:val="1"/>
        </w:numPr>
        <w:spacing w:beforeLines="50" w:before="120" w:afterLines="50" w:after="120"/>
        <w:rPr>
          <w:rFonts w:ascii="Times New Roman" w:hAnsi="Times New Roman"/>
          <w:sz w:val="20"/>
          <w:szCs w:val="20"/>
        </w:rPr>
      </w:pPr>
      <w:r>
        <w:rPr>
          <w:rFonts w:ascii="Times New Roman" w:hAnsi="Times New Roman"/>
          <w:sz w:val="20"/>
          <w:szCs w:val="20"/>
        </w:rPr>
        <w:t>Original protocol, final protocol, summary of changes.</w:t>
      </w:r>
    </w:p>
    <w:p w14:paraId="31037A4A" w14:textId="77777777" w:rsidR="00555164" w:rsidRDefault="002C73C0">
      <w:pPr>
        <w:pStyle w:val="af7"/>
        <w:numPr>
          <w:ilvl w:val="0"/>
          <w:numId w:val="1"/>
        </w:numPr>
        <w:spacing w:beforeLines="50" w:before="120" w:afterLines="50" w:after="120"/>
        <w:rPr>
          <w:rFonts w:ascii="Times New Roman" w:eastAsiaTheme="minorEastAsia" w:hAnsi="Times New Roman"/>
          <w:sz w:val="20"/>
          <w:szCs w:val="20"/>
        </w:rPr>
      </w:pPr>
      <w:r>
        <w:rPr>
          <w:rFonts w:ascii="Times New Roman" w:hAnsi="Times New Roman"/>
          <w:sz w:val="20"/>
          <w:szCs w:val="20"/>
        </w:rPr>
        <w:t>Original statistical analysis plan, final statistical analysis plan, summary of changes.</w:t>
      </w:r>
    </w:p>
    <w:p w14:paraId="6D772353" w14:textId="77777777" w:rsidR="00555164" w:rsidRDefault="002C73C0">
      <w:pPr>
        <w:snapToGrid w:val="0"/>
        <w:spacing w:before="50" w:after="50"/>
        <w:rPr>
          <w:rFonts w:eastAsiaTheme="minorEastAsia"/>
          <w:b/>
          <w:sz w:val="20"/>
          <w:szCs w:val="20"/>
        </w:rPr>
      </w:pPr>
      <w:r>
        <w:rPr>
          <w:rFonts w:eastAsiaTheme="minorEastAsia"/>
          <w:b/>
          <w:sz w:val="20"/>
          <w:szCs w:val="20"/>
        </w:rPr>
        <w:br w:type="page"/>
      </w:r>
    </w:p>
    <w:p w14:paraId="0E931B12" w14:textId="77777777" w:rsidR="00555164" w:rsidRDefault="002C73C0">
      <w:pPr>
        <w:spacing w:beforeLines="50" w:before="120" w:afterLines="50" w:after="120"/>
        <w:jc w:val="center"/>
        <w:rPr>
          <w:rFonts w:eastAsiaTheme="minorEastAsia"/>
          <w:b/>
        </w:rPr>
      </w:pPr>
      <w:r>
        <w:rPr>
          <w:rFonts w:eastAsiaTheme="minorEastAsia"/>
          <w:b/>
        </w:rPr>
        <w:lastRenderedPageBreak/>
        <w:t>Table of Content</w:t>
      </w:r>
    </w:p>
    <w:sdt>
      <w:sdtPr>
        <w:rPr>
          <w:rFonts w:ascii="Times New Roman" w:eastAsia="Times New Roman" w:hAnsi="Times New Roman"/>
          <w:color w:val="auto"/>
          <w:sz w:val="20"/>
          <w:szCs w:val="20"/>
        </w:rPr>
        <w:id w:val="1495062624"/>
        <w:docPartObj>
          <w:docPartGallery w:val="Table of Contents"/>
          <w:docPartUnique/>
        </w:docPartObj>
      </w:sdtPr>
      <w:sdtEndPr>
        <w:rPr>
          <w:b/>
          <w:bCs/>
        </w:rPr>
      </w:sdtEndPr>
      <w:sdtContent>
        <w:p w14:paraId="3C823504" w14:textId="77777777" w:rsidR="00555164" w:rsidRDefault="00555164">
          <w:pPr>
            <w:pStyle w:val="TOC10"/>
            <w:rPr>
              <w:rFonts w:ascii="Times New Roman" w:hAnsi="Times New Roman"/>
              <w:sz w:val="20"/>
              <w:szCs w:val="20"/>
            </w:rPr>
          </w:pPr>
        </w:p>
        <w:p w14:paraId="6A38AC1F" w14:textId="77777777" w:rsidR="00555164" w:rsidRDefault="002C73C0">
          <w:pPr>
            <w:pStyle w:val="TOC1"/>
            <w:tabs>
              <w:tab w:val="right" w:leader="dot" w:pos="9010"/>
            </w:tabs>
            <w:rPr>
              <w:rFonts w:ascii="Times New Roman" w:eastAsiaTheme="minorEastAsia" w:hAnsi="Times New Roman"/>
              <w:b w:val="0"/>
              <w:bCs w:val="0"/>
            </w:rPr>
          </w:pPr>
          <w:r>
            <w:rPr>
              <w:rFonts w:ascii="Times New Roman" w:hAnsi="Times New Roman"/>
              <w:b w:val="0"/>
              <w:bCs w:val="0"/>
            </w:rPr>
            <w:fldChar w:fldCharType="begin"/>
          </w:r>
          <w:r>
            <w:rPr>
              <w:rFonts w:ascii="Times New Roman" w:hAnsi="Times New Roman"/>
              <w:b w:val="0"/>
            </w:rPr>
            <w:instrText xml:space="preserve"> TOC \o "1-3" \h \z \u </w:instrText>
          </w:r>
          <w:r>
            <w:rPr>
              <w:rFonts w:ascii="Times New Roman" w:hAnsi="Times New Roman"/>
              <w:b w:val="0"/>
              <w:bCs w:val="0"/>
            </w:rPr>
            <w:fldChar w:fldCharType="separate"/>
          </w:r>
          <w:hyperlink w:anchor="_Toc44796157" w:history="1">
            <w:r>
              <w:rPr>
                <w:rStyle w:val="af5"/>
                <w:rFonts w:ascii="Times New Roman" w:hAnsi="Times New Roman"/>
                <w:b w:val="0"/>
              </w:rPr>
              <w:t>Original study protocol</w:t>
            </w:r>
            <w:r>
              <w:rPr>
                <w:rFonts w:ascii="Times New Roman" w:hAnsi="Times New Roman"/>
                <w:b w:val="0"/>
              </w:rPr>
              <w:tab/>
            </w:r>
            <w:r>
              <w:rPr>
                <w:rFonts w:ascii="Times New Roman" w:hAnsi="Times New Roman"/>
                <w:b w:val="0"/>
              </w:rPr>
              <w:fldChar w:fldCharType="begin"/>
            </w:r>
            <w:r>
              <w:rPr>
                <w:rFonts w:ascii="Times New Roman" w:hAnsi="Times New Roman"/>
                <w:b w:val="0"/>
              </w:rPr>
              <w:instrText xml:space="preserve"> PAGEREF _Toc44796157 \h </w:instrText>
            </w:r>
            <w:r>
              <w:rPr>
                <w:rFonts w:ascii="Times New Roman" w:hAnsi="Times New Roman"/>
                <w:b w:val="0"/>
              </w:rPr>
            </w:r>
            <w:r>
              <w:rPr>
                <w:rFonts w:ascii="Times New Roman" w:hAnsi="Times New Roman"/>
                <w:b w:val="0"/>
              </w:rPr>
              <w:fldChar w:fldCharType="separate"/>
            </w:r>
            <w:r>
              <w:rPr>
                <w:rFonts w:ascii="Times New Roman" w:hAnsi="Times New Roman"/>
                <w:b w:val="0"/>
              </w:rPr>
              <w:t>4</w:t>
            </w:r>
            <w:r>
              <w:rPr>
                <w:rFonts w:ascii="Times New Roman" w:hAnsi="Times New Roman"/>
                <w:b w:val="0"/>
              </w:rPr>
              <w:fldChar w:fldCharType="end"/>
            </w:r>
          </w:hyperlink>
        </w:p>
        <w:p w14:paraId="1B302104" w14:textId="77777777" w:rsidR="00555164" w:rsidRDefault="003D1D26">
          <w:pPr>
            <w:pStyle w:val="TOC1"/>
            <w:tabs>
              <w:tab w:val="right" w:leader="dot" w:pos="9010"/>
            </w:tabs>
            <w:rPr>
              <w:rFonts w:ascii="Times New Roman" w:eastAsiaTheme="minorEastAsia" w:hAnsi="Times New Roman"/>
              <w:b w:val="0"/>
              <w:bCs w:val="0"/>
            </w:rPr>
          </w:pPr>
          <w:hyperlink w:anchor="_Toc44796177" w:history="1">
            <w:r w:rsidR="002C73C0">
              <w:rPr>
                <w:rStyle w:val="af5"/>
                <w:rFonts w:ascii="Times New Roman" w:hAnsi="Times New Roman"/>
                <w:b w:val="0"/>
              </w:rPr>
              <w:t>Final study protocol</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_Toc44796177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21</w:t>
            </w:r>
            <w:r w:rsidR="002C73C0">
              <w:rPr>
                <w:rFonts w:ascii="Times New Roman" w:hAnsi="Times New Roman"/>
                <w:b w:val="0"/>
              </w:rPr>
              <w:fldChar w:fldCharType="end"/>
            </w:r>
          </w:hyperlink>
        </w:p>
        <w:p w14:paraId="206F64AE" w14:textId="77777777" w:rsidR="00555164" w:rsidRDefault="003D1D26">
          <w:pPr>
            <w:pStyle w:val="TOC1"/>
            <w:tabs>
              <w:tab w:val="right" w:leader="dot" w:pos="9010"/>
            </w:tabs>
            <w:rPr>
              <w:rFonts w:ascii="Times New Roman" w:eastAsiaTheme="minorEastAsia" w:hAnsi="Times New Roman"/>
              <w:b w:val="0"/>
              <w:bCs w:val="0"/>
            </w:rPr>
          </w:pPr>
          <w:hyperlink w:anchor="_Toc44796197" w:history="1">
            <w:r w:rsidR="002C73C0">
              <w:rPr>
                <w:rStyle w:val="af5"/>
                <w:rFonts w:ascii="Times New Roman" w:eastAsia="等线" w:hAnsi="Times New Roman"/>
                <w:b w:val="0"/>
              </w:rPr>
              <w:t>Summary of changes from the original study protocol approved by the ethics committee</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_Toc44796197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38</w:t>
            </w:r>
            <w:r w:rsidR="002C73C0">
              <w:rPr>
                <w:rFonts w:ascii="Times New Roman" w:hAnsi="Times New Roman"/>
                <w:b w:val="0"/>
              </w:rPr>
              <w:fldChar w:fldCharType="end"/>
            </w:r>
          </w:hyperlink>
        </w:p>
        <w:p w14:paraId="6C7632F6" w14:textId="77777777" w:rsidR="00555164" w:rsidRDefault="003D1D26">
          <w:pPr>
            <w:pStyle w:val="TOC1"/>
            <w:tabs>
              <w:tab w:val="right" w:leader="dot" w:pos="9010"/>
            </w:tabs>
            <w:rPr>
              <w:rFonts w:ascii="Times New Roman" w:eastAsiaTheme="minorEastAsia" w:hAnsi="Times New Roman"/>
              <w:b w:val="0"/>
              <w:bCs w:val="0"/>
            </w:rPr>
          </w:pPr>
          <w:hyperlink w:anchor="_Toc44796198" w:history="1">
            <w:r w:rsidR="002C73C0">
              <w:rPr>
                <w:rStyle w:val="af5"/>
                <w:rFonts w:ascii="Times New Roman" w:eastAsia="等线" w:hAnsi="Times New Roman"/>
                <w:b w:val="0"/>
              </w:rPr>
              <w:t>Original statistical analysis plan</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_Toc44796198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39</w:t>
            </w:r>
            <w:r w:rsidR="002C73C0">
              <w:rPr>
                <w:rFonts w:ascii="Times New Roman" w:hAnsi="Times New Roman"/>
                <w:b w:val="0"/>
              </w:rPr>
              <w:fldChar w:fldCharType="end"/>
            </w:r>
          </w:hyperlink>
        </w:p>
        <w:p w14:paraId="0D8DF9B6" w14:textId="77777777" w:rsidR="00555164" w:rsidRDefault="003D1D26">
          <w:pPr>
            <w:pStyle w:val="TOC1"/>
            <w:tabs>
              <w:tab w:val="right" w:leader="dot" w:pos="9010"/>
            </w:tabs>
            <w:rPr>
              <w:rFonts w:ascii="Times New Roman" w:eastAsiaTheme="minorEastAsia" w:hAnsi="Times New Roman"/>
              <w:b w:val="0"/>
              <w:bCs w:val="0"/>
            </w:rPr>
          </w:pPr>
          <w:hyperlink w:anchor="_Toc44796200" w:history="1">
            <w:r w:rsidR="002C73C0">
              <w:rPr>
                <w:rStyle w:val="af5"/>
                <w:rFonts w:ascii="Times New Roman" w:eastAsia="等线" w:hAnsi="Times New Roman"/>
                <w:b w:val="0"/>
              </w:rPr>
              <w:t>Final statistical analysis plan</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_Toc44796200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42</w:t>
            </w:r>
            <w:r w:rsidR="002C73C0">
              <w:rPr>
                <w:rFonts w:ascii="Times New Roman" w:hAnsi="Times New Roman"/>
                <w:b w:val="0"/>
              </w:rPr>
              <w:fldChar w:fldCharType="end"/>
            </w:r>
          </w:hyperlink>
        </w:p>
        <w:p w14:paraId="1AB175CA" w14:textId="77777777" w:rsidR="00555164" w:rsidRDefault="003D1D26">
          <w:pPr>
            <w:pStyle w:val="TOC1"/>
            <w:tabs>
              <w:tab w:val="right" w:leader="dot" w:pos="9010"/>
            </w:tabs>
            <w:rPr>
              <w:rFonts w:ascii="Times New Roman" w:eastAsiaTheme="minorEastAsia" w:hAnsi="Times New Roman"/>
              <w:b w:val="0"/>
              <w:bCs w:val="0"/>
            </w:rPr>
          </w:pPr>
          <w:hyperlink w:anchor="_Toc44796202" w:history="1">
            <w:r w:rsidR="002C73C0">
              <w:rPr>
                <w:rStyle w:val="af5"/>
                <w:rFonts w:ascii="Times New Roman" w:hAnsi="Times New Roman"/>
                <w:b w:val="0"/>
              </w:rPr>
              <w:t>Summary of changes from the original statistical analysis plan</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_Toc44796202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45</w:t>
            </w:r>
            <w:r w:rsidR="002C73C0">
              <w:rPr>
                <w:rFonts w:ascii="Times New Roman" w:hAnsi="Times New Roman"/>
                <w:b w:val="0"/>
              </w:rPr>
              <w:fldChar w:fldCharType="end"/>
            </w:r>
          </w:hyperlink>
        </w:p>
        <w:p w14:paraId="2500827A" w14:textId="77777777" w:rsidR="00555164" w:rsidRDefault="002C73C0">
          <w:pPr>
            <w:rPr>
              <w:sz w:val="20"/>
              <w:szCs w:val="20"/>
            </w:rPr>
          </w:pPr>
          <w:r>
            <w:rPr>
              <w:bCs/>
              <w:sz w:val="20"/>
              <w:szCs w:val="20"/>
            </w:rPr>
            <w:fldChar w:fldCharType="end"/>
          </w:r>
        </w:p>
      </w:sdtContent>
    </w:sdt>
    <w:p w14:paraId="1F9A4FB9" w14:textId="77777777" w:rsidR="00555164" w:rsidRDefault="002C73C0">
      <w:pPr>
        <w:rPr>
          <w:sz w:val="20"/>
          <w:szCs w:val="20"/>
        </w:rPr>
      </w:pPr>
      <w:r>
        <w:rPr>
          <w:sz w:val="20"/>
          <w:szCs w:val="20"/>
        </w:rPr>
        <w:br w:type="page"/>
      </w:r>
    </w:p>
    <w:p w14:paraId="7DF13808" w14:textId="77777777" w:rsidR="00555164" w:rsidRDefault="002C73C0">
      <w:pPr>
        <w:pStyle w:val="1"/>
        <w:spacing w:beforeLines="50" w:before="120" w:beforeAutospacing="0" w:afterLines="50" w:after="120" w:afterAutospacing="0"/>
        <w:rPr>
          <w:rFonts w:ascii="Times New Roman" w:eastAsia="Times New Roman" w:hAnsi="Times New Roman" w:cs="Times New Roman"/>
          <w:b w:val="0"/>
          <w:sz w:val="24"/>
          <w:szCs w:val="24"/>
        </w:rPr>
      </w:pPr>
      <w:bookmarkStart w:id="0" w:name="_Toc44796157"/>
      <w:r>
        <w:rPr>
          <w:rFonts w:ascii="Times New Roman" w:eastAsia="Times New Roman" w:hAnsi="Times New Roman" w:cs="Times New Roman"/>
          <w:bCs w:val="0"/>
          <w:kern w:val="0"/>
          <w:sz w:val="24"/>
          <w:szCs w:val="24"/>
        </w:rPr>
        <w:lastRenderedPageBreak/>
        <w:t>Original study protocol</w:t>
      </w:r>
      <w:bookmarkEnd w:id="0"/>
      <w:r>
        <w:rPr>
          <w:rFonts w:ascii="Times New Roman" w:eastAsia="Times New Roman" w:hAnsi="Times New Roman" w:cs="Times New Roman"/>
          <w:bCs w:val="0"/>
          <w:kern w:val="0"/>
          <w:sz w:val="24"/>
          <w:szCs w:val="24"/>
        </w:rPr>
        <w:t xml:space="preserve"> </w:t>
      </w:r>
    </w:p>
    <w:p w14:paraId="29FF8438" w14:textId="77777777" w:rsidR="00555164" w:rsidRDefault="00555164">
      <w:pPr>
        <w:spacing w:beforeLines="50" w:before="120" w:afterLines="50" w:after="120"/>
        <w:rPr>
          <w:rFonts w:eastAsia="等线"/>
          <w:b/>
          <w:sz w:val="20"/>
          <w:szCs w:val="20"/>
        </w:rPr>
      </w:pPr>
    </w:p>
    <w:p w14:paraId="4A800ED1" w14:textId="77777777" w:rsidR="00555164" w:rsidRDefault="00555164">
      <w:pPr>
        <w:spacing w:beforeLines="50" w:before="120" w:afterLines="50" w:after="120"/>
        <w:rPr>
          <w:b/>
          <w:sz w:val="20"/>
          <w:szCs w:val="20"/>
        </w:rPr>
      </w:pPr>
    </w:p>
    <w:p w14:paraId="2DC543CA" w14:textId="77777777" w:rsidR="00555164" w:rsidRDefault="00555164">
      <w:pPr>
        <w:spacing w:beforeLines="50" w:before="120" w:afterLines="50" w:after="120"/>
        <w:rPr>
          <w:rFonts w:eastAsiaTheme="minorEastAsia"/>
          <w:b/>
          <w:sz w:val="20"/>
          <w:szCs w:val="20"/>
        </w:rPr>
      </w:pPr>
    </w:p>
    <w:p w14:paraId="03C66A63" w14:textId="77777777" w:rsidR="00555164" w:rsidRDefault="00555164">
      <w:pPr>
        <w:spacing w:beforeLines="50" w:before="120" w:afterLines="50" w:after="120"/>
        <w:rPr>
          <w:rFonts w:eastAsiaTheme="minorEastAsia"/>
          <w:b/>
          <w:sz w:val="20"/>
          <w:szCs w:val="20"/>
        </w:rPr>
      </w:pPr>
    </w:p>
    <w:p w14:paraId="6DEC0ECF" w14:textId="77777777" w:rsidR="00555164" w:rsidRDefault="002C73C0">
      <w:pPr>
        <w:spacing w:beforeLines="50" w:before="120" w:afterLines="50" w:after="120"/>
        <w:rPr>
          <w:b/>
          <w:sz w:val="20"/>
          <w:szCs w:val="20"/>
        </w:rPr>
      </w:pPr>
      <w:r>
        <w:rPr>
          <w:b/>
          <w:sz w:val="20"/>
          <w:szCs w:val="20"/>
        </w:rPr>
        <w:t xml:space="preserve">Effects of two different anesthesia-analgesia methods on incidence of postoperative delirium in elderly patients undergoing major thoracic and abdominal surgery: </w:t>
      </w:r>
      <w:r>
        <w:rPr>
          <w:rFonts w:eastAsia="等线"/>
          <w:b/>
          <w:sz w:val="20"/>
          <w:szCs w:val="20"/>
        </w:rPr>
        <w:t>A</w:t>
      </w:r>
      <w:r>
        <w:rPr>
          <w:b/>
          <w:sz w:val="20"/>
          <w:szCs w:val="20"/>
        </w:rPr>
        <w:t xml:space="preserve"> multicenter randomized controlled trial</w:t>
      </w:r>
    </w:p>
    <w:p w14:paraId="140119E8" w14:textId="77777777" w:rsidR="00555164" w:rsidRDefault="00555164">
      <w:pPr>
        <w:spacing w:beforeLines="50" w:before="120" w:afterLines="50" w:after="120"/>
        <w:rPr>
          <w:rFonts w:eastAsia="等线"/>
          <w:b/>
          <w:sz w:val="20"/>
          <w:szCs w:val="20"/>
        </w:rPr>
      </w:pPr>
    </w:p>
    <w:p w14:paraId="094B92C1" w14:textId="77777777" w:rsidR="00555164" w:rsidRDefault="00555164">
      <w:pPr>
        <w:spacing w:beforeLines="50" w:before="120" w:afterLines="50" w:after="120"/>
        <w:rPr>
          <w:rFonts w:eastAsia="等线"/>
          <w:b/>
          <w:sz w:val="20"/>
          <w:szCs w:val="20"/>
        </w:rPr>
      </w:pPr>
    </w:p>
    <w:p w14:paraId="3349B5CE" w14:textId="77777777" w:rsidR="00555164" w:rsidRDefault="00555164">
      <w:pPr>
        <w:spacing w:beforeLines="50" w:before="120" w:afterLines="50" w:after="120"/>
        <w:rPr>
          <w:rFonts w:eastAsia="等线"/>
          <w:b/>
          <w:sz w:val="20"/>
          <w:szCs w:val="20"/>
        </w:rPr>
      </w:pPr>
    </w:p>
    <w:p w14:paraId="2DD06273" w14:textId="77777777" w:rsidR="00555164" w:rsidRDefault="00555164">
      <w:pPr>
        <w:spacing w:beforeLines="50" w:before="120" w:afterLines="50" w:after="120"/>
        <w:rPr>
          <w:rFonts w:eastAsia="等线"/>
          <w:b/>
          <w:sz w:val="20"/>
          <w:szCs w:val="20"/>
        </w:rPr>
      </w:pPr>
    </w:p>
    <w:p w14:paraId="2E5D9B9D" w14:textId="77777777" w:rsidR="00555164" w:rsidRDefault="00555164">
      <w:pPr>
        <w:spacing w:beforeLines="50" w:before="120" w:afterLines="50" w:after="120"/>
        <w:rPr>
          <w:rFonts w:eastAsia="等线"/>
          <w:b/>
          <w:sz w:val="20"/>
          <w:szCs w:val="20"/>
        </w:rPr>
      </w:pPr>
    </w:p>
    <w:p w14:paraId="58279499" w14:textId="77777777" w:rsidR="00555164" w:rsidRDefault="00555164">
      <w:pPr>
        <w:spacing w:beforeLines="50" w:before="120" w:afterLines="50" w:after="120"/>
        <w:rPr>
          <w:rFonts w:eastAsia="等线"/>
          <w:b/>
          <w:sz w:val="20"/>
          <w:szCs w:val="20"/>
        </w:rPr>
      </w:pPr>
    </w:p>
    <w:p w14:paraId="017CA520" w14:textId="77777777" w:rsidR="00555164" w:rsidRDefault="00555164">
      <w:pPr>
        <w:spacing w:beforeLines="50" w:before="120" w:afterLines="50" w:after="120"/>
        <w:rPr>
          <w:rFonts w:eastAsia="等线"/>
          <w:b/>
          <w:sz w:val="20"/>
          <w:szCs w:val="20"/>
        </w:rPr>
      </w:pPr>
    </w:p>
    <w:p w14:paraId="25D7738D" w14:textId="77777777" w:rsidR="00555164" w:rsidRDefault="00555164">
      <w:pPr>
        <w:spacing w:beforeLines="50" w:before="120" w:afterLines="50" w:after="120"/>
        <w:rPr>
          <w:rFonts w:eastAsia="等线"/>
          <w:b/>
          <w:sz w:val="20"/>
          <w:szCs w:val="20"/>
        </w:rPr>
      </w:pPr>
    </w:p>
    <w:p w14:paraId="5578A12B" w14:textId="77777777" w:rsidR="00555164" w:rsidRDefault="00555164">
      <w:pPr>
        <w:spacing w:beforeLines="50" w:before="120" w:afterLines="50" w:after="120"/>
        <w:rPr>
          <w:rFonts w:eastAsia="等线"/>
          <w:b/>
          <w:sz w:val="20"/>
          <w:szCs w:val="20"/>
        </w:rPr>
      </w:pPr>
    </w:p>
    <w:p w14:paraId="0FCBD5C3" w14:textId="77777777" w:rsidR="00555164" w:rsidRDefault="00555164">
      <w:pPr>
        <w:spacing w:beforeLines="50" w:before="120" w:afterLines="50" w:after="120"/>
        <w:rPr>
          <w:rFonts w:eastAsia="等线"/>
          <w:b/>
          <w:sz w:val="20"/>
          <w:szCs w:val="20"/>
        </w:rPr>
      </w:pPr>
    </w:p>
    <w:p w14:paraId="19D461A0" w14:textId="77777777" w:rsidR="00555164" w:rsidRDefault="00555164">
      <w:pPr>
        <w:spacing w:beforeLines="50" w:before="120" w:afterLines="50" w:after="120"/>
        <w:rPr>
          <w:rFonts w:eastAsia="等线"/>
          <w:b/>
          <w:sz w:val="20"/>
          <w:szCs w:val="20"/>
        </w:rPr>
      </w:pPr>
    </w:p>
    <w:p w14:paraId="03B1EB0E" w14:textId="77777777" w:rsidR="00555164" w:rsidRDefault="00555164">
      <w:pPr>
        <w:spacing w:beforeLines="50" w:before="120" w:afterLines="50" w:after="120"/>
        <w:rPr>
          <w:rFonts w:eastAsia="等线"/>
          <w:b/>
          <w:sz w:val="20"/>
          <w:szCs w:val="20"/>
        </w:rPr>
      </w:pPr>
    </w:p>
    <w:p w14:paraId="5B9326D7" w14:textId="77777777" w:rsidR="00555164" w:rsidRDefault="00555164">
      <w:pPr>
        <w:spacing w:beforeLines="50" w:before="120" w:afterLines="50" w:after="120"/>
        <w:rPr>
          <w:rFonts w:eastAsia="等线"/>
          <w:b/>
          <w:sz w:val="20"/>
          <w:szCs w:val="20"/>
        </w:rPr>
      </w:pPr>
    </w:p>
    <w:p w14:paraId="3745ED22" w14:textId="77777777" w:rsidR="00555164" w:rsidRDefault="00555164">
      <w:pPr>
        <w:spacing w:beforeLines="50" w:before="120" w:afterLines="50" w:after="120"/>
        <w:rPr>
          <w:rFonts w:eastAsia="等线"/>
          <w:b/>
          <w:sz w:val="20"/>
          <w:szCs w:val="20"/>
        </w:rPr>
      </w:pPr>
    </w:p>
    <w:p w14:paraId="10A701D4" w14:textId="77777777" w:rsidR="00555164" w:rsidRDefault="002C73C0">
      <w:pPr>
        <w:spacing w:beforeLines="50" w:before="120" w:afterLines="50" w:after="120"/>
        <w:rPr>
          <w:sz w:val="20"/>
          <w:szCs w:val="20"/>
        </w:rPr>
      </w:pPr>
      <w:r>
        <w:rPr>
          <w:rFonts w:eastAsia="等线"/>
          <w:b/>
          <w:sz w:val="20"/>
          <w:szCs w:val="20"/>
        </w:rPr>
        <w:t>Principal investigator:</w:t>
      </w:r>
      <w:r>
        <w:rPr>
          <w:rFonts w:eastAsia="等线"/>
          <w:bCs/>
          <w:sz w:val="20"/>
          <w:szCs w:val="20"/>
        </w:rPr>
        <w:t xml:space="preserve"> </w:t>
      </w:r>
      <w:r>
        <w:rPr>
          <w:sz w:val="20"/>
          <w:szCs w:val="20"/>
        </w:rPr>
        <w:t>Prof Dong-Xin Wang, MD, PhD</w:t>
      </w:r>
    </w:p>
    <w:p w14:paraId="71FDD8A3" w14:textId="77777777" w:rsidR="00555164" w:rsidRDefault="00555164">
      <w:pPr>
        <w:spacing w:beforeLines="50" w:before="120" w:afterLines="50" w:after="120"/>
        <w:rPr>
          <w:rFonts w:eastAsia="等线"/>
          <w:b/>
          <w:sz w:val="20"/>
          <w:szCs w:val="20"/>
        </w:rPr>
      </w:pPr>
    </w:p>
    <w:p w14:paraId="326CCF04" w14:textId="77777777" w:rsidR="00555164" w:rsidRDefault="002C73C0">
      <w:pPr>
        <w:spacing w:beforeLines="50" w:before="120" w:afterLines="50" w:after="120"/>
        <w:jc w:val="both"/>
        <w:rPr>
          <w:rFonts w:eastAsia="等线"/>
          <w:b/>
          <w:sz w:val="20"/>
          <w:szCs w:val="20"/>
        </w:rPr>
      </w:pPr>
      <w:r>
        <w:rPr>
          <w:rFonts w:eastAsia="等线"/>
          <w:b/>
          <w:sz w:val="20"/>
          <w:szCs w:val="20"/>
        </w:rPr>
        <w:t>Name of institute:</w:t>
      </w:r>
      <w:r>
        <w:rPr>
          <w:rFonts w:eastAsia="等线"/>
          <w:bCs/>
          <w:sz w:val="20"/>
          <w:szCs w:val="20"/>
        </w:rPr>
        <w:t xml:space="preserve"> </w:t>
      </w:r>
      <w:r>
        <w:rPr>
          <w:sz w:val="20"/>
          <w:szCs w:val="20"/>
        </w:rPr>
        <w:t>Department of Anesthesiology and Critical Care Medicine, Peking University First Hospital</w:t>
      </w:r>
      <w:r>
        <w:rPr>
          <w:rFonts w:eastAsia="等线"/>
          <w:b/>
          <w:sz w:val="20"/>
          <w:szCs w:val="20"/>
        </w:rPr>
        <w:t xml:space="preserve"> </w:t>
      </w:r>
    </w:p>
    <w:p w14:paraId="134E9237" w14:textId="77777777" w:rsidR="00555164" w:rsidRDefault="00555164">
      <w:pPr>
        <w:spacing w:beforeLines="50" w:before="120" w:afterLines="50" w:after="120"/>
        <w:rPr>
          <w:rFonts w:eastAsia="等线"/>
          <w:bCs/>
          <w:sz w:val="20"/>
          <w:szCs w:val="20"/>
        </w:rPr>
      </w:pPr>
    </w:p>
    <w:p w14:paraId="484BFF94" w14:textId="77777777" w:rsidR="00555164" w:rsidRDefault="002C73C0">
      <w:pPr>
        <w:spacing w:beforeLines="50" w:before="120" w:afterLines="50" w:after="120"/>
        <w:rPr>
          <w:rFonts w:eastAsia="等线"/>
          <w:bCs/>
          <w:sz w:val="20"/>
          <w:szCs w:val="20"/>
        </w:rPr>
      </w:pPr>
      <w:r>
        <w:rPr>
          <w:rFonts w:eastAsia="等线"/>
          <w:b/>
          <w:sz w:val="20"/>
          <w:szCs w:val="20"/>
        </w:rPr>
        <w:t>Date of last revision:</w:t>
      </w:r>
      <w:r>
        <w:rPr>
          <w:rFonts w:eastAsia="等线"/>
          <w:bCs/>
          <w:sz w:val="20"/>
          <w:szCs w:val="20"/>
        </w:rPr>
        <w:t xml:space="preserve"> April 19, 2011</w:t>
      </w:r>
    </w:p>
    <w:p w14:paraId="2698A211" w14:textId="77777777" w:rsidR="00555164" w:rsidRDefault="00555164">
      <w:pPr>
        <w:spacing w:beforeLines="50" w:before="120" w:afterLines="50" w:after="120"/>
        <w:rPr>
          <w:rFonts w:eastAsia="等线"/>
          <w:bCs/>
          <w:sz w:val="20"/>
          <w:szCs w:val="20"/>
        </w:rPr>
      </w:pPr>
    </w:p>
    <w:p w14:paraId="488E1CB9" w14:textId="77777777" w:rsidR="00555164" w:rsidRDefault="002C73C0">
      <w:pPr>
        <w:spacing w:beforeLines="50" w:before="120" w:afterLines="50" w:after="120"/>
        <w:rPr>
          <w:rFonts w:eastAsia="等线"/>
          <w:bCs/>
          <w:sz w:val="20"/>
          <w:szCs w:val="20"/>
        </w:rPr>
      </w:pPr>
      <w:r>
        <w:rPr>
          <w:rFonts w:eastAsia="等线"/>
          <w:b/>
          <w:sz w:val="20"/>
          <w:szCs w:val="20"/>
        </w:rPr>
        <w:t>Version of protocol:</w:t>
      </w:r>
      <w:r>
        <w:rPr>
          <w:rFonts w:eastAsia="等线"/>
          <w:bCs/>
          <w:sz w:val="20"/>
          <w:szCs w:val="20"/>
        </w:rPr>
        <w:t xml:space="preserve"> V3.0</w:t>
      </w:r>
    </w:p>
    <w:p w14:paraId="0EF0C80A" w14:textId="77777777" w:rsidR="00555164" w:rsidRDefault="00555164">
      <w:pPr>
        <w:spacing w:beforeLines="50" w:before="120" w:afterLines="50" w:after="120"/>
        <w:rPr>
          <w:rFonts w:eastAsia="等线"/>
          <w:bCs/>
          <w:sz w:val="20"/>
          <w:szCs w:val="20"/>
        </w:rPr>
      </w:pPr>
    </w:p>
    <w:p w14:paraId="4636F183" w14:textId="77777777" w:rsidR="00555164" w:rsidRDefault="00555164">
      <w:pPr>
        <w:spacing w:beforeLines="50" w:before="120" w:afterLines="50" w:after="120"/>
        <w:rPr>
          <w:rFonts w:eastAsia="等线"/>
          <w:bCs/>
          <w:sz w:val="20"/>
          <w:szCs w:val="20"/>
        </w:rPr>
      </w:pPr>
    </w:p>
    <w:p w14:paraId="44DC0C2D" w14:textId="77777777" w:rsidR="00555164" w:rsidRDefault="00555164">
      <w:pPr>
        <w:spacing w:beforeLines="50" w:before="120" w:afterLines="50" w:after="120"/>
        <w:rPr>
          <w:rFonts w:eastAsia="等线"/>
          <w:bCs/>
          <w:sz w:val="20"/>
          <w:szCs w:val="20"/>
        </w:rPr>
      </w:pPr>
    </w:p>
    <w:p w14:paraId="48CBEF2B" w14:textId="77777777" w:rsidR="00555164" w:rsidRDefault="002C73C0">
      <w:pPr>
        <w:rPr>
          <w:rFonts w:eastAsia="等线"/>
          <w:b/>
          <w:sz w:val="20"/>
          <w:szCs w:val="20"/>
        </w:rPr>
      </w:pPr>
      <w:r>
        <w:rPr>
          <w:rFonts w:eastAsia="等线"/>
          <w:b/>
          <w:sz w:val="20"/>
          <w:szCs w:val="20"/>
        </w:rPr>
        <w:br w:type="page"/>
      </w:r>
    </w:p>
    <w:p w14:paraId="52A30FC6" w14:textId="77777777" w:rsidR="00555164" w:rsidRDefault="00555164">
      <w:pPr>
        <w:pStyle w:val="ad"/>
        <w:spacing w:beforeLines="50" w:before="120" w:beforeAutospacing="0" w:afterLines="50" w:after="120" w:afterAutospacing="0"/>
        <w:rPr>
          <w:bCs/>
          <w:sz w:val="20"/>
          <w:szCs w:val="20"/>
        </w:rPr>
      </w:pPr>
    </w:p>
    <w:p w14:paraId="54A0FFE3" w14:textId="77777777" w:rsidR="00555164" w:rsidRDefault="002C73C0">
      <w:pPr>
        <w:pStyle w:val="ad"/>
        <w:spacing w:beforeLines="50" w:before="120" w:beforeAutospacing="0" w:afterLines="50" w:after="120" w:afterAutospacing="0"/>
        <w:jc w:val="center"/>
        <w:rPr>
          <w:b/>
          <w:bCs/>
          <w:sz w:val="20"/>
          <w:szCs w:val="20"/>
        </w:rPr>
      </w:pPr>
      <w:r>
        <w:rPr>
          <w:b/>
          <w:bCs/>
          <w:sz w:val="20"/>
          <w:szCs w:val="20"/>
        </w:rPr>
        <w:t>Protocol contents</w:t>
      </w:r>
    </w:p>
    <w:sdt>
      <w:sdtPr>
        <w:rPr>
          <w:sz w:val="20"/>
          <w:szCs w:val="20"/>
        </w:rPr>
        <w:id w:val="1706980389"/>
        <w:docPartObj>
          <w:docPartGallery w:val="Table of Contents"/>
          <w:docPartUnique/>
        </w:docPartObj>
      </w:sdtPr>
      <w:sdtEndPr>
        <w:rPr>
          <w:b/>
          <w:bCs/>
        </w:rPr>
      </w:sdtEndPr>
      <w:sdtContent>
        <w:p w14:paraId="3F8582F4" w14:textId="77777777" w:rsidR="00555164" w:rsidRDefault="002C73C0">
          <w:pPr>
            <w:rPr>
              <w:rFonts w:eastAsia="等线 Light"/>
              <w:b/>
              <w:bCs/>
              <w:color w:val="2F5496"/>
              <w:sz w:val="20"/>
              <w:szCs w:val="20"/>
            </w:rPr>
          </w:pPr>
          <w:r>
            <w:rPr>
              <w:rFonts w:eastAsia="等线 Light"/>
              <w:color w:val="2F5496"/>
              <w:sz w:val="20"/>
              <w:szCs w:val="20"/>
            </w:rPr>
            <w:fldChar w:fldCharType="begin"/>
          </w:r>
          <w:r>
            <w:rPr>
              <w:sz w:val="20"/>
              <w:szCs w:val="20"/>
            </w:rPr>
            <w:instrText xml:space="preserve"> TOC \o "1-3" \h \z \u </w:instrText>
          </w:r>
          <w:r>
            <w:rPr>
              <w:rFonts w:eastAsia="等线 Light"/>
              <w:color w:val="2F5496"/>
              <w:sz w:val="20"/>
              <w:szCs w:val="20"/>
            </w:rPr>
            <w:fldChar w:fldCharType="separate"/>
          </w:r>
        </w:p>
        <w:p w14:paraId="7FFD9C29" w14:textId="77777777" w:rsidR="00555164" w:rsidRDefault="003D1D26">
          <w:pPr>
            <w:pStyle w:val="TOC1"/>
            <w:tabs>
              <w:tab w:val="right" w:leader="dot" w:pos="9010"/>
            </w:tabs>
            <w:rPr>
              <w:rFonts w:ascii="Times New Roman" w:eastAsiaTheme="minorEastAsia" w:hAnsi="Times New Roman"/>
              <w:b w:val="0"/>
              <w:bCs w:val="0"/>
            </w:rPr>
          </w:pPr>
          <w:hyperlink w:anchor="_Toc44756112" w:history="1">
            <w:r w:rsidR="002C73C0">
              <w:rPr>
                <w:rStyle w:val="af5"/>
                <w:rFonts w:ascii="Times New Roman" w:hAnsi="Times New Roman"/>
                <w:b w:val="0"/>
              </w:rPr>
              <w:t>1. Background</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_Toc44756112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6</w:t>
            </w:r>
            <w:r w:rsidR="002C73C0">
              <w:rPr>
                <w:rFonts w:ascii="Times New Roman" w:hAnsi="Times New Roman"/>
                <w:b w:val="0"/>
              </w:rPr>
              <w:fldChar w:fldCharType="end"/>
            </w:r>
          </w:hyperlink>
        </w:p>
        <w:p w14:paraId="3F5CC2B6" w14:textId="77777777" w:rsidR="00555164" w:rsidRDefault="003D1D26">
          <w:pPr>
            <w:pStyle w:val="TOC1"/>
            <w:tabs>
              <w:tab w:val="right" w:leader="dot" w:pos="9010"/>
            </w:tabs>
            <w:rPr>
              <w:rFonts w:ascii="Times New Roman" w:eastAsiaTheme="minorEastAsia" w:hAnsi="Times New Roman"/>
              <w:b w:val="0"/>
              <w:bCs w:val="0"/>
            </w:rPr>
          </w:pPr>
          <w:hyperlink w:anchor="_Toc44756113" w:history="1">
            <w:r w:rsidR="002C73C0">
              <w:rPr>
                <w:rStyle w:val="af5"/>
                <w:rFonts w:ascii="Times New Roman" w:hAnsi="Times New Roman"/>
                <w:b w:val="0"/>
              </w:rPr>
              <w:t>2. Purpose of the study</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_Toc44756113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6</w:t>
            </w:r>
            <w:r w:rsidR="002C73C0">
              <w:rPr>
                <w:rFonts w:ascii="Times New Roman" w:hAnsi="Times New Roman"/>
                <w:b w:val="0"/>
              </w:rPr>
              <w:fldChar w:fldCharType="end"/>
            </w:r>
          </w:hyperlink>
        </w:p>
        <w:p w14:paraId="64A696A8" w14:textId="77777777" w:rsidR="00555164" w:rsidRDefault="003D1D26">
          <w:pPr>
            <w:pStyle w:val="TOC1"/>
            <w:tabs>
              <w:tab w:val="right" w:leader="dot" w:pos="9010"/>
            </w:tabs>
            <w:rPr>
              <w:rFonts w:ascii="Times New Roman" w:eastAsiaTheme="minorEastAsia" w:hAnsi="Times New Roman"/>
              <w:b w:val="0"/>
              <w:bCs w:val="0"/>
            </w:rPr>
          </w:pPr>
          <w:hyperlink w:anchor="_Toc44756114" w:history="1">
            <w:r w:rsidR="002C73C0">
              <w:rPr>
                <w:rStyle w:val="af5"/>
                <w:rFonts w:ascii="Times New Roman" w:hAnsi="Times New Roman"/>
                <w:b w:val="0"/>
              </w:rPr>
              <w:t>3. Study design</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_Toc44756114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7</w:t>
            </w:r>
            <w:r w:rsidR="002C73C0">
              <w:rPr>
                <w:rFonts w:ascii="Times New Roman" w:hAnsi="Times New Roman"/>
                <w:b w:val="0"/>
              </w:rPr>
              <w:fldChar w:fldCharType="end"/>
            </w:r>
          </w:hyperlink>
        </w:p>
        <w:p w14:paraId="65EEA35D" w14:textId="77777777" w:rsidR="00555164" w:rsidRDefault="003D1D26">
          <w:pPr>
            <w:pStyle w:val="TOC1"/>
            <w:tabs>
              <w:tab w:val="right" w:leader="dot" w:pos="9010"/>
            </w:tabs>
            <w:rPr>
              <w:rFonts w:ascii="Times New Roman" w:eastAsiaTheme="minorEastAsia" w:hAnsi="Times New Roman"/>
              <w:b w:val="0"/>
              <w:bCs w:val="0"/>
            </w:rPr>
          </w:pPr>
          <w:hyperlink w:anchor="_Toc44756115" w:history="1">
            <w:r w:rsidR="002C73C0">
              <w:rPr>
                <w:rStyle w:val="af5"/>
                <w:rFonts w:ascii="Times New Roman" w:hAnsi="Times New Roman"/>
                <w:b w:val="0"/>
              </w:rPr>
              <w:t>4. Study participants</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_Toc44756115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7</w:t>
            </w:r>
            <w:r w:rsidR="002C73C0">
              <w:rPr>
                <w:rFonts w:ascii="Times New Roman" w:hAnsi="Times New Roman"/>
                <w:b w:val="0"/>
              </w:rPr>
              <w:fldChar w:fldCharType="end"/>
            </w:r>
          </w:hyperlink>
        </w:p>
        <w:p w14:paraId="0EFE1C0D" w14:textId="77777777" w:rsidR="00555164" w:rsidRDefault="003D1D26">
          <w:pPr>
            <w:pStyle w:val="TOC1"/>
            <w:tabs>
              <w:tab w:val="right" w:leader="dot" w:pos="9010"/>
            </w:tabs>
            <w:rPr>
              <w:rFonts w:ascii="Times New Roman" w:eastAsiaTheme="minorEastAsia" w:hAnsi="Times New Roman"/>
              <w:b w:val="0"/>
              <w:bCs w:val="0"/>
            </w:rPr>
          </w:pPr>
          <w:hyperlink w:anchor="_Toc44756116" w:history="1">
            <w:r w:rsidR="002C73C0">
              <w:rPr>
                <w:rStyle w:val="af5"/>
                <w:rFonts w:ascii="Times New Roman" w:hAnsi="Times New Roman"/>
                <w:b w:val="0"/>
              </w:rPr>
              <w:t>5. Randomization and masking</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_Toc44756116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8</w:t>
            </w:r>
            <w:r w:rsidR="002C73C0">
              <w:rPr>
                <w:rFonts w:ascii="Times New Roman" w:hAnsi="Times New Roman"/>
                <w:b w:val="0"/>
              </w:rPr>
              <w:fldChar w:fldCharType="end"/>
            </w:r>
          </w:hyperlink>
        </w:p>
        <w:p w14:paraId="4586DC77" w14:textId="77777777" w:rsidR="00555164" w:rsidRDefault="003D1D26">
          <w:pPr>
            <w:pStyle w:val="TOC1"/>
            <w:tabs>
              <w:tab w:val="right" w:leader="dot" w:pos="9010"/>
            </w:tabs>
            <w:rPr>
              <w:rFonts w:ascii="Times New Roman" w:eastAsiaTheme="minorEastAsia" w:hAnsi="Times New Roman"/>
              <w:b w:val="0"/>
              <w:bCs w:val="0"/>
            </w:rPr>
          </w:pPr>
          <w:hyperlink w:anchor="_Toc44756117" w:history="1">
            <w:r w:rsidR="002C73C0">
              <w:rPr>
                <w:rStyle w:val="af5"/>
                <w:rFonts w:ascii="Times New Roman" w:hAnsi="Times New Roman"/>
                <w:b w:val="0"/>
              </w:rPr>
              <w:t>6. Intervention protocol</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_Toc44756117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8</w:t>
            </w:r>
            <w:r w:rsidR="002C73C0">
              <w:rPr>
                <w:rFonts w:ascii="Times New Roman" w:hAnsi="Times New Roman"/>
                <w:b w:val="0"/>
              </w:rPr>
              <w:fldChar w:fldCharType="end"/>
            </w:r>
          </w:hyperlink>
        </w:p>
        <w:p w14:paraId="61C48E7B" w14:textId="77777777" w:rsidR="00555164" w:rsidRDefault="003D1D26">
          <w:pPr>
            <w:pStyle w:val="TOC1"/>
            <w:tabs>
              <w:tab w:val="right" w:leader="dot" w:pos="9010"/>
            </w:tabs>
            <w:rPr>
              <w:rFonts w:ascii="Times New Roman" w:eastAsiaTheme="minorEastAsia" w:hAnsi="Times New Roman"/>
              <w:b w:val="0"/>
              <w:bCs w:val="0"/>
            </w:rPr>
          </w:pPr>
          <w:hyperlink w:anchor="_Toc44756118" w:history="1">
            <w:r w:rsidR="002C73C0">
              <w:rPr>
                <w:rStyle w:val="af5"/>
                <w:rFonts w:ascii="Times New Roman" w:hAnsi="Times New Roman"/>
                <w:b w:val="0"/>
              </w:rPr>
              <w:t>7. Data collection</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_Toc44756118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10</w:t>
            </w:r>
            <w:r w:rsidR="002C73C0">
              <w:rPr>
                <w:rFonts w:ascii="Times New Roman" w:hAnsi="Times New Roman"/>
                <w:b w:val="0"/>
              </w:rPr>
              <w:fldChar w:fldCharType="end"/>
            </w:r>
          </w:hyperlink>
        </w:p>
        <w:p w14:paraId="4C9AE8F0" w14:textId="77777777" w:rsidR="00555164" w:rsidRDefault="003D1D26">
          <w:pPr>
            <w:pStyle w:val="TOC1"/>
            <w:tabs>
              <w:tab w:val="right" w:leader="dot" w:pos="9010"/>
            </w:tabs>
            <w:rPr>
              <w:rFonts w:ascii="Times New Roman" w:eastAsiaTheme="minorEastAsia" w:hAnsi="Times New Roman"/>
              <w:b w:val="0"/>
              <w:bCs w:val="0"/>
            </w:rPr>
          </w:pPr>
          <w:hyperlink w:anchor="_Toc44756119" w:history="1">
            <w:r w:rsidR="002C73C0">
              <w:rPr>
                <w:rStyle w:val="af5"/>
                <w:rFonts w:ascii="Times New Roman" w:hAnsi="Times New Roman"/>
                <w:b w:val="0"/>
              </w:rPr>
              <w:t>8. Outcomes</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_Toc44756119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11</w:t>
            </w:r>
            <w:r w:rsidR="002C73C0">
              <w:rPr>
                <w:rFonts w:ascii="Times New Roman" w:hAnsi="Times New Roman"/>
                <w:b w:val="0"/>
              </w:rPr>
              <w:fldChar w:fldCharType="end"/>
            </w:r>
          </w:hyperlink>
        </w:p>
        <w:p w14:paraId="6DE71A5F" w14:textId="77777777" w:rsidR="00555164" w:rsidRDefault="003D1D26">
          <w:pPr>
            <w:pStyle w:val="TOC1"/>
            <w:tabs>
              <w:tab w:val="right" w:leader="dot" w:pos="9010"/>
            </w:tabs>
            <w:rPr>
              <w:rFonts w:ascii="Times New Roman" w:eastAsiaTheme="minorEastAsia" w:hAnsi="Times New Roman"/>
              <w:b w:val="0"/>
              <w:bCs w:val="0"/>
            </w:rPr>
          </w:pPr>
          <w:hyperlink w:anchor="_Toc44756120" w:history="1">
            <w:r w:rsidR="002C73C0">
              <w:rPr>
                <w:rStyle w:val="af5"/>
                <w:rFonts w:ascii="Times New Roman" w:hAnsi="Times New Roman"/>
                <w:b w:val="0"/>
              </w:rPr>
              <w:t>9. Adverse events</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_Toc44756120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12</w:t>
            </w:r>
            <w:r w:rsidR="002C73C0">
              <w:rPr>
                <w:rFonts w:ascii="Times New Roman" w:hAnsi="Times New Roman"/>
                <w:b w:val="0"/>
              </w:rPr>
              <w:fldChar w:fldCharType="end"/>
            </w:r>
          </w:hyperlink>
        </w:p>
        <w:p w14:paraId="55EBB0E3" w14:textId="77777777" w:rsidR="00555164" w:rsidRDefault="003D1D26">
          <w:pPr>
            <w:pStyle w:val="TOC1"/>
            <w:tabs>
              <w:tab w:val="right" w:leader="dot" w:pos="9010"/>
            </w:tabs>
            <w:rPr>
              <w:rFonts w:ascii="Times New Roman" w:eastAsiaTheme="minorEastAsia" w:hAnsi="Times New Roman"/>
              <w:b w:val="0"/>
              <w:bCs w:val="0"/>
            </w:rPr>
          </w:pPr>
          <w:hyperlink w:anchor="_Toc44756121" w:history="1">
            <w:r w:rsidR="002C73C0">
              <w:rPr>
                <w:rStyle w:val="af5"/>
                <w:rFonts w:ascii="Times New Roman" w:hAnsi="Times New Roman"/>
                <w:b w:val="0"/>
              </w:rPr>
              <w:t>10. Severe adverse events</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_Toc44756121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13</w:t>
            </w:r>
            <w:r w:rsidR="002C73C0">
              <w:rPr>
                <w:rFonts w:ascii="Times New Roman" w:hAnsi="Times New Roman"/>
                <w:b w:val="0"/>
              </w:rPr>
              <w:fldChar w:fldCharType="end"/>
            </w:r>
          </w:hyperlink>
        </w:p>
        <w:p w14:paraId="4DEDD067" w14:textId="77777777" w:rsidR="00555164" w:rsidRDefault="003D1D26">
          <w:pPr>
            <w:pStyle w:val="TOC1"/>
            <w:tabs>
              <w:tab w:val="right" w:leader="dot" w:pos="9010"/>
            </w:tabs>
            <w:rPr>
              <w:rFonts w:ascii="Times New Roman" w:eastAsiaTheme="minorEastAsia" w:hAnsi="Times New Roman"/>
              <w:b w:val="0"/>
              <w:bCs w:val="0"/>
            </w:rPr>
          </w:pPr>
          <w:hyperlink w:anchor="_Toc44756122" w:history="1">
            <w:r w:rsidR="002C73C0">
              <w:rPr>
                <w:rStyle w:val="af5"/>
                <w:rFonts w:ascii="Times New Roman" w:hAnsi="Times New Roman"/>
                <w:b w:val="0"/>
              </w:rPr>
              <w:t>11. The rule of unmasking</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_Toc44756122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13</w:t>
            </w:r>
            <w:r w:rsidR="002C73C0">
              <w:rPr>
                <w:rFonts w:ascii="Times New Roman" w:hAnsi="Times New Roman"/>
                <w:b w:val="0"/>
              </w:rPr>
              <w:fldChar w:fldCharType="end"/>
            </w:r>
          </w:hyperlink>
        </w:p>
        <w:p w14:paraId="3760D463" w14:textId="77777777" w:rsidR="00555164" w:rsidRDefault="003D1D26">
          <w:pPr>
            <w:pStyle w:val="TOC1"/>
            <w:tabs>
              <w:tab w:val="right" w:leader="dot" w:pos="9010"/>
            </w:tabs>
            <w:rPr>
              <w:rFonts w:ascii="Times New Roman" w:eastAsiaTheme="minorEastAsia" w:hAnsi="Times New Roman"/>
              <w:b w:val="0"/>
              <w:bCs w:val="0"/>
            </w:rPr>
          </w:pPr>
          <w:hyperlink w:anchor="_Toc44756123" w:history="1">
            <w:r w:rsidR="002C73C0">
              <w:rPr>
                <w:rStyle w:val="af5"/>
                <w:rFonts w:ascii="Times New Roman" w:hAnsi="Times New Roman"/>
                <w:b w:val="0"/>
              </w:rPr>
              <w:t>12. Data management</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_Toc44756123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13</w:t>
            </w:r>
            <w:r w:rsidR="002C73C0">
              <w:rPr>
                <w:rFonts w:ascii="Times New Roman" w:hAnsi="Times New Roman"/>
                <w:b w:val="0"/>
              </w:rPr>
              <w:fldChar w:fldCharType="end"/>
            </w:r>
          </w:hyperlink>
        </w:p>
        <w:p w14:paraId="18C0B30F" w14:textId="77777777" w:rsidR="00555164" w:rsidRDefault="003D1D26">
          <w:pPr>
            <w:pStyle w:val="TOC1"/>
            <w:tabs>
              <w:tab w:val="right" w:leader="dot" w:pos="9010"/>
            </w:tabs>
            <w:rPr>
              <w:rFonts w:ascii="Times New Roman" w:eastAsiaTheme="minorEastAsia" w:hAnsi="Times New Roman"/>
              <w:b w:val="0"/>
              <w:bCs w:val="0"/>
            </w:rPr>
          </w:pPr>
          <w:hyperlink w:anchor="_Toc44756124" w:history="1">
            <w:r w:rsidR="002C73C0">
              <w:rPr>
                <w:rStyle w:val="af5"/>
                <w:rFonts w:ascii="Times New Roman" w:hAnsi="Times New Roman"/>
                <w:b w:val="0"/>
              </w:rPr>
              <w:t>13 Statistical analysis</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_Toc44756124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14</w:t>
            </w:r>
            <w:r w:rsidR="002C73C0">
              <w:rPr>
                <w:rFonts w:ascii="Times New Roman" w:hAnsi="Times New Roman"/>
                <w:b w:val="0"/>
              </w:rPr>
              <w:fldChar w:fldCharType="end"/>
            </w:r>
          </w:hyperlink>
        </w:p>
        <w:p w14:paraId="33A1F8CD" w14:textId="77777777" w:rsidR="00555164" w:rsidRDefault="003D1D26">
          <w:pPr>
            <w:pStyle w:val="TOC1"/>
            <w:tabs>
              <w:tab w:val="right" w:leader="dot" w:pos="9010"/>
            </w:tabs>
            <w:rPr>
              <w:rFonts w:ascii="Times New Roman" w:eastAsiaTheme="minorEastAsia" w:hAnsi="Times New Roman"/>
              <w:b w:val="0"/>
              <w:bCs w:val="0"/>
            </w:rPr>
          </w:pPr>
          <w:hyperlink w:anchor="_Toc44756125" w:history="1">
            <w:r w:rsidR="002C73C0">
              <w:rPr>
                <w:rStyle w:val="af5"/>
                <w:rFonts w:ascii="Times New Roman" w:hAnsi="Times New Roman"/>
                <w:b w:val="0"/>
              </w:rPr>
              <w:t>14. Quality control and quality assurance</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_Toc44756125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15</w:t>
            </w:r>
            <w:r w:rsidR="002C73C0">
              <w:rPr>
                <w:rFonts w:ascii="Times New Roman" w:hAnsi="Times New Roman"/>
                <w:b w:val="0"/>
              </w:rPr>
              <w:fldChar w:fldCharType="end"/>
            </w:r>
          </w:hyperlink>
        </w:p>
        <w:p w14:paraId="67D2ACB5" w14:textId="77777777" w:rsidR="00555164" w:rsidRDefault="003D1D26">
          <w:pPr>
            <w:pStyle w:val="TOC1"/>
            <w:tabs>
              <w:tab w:val="right" w:leader="dot" w:pos="9010"/>
            </w:tabs>
            <w:rPr>
              <w:rFonts w:ascii="Times New Roman" w:eastAsiaTheme="minorEastAsia" w:hAnsi="Times New Roman"/>
              <w:b w:val="0"/>
              <w:bCs w:val="0"/>
            </w:rPr>
          </w:pPr>
          <w:hyperlink w:anchor="_Toc44756126" w:history="1">
            <w:r w:rsidR="002C73C0">
              <w:rPr>
                <w:rStyle w:val="af5"/>
                <w:rFonts w:ascii="Times New Roman" w:hAnsi="Times New Roman"/>
                <w:b w:val="0"/>
              </w:rPr>
              <w:t>15. Ethics requirements</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_Toc44756126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16</w:t>
            </w:r>
            <w:r w:rsidR="002C73C0">
              <w:rPr>
                <w:rFonts w:ascii="Times New Roman" w:hAnsi="Times New Roman"/>
                <w:b w:val="0"/>
              </w:rPr>
              <w:fldChar w:fldCharType="end"/>
            </w:r>
          </w:hyperlink>
        </w:p>
        <w:p w14:paraId="18388C99" w14:textId="77777777" w:rsidR="00555164" w:rsidRDefault="003D1D26">
          <w:pPr>
            <w:pStyle w:val="TOC1"/>
            <w:tabs>
              <w:tab w:val="right" w:leader="dot" w:pos="9010"/>
            </w:tabs>
            <w:rPr>
              <w:rFonts w:ascii="Times New Roman" w:eastAsiaTheme="minorEastAsia" w:hAnsi="Times New Roman"/>
              <w:b w:val="0"/>
              <w:bCs w:val="0"/>
            </w:rPr>
          </w:pPr>
          <w:hyperlink w:anchor="_Toc44756127" w:history="1">
            <w:r w:rsidR="002C73C0">
              <w:rPr>
                <w:rStyle w:val="af5"/>
                <w:rFonts w:ascii="Times New Roman" w:hAnsi="Times New Roman"/>
                <w:b w:val="0"/>
                <w:iCs/>
              </w:rPr>
              <w:t>16. Study termination</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_Toc44756127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17</w:t>
            </w:r>
            <w:r w:rsidR="002C73C0">
              <w:rPr>
                <w:rFonts w:ascii="Times New Roman" w:hAnsi="Times New Roman"/>
                <w:b w:val="0"/>
              </w:rPr>
              <w:fldChar w:fldCharType="end"/>
            </w:r>
          </w:hyperlink>
        </w:p>
        <w:p w14:paraId="4C769230" w14:textId="77777777" w:rsidR="00555164" w:rsidRDefault="003D1D26">
          <w:pPr>
            <w:pStyle w:val="TOC1"/>
            <w:tabs>
              <w:tab w:val="right" w:leader="dot" w:pos="9010"/>
            </w:tabs>
            <w:rPr>
              <w:rFonts w:ascii="Times New Roman" w:eastAsiaTheme="minorEastAsia" w:hAnsi="Times New Roman"/>
              <w:b w:val="0"/>
              <w:bCs w:val="0"/>
            </w:rPr>
          </w:pPr>
          <w:hyperlink w:anchor="_Toc44756128" w:history="1">
            <w:r w:rsidR="002C73C0">
              <w:rPr>
                <w:rStyle w:val="af5"/>
                <w:rFonts w:ascii="Times New Roman" w:hAnsi="Times New Roman"/>
                <w:b w:val="0"/>
              </w:rPr>
              <w:t>17. Preservation of documents</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_Toc44756128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17</w:t>
            </w:r>
            <w:r w:rsidR="002C73C0">
              <w:rPr>
                <w:rFonts w:ascii="Times New Roman" w:hAnsi="Times New Roman"/>
                <w:b w:val="0"/>
              </w:rPr>
              <w:fldChar w:fldCharType="end"/>
            </w:r>
          </w:hyperlink>
        </w:p>
        <w:p w14:paraId="7BD315A6" w14:textId="77777777" w:rsidR="00555164" w:rsidRDefault="003D1D26">
          <w:pPr>
            <w:pStyle w:val="TOC1"/>
            <w:tabs>
              <w:tab w:val="right" w:leader="dot" w:pos="9010"/>
            </w:tabs>
            <w:rPr>
              <w:rFonts w:ascii="Times New Roman" w:eastAsiaTheme="minorEastAsia" w:hAnsi="Times New Roman"/>
              <w:b w:val="0"/>
              <w:bCs w:val="0"/>
            </w:rPr>
          </w:pPr>
          <w:hyperlink w:anchor="_Toc44756129" w:history="1">
            <w:r w:rsidR="002C73C0">
              <w:rPr>
                <w:rStyle w:val="af5"/>
                <w:rFonts w:ascii="Times New Roman" w:hAnsi="Times New Roman"/>
                <w:b w:val="0"/>
              </w:rPr>
              <w:t>18. Declaration of interests</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_Toc44756129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17</w:t>
            </w:r>
            <w:r w:rsidR="002C73C0">
              <w:rPr>
                <w:rFonts w:ascii="Times New Roman" w:hAnsi="Times New Roman"/>
                <w:b w:val="0"/>
              </w:rPr>
              <w:fldChar w:fldCharType="end"/>
            </w:r>
          </w:hyperlink>
        </w:p>
        <w:p w14:paraId="6BF275D1" w14:textId="77777777" w:rsidR="00555164" w:rsidRDefault="003D1D26">
          <w:pPr>
            <w:pStyle w:val="TOC1"/>
            <w:tabs>
              <w:tab w:val="right" w:leader="dot" w:pos="9010"/>
            </w:tabs>
            <w:rPr>
              <w:rFonts w:ascii="Times New Roman" w:eastAsiaTheme="minorEastAsia" w:hAnsi="Times New Roman"/>
              <w:b w:val="0"/>
              <w:bCs w:val="0"/>
            </w:rPr>
          </w:pPr>
          <w:hyperlink w:anchor="_Toc44756130" w:history="1">
            <w:r w:rsidR="002C73C0">
              <w:rPr>
                <w:rStyle w:val="af5"/>
                <w:rFonts w:ascii="Times New Roman" w:hAnsi="Times New Roman"/>
                <w:b w:val="0"/>
              </w:rPr>
              <w:t>19. References</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_Toc44756130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17</w:t>
            </w:r>
            <w:r w:rsidR="002C73C0">
              <w:rPr>
                <w:rFonts w:ascii="Times New Roman" w:hAnsi="Times New Roman"/>
                <w:b w:val="0"/>
              </w:rPr>
              <w:fldChar w:fldCharType="end"/>
            </w:r>
          </w:hyperlink>
        </w:p>
        <w:p w14:paraId="4F9EBE26" w14:textId="77777777" w:rsidR="00555164" w:rsidRDefault="002C73C0">
          <w:pPr>
            <w:rPr>
              <w:sz w:val="20"/>
              <w:szCs w:val="20"/>
            </w:rPr>
          </w:pPr>
          <w:r>
            <w:rPr>
              <w:bCs/>
              <w:sz w:val="20"/>
              <w:szCs w:val="20"/>
            </w:rPr>
            <w:fldChar w:fldCharType="end"/>
          </w:r>
        </w:p>
      </w:sdtContent>
    </w:sdt>
    <w:p w14:paraId="17F18EF3" w14:textId="77777777" w:rsidR="00555164" w:rsidRDefault="002C73C0">
      <w:pPr>
        <w:rPr>
          <w:b/>
          <w:bCs/>
          <w:sz w:val="20"/>
          <w:szCs w:val="20"/>
        </w:rPr>
      </w:pPr>
      <w:r>
        <w:rPr>
          <w:b/>
          <w:bCs/>
          <w:sz w:val="20"/>
          <w:szCs w:val="20"/>
        </w:rPr>
        <w:t xml:space="preserve"> </w:t>
      </w:r>
      <w:r>
        <w:rPr>
          <w:b/>
          <w:bCs/>
          <w:sz w:val="20"/>
          <w:szCs w:val="20"/>
        </w:rPr>
        <w:br w:type="page"/>
      </w:r>
    </w:p>
    <w:p w14:paraId="2905BD45" w14:textId="77777777" w:rsidR="00555164" w:rsidRDefault="002C73C0">
      <w:pPr>
        <w:pStyle w:val="ad"/>
        <w:spacing w:beforeLines="50" w:before="120" w:beforeAutospacing="0" w:afterLines="50" w:after="120" w:afterAutospacing="0"/>
        <w:outlineLvl w:val="0"/>
        <w:rPr>
          <w:b/>
          <w:bCs/>
          <w:sz w:val="20"/>
          <w:szCs w:val="20"/>
        </w:rPr>
      </w:pPr>
      <w:bookmarkStart w:id="1" w:name="_Toc44796158"/>
      <w:bookmarkStart w:id="2" w:name="_Toc44756112"/>
      <w:bookmarkStart w:id="3" w:name="_Toc44755997"/>
      <w:bookmarkStart w:id="4" w:name="_Toc44754950"/>
      <w:r>
        <w:rPr>
          <w:b/>
          <w:bCs/>
          <w:sz w:val="20"/>
          <w:szCs w:val="20"/>
        </w:rPr>
        <w:lastRenderedPageBreak/>
        <w:t>1. Background</w:t>
      </w:r>
      <w:bookmarkEnd w:id="1"/>
      <w:bookmarkEnd w:id="2"/>
      <w:bookmarkEnd w:id="3"/>
      <w:bookmarkEnd w:id="4"/>
      <w:r>
        <w:rPr>
          <w:b/>
          <w:bCs/>
          <w:sz w:val="20"/>
          <w:szCs w:val="20"/>
        </w:rPr>
        <w:t xml:space="preserve"> </w:t>
      </w:r>
    </w:p>
    <w:p w14:paraId="5C3AD45C" w14:textId="77777777" w:rsidR="00555164" w:rsidRDefault="00555164">
      <w:pPr>
        <w:spacing w:before="50" w:after="50"/>
        <w:rPr>
          <w:sz w:val="20"/>
          <w:szCs w:val="20"/>
        </w:rPr>
      </w:pPr>
    </w:p>
    <w:p w14:paraId="57F1B486" w14:textId="77777777" w:rsidR="00555164" w:rsidRDefault="002C73C0">
      <w:pPr>
        <w:spacing w:before="50" w:after="50"/>
        <w:rPr>
          <w:sz w:val="20"/>
          <w:szCs w:val="20"/>
          <w:vertAlign w:val="superscript"/>
        </w:rPr>
      </w:pPr>
      <w:r>
        <w:rPr>
          <w:sz w:val="20"/>
          <w:szCs w:val="20"/>
        </w:rPr>
        <w:t>Delirium is an acutely occurred and transient brain dysfunction caused by multiple factors. According to the 4th edition of Diagnostic and Statistical Manual of Mental Disorders (DSM-IV), delirium is defined as an acute transient mental syndrome characterized by (1) disturbance of consciousness with reduced ability to focus, sustain and shift attention, (2) change in cognition (such as memory deficit, disorientation, or language disturbance) or development of a perceptual disturbance that is not better accounted for by a pre-existing, established or evolving dementia, and (3) disturbance developing over a short period of time (usually hours to days) and tending to fluctuate during the course of the day</w:t>
      </w:r>
      <w:r>
        <w:rPr>
          <w:rFonts w:eastAsia="宋体"/>
          <w:sz w:val="20"/>
          <w:szCs w:val="20"/>
        </w:rPr>
        <w:t>.</w:t>
      </w:r>
      <w:r>
        <w:rPr>
          <w:sz w:val="20"/>
          <w:szCs w:val="20"/>
          <w:vertAlign w:val="superscript"/>
        </w:rPr>
        <w:fldChar w:fldCharType="begin" w:fldLock="1"/>
      </w:r>
      <w:r>
        <w:rPr>
          <w:sz w:val="20"/>
          <w:szCs w:val="20"/>
          <w:vertAlign w:val="superscript"/>
        </w:rPr>
        <w:instrText>ADDIN CSL_CITATION {"citationItems":[{"id":"ITEM-1","itemData":{"DOI":"10.1176/ajp.152.8.1228","ISSN":"0002-953X","abstract":"Since the DSM-IV® was published in 1994, we've seen many advances in our knowledge of psychiatric illness. This Text Revision incorporates information culled from a comprehensive literature review of research about mental disorders published since DSM-IV® was completed in 1994. Updated information is included about the associated features, culture, age, and gender features, prevalence, course, and familial pattern of mental disorders. The DSM-IV-TR® brings this essential diagnostic tool up-to-date, to promote effective diagnosis, treatment, and quality of care. Now you can get all the essential diagnostic information you rely on from the DSM-IV® along with important updates not found in the 1994 edition.Stay current with important updates to the DSM-IV-TR®: • Benefit from new research into Schizophrenia, Asperger's Disorder, and other conditions• Utilize additional information about the epidemiology and other facets of DSM conditions• Update ICD-9-CM codes implemented since 1994 (including Conduct Disorder, Dementia, Somatoform Disorders) DSM-IV-TR®, the handheld version of the Diagnostic and Statistical Manual of Mental Disorders, Fourth Edition, Text Revision, is now available for both Palm OS and PocketPC handhelds. This Text Revision incorporates information culled from a comprehensive literature review of research about mental disorders and includes associated features, culture, age, and gender features, prevalence, course, and familial pattern of mental disorders. And with Skyscape's patented smARTlinkTM technology, DSM-IV-TR can easily cross-index with other clinical and drug prescription products from Skyscape to provide a powerful and integrated source of clinical information that you can carry with you wherever you go!","author":[{"dropping-particle":"","family":"GUZE","given":"SAMUEL B.","non-dropping-particle":"","parse-names":false,"suffix":""}],"container-title":"American Journal of Psychiatry","id":"ITEM-1","issue":"8","issued":{"date-parts":[["1995"]]},"number-of-pages":"1228-1228","publisher":"American Psychiatric Association","publisher-place":"Washington, DC","title":"Diagnostic and Statistical Manual of Mental Disorders, 4th ed. (DSM-IV)","type":"book","volume":"152"},"uris":["http://www.mendeley.com/documents/?uuid=d51195b2-163b-4dbc-b835-e0a9b14835bc"]}],"mendeley":{"formattedCitation":"&lt;sup&gt;1&lt;/sup&gt;","plainTextFormattedCitation":"1","previouslyFormattedCitation":"&lt;sup&gt;1&lt;/sup&gt;"},"properties":{"noteIndex":0},"schema":"https://github.com/citation-style-language/schema/raw/master/csl-citation.json"}</w:instrText>
      </w:r>
      <w:r>
        <w:rPr>
          <w:sz w:val="20"/>
          <w:szCs w:val="20"/>
          <w:vertAlign w:val="superscript"/>
        </w:rPr>
        <w:fldChar w:fldCharType="separate"/>
      </w:r>
      <w:r>
        <w:rPr>
          <w:sz w:val="20"/>
          <w:szCs w:val="20"/>
          <w:vertAlign w:val="superscript"/>
        </w:rPr>
        <w:t>1</w:t>
      </w:r>
      <w:r>
        <w:rPr>
          <w:sz w:val="20"/>
          <w:szCs w:val="20"/>
          <w:vertAlign w:val="superscript"/>
        </w:rPr>
        <w:fldChar w:fldCharType="end"/>
      </w:r>
    </w:p>
    <w:p w14:paraId="6EA7501E" w14:textId="77777777" w:rsidR="00555164" w:rsidRDefault="00555164">
      <w:pPr>
        <w:spacing w:before="50" w:after="50"/>
        <w:rPr>
          <w:sz w:val="20"/>
          <w:szCs w:val="20"/>
          <w:vertAlign w:val="superscript"/>
        </w:rPr>
      </w:pPr>
    </w:p>
    <w:p w14:paraId="23B98E21" w14:textId="77777777" w:rsidR="00555164" w:rsidRDefault="002C73C0">
      <w:pPr>
        <w:spacing w:before="50" w:after="50"/>
        <w:rPr>
          <w:sz w:val="20"/>
          <w:szCs w:val="20"/>
        </w:rPr>
      </w:pPr>
      <w:r>
        <w:rPr>
          <w:sz w:val="20"/>
          <w:szCs w:val="20"/>
        </w:rPr>
        <w:t xml:space="preserve">    Delirium is a common postoperative complication, especially in the elderly patients after major surgery. A meta-analysis showed an overall incidence of postoperative delirium of 36.8% (from 0% to 73.5%)</w:t>
      </w:r>
      <w:r>
        <w:rPr>
          <w:rFonts w:eastAsia="宋体"/>
          <w:sz w:val="20"/>
          <w:szCs w:val="20"/>
        </w:rPr>
        <w:t>.</w:t>
      </w:r>
      <w:r>
        <w:rPr>
          <w:sz w:val="20"/>
          <w:szCs w:val="20"/>
          <w:vertAlign w:val="superscript"/>
        </w:rPr>
        <w:fldChar w:fldCharType="begin" w:fldLock="1"/>
      </w:r>
      <w:r>
        <w:rPr>
          <w:sz w:val="20"/>
          <w:szCs w:val="20"/>
          <w:vertAlign w:val="superscript"/>
        </w:rPr>
        <w:instrText>ADDIN CSL_CITATION {"citationItems":[{"id":"ITEM-1","itemData":{"DOI":"10.1001/archinte.155.5.461","ISSN":"0003-9926","PMID":"7864702","abstract":"We conducted an on-line search and manual searches for 1966 through 1992 to determine the incidence, diagnosis, risk factors, and treatment of postoperative delirium. Of the 374 citations found, 277 articles were excluded after criteria of relevance were applied. After methodologic criteria for validity were applied to the remaining 80 articles, 26 studies were retained for the final information synthesis. The incidence of postoperative delirium was 36.8% (range, 0% to 73.5%). Primary reasons for this disparity were insufficient sample size and inconsistent application of numerous diagnostic tools. One study provided statistically significant data that demonstrated that postoperative delirium is underdiagnosed by physicians and nurses. Four of the articles that met the established criteria provided risk factor data. Although age, preoperative cognitive impairment, and the use of anticholinergic drugs were significantly associated with postoperative delirium, gender, type and route of anesthesia, and sleep deprivation were not. Two studies demonstrated a decreased incidence of postoperative delirium when patients underwent preoperative psychiatric counseling or participated in a structured perioperative program. These findings indicate a need for (1) accurate incidence data with further definition of risk factors and (2) studies that address the diagnosis and treatment of this common postoperative problem.","author":[{"dropping-particle":"","family":"Dyer","given":"C. B.","non-dropping-particle":"","parse-names":false,"suffix":""},{"dropping-particle":"","family":"Ashton","given":"C M","non-dropping-particle":"","parse-names":false,"suffix":""},{"dropping-particle":"","family":"Teasdale","given":"T A","non-dropping-particle":"","parse-names":false,"suffix":""}],"container-title":"Archives of internal medicine","id":"ITEM-1","issue":"5","issued":{"date-parts":[["1995","3","13"]]},"page":"461-5","title":"Postoperative delirium. A review of 80 primary data-collection studies.","type":"article-journal","volume":"155"},"uris":["http://www.mendeley.com/documents/?uuid=1a5633ac-a977-422f-8be3-df3fdb5dcfdf"]}],"mendeley":{"formattedCitation":"&lt;sup&gt;2&lt;/sup&gt;","plainTextFormattedCitation":"2","previouslyFormattedCitation":"&lt;sup&gt;2&lt;/sup&gt;"},"properties":{"noteIndex":0},"schema":"https://github.com/citation-style-language/schema/raw/master/csl-citation.json"}</w:instrText>
      </w:r>
      <w:r>
        <w:rPr>
          <w:sz w:val="20"/>
          <w:szCs w:val="20"/>
          <w:vertAlign w:val="superscript"/>
        </w:rPr>
        <w:fldChar w:fldCharType="separate"/>
      </w:r>
      <w:r>
        <w:rPr>
          <w:sz w:val="20"/>
          <w:szCs w:val="20"/>
          <w:vertAlign w:val="superscript"/>
        </w:rPr>
        <w:t>2</w:t>
      </w:r>
      <w:r>
        <w:rPr>
          <w:sz w:val="20"/>
          <w:szCs w:val="20"/>
          <w:vertAlign w:val="superscript"/>
        </w:rPr>
        <w:fldChar w:fldCharType="end"/>
      </w:r>
      <w:r>
        <w:rPr>
          <w:sz w:val="20"/>
          <w:szCs w:val="20"/>
        </w:rPr>
        <w:t xml:space="preserve"> The incidence can be up to 80% in the critically ill patients in the intensive care unit (ICU)</w:t>
      </w:r>
      <w:r>
        <w:rPr>
          <w:rFonts w:eastAsia="宋体"/>
          <w:sz w:val="20"/>
          <w:szCs w:val="20"/>
        </w:rPr>
        <w:t>.</w:t>
      </w:r>
      <w:r>
        <w:rPr>
          <w:sz w:val="20"/>
          <w:szCs w:val="20"/>
          <w:vertAlign w:val="superscript"/>
        </w:rPr>
        <w:fldChar w:fldCharType="begin" w:fldLock="1"/>
      </w:r>
      <w:r>
        <w:rPr>
          <w:sz w:val="20"/>
          <w:szCs w:val="20"/>
          <w:vertAlign w:val="superscript"/>
        </w:rPr>
        <w:instrText>ADDIN CSL_CITATION {"citationItems":[{"id":"ITEM-1","itemData":{"DOI":"10.1186/cc6149","ISSN":"1364-8535","author":[{"dropping-particle":"","family":"Girard","given":"Timothy D","non-dropping-particle":"","parse-names":false,"suffix":""},{"dropping-particle":"","family":"Pandharipande","given":"Pratik P","non-dropping-particle":"","parse-names":false,"suffix":""},{"dropping-particle":"","family":"Ely","given":"E Wesley","non-dropping-particle":"","parse-names":false,"suffix":""}],"container-title":"Critical Care","id":"ITEM-1","issue":"Suppl 3","issued":{"date-parts":[["2008"]]},"page":"S3","title":"Delirium in the intensive care unit","type":"article-journal","volume":"12"},"uris":["http://www.mendeley.com/documents/?uuid=5e4bb07e-af54-4c97-bb39-80bd005e1ac4"]}],"mendeley":{"formattedCitation":"&lt;sup&gt;3&lt;/sup&gt;","plainTextFormattedCitation":"3","previouslyFormattedCitation":"&lt;sup&gt;3&lt;/sup&gt;"},"properties":{"noteIndex":0},"schema":"https://github.com/citation-style-language/schema/raw/master/csl-citation.json"}</w:instrText>
      </w:r>
      <w:r>
        <w:rPr>
          <w:sz w:val="20"/>
          <w:szCs w:val="20"/>
          <w:vertAlign w:val="superscript"/>
        </w:rPr>
        <w:fldChar w:fldCharType="separate"/>
      </w:r>
      <w:r>
        <w:rPr>
          <w:sz w:val="20"/>
          <w:szCs w:val="20"/>
          <w:vertAlign w:val="superscript"/>
        </w:rPr>
        <w:t>3</w:t>
      </w:r>
      <w:r>
        <w:rPr>
          <w:sz w:val="20"/>
          <w:szCs w:val="20"/>
          <w:vertAlign w:val="superscript"/>
        </w:rPr>
        <w:fldChar w:fldCharType="end"/>
      </w:r>
      <w:r>
        <w:rPr>
          <w:sz w:val="20"/>
          <w:szCs w:val="20"/>
        </w:rPr>
        <w:t xml:space="preserve"> In our previous studies, delirium occurred in 51% of patients after cardiac surgery and in 44.5% of patients after non-cardiac surgery</w:t>
      </w:r>
      <w:r>
        <w:rPr>
          <w:rFonts w:eastAsia="宋体"/>
          <w:sz w:val="20"/>
          <w:szCs w:val="20"/>
        </w:rPr>
        <w:t>.</w:t>
      </w:r>
      <w:r>
        <w:rPr>
          <w:sz w:val="20"/>
          <w:szCs w:val="20"/>
          <w:vertAlign w:val="superscript"/>
        </w:rPr>
        <w:fldChar w:fldCharType="begin" w:fldLock="1"/>
      </w:r>
      <w:r>
        <w:rPr>
          <w:sz w:val="20"/>
          <w:szCs w:val="20"/>
          <w:vertAlign w:val="superscript"/>
        </w:rPr>
        <w:instrText>ADDIN CSL_CITATION {"citationItems":[{"id":"ITEM-1","itemData":{"DOI":"10.1186/cc9393","ISSN":"13648535","PMID":"21192800","abstract":"Introduction: The pathophysiology of postoperative delirium remains poorly understood. The purpose of this study was to examine the relationship between serum cortisol level and occurrence of early postoperative delirium in patients undergoing coronary artery bypass graft (CABG) surgery.Methods: A total of 243 patients undergoing elective CABG surgery were enrolled. Patients were examined twice daily during the first five postoperative days and postoperative delirium was diagnosed by using the Confusion Assessment Method for the Intensive Care Unit (CAM-ICU). Blood samples were obtained between 7 a.m. and 8 a.m. on the first postoperative day and serum cortisol concentrations were then measured. Multivariate logistic regression analyses were performed to identify risk factors of postoperative delirium.Results: Postoperative delirium occurred in 50.6% (123 of 243) of patients. High serum cortisol level was significantly associated with increased risk of postoperative delirium (OR 3.091, 95% CI 1.763-5.418, P &lt; 0.001). Other independent risk factors of postoperative delirium included increasing age (OR 1.111, 95% CI 1.065-1.159, P &lt; 0.001), history of diabetes mellitus (OR 1.905, 95% CI 1.001-3.622, P = 0.049), prolonged duration of surgery (OR 1.360, 95% CI 1.010-1.831, P = 0.043), and occurrence of complications within the first day after surgery (OR 2.485, 95% CI 1.184-5.214, P = 0.016). Patients who developed postoperative delirium had a higher incidence of postoperative complications and a prolonged duration of postoperative ICU and hospital stay.Conclusions: Delirium was a common complication after CABG surgery. High serum cortisol level was associated with increased risk of postoperative delirium. Patients who developed delirium had outcomes worse than those who did not. © 2010 Mu et al.; licensee BioMed Central Ltd.","author":[{"dropping-particle":"","family":"Mu","given":"Dong Liang","non-dropping-particle":"","parse-names":false,"suffix":""},{"dropping-particle":"","family":"Wang","given":"Dong Xin","non-dropping-particle":"","parse-names":false,"suffix":""},{"dropping-particle":"","family":"Li","given":"Li Huan","non-dropping-particle":"","parse-names":false,"suffix":""},{"dropping-particle":"","family":"Shan","given":"Guo Jin","non-dropping-particle":"","parse-names":false,"suffix":""},{"dropping-particle":"","family":"Li","given":"Jun","non-dropping-particle":"","parse-names":false,"suffix":""},{"dropping-particle":"","family":"Yu","given":"Qin Jun","non-dropping-particle":"","parse-names":false,"suffix":""},{"dropping-particle":"","family":"Shi","given":"Chun Xia","non-dropping-particle":"","parse-names":false,"suffix":""}],"container-title":"Critical Care","id":"ITEM-1","issue":"6","issued":{"date-parts":[["2010"]]},"page":"R238","title":"High serum cortisol level is associated with increased risk of delirium after coronary artery bypass graft surgery: A prospective cohort study","type":"article-journal","volume":"14"},"uris":["http://www.mendeley.com/documents/?uuid=ed945755-312c-4afd-8394-df6b07506677"]}],"mendeley":{"formattedCitation":"&lt;sup&gt;4&lt;/sup&gt;","plainTextFormattedCitation":"4","previouslyFormattedCitation":"&lt;sup&gt;4&lt;/sup&gt;"},"properties":{"noteIndex":0},"schema":"https://github.com/citation-style-language/schema/raw/master/csl-citation.json"}</w:instrText>
      </w:r>
      <w:r>
        <w:rPr>
          <w:sz w:val="20"/>
          <w:szCs w:val="20"/>
          <w:vertAlign w:val="superscript"/>
        </w:rPr>
        <w:fldChar w:fldCharType="separate"/>
      </w:r>
      <w:r>
        <w:rPr>
          <w:sz w:val="20"/>
          <w:szCs w:val="20"/>
          <w:vertAlign w:val="superscript"/>
        </w:rPr>
        <w:t>4</w:t>
      </w:r>
      <w:r>
        <w:rPr>
          <w:sz w:val="20"/>
          <w:szCs w:val="20"/>
          <w:vertAlign w:val="superscript"/>
        </w:rPr>
        <w:fldChar w:fldCharType="end"/>
      </w:r>
      <w:r>
        <w:rPr>
          <w:sz w:val="20"/>
          <w:szCs w:val="20"/>
          <w:vertAlign w:val="superscript"/>
        </w:rPr>
        <w:t>,</w:t>
      </w:r>
      <w:r>
        <w:rPr>
          <w:sz w:val="20"/>
          <w:szCs w:val="20"/>
          <w:vertAlign w:val="superscript"/>
        </w:rPr>
        <w:fldChar w:fldCharType="begin" w:fldLock="1"/>
      </w:r>
      <w:r>
        <w:rPr>
          <w:sz w:val="20"/>
          <w:szCs w:val="20"/>
          <w:vertAlign w:val="superscript"/>
        </w:rPr>
        <w:instrText>ADDIN CSL_CITATION {"citationItems":[{"id":"ITEM-1","itemData":{"DOI":"10.3760/cma.j.issn.0366-6999.2010.08.004","ISSN":"03666999","PMID":"20497703","abstract":"Background Delirium is a common and deleterious complication in critically ill patients after surgery. The purpose of this study was to determine the incidence and risk factors of delirium in critically ill patients after non-cardiac surgery, and to investigate the relationship between the serum cortisol level and the occurrence of postoperative delirium. Methods In a prospective cohort study, 164 consecutive patients who were admitted to the surgical intensive care unit after non-cardiac surgery were enrolled. Baseline characteristics and perioperative variables were collected. Blood samples were obtained on the first postoperative day and serum cortisol concentrations were measured. Delirium was assessed using the Nursing Delirium Screening Scale until the seventh postoperative day or the disappearance of delirious symptoms. Results Postoperative delirium occurred in 44.5% of patients (73 of 164). The median time to first onset of delirium is 0 (range 0 to 5 days) and the median duration of delirium is 3 (1 to 13) days. Independent risk factors of postoperative delirium included increasing age (odds ratio (OR) 2.646, 95% confidence interval (CI) 1.431 to 4.890, P=0.002), a history of previous stroke (OR 4.499, 95%CI 1.228 to 16.481, P=0.023), high Acute Physiology and Chronic Health Evaluation II score on surgical intensive care unite admission (OR 1.391, 95%CI 1.201 to 1.612, P &lt;0.001), and high serum cortisol level on the 1st postoperative day (OR 3.381, 95%CI 1.690 to 6.765, P=0.001). The development of delirium was linked to higher incidence of postoperative complications (28.8% vs. 7.7%, P &lt;0.001), and longer duration of hospitalization (18 (7 to 74) days vs. 13 (3 to 48) days, P &lt;0.001). Conclusions Delirium was a frequent complication in critically ill patients after non-cardiac surgery. High serum cortisol level was associated with increased incidence of postoperative delirium.","author":[{"dropping-particle":"","family":"Shi","given":"Cheng Mei","non-dropping-particle":"","parse-names":false,"suffix":""},{"dropping-particle":"","family":"Wang","given":"Dong Xin","non-dropping-particle":"","parse-names":false,"suffix":""},{"dropping-particle":"","family":"Chen","given":"Kai Sheng","non-dropping-particle":"","parse-names":false,"suffix":""},{"dropping-particle":"","family":"Gu","given":"Xiu E.","non-dropping-particle":"","parse-names":false,"suffix":""}],"container-title":"Chinese Medical Journal","id":"ITEM-1","issue":"8","issued":{"date-parts":[["2010","4","20"]]},"page":"993-999","title":"Incidence and risk factors of delirium in critically ill patients after non-cardiac surgery","type":"article-journal","volume":"123"},"uris":["http://www.mendeley.com/documents/?uuid=377f6933-48e7-494f-bba4-92fe253fdd89"]}],"mendeley":{"formattedCitation":"&lt;sup&gt;5&lt;/sup&gt;","plainTextFormattedCitation":"5","previouslyFormattedCitation":"&lt;sup&gt;5&lt;/sup&gt;"},"properties":{"noteIndex":0},"schema":"https://github.com/citation-style-language/schema/raw/master/csl-citation.json"}</w:instrText>
      </w:r>
      <w:r>
        <w:rPr>
          <w:sz w:val="20"/>
          <w:szCs w:val="20"/>
          <w:vertAlign w:val="superscript"/>
        </w:rPr>
        <w:fldChar w:fldCharType="separate"/>
      </w:r>
      <w:r>
        <w:rPr>
          <w:sz w:val="20"/>
          <w:szCs w:val="20"/>
          <w:vertAlign w:val="superscript"/>
        </w:rPr>
        <w:t>5</w:t>
      </w:r>
      <w:r>
        <w:rPr>
          <w:sz w:val="20"/>
          <w:szCs w:val="20"/>
          <w:vertAlign w:val="superscript"/>
        </w:rPr>
        <w:fldChar w:fldCharType="end"/>
      </w:r>
      <w:r>
        <w:rPr>
          <w:sz w:val="20"/>
          <w:szCs w:val="20"/>
        </w:rPr>
        <w:t xml:space="preserve"> The occurrence of delirium is associated with worse outcomes, including prolonged length of ICU stay,</w:t>
      </w:r>
      <w:r>
        <w:rPr>
          <w:sz w:val="20"/>
          <w:szCs w:val="20"/>
          <w:vertAlign w:val="superscript"/>
        </w:rPr>
        <w:fldChar w:fldCharType="begin" w:fldLock="1"/>
      </w:r>
      <w:r>
        <w:rPr>
          <w:sz w:val="20"/>
          <w:szCs w:val="20"/>
          <w:vertAlign w:val="superscript"/>
        </w:rPr>
        <w:instrText>ADDIN CSL_CITATION {"citationItems":[{"id":"ITEM-1","itemData":{"DOI":"10.1016/S1036-7314(05)80019-0","ISSN":"10367314","abstract":"Traditionally, intensive care unit (ICU) delirium was viewed as benign and was under-diagnosed in the absence of ICU-appropriate screening tools. Research suggests that up to half of all ICU patients experiencing delirium will continue to do so after discharge to the ward, and half of those experiencing delirium in the ward will die within 1 year of delirium diagnosis. ICU-specific screening tools are now available. The purpose of this study was to identify the incidence of delirium in ICU and explore its associations to clinical factors and outcomes. A secondary aim was to evaluate the usefulness of the intensive care delirium screening checklist (ICDSC). A total of 185 patients in six ICUs in Australia and New Zealand were screened for delirium using the ICDSC over two 12-hour periods per day for the duration of their ICU admission. Some 84 patients (45%) developed delirium. Development of delirium was associated with increased severity of illness (acute physiology and chronic health evaluation - APACHE II - and sequential organ failure assessment - SOFA), ICU length of stay (LOS), and use of psycho-active drugs. Delirious patients showed no statistically significant difference in ICU and hospital mortality rates, nor prolonged hospital LOS. The ICDSC was found to be user-friendly. The incidence of delirium, observed characteristics and outcomes for patients admitted to Australian and New Zealand ICUs for &gt;36 hours without any history of altered mental state fell in the mid-range and were generally consistent with previous literature. An ICU-specific delirium assessment, such as the ICDSC, should be included in routine ICU observations to minimise under-diagnosis of this serious phenomenon. © 2005 Australian College of Critical Care Nurses Ltd. Published by Elsevier Australia (a division of Reed International Books Australia Pty Ltd.).","author":[{"dropping-particle":"","family":"Roberts","given":"Brigit","non-dropping-particle":"","parse-names":false,"suffix":""},{"dropping-particle":"","family":"Rickard","given":"Claire M.","non-dropping-particle":"","parse-names":false,"suffix":""},{"dropping-particle":"","family":"Rajbhandari","given":"Dorrilyn","non-dropping-particle":"","parse-names":false,"suffix":""},{"dropping-particle":"","family":"Turner","given":"Gillian","non-dropping-particle":"","parse-names":false,"suffix":""},{"dropping-particle":"","family":"Clarke","given":"Jane","non-dropping-particle":"","parse-names":false,"suffix":""},{"dropping-particle":"","family":"Hill","given":"Dianne","non-dropping-particle":"","parse-names":false,"suffix":""},{"dropping-particle":"","family":"Tauschke","given":"Christine","non-dropping-particle":"","parse-names":false,"suffix":""},{"dropping-particle":"","family":"Chaboyer","given":"Wendy","non-dropping-particle":"","parse-names":false,"suffix":""},{"dropping-particle":"","family":"Parsons","given":"Richard","non-dropping-particle":"","parse-names":false,"suffix":""}],"container-title":"Australian Critical Care","id":"ITEM-1","issue":"1","issued":{"date-parts":[["2005","2"]]},"page":"6-16","title":"Multicentre study of delirium in ICU patients using a simple screening tool","type":"article-journal","volume":"18"},"uris":["http://www.mendeley.com/documents/?uuid=19542e79-c665-4747-865c-6113d4f31ad1"]}],"mendeley":{"formattedCitation":"&lt;sup&gt;6&lt;/sup&gt;","plainTextFormattedCitation":"6","previouslyFormattedCitation":"&lt;sup&gt;6&lt;/sup&gt;"},"properties":{"noteIndex":0},"schema":"https://github.com/citation-style-language/schema/raw/master/csl-citation.json"}</w:instrText>
      </w:r>
      <w:r>
        <w:rPr>
          <w:sz w:val="20"/>
          <w:szCs w:val="20"/>
          <w:vertAlign w:val="superscript"/>
        </w:rPr>
        <w:fldChar w:fldCharType="separate"/>
      </w:r>
      <w:r>
        <w:rPr>
          <w:sz w:val="20"/>
          <w:szCs w:val="20"/>
          <w:vertAlign w:val="superscript"/>
        </w:rPr>
        <w:t>6</w:t>
      </w:r>
      <w:r>
        <w:rPr>
          <w:sz w:val="20"/>
          <w:szCs w:val="20"/>
          <w:vertAlign w:val="superscript"/>
        </w:rPr>
        <w:fldChar w:fldCharType="end"/>
      </w:r>
      <w:r>
        <w:rPr>
          <w:sz w:val="20"/>
          <w:szCs w:val="20"/>
        </w:rPr>
        <w:t xml:space="preserve"> higher risk of postoperative complications</w:t>
      </w:r>
      <w:r>
        <w:rPr>
          <w:rFonts w:eastAsia="宋体"/>
          <w:sz w:val="20"/>
          <w:szCs w:val="20"/>
        </w:rPr>
        <w:t>,</w:t>
      </w:r>
      <w:r>
        <w:rPr>
          <w:sz w:val="20"/>
          <w:szCs w:val="20"/>
          <w:vertAlign w:val="superscript"/>
        </w:rPr>
        <w:fldChar w:fldCharType="begin" w:fldLock="1"/>
      </w:r>
      <w:r>
        <w:rPr>
          <w:sz w:val="20"/>
          <w:szCs w:val="20"/>
          <w:vertAlign w:val="superscript"/>
        </w:rPr>
        <w:instrText>ADDIN CSL_CITATION {"citationItems":[{"id":"ITEM-1","itemData":{"DOI":"10.1378/chest.08-1456","ISSN":"19313543","abstract":"Background: We previously noted that older adults admitted to surgical ICUs (SICUs) are at high risk for delirium. In the current study, we describe the association between the presence of delirium and complications in older SICU patients, and describe the association between delirium occurring in the SICU and functional ability and discharge placement for older patients. Methods: Secondary analysis of prospective, observational, cohort study. Subjects were 114 consecutive patients ≥ 65 years old admitted to a surgical critical care service. All subjects underwent daily delirium and sedation/agitation screening during hospitalization. Outcomes prospectively recorded included SICU complication development, discharge location, and functional ability (as measured by the Katz activities of daily living instrument). Results: Nearly one third of older adults (31.6%) admitted to an SICU had a complication during ICU stay. There was a strong association between SICU delirium and complication occurrence (p = 0.001). Complication occurrence preceded delirium diagnosis for 16 of 20 subjects. Subjects with delirium in the SICU were more likely to be discharged to a place other than home (61.3% vs 20.5%, p &lt; 0.0001) and have greater functional decline (67.7% vs 43.6%, p = 0.023) than nondelirious subjects. After adjusting for covariates including severity of illness and mechanical ventilation use, delirium was found to be strongly and independently associated with greater odds of being discharged to a place other than home (odds ratio, 7.20; 95% confidence interval, 1.93 to 26.82). Conclusions: Delirium in older surgical ICU patients is associated with complications and an increased likelihood of discharge to a place other than home. Copyright © 2009 American College of Chest Physicians.","author":[{"dropping-particle":"","family":"Balas","given":"Michele C.","non-dropping-particle":"","parse-names":false,"suffix":""},{"dropping-particle":"","family":"Happ","given":"Mary Beth","non-dropping-particle":"","parse-names":false,"suffix":""},{"dropping-particle":"","family":"Yang","given":"Wei","non-dropping-particle":"","parse-names":false,"suffix":""},{"dropping-particle":"","family":"Chelluri","given":"Lakshmipathi","non-dropping-particle":"","parse-names":false,"suffix":""},{"dropping-particle":"","family":"Richmond","given":"Therese","non-dropping-particle":"","parse-names":false,"suffix":""}],"container-title":"Chest","id":"ITEM-1","issue":"1","issued":{"date-parts":[["2009","1"]]},"page":"18-25","title":"Outcomes associated with delirium in older patients in surgical ICUs","type":"article-journal","volume":"135"},"uris":["http://www.mendeley.com/documents/?uuid=299bc23f-2f6e-47a5-a753-5c00630b677f"]}],"mendeley":{"formattedCitation":"&lt;sup&gt;7&lt;/sup&gt;","plainTextFormattedCitation":"7","previouslyFormattedCitation":"&lt;sup&gt;7&lt;/sup&gt;"},"properties":{"noteIndex":0},"schema":"https://github.com/citation-style-language/schema/raw/master/csl-citation.json"}</w:instrText>
      </w:r>
      <w:r>
        <w:rPr>
          <w:sz w:val="20"/>
          <w:szCs w:val="20"/>
          <w:vertAlign w:val="superscript"/>
        </w:rPr>
        <w:fldChar w:fldCharType="separate"/>
      </w:r>
      <w:r>
        <w:rPr>
          <w:sz w:val="20"/>
          <w:szCs w:val="20"/>
          <w:vertAlign w:val="superscript"/>
        </w:rPr>
        <w:t>7</w:t>
      </w:r>
      <w:r>
        <w:rPr>
          <w:sz w:val="20"/>
          <w:szCs w:val="20"/>
          <w:vertAlign w:val="superscript"/>
        </w:rPr>
        <w:fldChar w:fldCharType="end"/>
      </w:r>
      <w:r>
        <w:rPr>
          <w:sz w:val="20"/>
          <w:szCs w:val="20"/>
        </w:rPr>
        <w:t xml:space="preserve"> prolonged length of hospital stay,</w:t>
      </w:r>
      <w:r>
        <w:rPr>
          <w:sz w:val="20"/>
          <w:szCs w:val="20"/>
          <w:vertAlign w:val="superscript"/>
        </w:rPr>
        <w:fldChar w:fldCharType="begin" w:fldLock="1"/>
      </w:r>
      <w:r>
        <w:rPr>
          <w:sz w:val="20"/>
          <w:szCs w:val="20"/>
          <w:vertAlign w:val="superscript"/>
        </w:rPr>
        <w:instrText>ADDIN CSL_CITATION {"citationItems":[{"id":"ITEM-1","itemData":{"DOI":"10.1007/s00134-001-1132-2","ISSN":"03424642","abstract":"Study objective: To determine the relationship between delirium in the intensive care unit (ICU) and outcomes including length of stay in the hospital. Design: A prospective cohort study. Setting: The adult medical ICU of a tertiary care, university-based medical center. Participants: The study population consisted of 48 patients admitted to the ICU, 24 of whom received mechanical ventilation. Measurements: All patients were evaluated for the development and persistence of delirium on a daily basis by a geriatric or psychiatric specialist with expertise in delirium assessment using the Diagnostic Statistical Manual IV (DSM-IV) criteria of the American Psychiatric Association, the reference standard for delirium ratings. Primary outcomes measured were length of stay in the ICU and hospital. Results: The mean onset of delirium was 2.6 days (S.D. ± 1.7), and the mean duration was 3.4 ± 1.9 days. Of the 48 patients, 39 (81.3%) developed delirium, and of these 29 (60.4%) developed the complication while still in the ICU. The duration of delirium was associated with length of stay in the ICU (r = 0.65, P = 0.0001) and in the hospital (r = 0.68, P &lt; 0.0001). Using multivariate analysis, delirium was the strongest predictor of length of stay in the hospital (P = 0.006) even after adjusting for severity of illness, age, gender, race, and days of benzodiazepine and narcotic drug administration. Conclusions: In this patient cohort, the majority of patients developed delirium in the ICU, and delirium was the strongest independent determinant of length of stay in the hospital. Further study and monitoring of delirium in the ICU and the risk factors for its development are warranted.","author":[{"dropping-particle":"","family":"Ely","given":"E.","non-dropping-particle":"","parse-names":false,"suffix":""},{"dropping-particle":"","family":"Gautam","given":"S.","non-dropping-particle":"","parse-names":false,"suffix":""},{"dropping-particle":"","family":"Margolin","given":"R.","non-dropping-particle":"","parse-names":false,"suffix":""},{"dropping-particle":"","family":"Francis","given":"J.","non-dropping-particle":"","parse-names":false,"suffix":""},{"dropping-particle":"","family":"May","given":"L.","non-dropping-particle":"","parse-names":false,"suffix":""},{"dropping-particle":"","family":"Speroff","given":"T.","non-dropping-particle":"","parse-names":false,"suffix":""},{"dropping-particle":"","family":"Truman","given":"B.","non-dropping-particle":"","parse-names":false,"suffix":""},{"dropping-particle":"","family":"Dittus","given":"R.","non-dropping-particle":"","parse-names":false,"suffix":""},{"dropping-particle":"","family":"Bernard","given":"G.","non-dropping-particle":"","parse-names":false,"suffix":""},{"dropping-particle":"","family":"Inouye","given":"S.","non-dropping-particle":"","parse-names":false,"suffix":""}],"container-title":"Intensive Care Medicine","id":"ITEM-1","issue":"12","issued":{"date-parts":[["2001","12","8"]]},"page":"1892-1900","title":"The impact of delirium in the intensive care unit on hospital length of stay","type":"article-journal","volume":"27"},"uris":["http://www.mendeley.com/documents/?uuid=4ea42ea2-8779-4f62-b9bd-3e1ee0df0afe"]}],"mendeley":{"formattedCitation":"&lt;sup&gt;8&lt;/sup&gt;","plainTextFormattedCitation":"8","previouslyFormattedCitation":"&lt;sup&gt;8&lt;/sup&gt;"},"properties":{"noteIndex":0},"schema":"https://github.com/citation-style-language/schema/raw/master/csl-citation.json"}</w:instrText>
      </w:r>
      <w:r>
        <w:rPr>
          <w:sz w:val="20"/>
          <w:szCs w:val="20"/>
          <w:vertAlign w:val="superscript"/>
        </w:rPr>
        <w:fldChar w:fldCharType="separate"/>
      </w:r>
      <w:r>
        <w:rPr>
          <w:sz w:val="20"/>
          <w:szCs w:val="20"/>
          <w:vertAlign w:val="superscript"/>
        </w:rPr>
        <w:t>8</w:t>
      </w:r>
      <w:r>
        <w:rPr>
          <w:sz w:val="20"/>
          <w:szCs w:val="20"/>
          <w:vertAlign w:val="superscript"/>
        </w:rPr>
        <w:fldChar w:fldCharType="end"/>
      </w:r>
      <w:r>
        <w:rPr>
          <w:sz w:val="20"/>
          <w:szCs w:val="20"/>
        </w:rPr>
        <w:t xml:space="preserve"> increased mortality,</w:t>
      </w:r>
      <w:r>
        <w:rPr>
          <w:sz w:val="20"/>
          <w:szCs w:val="20"/>
          <w:vertAlign w:val="superscript"/>
        </w:rPr>
        <w:fldChar w:fldCharType="begin" w:fldLock="1"/>
      </w:r>
      <w:r>
        <w:rPr>
          <w:sz w:val="20"/>
          <w:szCs w:val="20"/>
          <w:vertAlign w:val="superscript"/>
        </w:rPr>
        <w:instrText>ADDIN CSL_CITATION {"citationItems":[{"id":"ITEM-1","itemData":{"DOI":"10.1002/bjs.6843","ISSN":"00071323","abstract":"Background: This study evaluated the incidence of postoperative delirium (POD) in elderly patients undergoing general surgery, the risk factors associated with POD, and its impact on hospital stay and mortality. Methods: Patients aged over 65 years who had emergency or elective operations were eligible for this case-control study. Risk factors significantly associated with POD using univariable analysis were entered into multivariable analysis, to establish those independently associated with POD. Results: A total of 351 patients (357 admissions) were enrolled in the study. The incidence of POD was 13.2 per cent (17.9 per cent for emergency operations). Independent variables associated with POD were: age above 75 years, co-morbidity, preoperative cognitive impairment, psychopathological symptoms and abnormal glycaemic control. Median length of hospital stay was 21 (range 1-75) days for patients with POD versus 8 (range 1-79) days for control patients (P &lt; 0.001). The hospital mortality rate was 19 and 8.4 per cent respectively (P = 0.021). Conclusion: The incidence of POD is high in elderly patients for both emergency and elective surgery, leading to an increase in hospital stay and perioperative mortality. To minimize POD, associated risk factors of co-morbidity, cognitive impairment, psychopathology and abnormal glycaemic control must be identified and treated. Copyright © 2010 British Journal of Surgery Society Ltd. Published by John Wiley &amp; Sons Ltd.","author":[{"dropping-particle":"","family":"Ansaloni","given":"L.","non-dropping-particle":"","parse-names":false,"suffix":""},{"dropping-particle":"","family":"Catena","given":"F.","non-dropping-particle":"","parse-names":false,"suffix":""},{"dropping-particle":"","family":"Chattat","given":"R.","non-dropping-particle":"","parse-names":false,"suffix":""},{"dropping-particle":"","family":"Fortuna","given":"D.","non-dropping-particle":"","parse-names":false,"suffix":""},{"dropping-particle":"","family":"Franceschi","given":"C.","non-dropping-particle":"","parse-names":false,"suffix":""},{"dropping-particle":"","family":"Mascitti","given":"P.","non-dropping-particle":"","parse-names":false,"suffix":""},{"dropping-particle":"","family":"Melotti","given":"R. M.","non-dropping-particle":"","parse-names":false,"suffix":""}],"container-title":"British Journal of Surgery","id":"ITEM-1","issue":"2","issued":{"date-parts":[["2010","2"]]},"page":"273-280","title":"Risk factors and incidence of postoperative delirium in elderly patients after elective and emergency surgery","type":"article-journal","volume":"97"},"uris":["http://www.mendeley.com/documents/?uuid=0e1d27bc-ee37-42d8-b456-3087e028b7cc"]}],"mendeley":{"formattedCitation":"&lt;sup&gt;9&lt;/sup&gt;","plainTextFormattedCitation":"9","previouslyFormattedCitation":"&lt;sup&gt;9&lt;/sup&gt;"},"properties":{"noteIndex":0},"schema":"https://github.com/citation-style-language/schema/raw/master/csl-citation.json"}</w:instrText>
      </w:r>
      <w:r>
        <w:rPr>
          <w:sz w:val="20"/>
          <w:szCs w:val="20"/>
          <w:vertAlign w:val="superscript"/>
        </w:rPr>
        <w:fldChar w:fldCharType="separate"/>
      </w:r>
      <w:r>
        <w:rPr>
          <w:sz w:val="20"/>
          <w:szCs w:val="20"/>
          <w:vertAlign w:val="superscript"/>
        </w:rPr>
        <w:t>9</w:t>
      </w:r>
      <w:r>
        <w:rPr>
          <w:sz w:val="20"/>
          <w:szCs w:val="20"/>
          <w:vertAlign w:val="superscript"/>
        </w:rPr>
        <w:fldChar w:fldCharType="end"/>
      </w:r>
      <w:r>
        <w:rPr>
          <w:sz w:val="20"/>
          <w:szCs w:val="20"/>
          <w:vertAlign w:val="superscript"/>
        </w:rPr>
        <w:t>,</w:t>
      </w:r>
      <w:r>
        <w:rPr>
          <w:sz w:val="20"/>
          <w:szCs w:val="20"/>
          <w:vertAlign w:val="superscript"/>
        </w:rPr>
        <w:fldChar w:fldCharType="begin" w:fldLock="1"/>
      </w:r>
      <w:r>
        <w:rPr>
          <w:sz w:val="20"/>
          <w:szCs w:val="20"/>
          <w:vertAlign w:val="superscript"/>
        </w:rPr>
        <w:instrText>ADDIN CSL_CITATION {"citationItems":[{"id":"ITEM-1","itemData":{"DOI":"10.1001/jama.291.14.1753","ISSN":"00987484","abstract":"Context. In the intensive care unit (ICU), delirium is a common yet underdiagnosed form of organ dysfunction, and its contribution to patient outcomes is unclear. Objective. To determine if delirium is an independent predictor of clinical outcomes, including 6-month mortality and length of stay among ICU patients receiving mechanical ventilation. Design, Setting, and Participants. Prospective cohort study enrolling 275 consecutive mechanically ventilated patients admitted to adult medical and coronary ICUs of a US university-based medical center between February 2000 and May 2001. Patients were followed up for development of delirium over 2158 ICU days using the Confusion Assessment Method for the ICU and the Richmond Agitation-Sedation Scale. Main Outcome Measures. Primary outcomes included 6-month mortality, overall hospital length of stay, and length of stay in the post-ICU period. Secondary outcomes were ventilator-free days and cognitive impairment at hospital discharge. Results. Of 275 patients, 51 (18.5%) had persistent coma and died in the hospital. Among the remaining 224 patients, 183 (81.7%) developed delirium at some point during the ICU stay. Baseline demographics including age, comorbidity scores, dementia scores, activities of daily living, severity of illness, and admission diagnoses were similar between those with and without delirium (P&gt;.05 for all). Patients who developed delirium had higher 6-month mortality rates (34% vs 15%, P=.03) and spent 10 days longer in the hospital than those who never developed delirium (P&lt;.001). After adjusting for covariates (including age, severity of illness, comorbid conditions, coma, and use of sedatives or analgesic medications), delirium was independently associated with higher 6-month mortality (adjusted hazard ratio [HR], 3.2; 95% confidence interval [CI], 1.4-7.7; P=.008), and longer hospital stay (adjusted HR, 2.0; 95% CI, 1.4-3.0; P&lt;.001). Delirium in the ICU was also independently associated with a longer post-ICU stay (adjusted HR, 1.6; 95% CI, 1.2-2.3; P=.009), fewer median days alive and without mechanical ventilation (19 [interquartile range, 4-231 vs 24 [19-261; adjusted P=.03), and a higher incidence of cognitive impairment at hospital discharge (adjusted HR, 9.1; 95% CI, 2.3-35.3; P=.002). Conclusion. Delirium was an independent predictor of higher 6-month mortality and longer hospital stay even after adjusting for relevant covariates including coma, sedatives, and analgesics in patient…","author":[{"dropping-particle":"","family":"Ely","given":"E. Wesley","non-dropping-particle":"","parse-names":false,"suffix":""},{"dropping-particle":"","family":"Shintani","given":"Ayumi","non-dropping-particle":"","parse-names":false,"suffix":""},{"dropping-particle":"","family":"Truman","given":"Brenda","non-dropping-particle":"","parse-names":false,"suffix":""},{"dropping-particle":"","family":"Speroff","given":"Theodore","non-dropping-particle":"","parse-names":false,"suffix":""},{"dropping-particle":"","family":"Gordon","given":"Sharon M.","non-dropping-particle":"","parse-names":false,"suffix":""},{"dropping-particle":"","family":"Harrell","given":"Frank E.","non-dropping-particle":"","parse-names":false,"suffix":""},{"dropping-particle":"","family":"Inouye","given":"Sharon K.","non-dropping-particle":"","parse-names":false,"suffix":""},{"dropping-particle":"","family":"Bernard","given":"Gordon R.","non-dropping-particle":"","parse-names":false,"suffix":""},{"dropping-particle":"","family":"Dittus","given":"Robert S.","non-dropping-particle":"","parse-names":false,"suffix":""}],"container-title":"Journal of the American Medical Association","id":"ITEM-1","issue":"14","issued":{"date-parts":[["2004","4","14"]]},"page":"1753-1762","title":"Delirium as a Predictor of Mortality in Mechanically Ventilated Patients in the Intensive Care Unit","type":"article-journal","volume":"291"},"uris":["http://www.mendeley.com/documents/?uuid=4b1c36e3-4b53-4f00-aa6e-37b52e7932cf"]}],"mendeley":{"formattedCitation":"&lt;sup&gt;10&lt;/sup&gt;","plainTextFormattedCitation":"10","previouslyFormattedCitation":"&lt;sup&gt;10&lt;/sup&gt;"},"properties":{"noteIndex":0},"schema":"https://github.com/citation-style-language/schema/raw/master/csl-citation.json"}</w:instrText>
      </w:r>
      <w:r>
        <w:rPr>
          <w:sz w:val="20"/>
          <w:szCs w:val="20"/>
          <w:vertAlign w:val="superscript"/>
        </w:rPr>
        <w:fldChar w:fldCharType="separate"/>
      </w:r>
      <w:r>
        <w:rPr>
          <w:sz w:val="20"/>
          <w:szCs w:val="20"/>
          <w:vertAlign w:val="superscript"/>
        </w:rPr>
        <w:t>10</w:t>
      </w:r>
      <w:r>
        <w:rPr>
          <w:sz w:val="20"/>
          <w:szCs w:val="20"/>
          <w:vertAlign w:val="superscript"/>
        </w:rPr>
        <w:fldChar w:fldCharType="end"/>
      </w:r>
      <w:r>
        <w:rPr>
          <w:sz w:val="20"/>
          <w:szCs w:val="20"/>
          <w:vertAlign w:val="superscript"/>
        </w:rPr>
        <w:t>,</w:t>
      </w:r>
      <w:r>
        <w:rPr>
          <w:sz w:val="20"/>
          <w:szCs w:val="20"/>
          <w:vertAlign w:val="superscript"/>
        </w:rPr>
        <w:fldChar w:fldCharType="begin" w:fldLock="1"/>
      </w:r>
      <w:r>
        <w:rPr>
          <w:sz w:val="20"/>
          <w:szCs w:val="20"/>
          <w:vertAlign w:val="superscript"/>
        </w:rPr>
        <w:instrText>ADDIN CSL_CITATION {"citationItems":[{"id":"ITEM-1","itemData":{"DOI":"10.1164/rccm.200904-0537OC","ISSN":"1073449X","abstract":"Rationale: Delirium is a frequent occurrence in older intensive care unit (ICU) patients, but the importance of the duration of delirium in contributing to adverse long-term outcomes is unclear. Objectives: To examine the association of the number of days of ICU delirium with mortality in an older patient population. Methods:We performed a prospective cohort study in a 14-bed ICU in an urban acute care hospital. The patient population comprised 304 consecutive admissions 60 years of age and older. Measurements and Main Results: The main outcome was 1-year mortality after ICU admission. Patients were assessed daily for delirium with the Confusion Assessment Method for the ICU and a validated chart review method. The median duration of ICU delirium was 3 days (range, 1-46 d). During the follow-up period, 153 (50%) patients died. After adjusting for relevant covariates, including age, severity of illness, comorbid conditions, psychoactive medication use, and baseline cognitive and functional status, the numberof days ofICUdeliriumwassignificantly associatedwith time to death within 1 year post-ICU admission (hazard ratio, 1.10; 95% confidence interval, 1.02-1.18). Conclusions: Number of days of ICU delirium was associated with higher 1-year mortality after adjustment for relevant covariates in an older ICU population. Investigations shouldbeundertaken to reduce the number of days of ICU delirium and to study the impact of this reduction on important health outcomes, including mortality and functional and cognitive status.","author":[{"dropping-particle":"","family":"Pisani","given":"Margaret A.","non-dropping-particle":"","parse-names":false,"suffix":""},{"dropping-particle":"","family":"Kong","given":"So Yeon Joyce","non-dropping-particle":"","parse-names":false,"suffix":""},{"dropping-particle":"V.","family":"Kasl","given":"Stanislav","non-dropping-particle":"","parse-names":false,"suffix":""},{"dropping-particle":"","family":"Murphy","given":"Terrence E.","non-dropping-particle":"","parse-names":false,"suffix":""},{"dropping-particle":"","family":"Araujo","given":"Katy L.B.","non-dropping-particle":"","parse-names":false,"suffix":""},{"dropping-particle":"","family":"Ness","given":"Peter H.","non-dropping-particle":"Van","parse-names":false,"suffix":""}],"container-title":"American Journal of Respiratory and Critical Care Medicine","id":"ITEM-1","issue":"11","issued":{"date-parts":[["2009","12"]]},"page":"1092-1097","title":"Days of delirium are associated with 1-year mortality in an older intensive care unit population","type":"article-journal","volume":"180"},"uris":["http://www.mendeley.com/documents/?uuid=299b6534-f289-4270-b744-048a11f325e7"]}],"mendeley":{"formattedCitation":"&lt;sup&gt;11&lt;/sup&gt;","plainTextFormattedCitation":"11","previouslyFormattedCitation":"&lt;sup&gt;11&lt;/sup&gt;"},"properties":{"noteIndex":0},"schema":"https://github.com/citation-style-language/schema/raw/master/csl-citation.json"}</w:instrText>
      </w:r>
      <w:r>
        <w:rPr>
          <w:sz w:val="20"/>
          <w:szCs w:val="20"/>
          <w:vertAlign w:val="superscript"/>
        </w:rPr>
        <w:fldChar w:fldCharType="separate"/>
      </w:r>
      <w:r>
        <w:rPr>
          <w:sz w:val="20"/>
          <w:szCs w:val="20"/>
          <w:vertAlign w:val="superscript"/>
        </w:rPr>
        <w:t>11</w:t>
      </w:r>
      <w:r>
        <w:rPr>
          <w:sz w:val="20"/>
          <w:szCs w:val="20"/>
          <w:vertAlign w:val="superscript"/>
        </w:rPr>
        <w:fldChar w:fldCharType="end"/>
      </w:r>
      <w:r>
        <w:rPr>
          <w:sz w:val="20"/>
          <w:szCs w:val="20"/>
        </w:rPr>
        <w:t xml:space="preserve"> and elevated medical care costs;</w:t>
      </w:r>
      <w:r>
        <w:rPr>
          <w:sz w:val="20"/>
          <w:szCs w:val="20"/>
          <w:vertAlign w:val="superscript"/>
        </w:rPr>
        <w:fldChar w:fldCharType="begin" w:fldLock="1"/>
      </w:r>
      <w:r>
        <w:rPr>
          <w:sz w:val="20"/>
          <w:szCs w:val="20"/>
          <w:vertAlign w:val="superscript"/>
        </w:rPr>
        <w:instrText>ADDIN CSL_CITATION {"citationItems":[{"id":"ITEM-1","itemData":{"DOI":"10.1176/appi.psy.42.1.68","ISSN":"00333182","abstract":"The authors identified the added cost attributable to postoperative delirium in patients undergoing elective surgery. The authors evaluated patients (n = 500) before their elective surgery, assessing cognitive functioning, medical conditions, medication usage, and other information regarding their health status. Using DSM-IV criteria, the authors assessed patients for delirium on Postoperative Days 1-4. Medical record review provided laboratory, radiological, and pharmaceutical information. The authors analyzed length of stay (LOS), comprehensive cost data collected through the hospital, and a group practice financial database to determine differences among those developing delirium. Of the 500 patients assessed, 57 (11.4%) developed delirium during the study. Delirium is an extremely costly disorder, both to the patient in terms of morbidity and mortality and to the medical facility. A prolonged LOS increases charges to third party payors and reduces return to physicians and hospitals when delirium develops. Careful presurgical screening and targeted postoperative interventions may help contain LOS and costs while affording greater physical, emotional, and cognitive health to patients hospitalized for elective surgery.","author":[{"dropping-particle":"","family":"Franco","given":"K.","non-dropping-particle":"","parse-names":false,"suffix":""},{"dropping-particle":"","family":"Litaker","given":"D.","non-dropping-particle":"","parse-names":false,"suffix":""},{"dropping-particle":"","family":"Locala","given":"J.","non-dropping-particle":"","parse-names":false,"suffix":""},{"dropping-particle":"","family":"Bronson","given":"D.","non-dropping-particle":"","parse-names":false,"suffix":""}],"container-title":"Psychosomatics","id":"ITEM-1","issue":"1","issued":{"date-parts":[["2001","1"]]},"page":"68-73","title":"The cost of delirium in the surgical patient","type":"article-journal","volume":"42"},"uris":["http://www.mendeley.com/documents/?uuid=18e44432-8fb7-4df4-b68e-89bc39d0737a"]}],"mendeley":{"formattedCitation":"&lt;sup&gt;12&lt;/sup&gt;","plainTextFormattedCitation":"12","previouslyFormattedCitation":"&lt;sup&gt;12&lt;/sup&gt;"},"properties":{"noteIndex":0},"schema":"https://github.com/citation-style-language/schema/raw/master/csl-citation.json"}</w:instrText>
      </w:r>
      <w:r>
        <w:rPr>
          <w:sz w:val="20"/>
          <w:szCs w:val="20"/>
          <w:vertAlign w:val="superscript"/>
        </w:rPr>
        <w:fldChar w:fldCharType="separate"/>
      </w:r>
      <w:r>
        <w:rPr>
          <w:sz w:val="20"/>
          <w:szCs w:val="20"/>
          <w:vertAlign w:val="superscript"/>
        </w:rPr>
        <w:t>12</w:t>
      </w:r>
      <w:r>
        <w:rPr>
          <w:sz w:val="20"/>
          <w:szCs w:val="20"/>
          <w:vertAlign w:val="superscript"/>
        </w:rPr>
        <w:fldChar w:fldCharType="end"/>
      </w:r>
      <w:r>
        <w:rPr>
          <w:sz w:val="20"/>
          <w:szCs w:val="20"/>
          <w:vertAlign w:val="superscript"/>
        </w:rPr>
        <w:t>,</w:t>
      </w:r>
      <w:r>
        <w:rPr>
          <w:sz w:val="20"/>
          <w:szCs w:val="20"/>
          <w:vertAlign w:val="superscript"/>
        </w:rPr>
        <w:fldChar w:fldCharType="begin" w:fldLock="1"/>
      </w:r>
      <w:r>
        <w:rPr>
          <w:sz w:val="20"/>
          <w:szCs w:val="20"/>
          <w:vertAlign w:val="superscript"/>
        </w:rPr>
        <w:instrText>ADDIN CSL_CITATION {"citationItems":[{"id":"ITEM-1","itemData":{"DOI":"10.1097/01.CCM.0000119429.16055.92","ISSN":"00903493","PMID":"15071384","abstract":"Objective: To determine the costs associated with delirium in mechanically ventilated medical intensive care unit patients. Design: Prospective cohort study. Setting: A tertiary care academic hospital. Patients: Patients were 275 consecutive mechanically ventilated medical intensive care unit patients. Interventions: We prospectively examined patients for delirium using the Confusion Assessment Method for the Intensive Care Unit. Measurements and Main Results: Delirium was categorized as \"ever vs. never\" and by a cumulative delirium severity index. Costs were determined from individual ledger-level patient charges using cost-center-specific cost-to-charge ratios and were reported in year 2001 U.S. dollars. Fifty-one of 275 patients (18.5%) had persistent coma and died in the hospital and were excluded from further analysis. Of the remaining 224 patients, delirium developed in 183 (81.7%) and lasted a median of 2.1 (interquartile range, 1-3) days. Baseline demographics were similar between those with and without delirium. Intensive care unit costs (median, interquartile range) were significantly higher for those with at least one episode of delirium ($22,346, $15,083-$35,521) vs. those with no delirium ($13,332, $8,837-$21,471, p &lt; .001). Total hospital costs were also higher in those who developed delirium ($41,836, $22,782-$68,134 vs. $27,106, $13,875-$37,419, p = .002). Higher severity and duration of delirium were associated with incrementally greater costs (all p &lt; .001). After adjustment for age, comorbidity, severity of illness, degree of organ dysfunction, nosocomial infection, hospital mortality, and other potential confounders, delirium was associated with 39% higher intensive care unit (95% confidence interval, 12-72%) and 31% higher hospital (95% confidence interval, 1-70%) costs. Conclusions: Delirium is a common clinical event in mechanically ventilated medical intensive care unit patients and is associated with significantly higher intensive care unit and hospital costs. Future efforts to prevent or treat intensive care unit delirium have the potential to improve patient outcomes and reduce costs of care.","author":[{"dropping-particle":"","family":"Milbrandt","given":"Eric B.","non-dropping-particle":"","parse-names":false,"suffix":""},{"dropping-particle":"","family":"Deppen","given":"Stephen","non-dropping-particle":"","parse-names":false,"suffix":""},{"dropping-particle":"","family":"Harrison","given":"Patricia L.","non-dropping-particle":"","parse-names":false,"suffix":""},{"dropping-particle":"","family":"Shintani","given":"Ayumi K.","non-dropping-particle":"","parse-names":false,"suffix":""},{"dropping-particle":"","family":"Speroff","given":"Theodore","non-dropping-particle":"","parse-names":false,"suffix":""},{"dropping-particle":"","family":"Stiles","given":"Renée A.","non-dropping-particle":"","parse-names":false,"suffix":""},{"dropping-particle":"","family":"Truman","given":"Brenda","non-dropping-particle":"","parse-names":false,"suffix":""},{"dropping-particle":"","family":"Bernard","given":"Gordon R.","non-dropping-particle":"","parse-names":false,"suffix":""},{"dropping-particle":"","family":"Dittus","given":"Robert S.","non-dropping-particle":"","parse-names":false,"suffix":""},{"dropping-particle":"","family":"Ely","given":"E. Wesley","non-dropping-particle":"","parse-names":false,"suffix":""}],"container-title":"Critical Care Medicine","id":"ITEM-1","issue":"4","issued":{"date-parts":[["2004","4"]]},"page":"955-962","title":"Costs associated with delirium in mechanically ventilated patients","type":"article-journal","volume":"32"},"uris":["http://www.mendeley.com/documents/?uuid=bfb80cfe-5754-4fe3-8265-b29df3b60d77"]}],"mendeley":{"formattedCitation":"&lt;sup&gt;13&lt;/sup&gt;","plainTextFormattedCitation":"13","previouslyFormattedCitation":"&lt;sup&gt;13&lt;/sup&gt;"},"properties":{"noteIndex":0},"schema":"https://github.com/citation-style-language/schema/raw/master/csl-citation.json"}</w:instrText>
      </w:r>
      <w:r>
        <w:rPr>
          <w:sz w:val="20"/>
          <w:szCs w:val="20"/>
          <w:vertAlign w:val="superscript"/>
        </w:rPr>
        <w:fldChar w:fldCharType="separate"/>
      </w:r>
      <w:r>
        <w:rPr>
          <w:sz w:val="20"/>
          <w:szCs w:val="20"/>
          <w:vertAlign w:val="superscript"/>
        </w:rPr>
        <w:t>13</w:t>
      </w:r>
      <w:r>
        <w:rPr>
          <w:sz w:val="20"/>
          <w:szCs w:val="20"/>
          <w:vertAlign w:val="superscript"/>
        </w:rPr>
        <w:fldChar w:fldCharType="end"/>
      </w:r>
      <w:r>
        <w:rPr>
          <w:sz w:val="20"/>
          <w:szCs w:val="20"/>
        </w:rPr>
        <w:t xml:space="preserve"> it is also associated with cognitive decline and lowered quality of life in long-term survivors.</w:t>
      </w:r>
      <w:r>
        <w:rPr>
          <w:sz w:val="20"/>
          <w:szCs w:val="20"/>
          <w:vertAlign w:val="superscript"/>
        </w:rPr>
        <w:fldChar w:fldCharType="begin" w:fldLock="1"/>
      </w:r>
      <w:r>
        <w:rPr>
          <w:sz w:val="20"/>
          <w:szCs w:val="20"/>
          <w:vertAlign w:val="superscript"/>
        </w:rPr>
        <w:instrText>ADDIN CSL_CITATION {"citationItems":[{"id":"ITEM-1","itemData":{"DOI":"10.1159/000140804","ISSN":"14208008","abstract":"Background/Aims: The aim of the study was to investigate the association of postoperative delirium with the outcomes of cognitive impairment, functional disability and death. Methods: Hip surgery patients aged 60 years or over (n = 200) underwent preoperative and daily postoperative assessment of their cognitive status during hospital stay. Outcome variables were determined at an average of 8 and 38 months after discharge from hospital. Results: Fourty-one patients developed postoperative delirium. Delirium was a strong independent predictor of cognitive impairment and the occurrence of severe dependency in activities of daily living. The associations were more marked for the long- than for the short-term outcome. Thirty-eight months after discharge from hospital, 53.8% of the surviving patients with postoperative delirium suffered from cognitive impairment, as compared to only 4.4% of the nondelirious participants. Logistic regression analysis adjusted for age, sex, medical comorbidity and preoperative cognitive performance revealed highly significant associations between delirium and cognitive impairment (OR = 41.2; 95% CI = 4.3-396.2), subjective memory decline (OR = 6.2; 95% CI = 1.5-25.8) and incident need for long-term care (OR = 5.6; 95% CI = 1.6-19.7). Conclusion: The present study confirms a poor prognosis after delirium in elderly patients. The findings suggest that delirium does not simply persist for a certain time but also predicts a future cognitive decline with an increased risk of dementia. Copyright © 2008 S. Karger AG.","author":[{"dropping-particle":"","family":"Bickel","given":"Horst","non-dropping-particle":"","parse-names":false,"suffix":""},{"dropping-particle":"","family":"Gradinger","given":"Reiner","non-dropping-particle":"","parse-names":false,"suffix":""},{"dropping-particle":"","family":"Kochs","given":"Eberhard","non-dropping-particle":"","parse-names":false,"suffix":""},{"dropping-particle":"","family":"Förstl","given":"Hans","non-dropping-particle":"","parse-names":false,"suffix":""}],"container-title":"Dementia and Geriatric Cognitive Disorders","id":"ITEM-1","issue":"1","issued":{"date-parts":[["2008"]]},"page":"26-31","title":"High risk of cognitive and functional decline after postoperative delirium: A three-year prospective study","type":"article-journal","volume":"26"},"uris":["http://www.mendeley.com/documents/?uuid=1d8c14f7-1e2d-461f-8a69-8896d9b751c8"]}],"mendeley":{"formattedCitation":"&lt;sup&gt;14&lt;/sup&gt;","plainTextFormattedCitation":"14","previouslyFormattedCitation":"&lt;sup&gt;14&lt;/sup&gt;"},"properties":{"noteIndex":0},"schema":"https://github.com/citation-style-language/schema/raw/master/csl-citation.json"}</w:instrText>
      </w:r>
      <w:r>
        <w:rPr>
          <w:sz w:val="20"/>
          <w:szCs w:val="20"/>
          <w:vertAlign w:val="superscript"/>
        </w:rPr>
        <w:fldChar w:fldCharType="separate"/>
      </w:r>
      <w:r>
        <w:rPr>
          <w:sz w:val="20"/>
          <w:szCs w:val="20"/>
          <w:vertAlign w:val="superscript"/>
        </w:rPr>
        <w:t>14</w:t>
      </w:r>
      <w:r>
        <w:rPr>
          <w:sz w:val="20"/>
          <w:szCs w:val="20"/>
          <w:vertAlign w:val="superscript"/>
        </w:rPr>
        <w:fldChar w:fldCharType="end"/>
      </w:r>
      <w:r>
        <w:rPr>
          <w:sz w:val="20"/>
          <w:szCs w:val="20"/>
          <w:vertAlign w:val="superscript"/>
        </w:rPr>
        <w:t>,</w:t>
      </w:r>
      <w:r>
        <w:rPr>
          <w:sz w:val="20"/>
          <w:szCs w:val="20"/>
          <w:vertAlign w:val="superscript"/>
        </w:rPr>
        <w:fldChar w:fldCharType="begin" w:fldLock="1"/>
      </w:r>
      <w:r>
        <w:rPr>
          <w:sz w:val="20"/>
          <w:szCs w:val="20"/>
          <w:vertAlign w:val="superscript"/>
        </w:rPr>
        <w:instrText>ADDIN CSL_CITATION {"citationItems":[{"id":"ITEM-1","itemData":{"DOI":"10.1111/j.1365-2702.2009.02933.x","ISSN":"09621067","PMID":"19735334","abstract":"Aims and objectives. This research studied the long term outcome of intensive care delirium defined as mortality and quality of life at three and six months after discharge of the intensive care unit. Background. Delirium in the intensive care unit is known to result in worse outcomes. Cognitive impairment, a longer stay in the hospital or in the intensive care unit and a raised mortality have been reported. Design. A prospective cohort study. Methods. A population of 105 consecutive patients was included during the stay at the intensive care unit in July-August 2006. The population was assessed once a day for delirium using the NEECHAM Confusion Scale and the CAM-ICU. Patients were visited at home by a nurse researcher to assess the quality of life using the Medical Outcomes Study Short-Form General Health Survey at three and six months after discharge of the intensive care unit. Delirious and non delirious patients were compared for mortality and quality of life. Results. Compared to the non delirious patients, more delirious patients died. The total study population discharged from the intensive care unit, scored lower for quality of life in all domains compared to the reference population. The domains showed lower results for the delirious patients compared to the non delirious patients. Conclusions. Mortality was higher in delirious patients. All patients showed lower values for the quality of life at three months. The delirious patients showed lower results than the non delirious patients. Relevance to clinical practice. Nurses are the first caregivers to observe patients. The fluctuating delirious process is often not noticed. Long term effects are not visible to the interdisciplinary team in the hospital. This paper would like to raise the awareness of professionals for long term outcomes for patients having experienced delirium in the intensive care unit. © 2009 Blackwell Publishing Ltd.","author":[{"dropping-particle":"","family":"Rompaey","given":"Bart","non-dropping-particle":"Van","parse-names":false,"suffix":""},{"dropping-particle":"","family":"Schuurmans","given":"Marieke J.","non-dropping-particle":"","parse-names":false,"suffix":""},{"dropping-particle":"","family":"Shortridge-Baggett","given":"Lillie M.","non-dropping-particle":"","parse-names":false,"suffix":""},{"dropping-particle":"","family":"Truijen","given":"Steven","non-dropping-particle":"","parse-names":false,"suffix":""},{"dropping-particle":"","family":"Elseviers","given":"Monique","non-dropping-particle":"","parse-names":false,"suffix":""},{"dropping-particle":"","family":"Bossaert","given":"Leo","non-dropping-particle":"","parse-names":false,"suffix":""}],"container-title":"Journal of Clinical Nursing","id":"ITEM-1","issue":"23","issued":{"date-parts":[["2009","12"]]},"page":"3349-3357","title":"Long term outcome after delirium in the intensive care unit","type":"article-journal","volume":"18"},"uris":["http://www.mendeley.com/documents/?uuid=136d3496-8537-4dbb-9d18-e50a32f88051"]}],"mendeley":{"formattedCitation":"&lt;sup&gt;15&lt;/sup&gt;","plainTextFormattedCitation":"15","previouslyFormattedCitation":"&lt;sup&gt;15&lt;/sup&gt;"},"properties":{"noteIndex":0},"schema":"https://github.com/citation-style-language/schema/raw/master/csl-citation.json"}</w:instrText>
      </w:r>
      <w:r>
        <w:rPr>
          <w:sz w:val="20"/>
          <w:szCs w:val="20"/>
          <w:vertAlign w:val="superscript"/>
        </w:rPr>
        <w:fldChar w:fldCharType="separate"/>
      </w:r>
      <w:r>
        <w:rPr>
          <w:sz w:val="20"/>
          <w:szCs w:val="20"/>
          <w:vertAlign w:val="superscript"/>
        </w:rPr>
        <w:t>15</w:t>
      </w:r>
      <w:r>
        <w:rPr>
          <w:sz w:val="20"/>
          <w:szCs w:val="20"/>
          <w:vertAlign w:val="superscript"/>
        </w:rPr>
        <w:fldChar w:fldCharType="end"/>
      </w:r>
      <w:r>
        <w:rPr>
          <w:sz w:val="20"/>
          <w:szCs w:val="20"/>
        </w:rPr>
        <w:t xml:space="preserve"> A 2-year follow-up study of our group showed that occurrence of delirium was an independent predictor of shortened survival even after correction for confounding factors.</w:t>
      </w:r>
      <w:r>
        <w:rPr>
          <w:sz w:val="20"/>
          <w:szCs w:val="20"/>
          <w:vertAlign w:val="superscript"/>
        </w:rPr>
        <w:fldChar w:fldCharType="begin" w:fldLock="1"/>
      </w:r>
      <w:r>
        <w:rPr>
          <w:sz w:val="20"/>
          <w:szCs w:val="20"/>
          <w:vertAlign w:val="superscript"/>
        </w:rPr>
        <w:instrText>ADDIN CSL_CITATION {"citationItems":[{"id":"ITEM-1","itemData":{"author":[{"dropping-particle":"","family":"Zha","given":"Liang","non-dropping-particle":"","parse-names":false,"suffix":""},{"dropping-particle":"","family":"Wang","given":"Dong Xin","non-dropping-particle":"","parse-names":false,"suffix":""}],"id":"ITEM-1","issued":{"date-parts":[["0"]]},"title":"The impact of early postoperative delirium on long-term survival rate and quality of life in ICU patient after noncardiac surgery","type":"article-journal"},"uris":["http://www.mendeley.com/documents/?uuid=2bb84910-3fa8-444d-9dfd-f796dc084f98"]}],"mendeley":{"formattedCitation":"&lt;sup&gt;16&lt;/sup&gt;","plainTextFormattedCitation":"16","previouslyFormattedCitation":"&lt;sup&gt;16&lt;/sup&gt;"},"properties":{"noteIndex":0},"schema":"https://github.com/citation-style-language/schema/raw/master/csl-citation.json"}</w:instrText>
      </w:r>
      <w:r>
        <w:rPr>
          <w:sz w:val="20"/>
          <w:szCs w:val="20"/>
          <w:vertAlign w:val="superscript"/>
        </w:rPr>
        <w:fldChar w:fldCharType="separate"/>
      </w:r>
      <w:r>
        <w:rPr>
          <w:sz w:val="20"/>
          <w:szCs w:val="20"/>
          <w:vertAlign w:val="superscript"/>
        </w:rPr>
        <w:t>16</w:t>
      </w:r>
      <w:r>
        <w:rPr>
          <w:sz w:val="20"/>
          <w:szCs w:val="20"/>
          <w:vertAlign w:val="superscript"/>
        </w:rPr>
        <w:fldChar w:fldCharType="end"/>
      </w:r>
      <w:r>
        <w:rPr>
          <w:sz w:val="20"/>
          <w:szCs w:val="20"/>
        </w:rPr>
        <w:t xml:space="preserve"> </w:t>
      </w:r>
    </w:p>
    <w:p w14:paraId="208E4BF3" w14:textId="77777777" w:rsidR="00555164" w:rsidRDefault="00555164">
      <w:pPr>
        <w:spacing w:before="50" w:after="50"/>
        <w:rPr>
          <w:sz w:val="20"/>
          <w:szCs w:val="20"/>
        </w:rPr>
      </w:pPr>
    </w:p>
    <w:p w14:paraId="0E047974" w14:textId="77777777" w:rsidR="00555164" w:rsidRDefault="002C73C0">
      <w:pPr>
        <w:spacing w:before="50" w:after="50"/>
        <w:rPr>
          <w:sz w:val="20"/>
          <w:szCs w:val="20"/>
          <w:vertAlign w:val="superscript"/>
        </w:rPr>
      </w:pPr>
      <w:r>
        <w:rPr>
          <w:sz w:val="20"/>
          <w:szCs w:val="20"/>
        </w:rPr>
        <w:t xml:space="preserve">    The pathogenesis of delirium remains unclear.</w:t>
      </w:r>
      <w:r>
        <w:rPr>
          <w:sz w:val="20"/>
          <w:szCs w:val="20"/>
          <w:vertAlign w:val="superscript"/>
        </w:rPr>
        <w:fldChar w:fldCharType="begin" w:fldLock="1"/>
      </w:r>
      <w:r>
        <w:rPr>
          <w:sz w:val="20"/>
          <w:szCs w:val="20"/>
          <w:vertAlign w:val="superscript"/>
        </w:rPr>
        <w:instrText>ADDIN CSL_CITATION {"citationItems":[{"id":"ITEM-1","itemData":{"DOI":"10.1056/NEJMra052321","ISSN":"00284793","PMID":"16540616","abstract":"The prevalence of delirium increases sharply with age, and about 20 percent of older patients have delirium at the time of hospital admission for any reason. This review summarizes the clinical manifestations of and risk factors for delirium and the evaluation of patients with this condition. It includes an update on the current understanding of the pathogenesis of delirium and provides guidance regarding practical measures to prevent this common complication. Copyright © 2006 Massachusetts Medical Society.","author":[{"dropping-particle":"","family":"Inouye","given":"Sharon K.","non-dropping-particle":"","parse-names":false,"suffix":""}],"container-title":"New England Journal of Medicine","id":"ITEM-1","issue":"11","issued":{"date-parts":[["2006","3","16"]]},"page":"1157-1165","title":"Delirium in older persons","type":"article-journal","volume":"354"},"uris":["http://www.mendeley.com/documents/?uuid=9ba432e5-9031-4a7f-9f71-f6a03348a67d"]}],"mendeley":{"formattedCitation":"&lt;sup&gt;17&lt;/sup&gt;","plainTextFormattedCitation":"17","previouslyFormattedCitation":"&lt;sup&gt;17&lt;/sup&gt;"},"properties":{"noteIndex":0},"schema":"https://github.com/citation-style-language/schema/raw/master/csl-citation.json"}</w:instrText>
      </w:r>
      <w:r>
        <w:rPr>
          <w:sz w:val="20"/>
          <w:szCs w:val="20"/>
          <w:vertAlign w:val="superscript"/>
        </w:rPr>
        <w:fldChar w:fldCharType="separate"/>
      </w:r>
      <w:r>
        <w:rPr>
          <w:sz w:val="20"/>
          <w:szCs w:val="20"/>
          <w:vertAlign w:val="superscript"/>
        </w:rPr>
        <w:t>17</w:t>
      </w:r>
      <w:r>
        <w:rPr>
          <w:sz w:val="20"/>
          <w:szCs w:val="20"/>
          <w:vertAlign w:val="superscript"/>
        </w:rPr>
        <w:fldChar w:fldCharType="end"/>
      </w:r>
      <w:r>
        <w:rPr>
          <w:sz w:val="20"/>
          <w:szCs w:val="20"/>
        </w:rPr>
        <w:t xml:space="preserve"> Regarding postoperative delirium, it is common in the elderly, indicating that aged brain might be the pathophysiological basis of delirium.</w:t>
      </w:r>
      <w:r>
        <w:rPr>
          <w:sz w:val="20"/>
          <w:szCs w:val="20"/>
          <w:vertAlign w:val="superscript"/>
        </w:rPr>
        <w:t>2</w:t>
      </w:r>
      <w:r>
        <w:rPr>
          <w:sz w:val="20"/>
          <w:szCs w:val="20"/>
        </w:rPr>
        <w:t xml:space="preserve"> Another phenomenon is that delirium frequently occurs after major surgery but is rare after minor surgery (such as cataract surgery).</w:t>
      </w:r>
      <w:r>
        <w:rPr>
          <w:sz w:val="20"/>
          <w:szCs w:val="20"/>
          <w:vertAlign w:val="superscript"/>
        </w:rPr>
        <w:fldChar w:fldCharType="begin" w:fldLock="1"/>
      </w:r>
      <w:r>
        <w:rPr>
          <w:sz w:val="20"/>
          <w:szCs w:val="20"/>
          <w:vertAlign w:val="superscript"/>
        </w:rPr>
        <w:instrText>ADDIN CSL_CITATION {"citationItems":[{"id":"ITEM-1","itemData":{"DOI":"10.1017/S1041610202008499","ISSN":"10416102","abstract":"Background: Delirium is frequently observed in clinical practice, particularly in medical and surgical wards and more so among patients at risk, especially elderly with pre-existing central nervous system impairments. Objective: Despite the severe consequences of delirium, epidemiological data relating to incidence of delirium following \"minor\" surgery are lacking. The aim of the present study was to evaluate the incidence of delirium following cataract surgery in community-dwelling patients. Outcome: For purposes of the present study, the Confusion Rating Scale was used. Results: Of 296 patients fulfilling the inclusion criteria, 13 (4.4%) had had immediate postoperative delirium. The two variables that significantly differentiated between delirious and nondelirious patients were older age (82.1 vs. 73.06 years; p &lt; .001) and more frequent use of benzodiazepine premedication (69% vs. 39.9%; p &lt; .002). Conclusion: These findings suggest that the incidence of delirium following cataract surgery requires greater awareness, possibly changes in premedication, and a longer observation period in the very old.","author":[{"dropping-particle":"","family":"Milstein","given":"Asher","non-dropping-particle":"","parse-names":false,"suffix":""},{"dropping-particle":"","family":"Pollack","given":"Ayala","non-dropping-particle":"","parse-names":false,"suffix":""},{"dropping-particle":"","family":"Kleinman","given":"Guy","non-dropping-particle":"","parse-names":false,"suffix":""},{"dropping-particle":"","family":"Barak","given":"Yoram","non-dropping-particle":"","parse-names":false,"suffix":""}],"container-title":"International Psychogeriatrics","id":"ITEM-1","issue":"3","issued":{"date-parts":[["2002","9","10"]]},"page":"301-306","title":"Confusion/delirium following cataract surgery: An incidence study of 1-year duration","type":"article-journal","volume":"14"},"uris":["http://www.mendeley.com/documents/?uuid=d02b6874-825c-4779-8e5b-c3c8432f1d58"]}],"mendeley":{"formattedCitation":"&lt;sup&gt;18&lt;/sup&gt;","plainTextFormattedCitation":"18","previouslyFormattedCitation":"&lt;sup&gt;18&lt;/sup&gt;"},"properties":{"noteIndex":0},"schema":"https://github.com/citation-style-language/schema/raw/master/csl-citation.json"}</w:instrText>
      </w:r>
      <w:r>
        <w:rPr>
          <w:sz w:val="20"/>
          <w:szCs w:val="20"/>
          <w:vertAlign w:val="superscript"/>
        </w:rPr>
        <w:fldChar w:fldCharType="separate"/>
      </w:r>
      <w:r>
        <w:rPr>
          <w:sz w:val="20"/>
          <w:szCs w:val="20"/>
          <w:vertAlign w:val="superscript"/>
        </w:rPr>
        <w:t>18</w:t>
      </w:r>
      <w:r>
        <w:rPr>
          <w:sz w:val="20"/>
          <w:szCs w:val="20"/>
          <w:vertAlign w:val="superscript"/>
        </w:rPr>
        <w:fldChar w:fldCharType="end"/>
      </w:r>
      <w:r>
        <w:rPr>
          <w:sz w:val="20"/>
          <w:szCs w:val="20"/>
        </w:rPr>
        <w:t xml:space="preserve"> This indicates that the surgery related stress response is an important precipitating factor. Indeed, previous studies found that severe pain is an independent risk factor,</w:t>
      </w:r>
      <w:r>
        <w:rPr>
          <w:sz w:val="20"/>
          <w:szCs w:val="20"/>
          <w:vertAlign w:val="superscript"/>
        </w:rPr>
        <w:fldChar w:fldCharType="begin" w:fldLock="1"/>
      </w:r>
      <w:r>
        <w:rPr>
          <w:sz w:val="20"/>
          <w:szCs w:val="20"/>
          <w:vertAlign w:val="superscript"/>
        </w:rPr>
        <w:instrText>ADDIN CSL_CITATION {"citationItems":[{"id":"ITEM-1","itemData":{"DOI":"10.1213/01.ane.0000199156.59226.af","ISSN":"00032999","abstract":"Postoperative delirium is common in geriatric patients. Few studies have examined events in the postoperative period that may contribute to the occurrence of postoperative delirium. We hypothesized that postoperative delirium is related to postoperative pain and/or pain management strategy. Patients aged ≥65 years who were scheduled for major noncardiac surgery were studied. A structured interview was conducted preoperatively and for the first 3 postoperative days to determine the presence of delirium using the Confusion Assessment Method. The method of postoperative pain management, as well as pre- and postoperative medications for the first 3 days, was collected. Pre- and postoperative pain at rest and with movement was recorded using the Visual Analog Scale. Three hundred thirty-three patients, with a mean age of 74 ± 6 years, were studied. After surgery, 46% of patients developed postoperative delirium. By multivariate logistic regression, age (odds ratio [OR], 2.5; 95% confidence interval [CI] 1.5 to 4.2), moderate (OR, 2.2; 95% CI 1.2 to 4.0) and severe (OR, 3.7; 95% CI 1.5 to 9.0) preoperative resting pain, and increase in level of pain from baseline to postoperative day one (OR, 1.1; 95% CI 1.01 to 1.2) were independently associated with a greater risk for the development of postoperative delirium. In contrast, patients who used oral opioid analgesics as their sole means of postoperative pain control were at decreased risk of developing delirium in comparison with those who used opioid analgesics via IV patient-controlled analgesia technique (OR, 0.4; 95% CI 0.2 to 0.7). These results validate our hypothesis that pain and pain management strategies are important factors related to the development of postoperative delirium in elderly patients. ©2006 by the International Anesthesia Research Society.","author":[{"dropping-particle":"","family":"Vaurio","given":"Linnea E.","non-dropping-particle":"","parse-names":false,"suffix":""},{"dropping-particle":"","family":"Sands","given":"Laura P.","non-dropping-particle":"","parse-names":false,"suffix":""},{"dropping-particle":"","family":"Wang","given":"Yun","non-dropping-particle":"","parse-names":false,"suffix":""},{"dropping-particle":"","family":"Mullen","given":"E. Ann","non-dropping-particle":"","parse-names":false,"suffix":""},{"dropping-particle":"","family":"Leung","given":"Jacqueline M.","non-dropping-particle":"","parse-names":false,"suffix":""}],"container-title":"Anesthesia and Analgesia","id":"ITEM-1","issue":"4","issued":{"date-parts":[["2006","4"]]},"page":"1267-1273","title":"Postoperative delirium: The importance of pain and pain management","type":"article-journal","volume":"102"},"uris":["http://www.mendeley.com/documents/?uuid=2bb20894-16cb-4c83-b5b5-7a0694a9a686"]}],"mendeley":{"formattedCitation":"&lt;sup&gt;19&lt;/sup&gt;","plainTextFormattedCitation":"19","previouslyFormattedCitation":"&lt;sup&gt;19&lt;/sup&gt;"},"properties":{"noteIndex":0},"schema":"https://github.com/citation-style-language/schema/raw/master/csl-citation.json"}</w:instrText>
      </w:r>
      <w:r>
        <w:rPr>
          <w:sz w:val="20"/>
          <w:szCs w:val="20"/>
          <w:vertAlign w:val="superscript"/>
        </w:rPr>
        <w:fldChar w:fldCharType="separate"/>
      </w:r>
      <w:r>
        <w:rPr>
          <w:sz w:val="20"/>
          <w:szCs w:val="20"/>
          <w:vertAlign w:val="superscript"/>
        </w:rPr>
        <w:t>19</w:t>
      </w:r>
      <w:r>
        <w:rPr>
          <w:sz w:val="20"/>
          <w:szCs w:val="20"/>
          <w:vertAlign w:val="superscript"/>
        </w:rPr>
        <w:fldChar w:fldCharType="end"/>
      </w:r>
      <w:r>
        <w:rPr>
          <w:sz w:val="20"/>
          <w:szCs w:val="20"/>
        </w:rPr>
        <w:t xml:space="preserve"> whereas effective pain relief may reduce delirium.</w:t>
      </w:r>
      <w:r>
        <w:rPr>
          <w:sz w:val="20"/>
          <w:szCs w:val="20"/>
          <w:vertAlign w:val="superscript"/>
        </w:rPr>
        <w:fldChar w:fldCharType="begin" w:fldLock="1"/>
      </w:r>
      <w:r>
        <w:rPr>
          <w:sz w:val="20"/>
          <w:szCs w:val="20"/>
          <w:vertAlign w:val="superscript"/>
        </w:rPr>
        <w:instrText>ADDIN CSL_CITATION {"citationItems":[{"id":"ITEM-1","itemData":{"DOI":"10.1097/ACO.0b013e32833020dc","ISSN":"1473-6500","PMID":"19623056","abstract":"PURPOSE OF REVIEW To review the rational for use of the many regional anesthetic/analgesic techniques and acute pain management modalities in the elderly and cognitively impaired high-risk patients, as increasing numbers of older adults are presenting for surgery. RECENT FINDINGS There are numerous studies examining short and long-term consequences of regional anesthesia/analgesia along with identification of the many potential advantages, but those studying the influence and potential benefits in elderly and cognitively impaired patients are only beginning to be developed as issues related to cognitive dysfunction associated with surgery/anesthesia are beginning to be observed. SUMMARY Pain management therapy, including regional anesthesia, along with multimodal analgesia may help reduce the risk of negative influences in the elderly patient along with reducing postoperative delirium and cognitive dysfunction. Improvements in analgesic efficacy with regional anesthesia may attenuate pathophysiological surgical responses, reduce the length of hospitalization, and accelerate patient rehabilitation and recovery. Analgesic techniques that provide optimal pain control and low side effect profiles with minimal opioid exposure should always be considered for elderly high-risk and cognitively impaired patients.","author":[{"dropping-particle":"","family":"Halaszynski","given":"Thomas M.","non-dropping-particle":"","parse-names":false,"suffix":""}],"container-title":"Current opinion in anaesthesiology","id":"ITEM-1","issue":"5","issued":{"date-parts":[["2009","10"]]},"page":"594-9","title":"Pain management in the elderly and cognitively impaired patient: the role of regional anesthesia and analgesia.","type":"article-journal","volume":"22"},"uris":["http://www.mendeley.com/documents/?uuid=1697d32d-f8d6-4058-8031-8792efa05c1e"]}],"mendeley":{"formattedCitation":"&lt;sup&gt;20&lt;/sup&gt;","plainTextFormattedCitation":"20","previouslyFormattedCitation":"&lt;sup&gt;20&lt;/sup&gt;"},"properties":{"noteIndex":0},"schema":"https://github.com/citation-style-language/schema/raw/master/csl-citation.json"}</w:instrText>
      </w:r>
      <w:r>
        <w:rPr>
          <w:sz w:val="20"/>
          <w:szCs w:val="20"/>
          <w:vertAlign w:val="superscript"/>
        </w:rPr>
        <w:fldChar w:fldCharType="separate"/>
      </w:r>
      <w:r>
        <w:rPr>
          <w:sz w:val="20"/>
          <w:szCs w:val="20"/>
          <w:vertAlign w:val="superscript"/>
        </w:rPr>
        <w:t>20</w:t>
      </w:r>
      <w:r>
        <w:rPr>
          <w:sz w:val="20"/>
          <w:szCs w:val="20"/>
          <w:vertAlign w:val="superscript"/>
        </w:rPr>
        <w:fldChar w:fldCharType="end"/>
      </w:r>
      <w:r>
        <w:rPr>
          <w:sz w:val="20"/>
          <w:szCs w:val="20"/>
          <w:vertAlign w:val="superscript"/>
        </w:rPr>
        <w:t>,</w:t>
      </w:r>
      <w:r>
        <w:rPr>
          <w:sz w:val="20"/>
          <w:szCs w:val="20"/>
          <w:vertAlign w:val="superscript"/>
        </w:rPr>
        <w:fldChar w:fldCharType="begin" w:fldLock="1"/>
      </w:r>
      <w:r>
        <w:rPr>
          <w:sz w:val="20"/>
          <w:szCs w:val="20"/>
          <w:vertAlign w:val="superscript"/>
        </w:rPr>
        <w:instrText>ADDIN CSL_CITATION {"citationItems":[{"id":"ITEM-1","itemData":{"DOI":"10.1016/j.aorn.2008.12.026","ISSN":"00012092","abstract":"Emergence delirium is a condition that can affect all segments of the postoperative population, but is seen most often in pediatric and older adult patients. Most cases of emergence delirium resolve quickly and without incident; however, severe episodes may lead to increased incidence of injury to both patients and staff members and increased costs. To minimize the incidence of emergence delirium and treat it when it occurs, perioperative nurses must be aware of the risk factors that contribute to this condition, including the patient's age, type of anesthesia, anxiety level, level of postoperative pain, and preexisting medical conditions. Copyright (c) AORN, Inc, 2009.","author":[{"dropping-particle":"","family":"Hudek","given":"Kim","non-dropping-particle":"","parse-names":false,"suffix":""}],"container-title":"AORN journal","id":"ITEM-1","issue":"3","issued":{"date-parts":[["2009","3"]]},"page":"509-520","title":"Emergence delirium: a nursing perspective.","type":"article-journal","volume":"89"},"uris":["http://www.mendeley.com/documents/?uuid=00306eea-be0f-42a9-b1a4-5ce887ba3366"]}],"mendeley":{"formattedCitation":"&lt;sup&gt;21&lt;/sup&gt;","plainTextFormattedCitation":"21","previouslyFormattedCitation":"&lt;sup&gt;21&lt;/sup&gt;"},"properties":{"noteIndex":0},"schema":"https://github.com/citation-style-language/schema/raw/master/csl-citation.json"}</w:instrText>
      </w:r>
      <w:r>
        <w:rPr>
          <w:sz w:val="20"/>
          <w:szCs w:val="20"/>
          <w:vertAlign w:val="superscript"/>
        </w:rPr>
        <w:fldChar w:fldCharType="separate"/>
      </w:r>
      <w:r>
        <w:rPr>
          <w:sz w:val="20"/>
          <w:szCs w:val="20"/>
          <w:vertAlign w:val="superscript"/>
        </w:rPr>
        <w:t>21</w:t>
      </w:r>
      <w:r>
        <w:rPr>
          <w:sz w:val="20"/>
          <w:szCs w:val="20"/>
          <w:vertAlign w:val="superscript"/>
        </w:rPr>
        <w:fldChar w:fldCharType="end"/>
      </w:r>
      <w:r>
        <w:rPr>
          <w:sz w:val="20"/>
          <w:szCs w:val="20"/>
        </w:rPr>
        <w:t xml:space="preserve"> Our results showed that high cortisol level predicted the occurrence of delirium after either cardiac and non-cardiac surgeries.</w:t>
      </w:r>
      <w:r>
        <w:rPr>
          <w:sz w:val="20"/>
          <w:szCs w:val="20"/>
          <w:vertAlign w:val="superscript"/>
        </w:rPr>
        <w:fldChar w:fldCharType="begin" w:fldLock="1"/>
      </w:r>
      <w:r>
        <w:rPr>
          <w:sz w:val="20"/>
          <w:szCs w:val="20"/>
          <w:vertAlign w:val="superscript"/>
        </w:rPr>
        <w:instrText>ADDIN CSL_CITATION {"citationItems":[{"id":"ITEM-1","itemData":{"DOI":"10.1186/cc9393","ISSN":"13648535","PMID":"21192800","abstract":"Introduction: The pathophysiology of postoperative delirium remains poorly understood. The purpose of this study was to examine the relationship between serum cortisol level and occurrence of early postoperative delirium in patients undergoing coronary artery bypass graft (CABG) surgery.Methods: A total of 243 patients undergoing elective CABG surgery were enrolled. Patients were examined twice daily during the first five postoperative days and postoperative delirium was diagnosed by using the Confusion Assessment Method for the Intensive Care Unit (CAM-ICU). Blood samples were obtained between 7 a.m. and 8 a.m. on the first postoperative day and serum cortisol concentrations were then measured. Multivariate logistic regression analyses were performed to identify risk factors of postoperative delirium.Results: Postoperative delirium occurred in 50.6% (123 of 243) of patients. High serum cortisol level was significantly associated with increased risk of postoperative delirium (OR 3.091, 95% CI 1.763-5.418, P &lt; 0.001). Other independent risk factors of postoperative delirium included increasing age (OR 1.111, 95% CI 1.065-1.159, P &lt; 0.001), history of diabetes mellitus (OR 1.905, 95% CI 1.001-3.622, P = 0.049), prolonged duration of surgery (OR 1.360, 95% CI 1.010-1.831, P = 0.043), and occurrence of complications within the first day after surgery (OR 2.485, 95% CI 1.184-5.214, P = 0.016). Patients who developed postoperative delirium had a higher incidence of postoperative complications and a prolonged duration of postoperative ICU and hospital stay.Conclusions: Delirium was a common complication after CABG surgery. High serum cortisol level was associated with increased risk of postoperative delirium. Patients who developed delirium had outcomes worse than those who did not. © 2010 Mu et al.; licensee BioMed Central Ltd.","author":[{"dropping-particle":"","family":"Mu","given":"Dong Liang","non-dropping-particle":"","parse-names":false,"suffix":""},{"dropping-particle":"","family":"Wang","given":"Dong Xin","non-dropping-particle":"","parse-names":false,"suffix":""},{"dropping-particle":"","family":"Li","given":"Li Huan","non-dropping-particle":"","parse-names":false,"suffix":""},{"dropping-particle":"","family":"Shan","given":"Guo Jin","non-dropping-particle":"","parse-names":false,"suffix":""},{"dropping-particle":"","family":"Li","given":"Jun","non-dropping-particle":"","parse-names":false,"suffix":""},{"dropping-particle":"","family":"Yu","given":"Qin Jun","non-dropping-particle":"","parse-names":false,"suffix":""},{"dropping-particle":"","family":"Shi","given":"Chun Xia","non-dropping-particle":"","parse-names":false,"suffix":""}],"container-title":"Critical Care","id":"ITEM-1","issue":"6","issued":{"date-parts":[["2010"]]},"page":"R238","title":"High serum cortisol level is associated with increased risk of delirium after coronary artery bypass graft surgery: A prospective cohort study","type":"article-journal","volume":"14"},"uris":["http://www.mendeley.com/documents/?uuid=ed945755-312c-4afd-8394-df6b07506677"]}],"mendeley":{"formattedCitation":"&lt;sup&gt;4&lt;/sup&gt;","plainTextFormattedCitation":"4","previouslyFormattedCitation":"&lt;sup&gt;4&lt;/sup&gt;"},"properties":{"noteIndex":0},"schema":"https://github.com/citation-style-language/schema/raw/master/csl-citation.json"}</w:instrText>
      </w:r>
      <w:r>
        <w:rPr>
          <w:sz w:val="20"/>
          <w:szCs w:val="20"/>
          <w:vertAlign w:val="superscript"/>
        </w:rPr>
        <w:fldChar w:fldCharType="separate"/>
      </w:r>
      <w:r>
        <w:rPr>
          <w:sz w:val="20"/>
          <w:szCs w:val="20"/>
          <w:vertAlign w:val="superscript"/>
        </w:rPr>
        <w:t>4</w:t>
      </w:r>
      <w:r>
        <w:rPr>
          <w:sz w:val="20"/>
          <w:szCs w:val="20"/>
          <w:vertAlign w:val="superscript"/>
        </w:rPr>
        <w:fldChar w:fldCharType="end"/>
      </w:r>
      <w:r>
        <w:rPr>
          <w:sz w:val="20"/>
          <w:szCs w:val="20"/>
          <w:vertAlign w:val="superscript"/>
        </w:rPr>
        <w:t>,</w:t>
      </w:r>
      <w:r>
        <w:rPr>
          <w:sz w:val="20"/>
          <w:szCs w:val="20"/>
          <w:vertAlign w:val="superscript"/>
        </w:rPr>
        <w:fldChar w:fldCharType="begin" w:fldLock="1"/>
      </w:r>
      <w:r>
        <w:rPr>
          <w:sz w:val="20"/>
          <w:szCs w:val="20"/>
          <w:vertAlign w:val="superscript"/>
        </w:rPr>
        <w:instrText>ADDIN CSL_CITATION {"citationItems":[{"id":"ITEM-1","itemData":{"DOI":"10.3760/cma.j.issn.0366-6999.2010.08.004","ISSN":"03666999","PMID":"20497703","abstract":"Background Delirium is a common and deleterious complication in critically ill patients after surgery. The purpose of this study was to determine the incidence and risk factors of delirium in critically ill patients after non-cardiac surgery, and to investigate the relationship between the serum cortisol level and the occurrence of postoperative delirium. Methods In a prospective cohort study, 164 consecutive patients who were admitted to the surgical intensive care unit after non-cardiac surgery were enrolled. Baseline characteristics and perioperative variables were collected. Blood samples were obtained on the first postoperative day and serum cortisol concentrations were measured. Delirium was assessed using the Nursing Delirium Screening Scale until the seventh postoperative day or the disappearance of delirious symptoms. Results Postoperative delirium occurred in 44.5% of patients (73 of 164). The median time to first onset of delirium is 0 (range 0 to 5 days) and the median duration of delirium is 3 (1 to 13) days. Independent risk factors of postoperative delirium included increasing age (odds ratio (OR) 2.646, 95% confidence interval (CI) 1.431 to 4.890, P=0.002), a history of previous stroke (OR 4.499, 95%CI 1.228 to 16.481, P=0.023), high Acute Physiology and Chronic Health Evaluation II score on surgical intensive care unite admission (OR 1.391, 95%CI 1.201 to 1.612, P &lt;0.001), and high serum cortisol level on the 1st postoperative day (OR 3.381, 95%CI 1.690 to 6.765, P=0.001). The development of delirium was linked to higher incidence of postoperative complications (28.8% vs. 7.7%, P &lt;0.001), and longer duration of hospitalization (18 (7 to 74) days vs. 13 (3 to 48) days, P &lt;0.001). Conclusions Delirium was a frequent complication in critically ill patients after non-cardiac surgery. High serum cortisol level was associated with increased incidence of postoperative delirium.","author":[{"dropping-particle":"","family":"Shi","given":"Cheng Mei","non-dropping-particle":"","parse-names":false,"suffix":""},{"dropping-particle":"","family":"Wang","given":"Dong Xin","non-dropping-particle":"","parse-names":false,"suffix":""},{"dropping-particle":"","family":"Chen","given":"Kai Sheng","non-dropping-particle":"","parse-names":false,"suffix":""},{"dropping-particle":"","family":"Gu","given":"Xiu E.","non-dropping-particle":"","parse-names":false,"suffix":""}],"container-title":"Chinese Medical Journal","id":"ITEM-1","issue":"8","issued":{"date-parts":[["2010","4","20"]]},"page":"993-999","title":"Incidence and risk factors of delirium in critically ill patients after non-cardiac surgery","type":"article-journal","volume":"123"},"uris":["http://www.mendeley.com/documents/?uuid=377f6933-48e7-494f-bba4-92fe253fdd89"]}],"mendeley":{"formattedCitation":"&lt;sup&gt;5&lt;/sup&gt;","plainTextFormattedCitation":"5","previouslyFormattedCitation":"&lt;sup&gt;5&lt;/sup&gt;"},"properties":{"noteIndex":0},"schema":"https://github.com/citation-style-language/schema/raw/master/csl-citation.json"}</w:instrText>
      </w:r>
      <w:r>
        <w:rPr>
          <w:sz w:val="20"/>
          <w:szCs w:val="20"/>
          <w:vertAlign w:val="superscript"/>
        </w:rPr>
        <w:fldChar w:fldCharType="separate"/>
      </w:r>
      <w:r>
        <w:rPr>
          <w:sz w:val="20"/>
          <w:szCs w:val="20"/>
          <w:vertAlign w:val="superscript"/>
        </w:rPr>
        <w:t>5</w:t>
      </w:r>
      <w:r>
        <w:rPr>
          <w:sz w:val="20"/>
          <w:szCs w:val="20"/>
          <w:vertAlign w:val="superscript"/>
        </w:rPr>
        <w:fldChar w:fldCharType="end"/>
      </w:r>
      <w:r>
        <w:rPr>
          <w:sz w:val="20"/>
          <w:szCs w:val="20"/>
        </w:rPr>
        <w:t xml:space="preserve"> In other studies, serum level of inflammatory cytokines (interleukin [IL]-6 and IL-8) were significantly higher in patients who developed delirium.</w:t>
      </w:r>
      <w:r>
        <w:rPr>
          <w:sz w:val="20"/>
          <w:szCs w:val="20"/>
          <w:vertAlign w:val="superscript"/>
        </w:rPr>
        <w:fldChar w:fldCharType="begin" w:fldLock="1"/>
      </w:r>
      <w:r>
        <w:rPr>
          <w:sz w:val="20"/>
          <w:szCs w:val="20"/>
          <w:vertAlign w:val="superscript"/>
        </w:rPr>
        <w:instrText>ADDIN CSL_CITATION {"citationItems":[{"id":"ITEM-1","itemData":{"DOI":"10.1093/gerona/63.2.184","ISSN":"10795006","PMID":"18314455","abstract":"Background. Delirium has been hypothesized to be a central nervous system response to systemic inflammation during a state of blood-brain barrier compromise. The purpose of this study was to compare postoperative changes in groups of inflammatory markers in persons who developed delirium following cardiac surgery and matched controls without delirium. Methods. Serum samples were drawn from 42 patients undergoing cardiac surgery preoperatively and postoperatively at 6 hours and postoperative day 4. The serum concentrations of 28 inflammatory markers were determined with a microsphere flow cytometer. A priori, inflammatory markers were assigned to five classes of cytokines. A class z score was calculated by averaging the standardized, normalized levels of the markers in each class. Beginning on postoperative day 2, patients underwent a daily delirium assessment. Results. Twelve patients with delirium were matched by surgical duration, age, and baseline cognition to 12 patients without delirium. At the 6-hour time point, patients who went on to develop delirium had higher increases of chemokines compared to matched controls (class z score 0.3 ± 1.0, p &lt; .05). Among the five classes of cytokines, there were no other significant differences between patients with or without delirium at either the 6 hour or postoperative day 4 assessments. Conclusion. After cardiac surgery, chemokine levels were elevated in patients who developed delirium in the early postoperative period. Because chemokines are capable of disrupting blood-brain barrier integrity in vitro, future studies are needed to define the relationship of these inflammatory mediators to delirium pathogenesis. Copyright 2008 by The Gerontological Society of America.","author":[{"dropping-particle":"","family":"Rudolph","given":"James L.","non-dropping-particle":"","parse-names":false,"suffix":""},{"dropping-particle":"","family":"Ramlawi","given":"Basel","non-dropping-particle":"","parse-names":false,"suffix":""},{"dropping-particle":"","family":"Kuchel","given":"George A.","non-dropping-particle":"","parse-names":false,"suffix":""},{"dropping-particle":"","family":"McElhaney","given":"Janet E.","non-dropping-particle":"","parse-names":false,"suffix":""},{"dropping-particle":"","family":"Xie","given":"Dongxu","non-dropping-particle":"","parse-names":false,"suffix":""},{"dropping-particle":"","family":"Sellke","given":"Frank W.","non-dropping-particle":"","parse-names":false,"suffix":""},{"dropping-particle":"","family":"Khabbaz","given":"Kamal","non-dropping-particle":"","parse-names":false,"suffix":""},{"dropping-particle":"","family":"Levkoff","given":"Sue E.","non-dropping-particle":"","parse-names":false,"suffix":""},{"dropping-particle":"","family":"Marcantonio","given":"Edward R.","non-dropping-particle":"","parse-names":false,"suffix":""}],"container-title":"Journals of Gerontology - Series A Biological Sciences and Medical Sciences","id":"ITEM-1","issue":"2","issued":{"date-parts":[["2008","2","1"]]},"page":"184-189","title":"Chemokines are associated with delirium after cardiac surgery","type":"article-journal","volume":"63"},"uris":["http://www.mendeley.com/documents/?uuid=1eb29b0a-417e-4c47-88bd-4e33b00d1a3f"]}],"mendeley":{"formattedCitation":"&lt;sup&gt;22&lt;/sup&gt;","plainTextFormattedCitation":"22","previouslyFormattedCitation":"&lt;sup&gt;22&lt;/sup&gt;"},"properties":{"noteIndex":0},"schema":"https://github.com/citation-style-language/schema/raw/master/csl-citation.json"}</w:instrText>
      </w:r>
      <w:r>
        <w:rPr>
          <w:sz w:val="20"/>
          <w:szCs w:val="20"/>
          <w:vertAlign w:val="superscript"/>
        </w:rPr>
        <w:fldChar w:fldCharType="separate"/>
      </w:r>
      <w:r>
        <w:rPr>
          <w:sz w:val="20"/>
          <w:szCs w:val="20"/>
          <w:vertAlign w:val="superscript"/>
        </w:rPr>
        <w:t>22</w:t>
      </w:r>
      <w:r>
        <w:rPr>
          <w:sz w:val="20"/>
          <w:szCs w:val="20"/>
          <w:vertAlign w:val="superscript"/>
        </w:rPr>
        <w:fldChar w:fldCharType="end"/>
      </w:r>
      <w:r>
        <w:rPr>
          <w:sz w:val="20"/>
          <w:szCs w:val="20"/>
          <w:vertAlign w:val="superscript"/>
        </w:rPr>
        <w:t>,</w:t>
      </w:r>
      <w:r>
        <w:rPr>
          <w:sz w:val="20"/>
          <w:szCs w:val="20"/>
          <w:vertAlign w:val="superscript"/>
        </w:rPr>
        <w:fldChar w:fldCharType="begin" w:fldLock="1"/>
      </w:r>
      <w:r>
        <w:rPr>
          <w:sz w:val="20"/>
          <w:szCs w:val="20"/>
          <w:vertAlign w:val="superscript"/>
        </w:rPr>
        <w:instrText>ADDIN CSL_CITATION {"citationItems":[{"id":"ITEM-1","itemData":{"DOI":"10.1016/j.jpsychores.2006.11.013","ISSN":"00223999","abstract":"Objective: This study aimed to examine the expression patterns of pro- and anti-inflammatory cytokines in elderly patients with and without delirium who were acutely admitted to the hospital. Methods: All consecutive patients aged 65 years and older, who were acutely admitted to the Department of Internal Medicine of the Academic Medical Center, Amsterdam, a tertiary university teaching hospital, were invited. Members of the geriatric consultation team completed a multidisciplinary evaluation for all study participants within 48 h after admission, including cognitive and functional examination by validated measures of delirium, memory, and executive function. C-reactive protein and cytokines (IL-1β, IL-6, TNF-α, IL-8, and IL-10) were determined within 3 days after admission. Results: In total, 185 patients were included; mean age was 79 years; 42% were male; and 34.6% developed delirium within 48 h after admission. Compared to patients without delirium, patients with delirium were older and had experienced preexistent cognitive impairment more often. In patients with delirium, significantly more IL-6 levels (53% vs. 31%) and IL-8 levels (45% vs. 22%) were above the detection limit as compared with patients who did not have delirium. After adjusting for infection, age, and cognitive impairment, these differences were still significant. Conclusions: Proinflammatory cytokines may contribute to the pathogenesis of delirium in acutely admitted elderly patients. © 2007 Elsevier Inc. All rights reserved.","author":[{"dropping-particle":"","family":"Rooij","given":"Sophia E.","non-dropping-particle":"de","parse-names":false,"suffix":""},{"dropping-particle":"","family":"Munster","given":"Barbara C.","non-dropping-particle":"van","parse-names":false,"suffix":""},{"dropping-particle":"","family":"Korevaar","given":"Johanna C.","non-dropping-particle":"","parse-names":false,"suffix":""},{"dropping-particle":"","family":"Levi","given":"Marcel","non-dropping-particle":"","parse-names":false,"suffix":""}],"container-title":"Journal of Psychosomatic Research","id":"ITEM-1","issue":"5","issued":{"date-parts":[["2007","5"]]},"page":"521-525","title":"Cytokines and acute phase response in delirium","type":"article-journal","volume":"62"},"uris":["http://www.mendeley.com/documents/?uuid=198c28c2-4e82-490a-b623-de260188ef44"]}],"mendeley":{"formattedCitation":"&lt;sup&gt;23&lt;/sup&gt;","plainTextFormattedCitation":"23","previouslyFormattedCitation":"&lt;sup&gt;23&lt;/sup&gt;"},"properties":{"noteIndex":0},"schema":"https://github.com/citation-style-language/schema/raw/master/csl-citation.json"}</w:instrText>
      </w:r>
      <w:r>
        <w:rPr>
          <w:sz w:val="20"/>
          <w:szCs w:val="20"/>
          <w:vertAlign w:val="superscript"/>
        </w:rPr>
        <w:fldChar w:fldCharType="separate"/>
      </w:r>
      <w:r>
        <w:rPr>
          <w:sz w:val="20"/>
          <w:szCs w:val="20"/>
          <w:vertAlign w:val="superscript"/>
        </w:rPr>
        <w:t>23</w:t>
      </w:r>
      <w:r>
        <w:rPr>
          <w:sz w:val="20"/>
          <w:szCs w:val="20"/>
          <w:vertAlign w:val="superscript"/>
        </w:rPr>
        <w:fldChar w:fldCharType="end"/>
      </w:r>
      <w:r>
        <w:rPr>
          <w:sz w:val="20"/>
          <w:szCs w:val="20"/>
          <w:vertAlign w:val="superscript"/>
        </w:rPr>
        <w:t>,</w:t>
      </w:r>
      <w:r>
        <w:rPr>
          <w:sz w:val="20"/>
          <w:szCs w:val="20"/>
          <w:vertAlign w:val="superscript"/>
        </w:rPr>
        <w:fldChar w:fldCharType="begin" w:fldLock="1"/>
      </w:r>
      <w:r>
        <w:rPr>
          <w:sz w:val="20"/>
          <w:szCs w:val="20"/>
          <w:vertAlign w:val="superscript"/>
        </w:rPr>
        <w:instrText>ADDIN CSL_CITATION {"citationItems":[{"id":"ITEM-1","itemData":{"DOI":"10.1111/j.1532-5415.2008.01851.x","ISSN":"00028614","abstract":"OBJECTIVES: To compare the time-course of cytokine levels in patients with and without delirium and investigate differences in cytokine concentrations in delirium subtypes. DESIGN: Prospective cohort study. SETTING: Academic Medical Center, Amsterdam, 2005 through 2007. PARTICIPANTS: Patients aged 65 and older admitted for surgery after hip fracture. MEASUREMENTS: Experienced geriatric physicians used the Confusion Assessment Method to assess delirium and the Delirium Symptom Interview to assess delirium subtype. Tumor necrosis factor alpha (TNF-α) and interleukin (IL)-1β, IL-6, IL-8, IL-10, and IL-12 were assayed in repeated serum samples using a cytometric bead array immunoassay. RESULTS: Of 221 admitted patients, 98 (mean age 84, 50 patients with delirium) were included, resulting in a total of 324 samples. Ninety-six percent of these samples had TNF-α, IL-1β, and IL-10 levels below the reliable detection level. Differences between patients with and without delirium were observed in IL-6 (median 51 vs 36 pg/mL, P=.01) and IL-8 (median 15 vs 9 pg/mL, P=.03) levels. Changes over time in IL-6 and IL-8 levels in patients with delirium differed significantly from changes in levels in patients without delirium. The highest levels of IL-6 were present during delirium, and the highest levels of IL-8 were present before the development of delirium. Patients with the hyperactive (median 71 pg/mL) or mixed (median 73 pg/mL) subtype of delirium had higher IL-6 levels than patients with hypoactive delirium (median 16 pg/mL) (P=.02). CONCLUSION: IL-6 and IL-8 may contribute to the pathogenesis of postoperative delirium in elderly people. IL-6 may play a role in the hyperactive behavior of delirium. © 2008, Copyright the Authors.","author":[{"dropping-particle":"","family":"Munster","given":"Barbara C.","non-dropping-particle":"Van","parse-names":false,"suffix":""},{"dropping-particle":"","family":"Korevaar","given":"Johanna C.","non-dropping-particle":"","parse-names":false,"suffix":""},{"dropping-particle":"","family":"Zwinderman","given":"Aeilko H.","non-dropping-particle":"","parse-names":false,"suffix":""},{"dropping-particle":"","family":"Levi","given":"Marcel","non-dropping-particle":"","parse-names":false,"suffix":""},{"dropping-particle":"","family":"Wiersinga","given":"W. Joost","non-dropping-particle":"","parse-names":false,"suffix":""},{"dropping-particle":"","family":"Rooij","given":"Sophia E.","non-dropping-particle":"De","parse-names":false,"suffix":""}],"container-title":"Journal of the American Geriatrics Society","id":"ITEM-1","issue":"9","issued":{"date-parts":[["2008","9"]]},"page":"1704-1709","title":"Time-course of cytokines during delirium in elderly patients with hip fractures","type":"article-journal","volume":"56"},"uris":["http://www.mendeley.com/documents/?uuid=cf6fc604-a141-4db7-9f48-9a6545086aac"]}],"mendeley":{"formattedCitation":"&lt;sup&gt;24&lt;/sup&gt;","plainTextFormattedCitation":"24","previouslyFormattedCitation":"&lt;sup&gt;24&lt;/sup&gt;"},"properties":{"noteIndex":0},"schema":"https://github.com/citation-style-language/schema/raw/master/csl-citation.json"}</w:instrText>
      </w:r>
      <w:r>
        <w:rPr>
          <w:sz w:val="20"/>
          <w:szCs w:val="20"/>
          <w:vertAlign w:val="superscript"/>
        </w:rPr>
        <w:fldChar w:fldCharType="separate"/>
      </w:r>
      <w:r>
        <w:rPr>
          <w:sz w:val="20"/>
          <w:szCs w:val="20"/>
          <w:vertAlign w:val="superscript"/>
        </w:rPr>
        <w:t>24</w:t>
      </w:r>
      <w:r>
        <w:rPr>
          <w:sz w:val="20"/>
          <w:szCs w:val="20"/>
          <w:vertAlign w:val="superscript"/>
        </w:rPr>
        <w:fldChar w:fldCharType="end"/>
      </w:r>
    </w:p>
    <w:p w14:paraId="5CB41840" w14:textId="77777777" w:rsidR="00555164" w:rsidRDefault="00555164">
      <w:pPr>
        <w:spacing w:before="50" w:after="50"/>
        <w:rPr>
          <w:sz w:val="20"/>
          <w:szCs w:val="20"/>
        </w:rPr>
      </w:pPr>
    </w:p>
    <w:p w14:paraId="04134989" w14:textId="20B7B381" w:rsidR="00555164" w:rsidRDefault="002C73C0">
      <w:pPr>
        <w:spacing w:before="50" w:after="50"/>
        <w:rPr>
          <w:sz w:val="20"/>
          <w:szCs w:val="20"/>
        </w:rPr>
      </w:pPr>
      <w:r>
        <w:rPr>
          <w:sz w:val="20"/>
          <w:szCs w:val="20"/>
        </w:rPr>
        <w:t xml:space="preserve">    Opioid is the mainstay of perioperative analgesia. However, high-dose opioids increase not only nausea and vomiting</w:t>
      </w:r>
      <w:r>
        <w:rPr>
          <w:sz w:val="20"/>
          <w:szCs w:val="20"/>
        </w:rPr>
        <w:fldChar w:fldCharType="begin" w:fldLock="1"/>
      </w:r>
      <w:r>
        <w:rPr>
          <w:sz w:val="20"/>
          <w:szCs w:val="20"/>
        </w:rPr>
        <w:instrText>ADDIN CSL_CITATION {"citationItems":[{"id":"ITEM-1","itemData":{"DOI":"10.1111/j.1526-4637.2009.00583.x","ISSN":"1526-2375","author":[{"dropping-particle":"","family":"Porreca","given":"Frank","non-dropping-particle":"","parse-names":false,"suffix":""},{"dropping-particle":"","family":"Ossipov","given":"Michael H.","non-dropping-particle":"","parse-names":false,"suffix":""}],"container-title":"Pain Medicine","id":"ITEM-1","issue":"4","issued":{"date-parts":[["2009","5","1"]]},"page":"654-662","title":"Nausea and Vomiting Side Effects with Opioid Analgesics during Treatment of Chronic Pain: Mechanisms, Implications, and Management Options","type":"article-journal","volume":"10"},"uris":["http://www.mendeley.com/documents/?uuid=65c26e12-1bac-4921-875d-e561669e346d"]}],"mendeley":{"formattedCitation":"&lt;sup&gt;25&lt;/sup&gt;","plainTextFormattedCitation":"25","previouslyFormattedCitation":"&lt;sup&gt;25&lt;/sup&gt;"},"properties":{"noteIndex":0},"schema":"https://github.com/citation-style-language/schema/raw/master/csl-citation.json"}</w:instrText>
      </w:r>
      <w:r>
        <w:rPr>
          <w:sz w:val="20"/>
          <w:szCs w:val="20"/>
        </w:rPr>
        <w:fldChar w:fldCharType="separate"/>
      </w:r>
      <w:r>
        <w:rPr>
          <w:sz w:val="20"/>
          <w:szCs w:val="20"/>
          <w:vertAlign w:val="superscript"/>
        </w:rPr>
        <w:t>25</w:t>
      </w:r>
      <w:r>
        <w:rPr>
          <w:sz w:val="20"/>
          <w:szCs w:val="20"/>
        </w:rPr>
        <w:fldChar w:fldCharType="end"/>
      </w:r>
      <w:r>
        <w:rPr>
          <w:sz w:val="20"/>
          <w:szCs w:val="20"/>
        </w:rPr>
        <w:t xml:space="preserve"> but also delirium occurrence.</w:t>
      </w:r>
      <w:r>
        <w:rPr>
          <w:sz w:val="20"/>
          <w:szCs w:val="20"/>
          <w:vertAlign w:val="superscript"/>
        </w:rPr>
        <w:fldChar w:fldCharType="begin" w:fldLock="1"/>
      </w:r>
      <w:r>
        <w:rPr>
          <w:sz w:val="20"/>
          <w:szCs w:val="20"/>
          <w:vertAlign w:val="superscript"/>
        </w:rPr>
        <w:instrText>ADDIN CSL_CITATION {"citationItems":[{"id":"ITEM-1","itemData":{"DOI":"10.1097/CCM.0b013e318192fcf9","ISSN":"15300293","abstract":"OBJECTIVE:: There is a high prevalence of delirium in older medical intensive care unit (ICU) patients and delirium is associated with adverse outcomes. We need to identify modifiable risk factors for delirium, such as medication use, in the ICU. The objective of this study was to examine the impact of benzodiazepine or opioid use on the duration of ICU delirium in an older medical population. DESIGN:: Prospective cohort study. SETTING:: Fourteen-bed medical intensive care unit in an urban university teaching hospital. PATIENTS:: 304 consecutive admissions age 60 and older. INTERVENTIONS:: None. MAIN OUTCOME MEASUREMENTS:: The main outcome measure was duration of ICU delirium, specifically the first episode of ICU delirium. Patients were assessed daily for delirium with the Confusion Assessment Method for the ICU and a validated chart review method. Our main predictor was receiving benzodiazepines or opioids during ICU stay. A multivariable model was developed using Poisson rate regression. RESULTS:: Delirium occurred in 239 of 304 patients (79%). The median duration of ICU delirium was 3 days with a range of 1-33 days. In a multivariable regression model, receipt of a benzodiazepine or opioid (rate ratio [RR] 1.64, 95% confidence interval [CI] 1.27-2.10) was associated with increased delirium duration. Other variables associated with delirium duration in this analysis include preexisting dementia (RR 1.19, 95% CI 1.07-1.33), receipt of haloperidol (RR 1.35, 95% CI 1.21-1.50), and severity of illness (RR 1.01, 95% CI 1.00-1.02). CONCLUSIONS:: The use of benzodiazepines or opioids in the ICU is associated with longer duration of a first episode of delirium. Receipt of these medications may represent modifiable risk factors for delirium. Clinicians caring for ICU patients should carefully evaluate the need for benzodiazepines, opioids, and haloperidol. © 2008 by the Society of Critical Care Medicine and Lippincott Williams &amp; Wilkins.","author":[{"dropping-particle":"","family":"Pisani","given":"Margaret A.","non-dropping-particle":"","parse-names":false,"suffix":""},{"dropping-particle":"","family":"Murphy","given":"Terrence E.","non-dropping-particle":"","parse-names":false,"suffix":""},{"dropping-particle":"","family":"Araujo","given":"Katy L.B.","non-dropping-particle":"","parse-names":false,"suffix":""},{"dropping-particle":"","family":"Slattum","given":"Patricia","non-dropping-particle":"","parse-names":false,"suffix":""},{"dropping-particle":"","family":"Ness","given":"Peter H.","non-dropping-particle":"Van","parse-names":false,"suffix":""},{"dropping-particle":"","family":"Inouye","given":"Sharon K.","non-dropping-particle":"","parse-names":false,"suffix":""}],"container-title":"Critical Care Medicine","id":"ITEM-1","issue":"1","issued":{"date-parts":[["2009","1"]]},"page":"177-183","title":"Benzodiazepine and opioid use and the duration of intensive care unit delirium in an older population","type":"article-journal","volume":"37"},"uris":["http://www.mendeley.com/documents/?uuid=24d0c90f-9c8b-4ce8-b650-23fad2c4b2e5"]}],"mendeley":{"formattedCitation":"&lt;sup&gt;26&lt;/sup&gt;","plainTextFormattedCitation":"26","previouslyFormattedCitation":"&lt;sup&gt;26&lt;/sup&gt;"},"properties":{"noteIndex":0},"schema":"https://github.com/citation-style-language/schema/raw/master/csl-citation.json"}</w:instrText>
      </w:r>
      <w:r>
        <w:rPr>
          <w:sz w:val="20"/>
          <w:szCs w:val="20"/>
          <w:vertAlign w:val="superscript"/>
        </w:rPr>
        <w:fldChar w:fldCharType="separate"/>
      </w:r>
      <w:r>
        <w:rPr>
          <w:sz w:val="20"/>
          <w:szCs w:val="20"/>
          <w:vertAlign w:val="superscript"/>
        </w:rPr>
        <w:t>26</w:t>
      </w:r>
      <w:r>
        <w:rPr>
          <w:sz w:val="20"/>
          <w:szCs w:val="20"/>
          <w:vertAlign w:val="superscript"/>
        </w:rPr>
        <w:fldChar w:fldCharType="end"/>
      </w:r>
      <w:r>
        <w:rPr>
          <w:sz w:val="20"/>
          <w:szCs w:val="20"/>
        </w:rPr>
        <w:t xml:space="preserve"> On the other hand, epidural block provides better pain relief when compared with intravenous opioids.</w:t>
      </w:r>
      <w:r>
        <w:rPr>
          <w:sz w:val="20"/>
          <w:szCs w:val="20"/>
          <w:vertAlign w:val="superscript"/>
        </w:rPr>
        <w:fldChar w:fldCharType="begin" w:fldLock="1"/>
      </w:r>
      <w:r>
        <w:rPr>
          <w:sz w:val="20"/>
          <w:szCs w:val="20"/>
          <w:vertAlign w:val="superscript"/>
        </w:rPr>
        <w:instrText>ADDIN CSL_CITATION {"citationItems":[{"id":"ITEM-1","itemData":{"DOI":"10.4103/0022-3859.40772","ISSN":"00223859","PMID":"18480522","abstract":"Background: Intravenous patient-controlled analgesia (IVPCA) and patient-controlled epidural analgesia (PCEA) were studied in terms of analgesic efficacy, respiratory function and side effects after thoracic surgery for 24h. PCEA using fentanyl and bupivacaine as compared to IVPCA using morphine provides better pain relief both at rest and during coughing and is associated with fewer side effects. Aims: To compare IVPCA and PCEA in terms of analgesic efficacy, respiratory function and side effects after thoracic surgery. Settings and Design: Tertiary care teaching hospital. Prospective, randomized and open study. Materials and Methods: Thirty ASA-I or II patients undergoing thoracotomy were assigned randomly to receive either IVPCA using morphine or PCEA using fentanyl and bupivacaine combination postoperatively. No background infusion was administered in either group. Postoperative evaluation included pain intensity both at rest and during coughing, degree of sedation, arterial blood gas, forced vital capacity (FVC), peak expiratory flow rate (PEFR), presence of side effects such as nausea/vomiting and pruritis at 0, 2, 8, 12 and 24h. The primary outcome of the study was the percentage of patients with analgesia failure defined as VAS&gt;30 despite three consecutive PCA boluses requiring rescue analgesia with intravenous fentanyl. Statistical Analysis: Data were analyzed using t -test, χ2 test and Mann-Whitney test. Results: Significantly less number of patients required rescue analgesia in PCEA group ( P &lt; 0.05). Pain relief was better both at rest and during coughing ( P &lt; 0.05) in PCEA group as compared to IVPCA. Patients in the PCEA group were less sedated and had fewer incidences of side effects, i.e. nausea/vomiting and pruritis. Postoperative FVC and PEFR were reduced significantly compared to baseline only in IVPCA group ( P &lt; 0.05). Conclusion: After thoracic surgery, PCEA using fentanyl and bupivacaine as compared to IVPCA using morphine provides better pain relief both at rest and during coughing and associated with fewer side effects.","author":[{"dropping-particle":"","family":"Behera","given":"BK.","non-dropping-particle":"","parse-names":false,"suffix":""},{"dropping-particle":"","family":"Puri","given":"GD.","non-dropping-particle":"","parse-names":false,"suffix":""},{"dropping-particle":"","family":"Ghai","given":"B.","non-dropping-particle":"","parse-names":false,"suffix":""}],"container-title":"Journal of Postgraduate Medicine","id":"ITEM-1","issue":"2","issued":{"date-parts":[["2008"]]},"page":"86-90","title":"Patient-controlled epidural analgesia with fentanyl and bupivacaine provides better analgesia than intravenous morphine patient-controlled analgesia for early thoracotomy pain","type":"article-journal","volume":"54"},"uris":["http://www.mendeley.com/documents/?uuid=6b7cdb39-f1ee-4ad3-a7a1-4a888447f473"]}],"mendeley":{"formattedCitation":"&lt;sup&gt;27&lt;/sup&gt;","plainTextFormattedCitation":"27","previouslyFormattedCitation":"&lt;sup&gt;27&lt;/sup&gt;"},"properties":{"noteIndex":0},"schema":"https://github.com/citation-style-language/schema/raw/master/csl-citation.json"}</w:instrText>
      </w:r>
      <w:r>
        <w:rPr>
          <w:sz w:val="20"/>
          <w:szCs w:val="20"/>
          <w:vertAlign w:val="superscript"/>
        </w:rPr>
        <w:fldChar w:fldCharType="separate"/>
      </w:r>
      <w:r>
        <w:rPr>
          <w:sz w:val="20"/>
          <w:szCs w:val="20"/>
          <w:vertAlign w:val="superscript"/>
        </w:rPr>
        <w:t>27</w:t>
      </w:r>
      <w:r>
        <w:rPr>
          <w:sz w:val="20"/>
          <w:szCs w:val="20"/>
          <w:vertAlign w:val="superscript"/>
        </w:rPr>
        <w:fldChar w:fldCharType="end"/>
      </w:r>
      <w:r>
        <w:rPr>
          <w:sz w:val="20"/>
          <w:szCs w:val="20"/>
          <w:vertAlign w:val="superscript"/>
        </w:rPr>
        <w:t>,</w:t>
      </w:r>
      <w:r>
        <w:rPr>
          <w:sz w:val="20"/>
          <w:szCs w:val="20"/>
          <w:vertAlign w:val="superscript"/>
        </w:rPr>
        <w:fldChar w:fldCharType="begin" w:fldLock="1"/>
      </w:r>
      <w:r>
        <w:rPr>
          <w:sz w:val="20"/>
          <w:szCs w:val="20"/>
          <w:vertAlign w:val="superscript"/>
        </w:rPr>
        <w:instrText>ADDIN CSL_CITATION {"citationItems":[{"id":"ITEM-1","itemData":{"DOI":"10.1007/s00595-008-3924-2","ISSN":"09411291","abstract":"Purpose: Patient-controlled epidural analgesia (PCEA) was developed for use after surgery for thoracic esophageal cancer to relieve wound pain, introduce early rehabilitation, and provide an uneventful postoperative recovery. Methods: This retrospective study investigated 22 patients who underwent esophageal surgery to determine the efficacy of postoperative management with PCEA. In the PCEA group (n = 12), patients had two epidural catheters inserted to cover both the thoracic and abdominal incision with a patient-controlled bolus capability. Results: Postoperative mechanical ventilation was administered in all cases in the control group (n = 10). On the other hand, this was only necessary in two patients in the PCEA group. The amount of time the patients stayed in the intensive care unit and the hospital was significantly shorter in the PCEA group than in the control group (P &lt; 0.001 and P &lt; 0.01, respectively). Respiratory complications occurred in four patients in the control group, and none in the PCEA group. The mean number of supplemental analgesics administered for breakthrough pain until the 7th postoperative day was 5.5 in the control group, and 1.3 in the PCEA group (P &lt; 0.001). Conclusions: Early rehabilitation is facilitated with intensive PCEA, while it also improves postoperative management and reduces hospitalization after esophageal surgery. © 2009 Springer.","author":[{"dropping-particle":"","family":"Saeki","given":"Hiroshi","non-dropping-particle":"","parse-names":false,"suffix":""},{"dropping-particle":"","family":"Ishimura","given":"Hiroshi","non-dropping-particle":"","parse-names":false,"suffix":""},{"dropping-particle":"","family":"Higashi","given":"Hidefumi","non-dropping-particle":"","parse-names":false,"suffix":""},{"dropping-particle":"","family":"Kitagawa","given":"Dai","non-dropping-particle":"","parse-names":false,"suffix":""},{"dropping-particle":"","family":"Tanaka","given":"Junko","non-dropping-particle":"","parse-names":false,"suffix":""},{"dropping-particle":"","family":"Maruyama","given":"Riichiroh","non-dropping-particle":"","parse-names":false,"suffix":""},{"dropping-particle":"","family":"Katoh","given":"Hidenori","non-dropping-particle":"","parse-names":false,"suffix":""},{"dropping-particle":"","family":"Shimazoe","given":"Hirofumi","non-dropping-particle":"","parse-names":false,"suffix":""},{"dropping-particle":"","family":"Yamauchi","given":"Kouta","non-dropping-particle":"","parse-names":false,"suffix":""},{"dropping-particle":"","family":"Ayabe","given":"Hitoshi","non-dropping-particle":"","parse-names":false,"suffix":""},{"dropping-particle":"","family":"Kakeji","given":"Yoshihiro","non-dropping-particle":"","parse-names":false,"suffix":""},{"dropping-particle":"","family":"Morita","given":"Masaru","non-dropping-particle":"","parse-names":false,"suffix":""},{"dropping-particle":"","family":"Maehara","given":"Yoshihiko","non-dropping-particle":"","parse-names":false,"suffix":""}],"container-title":"Surgery Today","id":"ITEM-1","issue":"6","issued":{"date-parts":[["2009","6","27"]]},"page":"476-480","title":"Postoperative management using intensive patient-controlled epidural analgesia and early rehabilitation after an esophagectomy","type":"article-journal","volume":"39"},"uris":["http://www.mendeley.com/documents/?uuid=ed43c387-24be-42d9-a692-d0bbe1a82dfd"]}],"mendeley":{"formattedCitation":"&lt;sup&gt;28&lt;/sup&gt;","plainTextFormattedCitation":"28","previouslyFormattedCitation":"&lt;sup&gt;28&lt;/sup&gt;"},"properties":{"noteIndex":0},"schema":"https://github.com/citation-style-language/schema/raw/master/csl-citation.json"}</w:instrText>
      </w:r>
      <w:r>
        <w:rPr>
          <w:sz w:val="20"/>
          <w:szCs w:val="20"/>
          <w:vertAlign w:val="superscript"/>
        </w:rPr>
        <w:fldChar w:fldCharType="separate"/>
      </w:r>
      <w:r>
        <w:rPr>
          <w:sz w:val="20"/>
          <w:szCs w:val="20"/>
          <w:vertAlign w:val="superscript"/>
        </w:rPr>
        <w:t>28</w:t>
      </w:r>
      <w:r>
        <w:rPr>
          <w:sz w:val="20"/>
          <w:szCs w:val="20"/>
          <w:vertAlign w:val="superscript"/>
        </w:rPr>
        <w:fldChar w:fldCharType="end"/>
      </w:r>
      <w:r>
        <w:rPr>
          <w:sz w:val="20"/>
          <w:szCs w:val="20"/>
        </w:rPr>
        <w:t xml:space="preserve"> Furthermore, epidural anesthesia can effectively blunt surgery-induced stress response and immunosuppression </w:t>
      </w:r>
      <w:r>
        <w:rPr>
          <w:sz w:val="20"/>
          <w:szCs w:val="20"/>
          <w:vertAlign w:val="superscript"/>
        </w:rPr>
        <w:fldChar w:fldCharType="begin" w:fldLock="1"/>
      </w:r>
      <w:r>
        <w:rPr>
          <w:sz w:val="20"/>
          <w:szCs w:val="20"/>
          <w:vertAlign w:val="superscript"/>
        </w:rPr>
        <w:instrText>ADDIN CSL_CITATION {"citationItems":[{"id":"ITEM-1","itemData":{"DOI":"10.1213/ane.0b013e31816d1976","ISSN":"00032999","abstract":"BACKGROUND: We designed this study to investigate the effect of 0.375% ropivacaine on stress hormone responses and anesthetic requirements in combined epidural/ general anesthesia for nephrectomy. METHODS: Thirty-two adults, ASA physical status I-II, undergoing nephrectomy lasting about 2 h for renal carcinoma were randomly assigned to one of two groups: epidural (saline)/general anesthesia (group C) and epidural (0.375% ropivacaine)/ general (group R) anesthesia. Induction of anesthesia was performed with target-controlled infusion sufentanil and propofol titrated to achieve bispectral index score (define) between 40 and 50. Endotracheal intubation was facilitated by the target-controlled infusion administration of vecuronium. After intubation, anesthesia was maintained with propofol infusion titrated to maintain bispectral index between 40 and 50. The target concentration of sufentanil was titrated according to arterial blood pressure and heart rate. Plasma samples were taken immediately before, 2 min after tracheal intubation, immediately after incision, immediately after the initiation of celiac exploration, 1 h after operation, and immediately after tracheal extubation for measurements of epinephrine, glucose, and cortisol in both groups. RESULTS: The relative changes of plasma concentrations of glucoses and cortisol were higher at 1 h after operation and immediately after extubation in group C when compared with group R. The plasma concentrations of epinephrine in both groups were similar. The requirements of propofol for induction and maintenance of anesthesia were not statistically different in the groups, but the requirement of sufentanil during maintenance was significant reduced in group R (P &lt; 0.05). CONCLUSIONS: Epidural ropivacaine 0.375% suppressed stress hormone responses and sufentanil requirements perioperatively during maintenance of anesthesia for nephrectomy. © 2008 by International Anesthesia Research Society.","author":[{"dropping-particle":"","family":"Li","given":"Yuhong","non-dropping-particle":"","parse-names":false,"suffix":""},{"dropping-particle":"","family":"Zhu","given":"Shengmei","non-dropping-particle":"","parse-names":false,"suffix":""},{"dropping-particle":"","family":"Yan","given":"Meijuan","non-dropping-particle":"","parse-names":false,"suffix":""}],"container-title":"Anesthesia and Analgesia","id":"ITEM-1","issue":"5","issued":{"date-parts":[["2008","5"]]},"page":"1562-1565","title":"Combined general/epidural anesthesia (ropivacaine 0.375%) versus general anesthesia for upper abdominal surgery","type":"article-journal","volume":"106"},"uris":["http://www.mendeley.com/documents/?uuid=b99a45cf-a5fb-4d83-9aa6-ff4aa574c09e"]}],"mendeley":{"formattedCitation":"&lt;sup&gt;29&lt;/sup&gt;","plainTextFormattedCitation":"29","previouslyFormattedCitation":"&lt;sup&gt;29&lt;/sup&gt;"},"properties":{"noteIndex":0},"schema":"https://github.com/citation-style-language/schema/raw/master/csl-citation.json"}</w:instrText>
      </w:r>
      <w:r>
        <w:rPr>
          <w:sz w:val="20"/>
          <w:szCs w:val="20"/>
          <w:vertAlign w:val="superscript"/>
        </w:rPr>
        <w:fldChar w:fldCharType="separate"/>
      </w:r>
      <w:r>
        <w:rPr>
          <w:sz w:val="20"/>
          <w:szCs w:val="20"/>
          <w:vertAlign w:val="superscript"/>
        </w:rPr>
        <w:t>29</w:t>
      </w:r>
      <w:r>
        <w:rPr>
          <w:sz w:val="20"/>
          <w:szCs w:val="20"/>
          <w:vertAlign w:val="superscript"/>
        </w:rPr>
        <w:fldChar w:fldCharType="end"/>
      </w:r>
      <w:r>
        <w:rPr>
          <w:sz w:val="20"/>
          <w:szCs w:val="20"/>
          <w:vertAlign w:val="superscript"/>
        </w:rPr>
        <w:t>,</w:t>
      </w:r>
      <w:r>
        <w:rPr>
          <w:sz w:val="20"/>
          <w:szCs w:val="20"/>
          <w:vertAlign w:val="superscript"/>
        </w:rPr>
        <w:fldChar w:fldCharType="begin" w:fldLock="1"/>
      </w:r>
      <w:r>
        <w:rPr>
          <w:sz w:val="20"/>
          <w:szCs w:val="20"/>
          <w:vertAlign w:val="superscript"/>
        </w:rPr>
        <w:instrText>ADDIN CSL_CITATION {"citationItems":[{"id":"ITEM-1","itemData":{"DOI":"10.1093/bja/aen287","ISSN":"14716771","abstract":"Background. Intraoperative stress may suppress the adaptive immune system. Abolished proinflammatory lymphocyte function is associated with higher risk of infection and postoperative complications. We hypothesized that thoracic epidural anaesthesia (TEA) reduces intraoperative stress and thus attenuates lymphocyte decrease and impairment of proinflammatory lymphocyte function. Methods. Fifty-four patients undergoing major abdominal surgery who had a thoracic epidural catheter inserted were studied. In the TEA-I group, this catheter was used for intraoperative analgesia, whereas the TEA-P group received systemic opioids during surgery. In both groups, patient-controlled epidural analgesia was used for postoperative pain management. Blood samples for immune analyses were obtained before induction of anaesthesia, 2 h after skin incision, and at days 1 and 4 after surgery. Lymphocyte subpopulations, expression of human leucocyte antigen (HLA)-DR on monocytes, plasma concentrations of interleukin (IL)-10, interferon-γ (IFN-γ), and IL-12, and concanavalin-A-stimulated concentrations of IFN-γ and IL-10 were measured. Intraoperative data including bispectral index and plasma concentrations of epinephrine/cortisol were analysed; APACHE-II, SAPS II, and additional postoperative data were documented. Results. Plasma concentrations of epinephrine and cortisol were significantly lower in the TEA-I patients during surgery. IFN-γ/IL-10 ratio was significantly higher in the TEA-I group from 2 h after skin incision until day 1. Lymphocyte numbers and T-helper cells were significantly higher in the TEA-I group at day 1, whereas no significant differences were detected among IL-12, HLA-DR, and postoperative clinical course. Conclusions. Intraoperative use of thoracic epidural catheter reduced stress response and prevented stress-induced perioperative impairment of proinflammatory lymphocyte function. © The Board of Management and Trustees of the British Journal of Anaesthesia 2008. All rights reserved.","author":[{"dropping-particle":"","family":"Ahlers","given":"O.","non-dropping-particle":"","parse-names":false,"suffix":""},{"dropping-particle":"","family":"Nachtigall","given":"I.","non-dropping-particle":"","parse-names":false,"suffix":""},{"dropping-particle":"","family":"Lenze","given":"J.","non-dropping-particle":"","parse-names":false,"suffix":""},{"dropping-particle":"","family":"Goldmann","given":"A.","non-dropping-particle":"","parse-names":false,"suffix":""},{"dropping-particle":"","family":"Schulte","given":"E.","non-dropping-particle":"","parse-names":false,"suffix":""},{"dropping-particle":"","family":"Höhne","given":"C.","non-dropping-particle":"","parse-names":false,"suffix":""},{"dropping-particle":"","family":"Fritz","given":"G.","non-dropping-particle":"","parse-names":false,"suffix":""},{"dropping-particle":"","family":"Keh","given":"D.","non-dropping-particle":"","parse-names":false,"suffix":""}],"container-title":"British Journal of Anaesthesia","id":"ITEM-1","issue":"6","issued":{"date-parts":[["2008","12"]]},"page":"781-787","title":"Intraoperative thoracic epidural anaesthesia attenuates stress-induced immunosuppression in patients undergoing major abdominal surgery","type":"article-journal","volume":"101"},"uris":["http://www.mendeley.com/documents/?uuid=b2e17a54-4f3d-46f2-9875-e0647175856f"]}],"mendeley":{"formattedCitation":"&lt;sup&gt;30&lt;/sup&gt;","plainTextFormattedCitation":"30","previouslyFormattedCitation":"&lt;sup&gt;30&lt;/sup&gt;"},"properties":{"noteIndex":0},"schema":"https://github.com/citation-style-language/schema/raw/master/csl-citation.json"}</w:instrText>
      </w:r>
      <w:r>
        <w:rPr>
          <w:sz w:val="20"/>
          <w:szCs w:val="20"/>
          <w:vertAlign w:val="superscript"/>
        </w:rPr>
        <w:fldChar w:fldCharType="separate"/>
      </w:r>
      <w:r>
        <w:rPr>
          <w:sz w:val="20"/>
          <w:szCs w:val="20"/>
          <w:vertAlign w:val="superscript"/>
        </w:rPr>
        <w:t>30</w:t>
      </w:r>
      <w:r>
        <w:rPr>
          <w:sz w:val="20"/>
          <w:szCs w:val="20"/>
          <w:vertAlign w:val="superscript"/>
        </w:rPr>
        <w:fldChar w:fldCharType="end"/>
      </w:r>
      <w:r>
        <w:rPr>
          <w:sz w:val="20"/>
          <w:szCs w:val="20"/>
          <w:vertAlign w:val="superscript"/>
        </w:rPr>
        <w:t>,</w:t>
      </w:r>
      <w:r>
        <w:rPr>
          <w:sz w:val="20"/>
          <w:szCs w:val="20"/>
          <w:vertAlign w:val="superscript"/>
        </w:rPr>
        <w:fldChar w:fldCharType="begin" w:fldLock="1"/>
      </w:r>
      <w:r>
        <w:rPr>
          <w:sz w:val="20"/>
          <w:szCs w:val="20"/>
          <w:vertAlign w:val="superscript"/>
        </w:rPr>
        <w:instrText>ADDIN CSL_CITATION {"citationItems":[{"id":"ITEM-1","itemData":{"DOI":"10.1111/j.1399-6576.2010.02360.x","ISSN":"00015172","author":[{"dropping-particle":"","family":"Hong","given":"JY.","non-dropping-particle":"","parse-names":false,"suffix":""},{"dropping-particle":"","family":"Yang","given":"SC.","non-dropping-particle":"","parse-names":false,"suffix":""},{"dropping-particle":"","family":"Yi","given":"J","non-dropping-particle":"","parse-names":false,"suffix":""},{"dropping-particle":"","family":"Kil","given":"H.K.","non-dropping-particle":"","parse-names":false,"suffix":""}],"container-title":"Acta Anaesthesiologica Scandinavica","id":"ITEM-1","issue":"3","issued":{"date-parts":[["2011","3"]]},"page":"282-289","title":"Epidural ropivacaine and sufentanil and the perioperative stress response after a radical retropubic prostatectomy","type":"article-journal","volume":"55"},"uris":["http://www.mendeley.com/documents/?uuid=c4a0bc37-73a6-42af-b991-6a4857fa2d16"]}],"mendeley":{"formattedCitation":"&lt;sup&gt;31&lt;/sup&gt;","plainTextFormattedCitation":"31","previouslyFormattedCitation":"&lt;sup&gt;31&lt;/sup&gt;"},"properties":{"noteIndex":0},"schema":"https://github.com/citation-style-language/schema/raw/master/csl-citation.json"}</w:instrText>
      </w:r>
      <w:r>
        <w:rPr>
          <w:sz w:val="20"/>
          <w:szCs w:val="20"/>
          <w:vertAlign w:val="superscript"/>
        </w:rPr>
        <w:fldChar w:fldCharType="separate"/>
      </w:r>
      <w:r>
        <w:rPr>
          <w:sz w:val="20"/>
          <w:szCs w:val="20"/>
          <w:vertAlign w:val="superscript"/>
        </w:rPr>
        <w:t>31</w:t>
      </w:r>
      <w:r>
        <w:rPr>
          <w:sz w:val="20"/>
          <w:szCs w:val="20"/>
          <w:vertAlign w:val="superscript"/>
        </w:rPr>
        <w:fldChar w:fldCharType="end"/>
      </w:r>
      <w:r>
        <w:rPr>
          <w:sz w:val="20"/>
          <w:szCs w:val="20"/>
        </w:rPr>
        <w:t xml:space="preserve"> by blocking afferent noxious stimuli. In previous studies, patients with neuraxial anesthesia had lower incidence of postoperative complications, earlier recovery of gastrointestinal function and shorter duration of hospital stay when compared with general anesthesia;</w:t>
      </w:r>
      <w:r>
        <w:rPr>
          <w:sz w:val="20"/>
          <w:szCs w:val="20"/>
          <w:vertAlign w:val="superscript"/>
        </w:rPr>
        <w:fldChar w:fldCharType="begin" w:fldLock="1"/>
      </w:r>
      <w:r>
        <w:rPr>
          <w:sz w:val="20"/>
          <w:szCs w:val="20"/>
          <w:vertAlign w:val="superscript"/>
        </w:rPr>
        <w:instrText>ADDIN CSL_CITATION {"citationItems":[{"id":"ITEM-1","itemData":{"DOI":"10.1016/j.jclinane.2004.10.005","ISSN":"09528180","abstract":"When spinal and epidural anesthesia were introduced into clinical practice, their primary use was as an alternative to general anesthesia. Later, largely as a result of the realization that opioids could be safely and effectively used to produce selective spinal analgesia, spinal and epidural (neuraxial) analgesia began to be used specifically for the treatment of perioperative pain. We present a systematic review of the literature on neuraxial anesthesia and analgesia, new meta-analyses that illustrate the powerful effect of improvements in perioperative safety in general on the ability of neuraxial techniques to make a difference, and a consideration of why a literature analysis does not provide clear answers. © 2005 Elsevier Inc. All rights reserved.","author":[{"dropping-particle":"","family":"Ballantyne","given":"Jane C.","non-dropping-particle":"","parse-names":false,"suffix":""},{"dropping-particle":"","family":"Kupelnick","given":"Bruce","non-dropping-particle":"","parse-names":false,"suffix":""},{"dropping-particle":"","family":"McPeek","given":"Bucknam","non-dropping-particle":"","parse-names":false,"suffix":""},{"dropping-particle":"","family":"Lau","given":"Joseph","non-dropping-particle":"","parse-names":false,"suffix":""}],"container-title":"Journal of Clinical Anesthesia","id":"ITEM-1","issue":"5","issued":{"date-parts":[["2005","8"]]},"page":"382-391","title":"Does the evidence support the use of spinal and epidural anesthesia for surgery?","type":"article-journal","volume":"17"},"uris":["http://www.mendeley.com/documents/?uuid=069a1158-e882-428c-9005-cff2d4f80fb7"]}],"mendeley":{"formattedCitation":"&lt;sup&gt;32&lt;/sup&gt;","plainTextFormattedCitation":"32","previouslyFormattedCitation":"&lt;sup&gt;32&lt;/sup&gt;"},"properties":{"noteIndex":0},"schema":"https://github.com/citation-style-language/schema/raw/master/csl-citation.json"}</w:instrText>
      </w:r>
      <w:r>
        <w:rPr>
          <w:sz w:val="20"/>
          <w:szCs w:val="20"/>
          <w:vertAlign w:val="superscript"/>
        </w:rPr>
        <w:fldChar w:fldCharType="separate"/>
      </w:r>
      <w:r>
        <w:rPr>
          <w:sz w:val="20"/>
          <w:szCs w:val="20"/>
          <w:vertAlign w:val="superscript"/>
        </w:rPr>
        <w:t>32</w:t>
      </w:r>
      <w:r>
        <w:rPr>
          <w:sz w:val="20"/>
          <w:szCs w:val="20"/>
          <w:vertAlign w:val="superscript"/>
        </w:rPr>
        <w:fldChar w:fldCharType="end"/>
      </w:r>
      <w:r>
        <w:rPr>
          <w:sz w:val="20"/>
          <w:szCs w:val="20"/>
          <w:vertAlign w:val="superscript"/>
        </w:rPr>
        <w:t>,</w:t>
      </w:r>
      <w:r>
        <w:rPr>
          <w:sz w:val="20"/>
          <w:szCs w:val="20"/>
          <w:vertAlign w:val="superscript"/>
        </w:rPr>
        <w:fldChar w:fldCharType="begin" w:fldLock="1"/>
      </w:r>
      <w:r>
        <w:rPr>
          <w:sz w:val="20"/>
          <w:szCs w:val="20"/>
          <w:vertAlign w:val="superscript"/>
        </w:rPr>
        <w:instrText>ADDIN CSL_CITATION {"citationItems":[{"id":"ITEM-1","itemData":{"DOI":"10.1002/14651858.CD005059.pub2","author":[{"dropping-particle":"","family":"Nishimori","given":"Mina","non-dropping-particle":"","parse-names":false,"suffix":""},{"dropping-particle":"","family":"Ballantyne","given":"Jane C","non-dropping-particle":"","parse-names":false,"suffix":""},{"dropping-particle":"","family":"Low","given":"James HS","non-dropping-particle":"","parse-names":false,"suffix":""}],"container-title":"Cochrane Database of Systematic Reviews","editor":[{"dropping-particle":"","family":"Nishimori","given":"Mina","non-dropping-particle":"","parse-names":false,"suffix":""}],"id":"ITEM-1","issue":"3","issued":{"date-parts":[["2006","7","19"]]},"page":"CD005059","publisher":"John Wiley &amp; Sons, Ltd","publisher-place":"Chichester, UK","title":"Epidural pain relief versus systemic opioid-based pain relief for abdominal aortic surgery","type":"article-journal"},"uris":["http://www.mendeley.com/documents/?uuid=e374612c-08d5-488b-bf65-a05c5c142f54"]}],"mendeley":{"formattedCitation":"&lt;sup&gt;33&lt;/sup&gt;","plainTextFormattedCitation":"33","previouslyFormattedCitation":"&lt;sup&gt;33&lt;/sup&gt;"},"properties":{"noteIndex":0},"schema":"https://github.com/citation-style-language/schema/raw/master/csl-citation.json"}</w:instrText>
      </w:r>
      <w:r>
        <w:rPr>
          <w:sz w:val="20"/>
          <w:szCs w:val="20"/>
          <w:vertAlign w:val="superscript"/>
        </w:rPr>
        <w:fldChar w:fldCharType="separate"/>
      </w:r>
      <w:r>
        <w:rPr>
          <w:sz w:val="20"/>
          <w:szCs w:val="20"/>
          <w:vertAlign w:val="superscript"/>
        </w:rPr>
        <w:t>33</w:t>
      </w:r>
      <w:r>
        <w:rPr>
          <w:sz w:val="20"/>
          <w:szCs w:val="20"/>
          <w:vertAlign w:val="superscript"/>
        </w:rPr>
        <w:fldChar w:fldCharType="end"/>
      </w:r>
      <w:r>
        <w:rPr>
          <w:sz w:val="20"/>
          <w:szCs w:val="20"/>
          <w:vertAlign w:val="superscript"/>
        </w:rPr>
        <w:t>,</w:t>
      </w:r>
      <w:r>
        <w:rPr>
          <w:sz w:val="20"/>
          <w:szCs w:val="20"/>
          <w:vertAlign w:val="superscript"/>
        </w:rPr>
        <w:fldChar w:fldCharType="begin" w:fldLock="1"/>
      </w:r>
      <w:r>
        <w:rPr>
          <w:sz w:val="20"/>
          <w:szCs w:val="20"/>
          <w:vertAlign w:val="superscript"/>
        </w:rPr>
        <w:instrText>ADDIN CSL_CITATION {"citationItems":[{"id":"ITEM-1","itemData":{"DOI":"10.1097/00000658-200110000-00015","ISSN":"00034932","abstract":"Objective: To test the hypothesis that epidural anesthesia and postoperative epidural analgesia decrease the incidence of death and major complications during and after four types of intraabdominal surgical procedures. Summary Background Data: Even though many beneficial aspects of epidural anesthesia have been reported, clinical trials of epidural anesthesia for outcome of surgical patients have shown conflicting results. Methods: The authors studied 1,021 patients who required anesthesia for one of the intraabdominal aortic, gastric, biliary, or colon operations. They were assigned randomly to receive either general anesthesia and postoperative analgesia with parenteral opioids (group 1) or epidural plus light general anesthesia and postoperative epidural morphine (group 2). The patients were monitored for death and major complications during and for 30 days after surgery, as well as for postoperative pain, time of ambulation, and length of hospital stay. Results: Overall, there was no significant difference in the incidence of death and major complications between the two groups. For abdominal aortic surgical patients, unlike the other three types of surgical patients, the overall incidence of death and major complications was significantly lower in group 2 patients (22%) than in group 1 patients (37%), stemming from differences in the incidence of new myocardial infarction, stroke, and respiratory failure between the two groups. Overall, group 2 patients received significantly less analgesic medication but had better pain relief than group 1 patients. In group 2 aortic patients, endotracheal intubation time was 13 hours shorter and surgical intensive care stay was 3.5 hours shorter. Conclusions: The effect of anesthetic and postoperative analgesic techniques on perioperative outcome varies with the type of operation performed. Overall, epidural analgesia provides better postoperative pain relief. Epidural anesthesia and epidural analgesia improve the overall outcome and shorten the intubation time and intensive care stay in patients undergoing abdominal aortic operations.","author":[{"dropping-particle":"","family":"Young Park","given":"Woo","non-dropping-particle":"","parse-names":false,"suffix":""},{"dropping-particle":"","family":"Thompson","given":"Jon S.","non-dropping-particle":"","parse-names":false,"suffix":""},{"dropping-particle":"","family":"Lee","given":"Kelvin K.","non-dropping-particle":"","parse-names":false,"suffix":""}],"container-title":"Annals of Surgery","id":"ITEM-1","issue":"4","issued":{"date-parts":[["2001","10"]]},"page":"560-571","title":"Effect of epidural anesthesia and analgesia on perioperative outcome: A randomized, controlled veterans affairs cooperative study","type":"article-journal","volume":"234"},"uris":["http://www.mendeley.com/documents/?uuid=01018374-7ec8-4fcd-980c-de1c19d87065"]}],"mendeley":{"formattedCitation":"&lt;sup&gt;34&lt;/sup&gt;","plainTextFormattedCitation":"34","previouslyFormattedCitation":"&lt;sup&gt;34&lt;/sup&gt;"},"properties":{"noteIndex":0},"schema":"https://github.com/citation-style-language/schema/raw/master/csl-citation.json"}</w:instrText>
      </w:r>
      <w:r>
        <w:rPr>
          <w:sz w:val="20"/>
          <w:szCs w:val="20"/>
          <w:vertAlign w:val="superscript"/>
        </w:rPr>
        <w:fldChar w:fldCharType="separate"/>
      </w:r>
      <w:r>
        <w:rPr>
          <w:sz w:val="20"/>
          <w:szCs w:val="20"/>
          <w:vertAlign w:val="superscript"/>
        </w:rPr>
        <w:t>34</w:t>
      </w:r>
      <w:r>
        <w:rPr>
          <w:sz w:val="20"/>
          <w:szCs w:val="20"/>
          <w:vertAlign w:val="superscript"/>
        </w:rPr>
        <w:fldChar w:fldCharType="end"/>
      </w:r>
      <w:r>
        <w:rPr>
          <w:sz w:val="20"/>
          <w:szCs w:val="20"/>
        </w:rPr>
        <w:t xml:space="preserve"> they even had lower postoperative mortality.</w:t>
      </w:r>
      <w:r>
        <w:rPr>
          <w:sz w:val="20"/>
          <w:szCs w:val="20"/>
          <w:vertAlign w:val="superscript"/>
        </w:rPr>
        <w:fldChar w:fldCharType="begin" w:fldLock="1"/>
      </w:r>
      <w:r>
        <w:rPr>
          <w:sz w:val="20"/>
          <w:szCs w:val="20"/>
          <w:vertAlign w:val="superscript"/>
        </w:rPr>
        <w:instrText>ADDIN CSL_CITATION {"citationItems":[{"id":"ITEM-1","itemData":{"DOI":"10.1136/bmj.321.7275.1493","ISSN":"09598146","PMID":"11118174","abstract":"Objectives: To obtain reliable estimates of the effects of neuraxial blockade with epidural or spinal anaesthesia on postoperative morbidity and mortality. Design: Systematic review of all trials with randomisation to intraoperative neuraxial blockade or not. Studies: 141 trials including 9559 patients for which data were available before 1 January 1997. Trials were eligible irrespective of their primary aims, concomitant use of general anaesthesia, publication status, or language. Trials were identified by extensive search methods, and substantial amounts of data were obtained or confirmed by correspondence with trialists. Main outcome measures: All cause mortality, deep vein thrombosis, pulmonary embolism, myocardial infarction, transfusion requirements, pneumonia, other infections, respiratory depression, and renal failure. Results: Overall mortality was reduced by about a third in patients allocated to neuraxial blockade (103 deaths/4871 patients versus 144/4688 patients, odds ratio = 0.70, 95% confidence interval 0.54 to 0.90, P = 0.006). Neuraxial blockade reduced the odds of deep vein thrombosis by 44%, pulmonary embolism by 55%, transfusion requirements by 50%, pneumonia by 39%, and respiratory depression by 59% (all P &lt; 0.001). There were also reductions in myocardial infarction and renal failure. Although there was limited power to assess subgroup effects, the proportional reductions in mortality did not clearly differ by surgical group, type of blockade (epidural or spinal), or in those trials in which neuraxial blockade was combined with general anaesthesia compared with trials in which neuraxial blockade was used alone. Conclusions: Neuraxial blockade reduces postoperative mortality and other serious complications. The size of some of these benefits remains uncertain, and further research is required to determine whether these effects are due solely to benefits of neuraxial blockade or partly to avoidance of general anaesthesia. Nevertheless, these findings support more widespread use of neuraxial blockade.","author":[{"dropping-particle":"","family":"Rodgers","given":"A.","non-dropping-particle":"","parse-names":false,"suffix":""},{"dropping-particle":"","family":"Walker","given":"N.","non-dropping-particle":"","parse-names":false,"suffix":""},{"dropping-particle":"","family":"Schug","given":"S.","non-dropping-particle":"","parse-names":false,"suffix":""},{"dropping-particle":"","family":"McKee","given":"A.","non-dropping-particle":"","parse-names":false,"suffix":""},{"dropping-particle":"","family":"Kehlet","given":"H.","non-dropping-particle":"","parse-names":false,"suffix":""},{"dropping-particle":"","family":"Zundert","given":"A.","non-dropping-particle":"Van","parse-names":false,"suffix":""},{"dropping-particle":"","family":"Sage","given":"D.","non-dropping-particle":"","parse-names":false,"suffix":""},{"dropping-particle":"","family":"Futter","given":"M.","non-dropping-particle":"","parse-names":false,"suffix":""},{"dropping-particle":"","family":"Saville","given":"G.","non-dropping-particle":"","parse-names":false,"suffix":""},{"dropping-particle":"","family":"Clark","given":"T.","non-dropping-particle":"","parse-names":false,"suffix":""},{"dropping-particle":"","family":"MacMahon","given":"S.","non-dropping-particle":"","parse-names":false,"suffix":""}],"container-title":"British Medical Journal","id":"ITEM-1","issue":"7275","issued":{"date-parts":[["2000","12","16"]]},"page":"1493-1497","title":"Reduction of postoperative mortality and morbidity with epidural or spinal anaesthesia: Results from overview of randomised trials","type":"article-journal","volume":"321"},"uris":["http://www.mendeley.com/documents/?uuid=7c25f2ee-f2e0-4093-b93b-3b7d8ed2e597"]}],"mendeley":{"formattedCitation":"&lt;sup&gt;35&lt;/sup&gt;","plainTextFormattedCitation":"35","previouslyFormattedCitation":"&lt;sup&gt;35&lt;/sup&gt;"},"properties":{"noteIndex":0},"schema":"https://github.com/citation-style-language/schema/raw/master/csl-citation.json"}</w:instrText>
      </w:r>
      <w:r>
        <w:rPr>
          <w:sz w:val="20"/>
          <w:szCs w:val="20"/>
          <w:vertAlign w:val="superscript"/>
        </w:rPr>
        <w:fldChar w:fldCharType="separate"/>
      </w:r>
      <w:r>
        <w:rPr>
          <w:sz w:val="20"/>
          <w:szCs w:val="20"/>
          <w:vertAlign w:val="superscript"/>
        </w:rPr>
        <w:t>35</w:t>
      </w:r>
      <w:r>
        <w:rPr>
          <w:sz w:val="20"/>
          <w:szCs w:val="20"/>
          <w:vertAlign w:val="superscript"/>
        </w:rPr>
        <w:fldChar w:fldCharType="end"/>
      </w:r>
    </w:p>
    <w:p w14:paraId="72F8D107" w14:textId="77777777" w:rsidR="00555164" w:rsidRDefault="00555164">
      <w:pPr>
        <w:spacing w:before="50" w:after="50"/>
        <w:rPr>
          <w:rFonts w:eastAsia="等线"/>
          <w:sz w:val="20"/>
          <w:szCs w:val="20"/>
        </w:rPr>
      </w:pPr>
    </w:p>
    <w:p w14:paraId="4E77E597" w14:textId="77777777" w:rsidR="00555164" w:rsidRDefault="002C73C0">
      <w:pPr>
        <w:spacing w:before="50" w:after="50"/>
        <w:rPr>
          <w:sz w:val="20"/>
          <w:szCs w:val="20"/>
        </w:rPr>
      </w:pPr>
      <w:r>
        <w:rPr>
          <w:sz w:val="20"/>
          <w:szCs w:val="20"/>
        </w:rPr>
        <w:t xml:space="preserve">    The beneficial effects of neuraxial anesthesia may help to reduce postoperative delirium. However, available studies comparing general anesthesia vs. neuraxial block did not find significant difference</w:t>
      </w:r>
      <w:r>
        <w:rPr>
          <w:rFonts w:eastAsia="宋体"/>
          <w:sz w:val="20"/>
          <w:szCs w:val="20"/>
        </w:rPr>
        <w:t>,</w:t>
      </w:r>
      <w:r>
        <w:rPr>
          <w:rFonts w:eastAsia="宋体"/>
          <w:sz w:val="20"/>
          <w:szCs w:val="20"/>
        </w:rPr>
        <w:fldChar w:fldCharType="begin" w:fldLock="1"/>
      </w:r>
      <w:r>
        <w:rPr>
          <w:rFonts w:eastAsia="宋体"/>
          <w:sz w:val="20"/>
          <w:szCs w:val="20"/>
        </w:rPr>
        <w:instrText>ADDIN CSL_CITATION {"citationItems":[{"id":"ITEM-1","itemData":{"DOI":"10.1007/BF03021625","ISSN":"0832610X","abstract":"Purpose: The purpose of this structured, evidence-based, clinical update was to identify the best evidence comparing general and regional anesthesia and their influence on delirium or cognitive dysfunction (POCD) in the postoperative period. Source: In June 2005 a structured search of MEDLINE from 1966 to present using OVID software was undertaken. Medical subject headings and textwords describing both delirium and POCD were employed. OVID's Therapy (sensitivity) algorithm was used to maximize the detection of randomized trials. The bibliographies of eligible publications were hand-searched to identify trials not identified in the electronic search. Publications enrolling children were excluded. Levels of evidence and grades of recommendations were scored using Centre for Evidence Based Medicine criteria. Principal findings: A total of 18 unique randomized controlled trials were identified: two evaluating delirium; ten evaluating POCD; and six evaluating both. Outcomes for delirium were abstracted from eight trials that enrolled 765 patients (387 regional anesthesia; 378 general anesthesia). Outcomes for POCD were identified from 16 trials that enrolled 2,708 patients (1, 313 regional anesthesia; 1, 395 general anesthesia). Both delirium (11-43%) and POCD (15-25%) were relatively common in trials actively seeking these outcomes. Consistent Level 2b evidence suggests no significant increase in delirium in patients receiving general anesthesia compared with those receiving regional anesthesia. Similarly, consistent Level 1 evidence indicates that exposure to general anesthesia is not significantly associated with POCD. Conclusion: Available randomized controlled trials suggest that there is no significant difference in the incidence of delirium or POCD when general anesthesia and regional anesthesia are compared.","author":[{"dropping-particle":"","family":"Bryson","given":"Gregory L.","non-dropping-particle":"","parse-names":false,"suffix":""},{"dropping-particle":"","family":"Wyand","given":"Anna","non-dropping-particle":"","parse-names":false,"suffix":""}],"container-title":"Canadian Journal of Anesthesia","id":"ITEM-1","issue":"7","issued":{"date-parts":[["2006","7"]]},"page":"669-677","title":"Evidence-based clinical update: General anesthesia and the risk of delirium and postoperative cognitive dysfunction","type":"article-journal","volume":"53"},"uris":["http://www.mendeley.com/documents/?uuid=a9a689d6-9303-42ef-ae73-dddf873263cf"]}],"mendeley":{"formattedCitation":"&lt;sup&gt;36&lt;/sup&gt;","plainTextFormattedCitation":"36","previouslyFormattedCitation":"&lt;sup&gt;36&lt;/sup&gt;"},"properties":{"noteIndex":0},"schema":"https://github.com/citation-style-language/schema/raw/master/csl-citation.json"}</w:instrText>
      </w:r>
      <w:r>
        <w:rPr>
          <w:rFonts w:eastAsia="宋体"/>
          <w:sz w:val="20"/>
          <w:szCs w:val="20"/>
        </w:rPr>
        <w:fldChar w:fldCharType="separate"/>
      </w:r>
      <w:r>
        <w:rPr>
          <w:rFonts w:eastAsia="宋体"/>
          <w:sz w:val="20"/>
          <w:szCs w:val="20"/>
          <w:vertAlign w:val="superscript"/>
        </w:rPr>
        <w:t>36</w:t>
      </w:r>
      <w:r>
        <w:rPr>
          <w:rFonts w:eastAsia="宋体"/>
          <w:sz w:val="20"/>
          <w:szCs w:val="20"/>
        </w:rPr>
        <w:fldChar w:fldCharType="end"/>
      </w:r>
      <w:r>
        <w:rPr>
          <w:sz w:val="20"/>
          <w:szCs w:val="20"/>
          <w:vertAlign w:val="superscript"/>
        </w:rPr>
        <w:t>,</w:t>
      </w:r>
      <w:r>
        <w:rPr>
          <w:sz w:val="20"/>
          <w:szCs w:val="20"/>
          <w:vertAlign w:val="superscript"/>
        </w:rPr>
        <w:fldChar w:fldCharType="begin" w:fldLock="1"/>
      </w:r>
      <w:r>
        <w:rPr>
          <w:sz w:val="20"/>
          <w:szCs w:val="20"/>
          <w:vertAlign w:val="superscript"/>
        </w:rPr>
        <w:instrText>ADDIN CSL_CITATION {"citationItems":[{"id":"ITEM-1","itemData":{"DOI":"10.3233/JAD-2010-101086","ISSN":"13872877","PMID":"20858956","abstract":"Post-operative cognitive complications such as delirium have been consistently associated with poor short and long term outcomes, and the role of anesthesia, particularly the role of general versus regional anesthesia, remains unclear. The objective of this systematic review with meta-analysis was to compare the influence of general, regional, or a combination of anesthesia on the development of Post-Operative Cognitive Dysfunction (POCD) and Post-Operative Delirium (POD). Standard bibliographic databases were searched and complimented by hand searching of original and review article references. Included studies were randomized controlled trials comparing general to regional (spinal, epidural, or intravenous block) or a combination of these in a cohort who were pre-operatively cognitively normal and had an average age exceeding fifty. Where POD was the principle outcome, studies must have employed the DSM or ICD criteria. Where POCD was the principal outcome, this was defined as any objective cognitive impairment. Twenty one studies were considered suitable for inclusion. There was no effect of anesthesia type on the odds ratio of developing POD (0.88, 0.51-1.51 with 95% confidence) however general anesthesia was marginally non-significantly associated with POCD (odds ratio of 1.34, 0.93-1.95 with 95% confidence). There was no evidence of publication bias. In conclusion, it appears that general anesthesia, compared to others, may increase the risk of developing POCD; however this has not been shown for POD. Possible reasons for this finding have been explored. This data would advocate for the use of regional anesthesia wherever possible especially in people otherwise vulnerable to developing cognitive symptoms. © 2010 IOS Press and the authors. All rights reserved.","author":[{"dropping-particle":"","family":"Mason","given":"Sam Ewan","non-dropping-particle":"","parse-names":false,"suffix":""},{"dropping-particle":"","family":"Noel-Storr","given":"Anna","non-dropping-particle":"","parse-names":false,"suffix":""},{"dropping-particle":"","family":"Ritchie","given":"Craig William","non-dropping-particle":"","parse-names":false,"suffix":""}],"container-title":"Journal of Alzheimer's Disease","editor":[{"dropping-particle":"","family":"Mandal","given":"Pravat K.","non-dropping-particle":"","parse-names":false,"suffix":""},{"dropping-particle":"","family":"Fodale","given":"Vincenzo","non-dropping-particle":"","parse-names":false,"suffix":""}],"id":"ITEM-1","issue":"SUPPL. 3","issued":{"date-parts":[["2010","9","29"]]},"page":"S67-S79","title":"The impact of general and regional anesthesia on the incidence of post-operative cognitive dysfunction and post-operative delirium: A systematic review with meta-analysis","type":"article-journal","volume":"22"},"uris":["http://www.mendeley.com/documents/?uuid=6e3fd2ae-2e86-436f-ac9f-d4121c67fdd3"]}],"mendeley":{"formattedCitation":"&lt;sup&gt;37&lt;/sup&gt;","plainTextFormattedCitation":"37","previouslyFormattedCitation":"&lt;sup&gt;37&lt;/sup&gt;"},"properties":{"noteIndex":0},"schema":"https://github.com/citation-style-language/schema/raw/master/csl-citation.json"}</w:instrText>
      </w:r>
      <w:r>
        <w:rPr>
          <w:sz w:val="20"/>
          <w:szCs w:val="20"/>
          <w:vertAlign w:val="superscript"/>
        </w:rPr>
        <w:fldChar w:fldCharType="separate"/>
      </w:r>
      <w:r>
        <w:rPr>
          <w:sz w:val="20"/>
          <w:szCs w:val="20"/>
          <w:vertAlign w:val="superscript"/>
        </w:rPr>
        <w:t>37</w:t>
      </w:r>
      <w:r>
        <w:rPr>
          <w:sz w:val="20"/>
          <w:szCs w:val="20"/>
          <w:vertAlign w:val="superscript"/>
        </w:rPr>
        <w:fldChar w:fldCharType="end"/>
      </w:r>
      <w:r>
        <w:rPr>
          <w:sz w:val="20"/>
          <w:szCs w:val="20"/>
          <w:vertAlign w:val="superscript"/>
        </w:rPr>
        <w:t>,</w:t>
      </w:r>
      <w:r>
        <w:rPr>
          <w:sz w:val="20"/>
          <w:szCs w:val="20"/>
          <w:vertAlign w:val="superscript"/>
        </w:rPr>
        <w:fldChar w:fldCharType="begin" w:fldLock="1"/>
      </w:r>
      <w:r>
        <w:rPr>
          <w:sz w:val="20"/>
          <w:szCs w:val="20"/>
          <w:vertAlign w:val="superscript"/>
        </w:rPr>
        <w:instrText>ADDIN CSL_CITATION {"citationItems":[{"id":"ITEM-1","itemData":{"DOI":"10.1017/S0265021505000840","ISSN":"02650215","abstract":"Background and objectives: Postoperative confusion and delirium is a common complication in the elderly with a poorly understood pathophysiology. The aim of this study was to examine whether the type of anaesthesia (general or regional) plays a role in the development of cognitive impairment in elderly patients during the immediate postoperative period. Methods: Forty-seven patients &gt;60 yr of age and undergoing major surgery were randomly allocated to receive either regional or general anaesthesia. The mental status of the patients was assessed preoperatively and during the first three postoperative days with the Mini Mental State Examination. The incidence of delirium was also examined during the same period with the use of DSM III criteria. Results: Overall, during the first three postoperative days, the mean Mini Mental State Examination score decreased significantly (P &lt; 0.001). However, this decline was very significant only in patients assigned to receive general anaesthesia (P &lt; 0.001) compared to regional anaesthesia. Nine patients developed delirium but the type of anaesthesia did not affect its incidence. The only important factor for the development of delirium was pre-existing cardiovascular disease irrespective of anaesthesia type (P &lt; 0.025). Conclusions: Elderly patients subjected to general anaesthesia displayed more frequent cognitive impairment during the immediate postoperative period in comparison to those who received a regional technique. © 2005 European Society of Anaesthesiology.","author":[{"dropping-particle":"","family":"Papaioannou","given":"Alexandra","non-dropping-particle":"","parse-names":false,"suffix":""},{"dropping-particle":"","family":"Fraidakis","given":"O.","non-dropping-particle":"","parse-names":false,"suffix":""},{"dropping-particle":"","family":"Michaloudis","given":"D.","non-dropping-particle":"","parse-names":false,"suffix":""},{"dropping-particle":"","family":"Balalis","given":"C.","non-dropping-particle":"","parse-names":false,"suffix":""},{"dropping-particle":"","family":"Askitopoulou","given":"H.","non-dropping-particle":"","parse-names":false,"suffix":""}],"container-title":"European Journal of Anaesthesiology","id":"ITEM-1","issue":"7","issued":{"date-parts":[["2005","7"]]},"page":"492-499","title":"The impact of the type of anaesthesia on cognitive status and delirium during the first postoperative days in elderly patients","type":"article-journal","volume":"22"},"uris":["http://www.mendeley.com/documents/?uuid=f0e454a8-c850-47ae-a8be-596651473c1b"]}],"mendeley":{"formattedCitation":"&lt;sup&gt;38&lt;/sup&gt;","plainTextFormattedCitation":"38","previouslyFormattedCitation":"&lt;sup&gt;38&lt;/sup&gt;"},"properties":{"noteIndex":0},"schema":"https://github.com/citation-style-language/schema/raw/master/csl-citation.json"}</w:instrText>
      </w:r>
      <w:r>
        <w:rPr>
          <w:sz w:val="20"/>
          <w:szCs w:val="20"/>
          <w:vertAlign w:val="superscript"/>
        </w:rPr>
        <w:fldChar w:fldCharType="separate"/>
      </w:r>
      <w:r>
        <w:rPr>
          <w:sz w:val="20"/>
          <w:szCs w:val="20"/>
          <w:vertAlign w:val="superscript"/>
        </w:rPr>
        <w:t>38</w:t>
      </w:r>
      <w:r>
        <w:rPr>
          <w:sz w:val="20"/>
          <w:szCs w:val="20"/>
          <w:vertAlign w:val="superscript"/>
        </w:rPr>
        <w:fldChar w:fldCharType="end"/>
      </w:r>
      <w:r>
        <w:rPr>
          <w:sz w:val="20"/>
          <w:szCs w:val="20"/>
        </w:rPr>
        <w:t xml:space="preserve"> possibly due to insufficient sample size. Major thoracic and abdominal surgeries are usually performed under either general anesthesia or combined epidural-general anesthesia. Moreover, no studies compared the effect of general anesthesia vs. combined epidural-general anesthesia on the incidence of postoperative delirium.</w:t>
      </w:r>
    </w:p>
    <w:p w14:paraId="68AFA8FF" w14:textId="77777777" w:rsidR="00555164" w:rsidRDefault="00555164">
      <w:pPr>
        <w:spacing w:before="50" w:after="50"/>
        <w:rPr>
          <w:sz w:val="20"/>
          <w:szCs w:val="20"/>
        </w:rPr>
      </w:pPr>
    </w:p>
    <w:p w14:paraId="35F321FE" w14:textId="77777777" w:rsidR="00555164" w:rsidRDefault="002C73C0">
      <w:pPr>
        <w:spacing w:before="50" w:after="50"/>
        <w:rPr>
          <w:sz w:val="20"/>
          <w:szCs w:val="20"/>
        </w:rPr>
      </w:pPr>
      <w:r>
        <w:rPr>
          <w:sz w:val="20"/>
          <w:szCs w:val="20"/>
        </w:rPr>
        <w:t xml:space="preserve">    We hypothesize that, in elderly patients undergoing major thoracic and abdominal surgery, combined epidural-general anesthesia plus epidural analgesia may be superior to general anesthesia plus intravenous analgesia in preventing postoperative delirium, possibly by decreasing anesthetic consumption, improving analgesia, and relieving surgical stress response. </w:t>
      </w:r>
    </w:p>
    <w:p w14:paraId="4B6BE191" w14:textId="77777777" w:rsidR="00555164" w:rsidRDefault="00555164">
      <w:pPr>
        <w:spacing w:before="50" w:after="50"/>
        <w:rPr>
          <w:sz w:val="20"/>
          <w:szCs w:val="20"/>
        </w:rPr>
      </w:pPr>
    </w:p>
    <w:p w14:paraId="04B95EC8" w14:textId="77777777" w:rsidR="00555164" w:rsidRDefault="002C73C0">
      <w:pPr>
        <w:pStyle w:val="ad"/>
        <w:spacing w:beforeLines="50" w:before="120" w:beforeAutospacing="0" w:afterLines="50" w:after="120" w:afterAutospacing="0"/>
        <w:outlineLvl w:val="0"/>
        <w:rPr>
          <w:b/>
          <w:sz w:val="20"/>
          <w:szCs w:val="20"/>
        </w:rPr>
      </w:pPr>
      <w:bookmarkStart w:id="5" w:name="_Toc44796159"/>
      <w:bookmarkStart w:id="6" w:name="_Toc44755998"/>
      <w:bookmarkStart w:id="7" w:name="_Toc44754951"/>
      <w:bookmarkStart w:id="8" w:name="_Toc44756113"/>
      <w:r>
        <w:rPr>
          <w:b/>
          <w:bCs/>
          <w:sz w:val="20"/>
          <w:szCs w:val="20"/>
        </w:rPr>
        <w:t>2</w:t>
      </w:r>
      <w:r>
        <w:rPr>
          <w:b/>
          <w:sz w:val="20"/>
          <w:szCs w:val="20"/>
        </w:rPr>
        <w:t>. Purpose of the study</w:t>
      </w:r>
      <w:bookmarkEnd w:id="5"/>
      <w:bookmarkEnd w:id="6"/>
      <w:bookmarkEnd w:id="7"/>
      <w:bookmarkEnd w:id="8"/>
    </w:p>
    <w:p w14:paraId="5675CFBC" w14:textId="77777777" w:rsidR="00555164" w:rsidRDefault="00555164">
      <w:pPr>
        <w:pStyle w:val="ad"/>
        <w:spacing w:beforeLines="50" w:before="120" w:beforeAutospacing="0" w:afterLines="50" w:after="120" w:afterAutospacing="0"/>
        <w:rPr>
          <w:b/>
          <w:sz w:val="20"/>
          <w:szCs w:val="20"/>
        </w:rPr>
      </w:pPr>
    </w:p>
    <w:p w14:paraId="00AF382B" w14:textId="77777777" w:rsidR="00555164" w:rsidRDefault="002C73C0">
      <w:pPr>
        <w:pStyle w:val="ad"/>
        <w:spacing w:beforeLines="50" w:before="120" w:beforeAutospacing="0" w:afterLines="50" w:after="120" w:afterAutospacing="0"/>
        <w:rPr>
          <w:sz w:val="20"/>
          <w:szCs w:val="20"/>
        </w:rPr>
      </w:pPr>
      <w:r>
        <w:rPr>
          <w:sz w:val="20"/>
          <w:szCs w:val="20"/>
        </w:rPr>
        <w:t xml:space="preserve">To investigate whether combined epidural-general anesthesia plus postoperative epidural analgesia compared with general anesthesia plus postoperative intravenous analgesia can decrease the incidence of delirium in elderly patients after major thoracic and abdominal surgery. </w:t>
      </w:r>
    </w:p>
    <w:p w14:paraId="5D0A6711" w14:textId="77777777" w:rsidR="00555164" w:rsidRDefault="00555164">
      <w:pPr>
        <w:pStyle w:val="ad"/>
        <w:spacing w:beforeLines="50" w:before="120" w:beforeAutospacing="0" w:afterLines="50" w:after="120" w:afterAutospacing="0"/>
        <w:rPr>
          <w:b/>
          <w:sz w:val="20"/>
          <w:szCs w:val="20"/>
        </w:rPr>
      </w:pPr>
    </w:p>
    <w:p w14:paraId="7320DFC6" w14:textId="77777777" w:rsidR="00555164" w:rsidRDefault="002C73C0">
      <w:pPr>
        <w:pStyle w:val="ad"/>
        <w:spacing w:beforeLines="50" w:before="120" w:beforeAutospacing="0" w:afterLines="50" w:after="120" w:afterAutospacing="0"/>
        <w:outlineLvl w:val="0"/>
        <w:rPr>
          <w:b/>
          <w:bCs/>
          <w:sz w:val="20"/>
          <w:szCs w:val="20"/>
        </w:rPr>
      </w:pPr>
      <w:bookmarkStart w:id="9" w:name="_Toc44754952"/>
      <w:bookmarkStart w:id="10" w:name="_Toc44755999"/>
      <w:bookmarkStart w:id="11" w:name="_Toc44756114"/>
      <w:bookmarkStart w:id="12" w:name="_Toc44796160"/>
      <w:r>
        <w:rPr>
          <w:b/>
          <w:bCs/>
          <w:sz w:val="20"/>
          <w:szCs w:val="20"/>
        </w:rPr>
        <w:lastRenderedPageBreak/>
        <w:t>3. Study design</w:t>
      </w:r>
      <w:bookmarkEnd w:id="9"/>
      <w:bookmarkEnd w:id="10"/>
      <w:bookmarkEnd w:id="11"/>
      <w:bookmarkEnd w:id="12"/>
      <w:r>
        <w:rPr>
          <w:b/>
          <w:bCs/>
          <w:sz w:val="20"/>
          <w:szCs w:val="20"/>
        </w:rPr>
        <w:t xml:space="preserve"> </w:t>
      </w:r>
    </w:p>
    <w:p w14:paraId="4F35AA1C" w14:textId="77777777" w:rsidR="00555164" w:rsidRDefault="00555164">
      <w:pPr>
        <w:pStyle w:val="ad"/>
        <w:spacing w:beforeLines="50" w:before="120" w:beforeAutospacing="0" w:afterLines="50" w:after="120" w:afterAutospacing="0"/>
        <w:rPr>
          <w:b/>
          <w:sz w:val="20"/>
          <w:szCs w:val="20"/>
        </w:rPr>
      </w:pPr>
    </w:p>
    <w:p w14:paraId="58CBE5B0" w14:textId="77777777" w:rsidR="00555164" w:rsidRDefault="002C73C0">
      <w:pPr>
        <w:pStyle w:val="ad"/>
        <w:spacing w:beforeLines="50" w:before="120" w:beforeAutospacing="0" w:afterLines="50" w:after="120" w:afterAutospacing="0"/>
        <w:rPr>
          <w:b/>
          <w:i/>
          <w:sz w:val="20"/>
          <w:szCs w:val="20"/>
        </w:rPr>
      </w:pPr>
      <w:r>
        <w:rPr>
          <w:b/>
          <w:bCs/>
          <w:i/>
          <w:iCs/>
          <w:sz w:val="20"/>
          <w:szCs w:val="20"/>
        </w:rPr>
        <w:t xml:space="preserve">3.1 Type of the study </w:t>
      </w:r>
    </w:p>
    <w:p w14:paraId="213771E6" w14:textId="77777777" w:rsidR="00555164" w:rsidRDefault="002C73C0">
      <w:pPr>
        <w:pStyle w:val="ad"/>
        <w:spacing w:beforeLines="50" w:before="120" w:beforeAutospacing="0" w:afterLines="50" w:after="120" w:afterAutospacing="0"/>
        <w:rPr>
          <w:sz w:val="20"/>
          <w:szCs w:val="20"/>
        </w:rPr>
      </w:pPr>
      <w:r>
        <w:rPr>
          <w:sz w:val="20"/>
          <w:szCs w:val="20"/>
        </w:rPr>
        <w:t xml:space="preserve">This is a multicenter, randomized controlled trial with two parallel arms. </w:t>
      </w:r>
    </w:p>
    <w:p w14:paraId="671939AD" w14:textId="77777777" w:rsidR="00555164" w:rsidRDefault="00555164">
      <w:pPr>
        <w:pStyle w:val="ad"/>
        <w:spacing w:beforeLines="50" w:before="120" w:beforeAutospacing="0" w:afterLines="50" w:after="120" w:afterAutospacing="0"/>
        <w:rPr>
          <w:sz w:val="20"/>
          <w:szCs w:val="20"/>
        </w:rPr>
      </w:pPr>
    </w:p>
    <w:p w14:paraId="4DC699BB"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3.2 Sample size calculation </w:t>
      </w:r>
    </w:p>
    <w:p w14:paraId="57048CC0" w14:textId="77777777" w:rsidR="00555164" w:rsidRDefault="002C73C0">
      <w:pPr>
        <w:pStyle w:val="ad"/>
        <w:spacing w:beforeLines="50" w:before="120" w:beforeAutospacing="0" w:afterLines="50" w:after="120" w:afterAutospacing="0"/>
        <w:rPr>
          <w:sz w:val="20"/>
          <w:szCs w:val="20"/>
        </w:rPr>
      </w:pPr>
      <w:r>
        <w:rPr>
          <w:sz w:val="20"/>
          <w:szCs w:val="20"/>
        </w:rPr>
        <w:t>In a recent cohort study of our own, the incidence of postoperative delirium in elderly patients after major abdominal surgery (performed under general anesthesia followed by intravenous analgesia) was 13.1%. In our previous study, the incidence of delirium was reduced by roughly one-third when the intervention (haloperidol prophylaxis) was administered in elderly patients after noncardiac surgery</w:t>
      </w:r>
      <w:r>
        <w:rPr>
          <w:rFonts w:eastAsia="宋体"/>
          <w:sz w:val="20"/>
          <w:szCs w:val="20"/>
        </w:rPr>
        <w:t>.</w:t>
      </w:r>
      <w:r>
        <w:rPr>
          <w:sz w:val="20"/>
          <w:szCs w:val="20"/>
          <w:vertAlign w:val="superscript"/>
        </w:rPr>
        <w:fldChar w:fldCharType="begin" w:fldLock="1"/>
      </w:r>
      <w:r>
        <w:rPr>
          <w:sz w:val="20"/>
          <w:szCs w:val="20"/>
          <w:vertAlign w:val="superscript"/>
        </w:rPr>
        <w:instrText>ADDIN CSL_CITATION {"citationItems":[{"id":"ITEM-1","itemData":{"DOI":"10.1097/CCM.0b013e3182376e4f","ISSN":"00903493","abstract":"OBJECTIVES: To evaluate the efficacy and safety of short-term low-dose intravenous haloperidol for delirium prevention in critically ill elderly patients after noncardiac surgery. DESIGN: Prospective, randomized, double-blind, and placebo-controlled trial in two centers. SETTING: Intensive care units of two large tertiary teaching hospitals. PATIENTS: Four hundred fifty-seven patients 65 yrs or older who were admitted to the intensive care unit after noncardiac surgery. INTERVENTION: Haloperidol (0.5 mg intravenous bolus injection followed by continuous infusion at a rate of 0.1 mg/h for 12 hrs; n = 229) or placebo (n = 228) was randomly administered from intensive care unit admission. MEASURES: The primary end point was the incidence of delirium within the first 7 days after surgery. Secondary end points included time to onset of delirium, number of delirium-free days, length of intensive care unit stay, all-cause 28-day mortality, and adverse events. Delirium was assessed using the confusion assessment method for the intensive care unit. RESULTS: The incidence of delirium during the first 7 days after surgery was 15.3% (35/229) in the haloperidol group and 23.2% (53/228) in the control group (p = .031). The mean time to onset of delirium and the mean number of delirium-free days were significantly longer (6.2 days [95% confidence interval 5.9-6.4] vs. 5.7 days [95% confidence interval 5.4-6.0]; p = .021; and 6.8 ± 0.5 days vs. 6.7 ± 0.8 days; p = .027, respectively), whereas the median length of intensive care unit stay was significantly shorter (21.3 hrs [95% confidence interval 20.3-22.2] vs. 23.0 hrs [95% confidence interval 20.9-25.1]; p = .024) in the haloperidol group than in the control group. There was no significant difference with regard to all-cause 28-day mortality between the two groups (0.9% [2/229] vs. 2.6% [6/228]; p = .175). No drug-related side effects were documented. CONCLUSIONS: For elderly patients admitted to intensive care unit after noncardiac surgery, short-term prophylactic administration of low-dose intravenous haloperidol significantly decreased the incidence of postoperative delirium. The therapy was well-tolerated. Copyright © 2012 by the Society of Critical Care Medicine and Lippincott Williams &amp; Wilkins.","author":[{"dropping-particle":"","family":"Wang","given":"Wei","non-dropping-particle":"","parse-names":false,"suffix":""},{"dropping-particle":"","family":"Li","given":"Hong Liang","non-dropping-particle":"","parse-names":false,"suffix":""},{"dropping-particle":"","family":"Wang","given":"Dong Xin","non-dropping-particle":"","parse-names":false,"suffix":""},{"dropping-particle":"","family":"Zhu","given":"Xi","non-dropping-particle":"","parse-names":false,"suffix":""},{"dropping-particle":"","family":"Li","given":"Shuang Ling","non-dropping-particle":"","parse-names":false,"suffix":""},{"dropping-particle":"","family":"Yao","given":"Gai Qi","non-dropping-particle":"","parse-names":false,"suffix":""},{"dropping-particle":"","family":"Chen","given":"Kai Sheng","non-dropping-particle":"","parse-names":false,"suffix":""},{"dropping-particle":"","family":"Gu","given":"Xiu E.","non-dropping-particle":"","parse-names":false,"suffix":""},{"dropping-particle":"","family":"Zhu","given":"Sai Nan","non-dropping-particle":"","parse-names":false,"suffix":""}],"container-title":"Critical Care Medicine","id":"ITEM-1","issue":"3","issued":{"date-parts":[["2012","3"]]},"page":"731-739","title":"Haloperidol prophylaxis decreases delirium incidence in elderly patients after noncardiac surgery: A randomized controlled trial*","type":"article-journal","volume":"40"},"uris":["http://www.mendeley.com/documents/?uuid=5a170278-5e4f-4ff4-8fd3-28fc4be6acb3"]}],"mendeley":{"formattedCitation":"&lt;sup&gt;39&lt;/sup&gt;","plainTextFormattedCitation":"39","previouslyFormattedCitation":"&lt;sup&gt;39&lt;/sup&gt;"},"properties":{"noteIndex":0},"schema":"https://github.com/citation-style-language/schema/raw/master/csl-citation.json"}</w:instrText>
      </w:r>
      <w:r>
        <w:rPr>
          <w:sz w:val="20"/>
          <w:szCs w:val="20"/>
          <w:vertAlign w:val="superscript"/>
        </w:rPr>
        <w:fldChar w:fldCharType="separate"/>
      </w:r>
      <w:r>
        <w:rPr>
          <w:sz w:val="20"/>
          <w:szCs w:val="20"/>
          <w:vertAlign w:val="superscript"/>
        </w:rPr>
        <w:t>39</w:t>
      </w:r>
      <w:r>
        <w:rPr>
          <w:sz w:val="20"/>
          <w:szCs w:val="20"/>
          <w:vertAlign w:val="superscript"/>
        </w:rPr>
        <w:fldChar w:fldCharType="end"/>
      </w:r>
      <w:r>
        <w:rPr>
          <w:sz w:val="20"/>
          <w:szCs w:val="20"/>
        </w:rPr>
        <w:t xml:space="preserve"> Assuming that the general anesthesia group (general anesthesia plus postoperative intravenous analgesia) in the present study will have a similar delirium incidence as in our previous study, a total of 1664 subjects (832 subjects in each group) are required to detect a one-third reduction in the incidence of postoperative delirium at an 80% power with a two-sided significance level of 0.05. Considering a dropout rate of about 7.5 %, we plan to enroll 1800 patients. </w:t>
      </w:r>
    </w:p>
    <w:p w14:paraId="64987837" w14:textId="77777777" w:rsidR="00555164" w:rsidRDefault="00555164">
      <w:pPr>
        <w:pStyle w:val="ad"/>
        <w:spacing w:beforeLines="50" w:before="120" w:beforeAutospacing="0" w:afterLines="50" w:after="120" w:afterAutospacing="0"/>
        <w:rPr>
          <w:sz w:val="20"/>
          <w:szCs w:val="20"/>
        </w:rPr>
      </w:pPr>
    </w:p>
    <w:p w14:paraId="4848C759" w14:textId="77777777" w:rsidR="00555164" w:rsidRDefault="002C73C0">
      <w:pPr>
        <w:pStyle w:val="ad"/>
        <w:spacing w:beforeLines="50" w:before="120" w:beforeAutospacing="0" w:afterLines="50" w:after="120" w:afterAutospacing="0"/>
        <w:rPr>
          <w:rFonts w:eastAsia="等线"/>
          <w:b/>
          <w:bCs/>
          <w:i/>
          <w:iCs/>
          <w:sz w:val="20"/>
          <w:szCs w:val="20"/>
        </w:rPr>
      </w:pPr>
      <w:r>
        <w:rPr>
          <w:rFonts w:eastAsia="等线"/>
          <w:b/>
          <w:bCs/>
          <w:i/>
          <w:iCs/>
          <w:sz w:val="20"/>
          <w:szCs w:val="20"/>
        </w:rPr>
        <w:t>3.3 Participating centers</w:t>
      </w:r>
    </w:p>
    <w:p w14:paraId="2B14745B" w14:textId="77777777" w:rsidR="00555164" w:rsidRDefault="002C73C0">
      <w:pPr>
        <w:spacing w:beforeLines="50" w:before="120" w:afterLines="50" w:after="120"/>
        <w:rPr>
          <w:sz w:val="20"/>
          <w:szCs w:val="20"/>
        </w:rPr>
      </w:pPr>
      <w:r>
        <w:rPr>
          <w:sz w:val="20"/>
          <w:szCs w:val="20"/>
        </w:rPr>
        <w:t xml:space="preserve">3.3.1 </w:t>
      </w:r>
      <w:bookmarkStart w:id="13" w:name="_Hlk40141191"/>
      <w:r>
        <w:rPr>
          <w:sz w:val="20"/>
          <w:szCs w:val="20"/>
        </w:rPr>
        <w:t xml:space="preserve">This multicenter trial is conducted in six tertiary care hospitals affiliated with Peking University in Beijing, China. The five participating centers include Peking University First Hospital, Peking University People’s Hospital, Peking University Third Hospital, Beijing Hospital, Beijing Cancer Hospital, and China-Japan Friendship Hospital. </w:t>
      </w:r>
      <w:bookmarkEnd w:id="13"/>
    </w:p>
    <w:p w14:paraId="4AC0846D" w14:textId="77777777" w:rsidR="00555164" w:rsidRDefault="002C73C0">
      <w:pPr>
        <w:spacing w:beforeLines="50" w:before="120" w:afterLines="50" w:after="120"/>
        <w:rPr>
          <w:sz w:val="20"/>
          <w:szCs w:val="20"/>
        </w:rPr>
      </w:pPr>
      <w:r>
        <w:rPr>
          <w:sz w:val="20"/>
          <w:szCs w:val="20"/>
        </w:rPr>
        <w:t xml:space="preserve">3.3.2 The study is coordinated by the Department of Anesthesiology and Critical Care Medicine of Peking University First Hospital; and the Peking University Clinical Research Institute is responsible for the study monitoring, data management and data analysis. </w:t>
      </w:r>
    </w:p>
    <w:p w14:paraId="56A51A5F" w14:textId="77777777" w:rsidR="00555164" w:rsidRDefault="00555164">
      <w:pPr>
        <w:pStyle w:val="ad"/>
        <w:spacing w:beforeLines="50" w:before="120" w:beforeAutospacing="0" w:afterLines="50" w:after="120" w:afterAutospacing="0"/>
        <w:rPr>
          <w:rFonts w:eastAsia="等线"/>
          <w:sz w:val="20"/>
          <w:szCs w:val="20"/>
        </w:rPr>
      </w:pPr>
    </w:p>
    <w:p w14:paraId="16F18103" w14:textId="77777777" w:rsidR="00555164" w:rsidRDefault="002C73C0">
      <w:pPr>
        <w:pStyle w:val="ad"/>
        <w:spacing w:beforeLines="50" w:before="120" w:beforeAutospacing="0" w:afterLines="50" w:after="120" w:afterAutospacing="0"/>
        <w:outlineLvl w:val="0"/>
        <w:rPr>
          <w:b/>
          <w:bCs/>
          <w:sz w:val="20"/>
          <w:szCs w:val="20"/>
        </w:rPr>
      </w:pPr>
      <w:bookmarkStart w:id="14" w:name="_Toc44756115"/>
      <w:bookmarkStart w:id="15" w:name="_Toc44796161"/>
      <w:bookmarkStart w:id="16" w:name="_Toc44756000"/>
      <w:bookmarkStart w:id="17" w:name="_Toc44754953"/>
      <w:r>
        <w:rPr>
          <w:b/>
          <w:bCs/>
          <w:sz w:val="20"/>
          <w:szCs w:val="20"/>
        </w:rPr>
        <w:t>4. Study participants</w:t>
      </w:r>
      <w:bookmarkEnd w:id="14"/>
      <w:bookmarkEnd w:id="15"/>
      <w:bookmarkEnd w:id="16"/>
      <w:bookmarkEnd w:id="17"/>
      <w:r>
        <w:rPr>
          <w:b/>
          <w:bCs/>
          <w:sz w:val="20"/>
          <w:szCs w:val="20"/>
        </w:rPr>
        <w:t xml:space="preserve"> </w:t>
      </w:r>
    </w:p>
    <w:p w14:paraId="49EF030A" w14:textId="77777777" w:rsidR="00555164" w:rsidRDefault="00555164">
      <w:pPr>
        <w:pStyle w:val="ad"/>
        <w:spacing w:beforeLines="50" w:before="120" w:beforeAutospacing="0" w:afterLines="50" w:after="120" w:afterAutospacing="0"/>
        <w:rPr>
          <w:b/>
          <w:bCs/>
          <w:sz w:val="20"/>
          <w:szCs w:val="20"/>
        </w:rPr>
      </w:pPr>
    </w:p>
    <w:p w14:paraId="71548440" w14:textId="77777777" w:rsidR="00555164" w:rsidRDefault="002C73C0">
      <w:pPr>
        <w:pStyle w:val="ad"/>
        <w:spacing w:beforeLines="50" w:before="120" w:beforeAutospacing="0" w:afterLines="50" w:after="120" w:afterAutospacing="0"/>
        <w:rPr>
          <w:sz w:val="20"/>
          <w:szCs w:val="20"/>
        </w:rPr>
      </w:pPr>
      <w:r>
        <w:rPr>
          <w:sz w:val="20"/>
          <w:szCs w:val="20"/>
        </w:rPr>
        <w:t>Potential participants will be screened before surgery by the qualified investigators.</w:t>
      </w:r>
    </w:p>
    <w:p w14:paraId="5262817C" w14:textId="77777777" w:rsidR="00555164" w:rsidRDefault="002C73C0">
      <w:pPr>
        <w:pStyle w:val="ad"/>
        <w:spacing w:beforeLines="50" w:before="120" w:beforeAutospacing="0" w:afterLines="50" w:after="120" w:afterAutospacing="0"/>
        <w:rPr>
          <w:b/>
          <w:i/>
          <w:sz w:val="20"/>
          <w:szCs w:val="20"/>
        </w:rPr>
      </w:pPr>
      <w:r>
        <w:rPr>
          <w:b/>
          <w:bCs/>
          <w:i/>
          <w:iCs/>
          <w:sz w:val="20"/>
          <w:szCs w:val="20"/>
        </w:rPr>
        <w:t xml:space="preserve">4.1 Inclusion criteria </w:t>
      </w:r>
    </w:p>
    <w:p w14:paraId="280E642A" w14:textId="77777777" w:rsidR="00555164" w:rsidRDefault="002C73C0">
      <w:pPr>
        <w:pStyle w:val="ad"/>
        <w:spacing w:beforeLines="50" w:before="120" w:beforeAutospacing="0" w:afterLines="50" w:after="120" w:afterAutospacing="0"/>
        <w:rPr>
          <w:sz w:val="20"/>
          <w:szCs w:val="20"/>
        </w:rPr>
      </w:pPr>
      <w:r>
        <w:rPr>
          <w:sz w:val="20"/>
          <w:szCs w:val="20"/>
        </w:rPr>
        <w:t>4.1.1 Age range 60–90 years.</w:t>
      </w:r>
    </w:p>
    <w:p w14:paraId="4B256B3C" w14:textId="77777777" w:rsidR="00555164" w:rsidRDefault="002C73C0">
      <w:pPr>
        <w:pStyle w:val="ad"/>
        <w:spacing w:beforeLines="50" w:before="120" w:beforeAutospacing="0" w:afterLines="50" w:after="120" w:afterAutospacing="0"/>
        <w:rPr>
          <w:sz w:val="20"/>
          <w:szCs w:val="20"/>
        </w:rPr>
      </w:pPr>
      <w:r>
        <w:rPr>
          <w:sz w:val="20"/>
          <w:szCs w:val="20"/>
        </w:rPr>
        <w:t xml:space="preserve">4.1.2 Planning to undergo noncardiac thoracic or abdominal surgery with an expected duration of 2 hours or longer. </w:t>
      </w:r>
    </w:p>
    <w:p w14:paraId="758FBDAD" w14:textId="77777777" w:rsidR="00555164" w:rsidRDefault="002C73C0">
      <w:pPr>
        <w:pStyle w:val="ad"/>
        <w:spacing w:beforeLines="50" w:before="120" w:beforeAutospacing="0" w:afterLines="50" w:after="120" w:afterAutospacing="0"/>
        <w:rPr>
          <w:sz w:val="20"/>
          <w:szCs w:val="20"/>
        </w:rPr>
      </w:pPr>
      <w:r>
        <w:rPr>
          <w:sz w:val="20"/>
          <w:szCs w:val="20"/>
        </w:rPr>
        <w:t xml:space="preserve">4.1.3 Agree to receive patient-controlled analgesia after surgery. </w:t>
      </w:r>
    </w:p>
    <w:p w14:paraId="266C90BB" w14:textId="77777777" w:rsidR="00555164" w:rsidRDefault="00555164">
      <w:pPr>
        <w:pStyle w:val="ad"/>
        <w:spacing w:beforeLines="50" w:before="120" w:beforeAutospacing="0" w:afterLines="50" w:after="120" w:afterAutospacing="0"/>
        <w:rPr>
          <w:sz w:val="20"/>
          <w:szCs w:val="20"/>
        </w:rPr>
      </w:pPr>
    </w:p>
    <w:p w14:paraId="2DF92B94" w14:textId="77777777" w:rsidR="00555164" w:rsidRDefault="002C73C0">
      <w:pPr>
        <w:pStyle w:val="ad"/>
        <w:spacing w:beforeLines="50" w:before="120" w:beforeAutospacing="0" w:afterLines="50" w:after="120" w:afterAutospacing="0"/>
        <w:rPr>
          <w:b/>
          <w:i/>
          <w:sz w:val="20"/>
          <w:szCs w:val="20"/>
        </w:rPr>
      </w:pPr>
      <w:r>
        <w:rPr>
          <w:b/>
          <w:bCs/>
          <w:i/>
          <w:iCs/>
          <w:sz w:val="20"/>
          <w:szCs w:val="20"/>
        </w:rPr>
        <w:t xml:space="preserve">4.2 Exclusion criteria </w:t>
      </w:r>
    </w:p>
    <w:p w14:paraId="4B0997D8" w14:textId="77777777" w:rsidR="00555164" w:rsidRDefault="002C73C0">
      <w:pPr>
        <w:pStyle w:val="ad"/>
        <w:spacing w:beforeLines="50" w:before="120" w:beforeAutospacing="0" w:afterLines="50" w:after="120" w:afterAutospacing="0"/>
        <w:rPr>
          <w:sz w:val="20"/>
          <w:szCs w:val="20"/>
        </w:rPr>
      </w:pPr>
      <w:r>
        <w:rPr>
          <w:sz w:val="20"/>
          <w:szCs w:val="20"/>
        </w:rPr>
        <w:t>Patients will be excluded if they meet any of the following criteria:</w:t>
      </w:r>
    </w:p>
    <w:p w14:paraId="4A131375" w14:textId="77777777" w:rsidR="00555164" w:rsidRDefault="002C73C0">
      <w:pPr>
        <w:pStyle w:val="ad"/>
        <w:spacing w:beforeLines="50" w:before="120" w:beforeAutospacing="0" w:afterLines="50" w:after="120" w:afterAutospacing="0"/>
        <w:rPr>
          <w:sz w:val="20"/>
          <w:szCs w:val="20"/>
        </w:rPr>
      </w:pPr>
      <w:r>
        <w:rPr>
          <w:sz w:val="20"/>
          <w:szCs w:val="20"/>
        </w:rPr>
        <w:t>4.2.1 Previous history of schizophrenia, epilepsy or Parkinson disease, or unable to complete preoperative assessment due to severe dementia, language barrier, or end-stage disease.</w:t>
      </w:r>
    </w:p>
    <w:p w14:paraId="58DE4F1C" w14:textId="77777777" w:rsidR="00555164" w:rsidRDefault="002C73C0">
      <w:pPr>
        <w:pStyle w:val="ad"/>
        <w:spacing w:beforeLines="50" w:before="120" w:beforeAutospacing="0" w:afterLines="50" w:after="120" w:afterAutospacing="0"/>
        <w:rPr>
          <w:sz w:val="20"/>
          <w:szCs w:val="20"/>
        </w:rPr>
      </w:pPr>
      <w:r>
        <w:rPr>
          <w:sz w:val="20"/>
          <w:szCs w:val="20"/>
        </w:rPr>
        <w:t>4.2.2 History of myocardial infarction or stroke within 3 months before surgery.</w:t>
      </w:r>
    </w:p>
    <w:p w14:paraId="638DDCAE" w14:textId="77777777" w:rsidR="00555164" w:rsidRDefault="002C73C0">
      <w:pPr>
        <w:pStyle w:val="ad"/>
        <w:spacing w:beforeLines="50" w:before="120" w:beforeAutospacing="0" w:afterLines="50" w:after="120" w:afterAutospacing="0"/>
        <w:rPr>
          <w:sz w:val="20"/>
          <w:szCs w:val="20"/>
        </w:rPr>
      </w:pPr>
      <w:r>
        <w:rPr>
          <w:sz w:val="20"/>
          <w:szCs w:val="20"/>
        </w:rPr>
        <w:t>4.2.3 Any contraindication to epidural anesthesia and analgesia, including abnormal vertebral anatomy, previous spinal trauma or surgery, severe chronic back pain, coagulation disorder (prothrombin time or activated partial prothrombin time longer than 1.5 times of the upper normal limit, or platelet count of less than 80 × 10</w:t>
      </w:r>
      <w:r>
        <w:rPr>
          <w:sz w:val="20"/>
          <w:szCs w:val="20"/>
          <w:vertAlign w:val="superscript"/>
        </w:rPr>
        <w:t>9</w:t>
      </w:r>
      <w:r>
        <w:rPr>
          <w:sz w:val="20"/>
          <w:szCs w:val="20"/>
        </w:rPr>
        <w:t>/L), local infection near the site of puncture, and severe sepsis.</w:t>
      </w:r>
    </w:p>
    <w:p w14:paraId="5457F48C" w14:textId="77777777" w:rsidR="00555164" w:rsidRDefault="002C73C0">
      <w:pPr>
        <w:pStyle w:val="ad"/>
        <w:spacing w:beforeLines="50" w:before="120" w:beforeAutospacing="0" w:afterLines="50" w:after="120" w:afterAutospacing="0"/>
        <w:rPr>
          <w:sz w:val="20"/>
          <w:szCs w:val="20"/>
        </w:rPr>
      </w:pPr>
      <w:r>
        <w:rPr>
          <w:sz w:val="20"/>
          <w:szCs w:val="20"/>
        </w:rPr>
        <w:t xml:space="preserve">4.2.4 Severe heart dysfunction (New York Heart Association functional classification 3 or above), hepatic insufficiency (Child-Pugh grades C), or renal insufficiency (serum creatinine of 442 </w:t>
      </w:r>
      <w:proofErr w:type="spellStart"/>
      <w:r>
        <w:rPr>
          <w:sz w:val="20"/>
          <w:szCs w:val="20"/>
        </w:rPr>
        <w:t>μmol</w:t>
      </w:r>
      <w:proofErr w:type="spellEnd"/>
      <w:r>
        <w:rPr>
          <w:sz w:val="20"/>
          <w:szCs w:val="20"/>
        </w:rPr>
        <w:t>/L or above, with or without serum potassium of 6.5 mmol/L or above, or requirement of renal replacement therapy).</w:t>
      </w:r>
    </w:p>
    <w:p w14:paraId="4D4D89EE" w14:textId="77777777" w:rsidR="00555164" w:rsidRDefault="002C73C0">
      <w:pPr>
        <w:pStyle w:val="ad"/>
        <w:spacing w:beforeLines="50" w:before="120" w:beforeAutospacing="0" w:afterLines="50" w:after="120" w:afterAutospacing="0"/>
        <w:rPr>
          <w:sz w:val="20"/>
          <w:szCs w:val="20"/>
        </w:rPr>
      </w:pPr>
      <w:r>
        <w:rPr>
          <w:sz w:val="20"/>
          <w:szCs w:val="20"/>
        </w:rPr>
        <w:t xml:space="preserve">4.2.5 Any other conditions that are considered unsuitable for study participation. </w:t>
      </w:r>
    </w:p>
    <w:p w14:paraId="32B15EF5" w14:textId="77777777" w:rsidR="00555164" w:rsidRDefault="00555164">
      <w:pPr>
        <w:pStyle w:val="ad"/>
        <w:spacing w:beforeLines="50" w:before="120" w:beforeAutospacing="0" w:afterLines="50" w:after="120" w:afterAutospacing="0"/>
        <w:rPr>
          <w:sz w:val="20"/>
          <w:szCs w:val="20"/>
        </w:rPr>
      </w:pPr>
    </w:p>
    <w:p w14:paraId="59949B45"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4.3 Criteria of </w:t>
      </w:r>
      <w:r>
        <w:rPr>
          <w:rFonts w:eastAsia="等线"/>
          <w:b/>
          <w:i/>
          <w:sz w:val="20"/>
          <w:szCs w:val="20"/>
        </w:rPr>
        <w:t>s</w:t>
      </w:r>
      <w:r>
        <w:rPr>
          <w:b/>
          <w:i/>
          <w:sz w:val="20"/>
          <w:szCs w:val="20"/>
        </w:rPr>
        <w:t xml:space="preserve">tudy interruption </w:t>
      </w:r>
    </w:p>
    <w:p w14:paraId="35157DBC" w14:textId="77777777" w:rsidR="00555164" w:rsidRDefault="002C73C0">
      <w:pPr>
        <w:pStyle w:val="ad"/>
        <w:spacing w:beforeLines="50" w:before="120" w:beforeAutospacing="0" w:afterLines="50" w:after="120" w:afterAutospacing="0"/>
        <w:rPr>
          <w:sz w:val="20"/>
          <w:szCs w:val="20"/>
        </w:rPr>
      </w:pPr>
      <w:r>
        <w:rPr>
          <w:sz w:val="20"/>
          <w:szCs w:val="20"/>
        </w:rPr>
        <w:t xml:space="preserve">Study will be interrupted in the following situations: </w:t>
      </w:r>
    </w:p>
    <w:p w14:paraId="14855CB5" w14:textId="77777777" w:rsidR="00555164" w:rsidRDefault="002C73C0">
      <w:pPr>
        <w:pStyle w:val="ad"/>
        <w:spacing w:beforeLines="50" w:before="120" w:beforeAutospacing="0" w:afterLines="50" w:after="120" w:afterAutospacing="0"/>
        <w:rPr>
          <w:sz w:val="20"/>
          <w:szCs w:val="20"/>
        </w:rPr>
      </w:pPr>
      <w:r>
        <w:rPr>
          <w:sz w:val="20"/>
          <w:szCs w:val="20"/>
        </w:rPr>
        <w:t>4.3.1 Severe safety problem occurred during the study.</w:t>
      </w:r>
    </w:p>
    <w:p w14:paraId="5B424333" w14:textId="77777777" w:rsidR="00555164" w:rsidRDefault="002C73C0">
      <w:pPr>
        <w:pStyle w:val="ad"/>
        <w:spacing w:beforeLines="50" w:before="120" w:beforeAutospacing="0" w:afterLines="50" w:after="120" w:afterAutospacing="0"/>
        <w:rPr>
          <w:sz w:val="20"/>
          <w:szCs w:val="20"/>
        </w:rPr>
      </w:pPr>
      <w:r>
        <w:rPr>
          <w:sz w:val="20"/>
          <w:szCs w:val="20"/>
        </w:rPr>
        <w:t>4.3.2 Serious mistake found in the protocol.</w:t>
      </w:r>
    </w:p>
    <w:p w14:paraId="1818E541" w14:textId="77777777" w:rsidR="00555164" w:rsidRDefault="002C73C0">
      <w:pPr>
        <w:pStyle w:val="ad"/>
        <w:spacing w:beforeLines="50" w:before="120" w:beforeAutospacing="0" w:afterLines="50" w:after="120" w:afterAutospacing="0"/>
        <w:rPr>
          <w:sz w:val="20"/>
          <w:szCs w:val="20"/>
        </w:rPr>
      </w:pPr>
      <w:r>
        <w:rPr>
          <w:sz w:val="20"/>
          <w:szCs w:val="20"/>
        </w:rPr>
        <w:t>4.3.3 Fund or management problem of the investigators.</w:t>
      </w:r>
    </w:p>
    <w:p w14:paraId="0E1FAD68" w14:textId="77777777" w:rsidR="00555164" w:rsidRDefault="002C73C0">
      <w:pPr>
        <w:pStyle w:val="ad"/>
        <w:spacing w:beforeLines="50" w:before="120" w:beforeAutospacing="0" w:afterLines="50" w:after="120" w:afterAutospacing="0"/>
        <w:rPr>
          <w:sz w:val="20"/>
          <w:szCs w:val="20"/>
        </w:rPr>
      </w:pPr>
      <w:r>
        <w:rPr>
          <w:sz w:val="20"/>
          <w:szCs w:val="20"/>
        </w:rPr>
        <w:t xml:space="preserve">4.3.4 Study cancelled by the administrative authority. </w:t>
      </w:r>
    </w:p>
    <w:p w14:paraId="704C2A7F" w14:textId="77777777" w:rsidR="00555164" w:rsidRDefault="002C73C0">
      <w:pPr>
        <w:pStyle w:val="ad"/>
        <w:spacing w:beforeLines="50" w:before="120" w:beforeAutospacing="0" w:afterLines="50" w:after="120" w:afterAutospacing="0"/>
        <w:rPr>
          <w:sz w:val="20"/>
          <w:szCs w:val="20"/>
        </w:rPr>
      </w:pPr>
      <w:r>
        <w:rPr>
          <w:sz w:val="20"/>
          <w:szCs w:val="20"/>
        </w:rPr>
        <w:t xml:space="preserve">Study interruption may be transient or permanent. All recorded case report forms will be preserved for reference in case of study interruption. </w:t>
      </w:r>
    </w:p>
    <w:p w14:paraId="3507416C" w14:textId="77777777" w:rsidR="00555164" w:rsidRDefault="00555164">
      <w:pPr>
        <w:pStyle w:val="ad"/>
        <w:spacing w:beforeLines="50" w:before="120" w:beforeAutospacing="0" w:afterLines="50" w:after="120" w:afterAutospacing="0"/>
        <w:rPr>
          <w:bCs/>
          <w:sz w:val="20"/>
          <w:szCs w:val="20"/>
        </w:rPr>
      </w:pPr>
    </w:p>
    <w:p w14:paraId="7265ACAA" w14:textId="77777777" w:rsidR="00555164" w:rsidRDefault="002C73C0">
      <w:pPr>
        <w:pStyle w:val="1"/>
        <w:spacing w:before="50" w:beforeAutospacing="0" w:after="50" w:afterAutospacing="0"/>
        <w:rPr>
          <w:rFonts w:ascii="Times New Roman" w:hAnsi="Times New Roman" w:cs="Times New Roman"/>
          <w:b w:val="0"/>
          <w:bCs w:val="0"/>
          <w:sz w:val="20"/>
          <w:szCs w:val="20"/>
        </w:rPr>
      </w:pPr>
      <w:bookmarkStart w:id="18" w:name="_Toc44754954"/>
      <w:bookmarkStart w:id="19" w:name="_Toc44756001"/>
      <w:bookmarkStart w:id="20" w:name="_Toc44756116"/>
      <w:bookmarkStart w:id="21" w:name="_Toc44796162"/>
      <w:r>
        <w:rPr>
          <w:rFonts w:ascii="Times New Roman" w:hAnsi="Times New Roman" w:cs="Times New Roman"/>
          <w:sz w:val="20"/>
          <w:szCs w:val="20"/>
        </w:rPr>
        <w:t>5. Randomization and masking</w:t>
      </w:r>
      <w:bookmarkEnd w:id="18"/>
      <w:bookmarkEnd w:id="19"/>
      <w:bookmarkEnd w:id="20"/>
      <w:bookmarkEnd w:id="21"/>
    </w:p>
    <w:p w14:paraId="419DED32" w14:textId="77777777" w:rsidR="00555164" w:rsidRDefault="00555164">
      <w:pPr>
        <w:spacing w:beforeLines="50" w:before="120" w:afterLines="50" w:after="120"/>
        <w:rPr>
          <w:b/>
          <w:sz w:val="20"/>
          <w:szCs w:val="20"/>
        </w:rPr>
      </w:pPr>
    </w:p>
    <w:p w14:paraId="62A15F51" w14:textId="77777777" w:rsidR="00555164" w:rsidRDefault="002C73C0">
      <w:pPr>
        <w:spacing w:beforeLines="50" w:before="120" w:afterLines="50" w:after="120"/>
        <w:rPr>
          <w:b/>
          <w:bCs/>
          <w:i/>
          <w:iCs/>
          <w:sz w:val="20"/>
          <w:szCs w:val="20"/>
        </w:rPr>
      </w:pPr>
      <w:r>
        <w:rPr>
          <w:b/>
          <w:bCs/>
          <w:i/>
          <w:iCs/>
          <w:sz w:val="20"/>
          <w:szCs w:val="20"/>
        </w:rPr>
        <w:t xml:space="preserve">5.1 Randomization </w:t>
      </w:r>
    </w:p>
    <w:p w14:paraId="63D2A38E" w14:textId="77777777" w:rsidR="00555164" w:rsidRDefault="002C73C0">
      <w:pPr>
        <w:spacing w:beforeLines="50" w:before="120" w:afterLines="50" w:after="120"/>
        <w:rPr>
          <w:sz w:val="20"/>
          <w:szCs w:val="20"/>
        </w:rPr>
      </w:pPr>
      <w:r>
        <w:rPr>
          <w:sz w:val="20"/>
          <w:szCs w:val="20"/>
        </w:rPr>
        <w:t xml:space="preserve">5.1.1 The randomization will be performed (in a 1:1 ratio) centrally at Peking University Clinical Research Institute through a 24-hour interactive web response system (IWRS, </w:t>
      </w:r>
      <w:proofErr w:type="spellStart"/>
      <w:r>
        <w:rPr>
          <w:sz w:val="20"/>
          <w:szCs w:val="20"/>
        </w:rPr>
        <w:t>Brightech</w:t>
      </w:r>
      <w:proofErr w:type="spellEnd"/>
      <w:r>
        <w:rPr>
          <w:sz w:val="20"/>
          <w:szCs w:val="20"/>
        </w:rPr>
        <w:t xml:space="preserve"> Clinical Information Management System) before the surgery. The randomization is stratified by </w:t>
      </w:r>
      <w:r>
        <w:rPr>
          <w:rFonts w:eastAsia="等线"/>
          <w:sz w:val="20"/>
          <w:szCs w:val="20"/>
        </w:rPr>
        <w:t>study center</w:t>
      </w:r>
      <w:r>
        <w:rPr>
          <w:sz w:val="20"/>
          <w:szCs w:val="20"/>
        </w:rPr>
        <w:t xml:space="preserve"> and type of surgery (thoracic or abdominal surgery) with a block size of four. Allocation is concealed until shortly before anesthesia induction or epidural puncture.</w:t>
      </w:r>
    </w:p>
    <w:p w14:paraId="22D96577" w14:textId="77777777" w:rsidR="00555164" w:rsidRDefault="002C73C0">
      <w:pPr>
        <w:spacing w:beforeLines="50" w:before="120" w:afterLines="50" w:after="120"/>
        <w:rPr>
          <w:sz w:val="20"/>
          <w:szCs w:val="20"/>
        </w:rPr>
      </w:pPr>
      <w:r>
        <w:rPr>
          <w:sz w:val="20"/>
          <w:szCs w:val="20"/>
        </w:rPr>
        <w:t>5.1.2 For each recruited patient, a study coordinator will be designated to distribute the randomization result to the anesthesiologists according to the sequence of recruited patients, and to coordinate between investigators.</w:t>
      </w:r>
    </w:p>
    <w:p w14:paraId="091648C5" w14:textId="77777777" w:rsidR="00555164" w:rsidRDefault="002C73C0">
      <w:pPr>
        <w:spacing w:beforeLines="50" w:before="120" w:afterLines="50" w:after="120"/>
        <w:rPr>
          <w:sz w:val="20"/>
          <w:szCs w:val="20"/>
        </w:rPr>
      </w:pPr>
      <w:r>
        <w:rPr>
          <w:sz w:val="20"/>
          <w:szCs w:val="20"/>
        </w:rPr>
        <w:t xml:space="preserve">5.1.3 For each recruited patient, an anesthesiologist will be designated for anesthesia and postoperative pain management (and data collection) according to the result of randomization. </w:t>
      </w:r>
    </w:p>
    <w:p w14:paraId="36F26C6F" w14:textId="77777777" w:rsidR="00555164" w:rsidRDefault="002C73C0">
      <w:pPr>
        <w:spacing w:beforeLines="50" w:before="120" w:afterLines="50" w:after="120"/>
        <w:rPr>
          <w:sz w:val="20"/>
          <w:szCs w:val="20"/>
        </w:rPr>
      </w:pPr>
      <w:r>
        <w:rPr>
          <w:sz w:val="20"/>
          <w:szCs w:val="20"/>
        </w:rPr>
        <w:t>5.1.4 Study intervention (combined epidural-general anesthesia plus postoperative epidural analgesia or general anesthesia plus postoperative intravenous analgesia) will be provided according to the randomization results by anesthesiologists who do not participate in the outcome assessments.</w:t>
      </w:r>
    </w:p>
    <w:p w14:paraId="0D36A104" w14:textId="77777777" w:rsidR="00555164" w:rsidRDefault="002C73C0">
      <w:pPr>
        <w:spacing w:beforeLines="50" w:before="120" w:afterLines="50" w:after="120"/>
        <w:rPr>
          <w:sz w:val="20"/>
          <w:szCs w:val="20"/>
        </w:rPr>
      </w:pPr>
      <w:r>
        <w:rPr>
          <w:sz w:val="20"/>
          <w:szCs w:val="20"/>
        </w:rPr>
        <w:t xml:space="preserve">5.1.5 The results of randomization will be concealed and stored at the interactive web response system (IWRS, </w:t>
      </w:r>
      <w:proofErr w:type="spellStart"/>
      <w:r>
        <w:rPr>
          <w:sz w:val="20"/>
          <w:szCs w:val="20"/>
        </w:rPr>
        <w:t>Brightech</w:t>
      </w:r>
      <w:proofErr w:type="spellEnd"/>
      <w:r>
        <w:rPr>
          <w:sz w:val="20"/>
          <w:szCs w:val="20"/>
        </w:rPr>
        <w:t xml:space="preserve"> Clinical Information Management System) and monitored by Peking University Clinical Research Institute. </w:t>
      </w:r>
    </w:p>
    <w:p w14:paraId="03CBBCE5" w14:textId="77777777" w:rsidR="00555164" w:rsidRDefault="00555164">
      <w:pPr>
        <w:spacing w:beforeLines="50" w:before="120" w:afterLines="50" w:after="120"/>
        <w:rPr>
          <w:sz w:val="20"/>
          <w:szCs w:val="20"/>
        </w:rPr>
      </w:pPr>
    </w:p>
    <w:p w14:paraId="3A1A57A3" w14:textId="77777777" w:rsidR="00555164" w:rsidRDefault="002C73C0">
      <w:pPr>
        <w:spacing w:beforeLines="50" w:before="120" w:afterLines="50" w:after="120"/>
        <w:rPr>
          <w:sz w:val="20"/>
          <w:szCs w:val="20"/>
        </w:rPr>
      </w:pPr>
      <w:r>
        <w:rPr>
          <w:b/>
          <w:bCs/>
          <w:i/>
          <w:iCs/>
          <w:sz w:val="20"/>
          <w:szCs w:val="20"/>
        </w:rPr>
        <w:t xml:space="preserve">5.2 </w:t>
      </w:r>
      <w:r>
        <w:rPr>
          <w:rFonts w:eastAsia="等线"/>
          <w:b/>
          <w:bCs/>
          <w:i/>
          <w:iCs/>
          <w:sz w:val="20"/>
          <w:szCs w:val="20"/>
        </w:rPr>
        <w:t>Masking</w:t>
      </w:r>
    </w:p>
    <w:p w14:paraId="1FA0D5C5" w14:textId="77777777" w:rsidR="00555164" w:rsidRDefault="002C73C0">
      <w:pPr>
        <w:pStyle w:val="ad"/>
        <w:spacing w:beforeLines="50" w:before="120" w:beforeAutospacing="0" w:afterLines="50" w:after="120" w:afterAutospacing="0"/>
        <w:rPr>
          <w:sz w:val="20"/>
          <w:szCs w:val="20"/>
        </w:rPr>
      </w:pPr>
      <w:r>
        <w:rPr>
          <w:sz w:val="20"/>
          <w:szCs w:val="20"/>
        </w:rPr>
        <w:t>5.2.1 Because of the apparent difference between the two anesthesia-analgesia methods, patients, anesthesiologists and other health-care team members are aware of study group assignment.</w:t>
      </w:r>
    </w:p>
    <w:p w14:paraId="783599F7"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 xml:space="preserve">5.2.2 Investigators who are responsible for patient recruitment do not participate in the anesthesia and perioperative care of the recruited patients. </w:t>
      </w:r>
    </w:p>
    <w:p w14:paraId="3B6089CC" w14:textId="77777777" w:rsidR="00555164" w:rsidRDefault="002C73C0">
      <w:pPr>
        <w:pStyle w:val="ad"/>
        <w:spacing w:beforeLines="50" w:before="120" w:beforeAutospacing="0" w:afterLines="50" w:after="120" w:afterAutospacing="0"/>
        <w:rPr>
          <w:sz w:val="20"/>
          <w:szCs w:val="20"/>
        </w:rPr>
      </w:pPr>
      <w:r>
        <w:rPr>
          <w:sz w:val="20"/>
          <w:szCs w:val="20"/>
        </w:rPr>
        <w:t xml:space="preserve">5.2.3 Investigators who are responsible for postoperative follow‐up and outcome assessments are not involved in anesthesia and perioperative management and have no knowledge of study group assignment. They have been trained prior to the study to follow the study protocol and to do delirium assessment. They are not allowed to communicate with neither patients nor other health-care team members regarding study group assignment. </w:t>
      </w:r>
    </w:p>
    <w:p w14:paraId="019334B3" w14:textId="77777777" w:rsidR="00555164" w:rsidRDefault="002C73C0">
      <w:pPr>
        <w:pStyle w:val="ad"/>
        <w:spacing w:beforeLines="50" w:before="120" w:beforeAutospacing="0" w:afterLines="50" w:after="120" w:afterAutospacing="0"/>
        <w:rPr>
          <w:sz w:val="20"/>
          <w:szCs w:val="20"/>
        </w:rPr>
      </w:pPr>
      <w:r>
        <w:rPr>
          <w:sz w:val="20"/>
          <w:szCs w:val="20"/>
        </w:rPr>
        <w:t xml:space="preserve">5.2.4 Statistical analysis will be performed independently by Peking University Clinical Research Institute. </w:t>
      </w:r>
    </w:p>
    <w:p w14:paraId="0759657D" w14:textId="77777777" w:rsidR="00555164" w:rsidRDefault="00555164">
      <w:pPr>
        <w:pStyle w:val="ad"/>
        <w:spacing w:beforeLines="50" w:before="120" w:beforeAutospacing="0" w:afterLines="50" w:after="120" w:afterAutospacing="0"/>
        <w:rPr>
          <w:sz w:val="20"/>
          <w:szCs w:val="20"/>
        </w:rPr>
      </w:pPr>
    </w:p>
    <w:p w14:paraId="0B971134" w14:textId="77777777" w:rsidR="00555164" w:rsidRDefault="002C73C0">
      <w:pPr>
        <w:pStyle w:val="1"/>
        <w:spacing w:before="50" w:beforeAutospacing="0" w:after="50" w:afterAutospacing="0"/>
        <w:rPr>
          <w:rFonts w:ascii="Times New Roman" w:hAnsi="Times New Roman" w:cs="Times New Roman"/>
          <w:b w:val="0"/>
          <w:bCs w:val="0"/>
          <w:sz w:val="20"/>
          <w:szCs w:val="20"/>
        </w:rPr>
      </w:pPr>
      <w:bookmarkStart w:id="22" w:name="_Toc44754955"/>
      <w:bookmarkStart w:id="23" w:name="_Toc44756002"/>
      <w:bookmarkStart w:id="24" w:name="_Toc44796163"/>
      <w:bookmarkStart w:id="25" w:name="_Toc44756117"/>
      <w:r>
        <w:rPr>
          <w:rFonts w:ascii="Times New Roman" w:hAnsi="Times New Roman" w:cs="Times New Roman"/>
          <w:sz w:val="20"/>
          <w:szCs w:val="20"/>
        </w:rPr>
        <w:t>6. Intervention protocol</w:t>
      </w:r>
      <w:bookmarkEnd w:id="22"/>
      <w:bookmarkEnd w:id="23"/>
      <w:bookmarkEnd w:id="24"/>
      <w:bookmarkEnd w:id="25"/>
      <w:r>
        <w:rPr>
          <w:rFonts w:ascii="Times New Roman" w:hAnsi="Times New Roman" w:cs="Times New Roman"/>
          <w:sz w:val="20"/>
          <w:szCs w:val="20"/>
        </w:rPr>
        <w:t xml:space="preserve"> </w:t>
      </w:r>
    </w:p>
    <w:p w14:paraId="3D7BBDFD" w14:textId="77777777" w:rsidR="00555164" w:rsidRDefault="00555164">
      <w:pPr>
        <w:spacing w:beforeLines="50" w:before="120" w:afterLines="50" w:after="120"/>
        <w:rPr>
          <w:b/>
          <w:sz w:val="20"/>
          <w:szCs w:val="20"/>
        </w:rPr>
      </w:pPr>
    </w:p>
    <w:p w14:paraId="4F3456AF" w14:textId="77777777" w:rsidR="00555164" w:rsidRDefault="002C73C0">
      <w:pPr>
        <w:pStyle w:val="ad"/>
        <w:spacing w:beforeLines="50" w:before="120" w:beforeAutospacing="0" w:afterLines="50" w:after="120" w:afterAutospacing="0"/>
        <w:rPr>
          <w:rFonts w:eastAsia="等线"/>
          <w:b/>
          <w:i/>
          <w:sz w:val="20"/>
          <w:szCs w:val="20"/>
        </w:rPr>
      </w:pPr>
      <w:r>
        <w:rPr>
          <w:rFonts w:eastAsia="等线"/>
          <w:b/>
          <w:i/>
          <w:sz w:val="20"/>
          <w:szCs w:val="20"/>
        </w:rPr>
        <w:t>6.1 Anesthesia and analgesia</w:t>
      </w:r>
    </w:p>
    <w:p w14:paraId="25EE498C"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6.1.1 Intraoperative monitoring includes electrocardiogram, non-invasive blood pressure, pulse oxygen saturation, end-tidal concentrations of inhalational anesthetics and carbon dioxide, nasopharyngeal temperature, and urine output. Intra-arterial pressure and central venous pressure are monitored when necessary.</w:t>
      </w:r>
    </w:p>
    <w:p w14:paraId="41884EC2" w14:textId="77777777" w:rsidR="00555164" w:rsidRDefault="002C73C0">
      <w:pPr>
        <w:pStyle w:val="ad"/>
        <w:spacing w:beforeLines="50" w:before="120" w:beforeAutospacing="0" w:afterLines="50" w:after="120" w:afterAutospacing="0"/>
        <w:rPr>
          <w:sz w:val="20"/>
          <w:szCs w:val="20"/>
        </w:rPr>
      </w:pPr>
      <w:r>
        <w:rPr>
          <w:sz w:val="20"/>
          <w:szCs w:val="20"/>
        </w:rPr>
        <w:lastRenderedPageBreak/>
        <w:t xml:space="preserve">6.1.2 For patients assigned to receive combined epidural-general anesthesia plus postoperative epidural analgesia (EGA Group), epidural catheterization will be performed first. </w:t>
      </w:r>
    </w:p>
    <w:p w14:paraId="25424C95" w14:textId="77777777" w:rsidR="00555164" w:rsidRDefault="002C73C0">
      <w:pPr>
        <w:pStyle w:val="ad"/>
        <w:spacing w:beforeLines="50" w:before="120" w:beforeAutospacing="0" w:afterLines="50" w:after="120" w:afterAutospacing="0"/>
        <w:rPr>
          <w:sz w:val="20"/>
          <w:szCs w:val="20"/>
        </w:rPr>
      </w:pPr>
      <w:r>
        <w:rPr>
          <w:sz w:val="20"/>
          <w:szCs w:val="20"/>
        </w:rPr>
        <w:t xml:space="preserve">6.1.2.1 The intervertebral space for epidural puncture will be selected by the attending anesthesiologists according to the site of planned incision. An epidural catheter will be inserted using a standard technique. After negative aspiration of blood and cerebrospinal fluid, a test dose of 3–4 mL of 2 % lidocaine will be administered to confirm the position of the catheter and the effect of neuraxial block. </w:t>
      </w:r>
    </w:p>
    <w:p w14:paraId="7B80BD60" w14:textId="77777777" w:rsidR="00555164" w:rsidRDefault="002C73C0">
      <w:pPr>
        <w:pStyle w:val="ad"/>
        <w:spacing w:beforeLines="50" w:before="120" w:beforeAutospacing="0" w:afterLines="50" w:after="120" w:afterAutospacing="0"/>
        <w:rPr>
          <w:sz w:val="20"/>
          <w:szCs w:val="20"/>
        </w:rPr>
      </w:pPr>
      <w:r>
        <w:rPr>
          <w:sz w:val="20"/>
          <w:szCs w:val="20"/>
        </w:rPr>
        <w:t>6.1.2.2 General anesthesia will be induced with midazolam (0.02-0.03 mg/kg), propofol, sufentanil and rocuronium. For patients with expected difficult airway, endotracheal intubation may be facilitated by succinylcholine or awake intubation may be performed. Anesthesia will be maintained with intravenous (propofol), inhalational (sevoflurane with or without nitrous oxide), or combined intravenous-inhalational anesthetics, together with 0.375%-0.5% ropivacaine administered as bolus and/or continuously through the epidural catheter. Additional opioids (remifentanil</w:t>
      </w:r>
      <w:r>
        <w:rPr>
          <w:rFonts w:eastAsia="宋体"/>
          <w:sz w:val="20"/>
          <w:szCs w:val="20"/>
        </w:rPr>
        <w:t xml:space="preserve">, </w:t>
      </w:r>
      <w:r>
        <w:rPr>
          <w:sz w:val="20"/>
          <w:szCs w:val="20"/>
        </w:rPr>
        <w:t xml:space="preserve">sufentanil, fentanyl, or morphine) and muscle relaxant (rocuronium, atracurium, or cisatracurium) will be administered when deemed necessary. </w:t>
      </w:r>
      <w:r>
        <w:rPr>
          <w:rFonts w:eastAsia="等线"/>
          <w:sz w:val="20"/>
          <w:szCs w:val="20"/>
        </w:rPr>
        <w:t>For patients whose epidural local anesthetics has to be decreased or stopped, the reasons, the administered dose and subsequent management should be recorded.</w:t>
      </w:r>
    </w:p>
    <w:p w14:paraId="14EE167F" w14:textId="77777777" w:rsidR="00555164" w:rsidRDefault="002C73C0">
      <w:pPr>
        <w:pStyle w:val="ad"/>
        <w:spacing w:beforeLines="50" w:before="120" w:beforeAutospacing="0" w:afterLines="50" w:after="120" w:afterAutospacing="0"/>
        <w:rPr>
          <w:sz w:val="20"/>
          <w:szCs w:val="20"/>
        </w:rPr>
      </w:pPr>
      <w:r>
        <w:rPr>
          <w:sz w:val="20"/>
          <w:szCs w:val="20"/>
        </w:rPr>
        <w:t xml:space="preserve">6.1.2.3 Patient-controlled epidural analgesia will be provided after surgery. This is established with 0.12 % ropivacaine and 0.5 </w:t>
      </w:r>
      <w:proofErr w:type="spellStart"/>
      <w:r>
        <w:rPr>
          <w:sz w:val="20"/>
          <w:szCs w:val="20"/>
        </w:rPr>
        <w:t>μg</w:t>
      </w:r>
      <w:proofErr w:type="spellEnd"/>
      <w:r>
        <w:rPr>
          <w:sz w:val="20"/>
          <w:szCs w:val="20"/>
        </w:rPr>
        <w:t xml:space="preserve">/mL sufentanil in 250 mL normal saline, programmed to deliver 2-mL boluses with a 20-minute lockout interval and a background infusion of 4 mL/h. For patients with low body weight or poor general condition, doses can be decreased and upper dose limit can be set for the patient-controlled pump. </w:t>
      </w:r>
    </w:p>
    <w:p w14:paraId="0CE1BB1D"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 xml:space="preserve">6.1.2.4 For patients whose epidural analgesia pump has to be decreased or stopped, the reasons, the administered dose and subsequent management should be recorded. </w:t>
      </w:r>
    </w:p>
    <w:p w14:paraId="4AD40B1F" w14:textId="77777777" w:rsidR="00555164" w:rsidRDefault="002C73C0">
      <w:pPr>
        <w:pStyle w:val="ad"/>
        <w:spacing w:beforeLines="50" w:before="120" w:beforeAutospacing="0" w:afterLines="50" w:after="120" w:afterAutospacing="0"/>
        <w:rPr>
          <w:sz w:val="20"/>
          <w:szCs w:val="20"/>
        </w:rPr>
      </w:pPr>
      <w:r>
        <w:rPr>
          <w:sz w:val="20"/>
          <w:szCs w:val="20"/>
        </w:rPr>
        <w:t>6.1.3 For patients assigned to receive general anesthesia plus postoperative intravenous analgesia (GA Group), epidural catheterization will not be performed.</w:t>
      </w:r>
    </w:p>
    <w:p w14:paraId="43BB77F5" w14:textId="77777777" w:rsidR="00555164" w:rsidRDefault="002C73C0">
      <w:pPr>
        <w:pStyle w:val="ad"/>
        <w:spacing w:beforeLines="50" w:before="120" w:beforeAutospacing="0" w:afterLines="50" w:after="120" w:afterAutospacing="0"/>
        <w:rPr>
          <w:sz w:val="20"/>
          <w:szCs w:val="20"/>
        </w:rPr>
      </w:pPr>
      <w:r>
        <w:rPr>
          <w:sz w:val="20"/>
          <w:szCs w:val="20"/>
        </w:rPr>
        <w:t>6.1.3.1 General anesthesia will be induced with midazolam (0.02-0.03 mg/kg), propofol, sufentanil</w:t>
      </w:r>
      <w:r>
        <w:rPr>
          <w:rFonts w:eastAsia="宋体"/>
          <w:sz w:val="20"/>
          <w:szCs w:val="20"/>
        </w:rPr>
        <w:t>,</w:t>
      </w:r>
      <w:r>
        <w:rPr>
          <w:sz w:val="20"/>
          <w:szCs w:val="20"/>
        </w:rPr>
        <w:t xml:space="preserve"> and rocuronium. For patients with expected difficult airway, endotracheal intubation may be facilitated by succinylcholine or awake intubation may be performed. Anesthesia will be maintained with either intravenous (propofol), inhalational (sevoflurane with or without nitrous oxide), or combined intravenous-inhalational anesthetics. Additional opioids (remifentanil, sufentanil, fentanyl, or morphine) and muscle relaxant (rocuronium, atracurium, or cisatracurium) will be administered when deemed necessary. </w:t>
      </w:r>
    </w:p>
    <w:p w14:paraId="09F5C7BA" w14:textId="77777777" w:rsidR="00555164" w:rsidRDefault="002C73C0">
      <w:pPr>
        <w:pStyle w:val="ad"/>
        <w:spacing w:beforeLines="50" w:before="120" w:beforeAutospacing="0" w:afterLines="50" w:after="120" w:afterAutospacing="0"/>
        <w:rPr>
          <w:sz w:val="20"/>
          <w:szCs w:val="20"/>
        </w:rPr>
      </w:pPr>
      <w:r>
        <w:rPr>
          <w:sz w:val="20"/>
          <w:szCs w:val="20"/>
        </w:rPr>
        <w:t>6.1.3.2 Patient-controlled intravenous analgesia will be provided after surgery. This is established with 0.5 mg</w:t>
      </w:r>
      <w:r>
        <w:rPr>
          <w:rFonts w:eastAsia="宋体"/>
          <w:sz w:val="20"/>
          <w:szCs w:val="20"/>
        </w:rPr>
        <w:t>/mL</w:t>
      </w:r>
      <w:r>
        <w:rPr>
          <w:sz w:val="20"/>
          <w:szCs w:val="20"/>
        </w:rPr>
        <w:t xml:space="preserve"> morphine in 100 mL normal saline, programmed to deliver 2-mL boluses with a 6 to 10-minute lockout interval and a 1 mL/h background infusion. For patients with low body weight or poor general condition, doses can be decreased and upper dose limit can be set for the patient-controlled pump. </w:t>
      </w:r>
    </w:p>
    <w:p w14:paraId="34FBD641"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6.1.3.3 For patients whose intravenous analgesia pump has to be decreased or stopped, the reasons, the administered dose and subsequent management should be recorded.</w:t>
      </w:r>
    </w:p>
    <w:p w14:paraId="3C57517B" w14:textId="77777777" w:rsidR="00555164" w:rsidRDefault="00555164">
      <w:pPr>
        <w:pStyle w:val="ad"/>
        <w:spacing w:beforeLines="50" w:before="120" w:beforeAutospacing="0" w:afterLines="50" w:after="120" w:afterAutospacing="0"/>
        <w:rPr>
          <w:sz w:val="20"/>
          <w:szCs w:val="20"/>
        </w:rPr>
      </w:pPr>
    </w:p>
    <w:p w14:paraId="7CDDBBAA" w14:textId="77777777" w:rsidR="00555164" w:rsidRDefault="002C73C0">
      <w:pPr>
        <w:spacing w:beforeLines="50" w:before="120" w:afterLines="50" w:after="120"/>
        <w:rPr>
          <w:rFonts w:eastAsia="等线"/>
          <w:b/>
          <w:i/>
          <w:sz w:val="20"/>
          <w:szCs w:val="20"/>
        </w:rPr>
      </w:pPr>
      <w:r>
        <w:rPr>
          <w:rFonts w:eastAsia="等线"/>
          <w:b/>
          <w:i/>
          <w:sz w:val="20"/>
          <w:szCs w:val="20"/>
        </w:rPr>
        <w:t>6.2 Remedial measures</w:t>
      </w:r>
    </w:p>
    <w:p w14:paraId="61755CBF" w14:textId="77777777" w:rsidR="00555164" w:rsidRDefault="002C73C0">
      <w:pPr>
        <w:spacing w:beforeLines="50" w:before="120" w:afterLines="50" w:after="120"/>
        <w:rPr>
          <w:rFonts w:eastAsia="等线"/>
          <w:sz w:val="20"/>
          <w:szCs w:val="20"/>
        </w:rPr>
      </w:pPr>
      <w:r>
        <w:rPr>
          <w:rFonts w:eastAsia="等线"/>
          <w:sz w:val="20"/>
          <w:szCs w:val="20"/>
        </w:rPr>
        <w:t xml:space="preserve">6.2.1 Cross-group: For patients in the combined epidural-general anesthesia group but with failed epidural catheterization, general anesthesia and postoperative intravenous analgesia will be performed. </w:t>
      </w:r>
    </w:p>
    <w:p w14:paraId="6E73EC1E" w14:textId="77777777" w:rsidR="00555164" w:rsidRDefault="002C73C0">
      <w:pPr>
        <w:spacing w:beforeLines="50" w:before="120" w:afterLines="50" w:after="120"/>
        <w:rPr>
          <w:rFonts w:eastAsia="等线"/>
          <w:sz w:val="20"/>
          <w:szCs w:val="20"/>
        </w:rPr>
      </w:pPr>
      <w:r>
        <w:rPr>
          <w:rFonts w:eastAsia="等线"/>
          <w:sz w:val="20"/>
          <w:szCs w:val="20"/>
        </w:rPr>
        <w:t xml:space="preserve">6.2.2 For patients in the combined epidural-general anesthesia group, inadequate anesthesia is managed with additional local anesthetics administered through the epidural catheter, and/or increasing intravenous and/or inhalational anesthetics. For patients in the general anesthesia group, inadequate anesthesia is managed with increasing intravenous and/or inhalational anesthetics. </w:t>
      </w:r>
    </w:p>
    <w:p w14:paraId="703627D7" w14:textId="77777777" w:rsidR="00555164" w:rsidRDefault="002C73C0">
      <w:pPr>
        <w:spacing w:beforeLines="50" w:before="120" w:afterLines="50" w:after="120"/>
        <w:rPr>
          <w:sz w:val="20"/>
          <w:szCs w:val="20"/>
        </w:rPr>
      </w:pPr>
      <w:r>
        <w:rPr>
          <w:sz w:val="20"/>
          <w:szCs w:val="20"/>
        </w:rPr>
        <w:t xml:space="preserve">6.2.3 For patients in the combined epidural-general anesthesia group with unsatisfied postoperative analgesia, pump setting will be adjusted (increased), supplemental analgesics (such as opioids, non-steroidal anti-inflammatory drugs, and others) will be administered, or an intravenous analgesia pump will be provided. For patients in the general anesthesia group with unsatisfied postoperative analgesia, pump setting will be adjusted (increased) and/or supplemental analgesics (such as opioids, non-steroidal anti-inflammatory drugs, and others) will be administered. The above measures will be recorded. </w:t>
      </w:r>
    </w:p>
    <w:p w14:paraId="68A36780" w14:textId="77777777" w:rsidR="00555164" w:rsidRDefault="00555164">
      <w:pPr>
        <w:spacing w:beforeLines="50" w:before="120" w:afterLines="50" w:after="120"/>
        <w:rPr>
          <w:sz w:val="20"/>
          <w:szCs w:val="20"/>
        </w:rPr>
      </w:pPr>
    </w:p>
    <w:p w14:paraId="5FC69834" w14:textId="77777777" w:rsidR="00555164" w:rsidRDefault="002C73C0">
      <w:pPr>
        <w:spacing w:beforeLines="50" w:before="120" w:afterLines="50" w:after="120"/>
        <w:rPr>
          <w:b/>
          <w:i/>
          <w:sz w:val="20"/>
          <w:szCs w:val="20"/>
        </w:rPr>
      </w:pPr>
      <w:r>
        <w:rPr>
          <w:b/>
          <w:i/>
          <w:sz w:val="20"/>
          <w:szCs w:val="20"/>
        </w:rPr>
        <w:t>6.3 Allowed and prohibited medications</w:t>
      </w:r>
    </w:p>
    <w:p w14:paraId="60C9E2A6" w14:textId="77777777" w:rsidR="00555164" w:rsidRDefault="002C73C0">
      <w:pPr>
        <w:spacing w:beforeLines="50" w:before="120" w:afterLines="50" w:after="120"/>
        <w:rPr>
          <w:sz w:val="20"/>
          <w:szCs w:val="20"/>
        </w:rPr>
      </w:pPr>
      <w:r>
        <w:rPr>
          <w:sz w:val="20"/>
          <w:szCs w:val="20"/>
        </w:rPr>
        <w:lastRenderedPageBreak/>
        <w:t xml:space="preserve">6.3.1 For patients of both groups, no premedication (usually include anticholinergics and sedatives) is administered. Dexmedetomidine is not allowed. Anticholinergics are prohibited unless being used for the treatment of bradycardia, in which case atropine will be administered. Patients enrolled in Peking University First Hospital are prohibited to use etomidate. </w:t>
      </w:r>
    </w:p>
    <w:p w14:paraId="3C08D964" w14:textId="77777777" w:rsidR="00555164" w:rsidRDefault="002C73C0">
      <w:pPr>
        <w:spacing w:beforeLines="50" w:before="120" w:afterLines="50" w:after="120"/>
        <w:rPr>
          <w:rFonts w:eastAsia="等线"/>
          <w:sz w:val="20"/>
          <w:szCs w:val="20"/>
        </w:rPr>
      </w:pPr>
      <w:r>
        <w:rPr>
          <w:rFonts w:eastAsia="等线"/>
          <w:sz w:val="20"/>
          <w:szCs w:val="20"/>
        </w:rPr>
        <w:t xml:space="preserve">6.3.2 During anesthesia, vasopressors (such as ephedrine, phenylephrine, dopamine, adrenaline and norepinephrine), antihypertensives (such as urapidil and nicardipine), atropine and esmolol can be used to maintain hemodynamic stable; glucocorticoids and 5-hydroxytryptamine 3 (5-HT3) receptor antagonists can be used to prevent postoperative nausea and vomiting. </w:t>
      </w:r>
    </w:p>
    <w:p w14:paraId="3A889810" w14:textId="77777777" w:rsidR="00555164" w:rsidRDefault="002C73C0">
      <w:pPr>
        <w:spacing w:beforeLines="50" w:before="120" w:afterLines="50" w:after="120"/>
        <w:rPr>
          <w:rFonts w:eastAsia="等线"/>
          <w:sz w:val="20"/>
          <w:szCs w:val="20"/>
        </w:rPr>
      </w:pPr>
      <w:r>
        <w:rPr>
          <w:rFonts w:eastAsia="等线"/>
          <w:sz w:val="20"/>
          <w:szCs w:val="20"/>
        </w:rPr>
        <w:t xml:space="preserve">6.3.3 For patients admitted to the ICU with endotracheal intubation, propofol and/or midazolam can be administered for sedation; the target is to maintain the Richmond Agitation-Sedation Scale (RASS, score ranges from –5 [unarousable] to +4 [combative] and </w:t>
      </w:r>
      <w:r>
        <w:rPr>
          <w:rFonts w:eastAsiaTheme="minorEastAsia"/>
          <w:sz w:val="20"/>
          <w:szCs w:val="20"/>
        </w:rPr>
        <w:t>0 indicates alert and calm)</w:t>
      </w:r>
      <w:r>
        <w:rPr>
          <w:rFonts w:eastAsiaTheme="minorEastAsia"/>
          <w:sz w:val="20"/>
          <w:szCs w:val="20"/>
          <w:vertAlign w:val="superscript"/>
        </w:rPr>
        <w:fldChar w:fldCharType="begin" w:fldLock="1"/>
      </w:r>
      <w:r>
        <w:rPr>
          <w:rFonts w:eastAsiaTheme="minorEastAsia"/>
          <w:sz w:val="20"/>
          <w:szCs w:val="20"/>
          <w:vertAlign w:val="superscript"/>
        </w:rPr>
        <w:instrText>ADDIN CSL_CITATION {"citationItems":[{"id":"ITEM-1","itemData":{"DOI":"10.1164/rccm.2107138","ISSN":"1073449X","PMID":"12421743","abstract":"Sedative medications are widely used in intensive care unit (ICU) patients. Structured assessment of sedation and agitation is useful to titrate sedative medications and to evaluate agitated behavior, yet existing sedation scales have limitations. We measured interrater reliability and validity of a new 10-level (+4 \"combative\" to -5 \"unarousable\") scale, the Richmond Agitation-Sedation Scale (RASS), in two phases. In phase 1, we demonstrated excellent (r = 0.956, lower 90% confidence limit = 0.948; κ = 0.73, 95% confidence interval = 0.71, 0.75) inter-rater reliability among five investigators (two physicians, two nurses, and one pharmacist) in adult ICU patient encounters (n = 192). Robust inter-rater reliability (r = 0.922-0.983) (κ = 0.64-0.82) was demonstrated for patients from medical, surgical, cardiac surgery, coronary, and neuroscience ICUs, patients with and without mechanical ventilation, and patients with and without sedative medications. In validity testing, RASS correlated highly (r = 0.93) with a visual analog scale anchored by \"combative\" and \"unresponsive,\" including all patient subgroups (r = 0.84-0.98). In the second phase, after implementation of RASS in our medical ICU, inter-rater reliability between a nurse educator and 27 RASS-trained bedside nurses in 101 patient encounters was high (r = 0.964, lower 90% confidence limit = 0.950; κ = 0.80, 95% confidence interval = 0.69, 0.90) and very good for all subgroups (r = 0.773-0.970, κ = 0.66-0.89). Correlations between RASS and the Ramsay sedation scale (r = -0.78) and the Sedation Agitation Scale (r = 0.78) confirmed validity. Our nurses described RASS as logical, easy to administer, and readily recalled. RASS has high reliability and validity in medical and surgical, ventilated and non-ventilated, and sedated and nonsedated adult ICU patients.","author":[{"dropping-particle":"","family":"Sessler","given":"Curtis N.","non-dropping-particle":"","parse-names":false,"suffix":""},{"dropping-particle":"","family":"Gosnell","given":"Mark S.","non-dropping-particle":"","parse-names":false,"suffix":""},{"dropping-particle":"","family":"Grap","given":"Mary Jo","non-dropping-particle":"","parse-names":false,"suffix":""},{"dropping-particle":"","family":"Brophy","given":"Gretchen M.","non-dropping-particle":"","parse-names":false,"suffix":""},{"dropping-particle":"V.","family":"O'Neal","given":"Pam","non-dropping-particle":"","parse-names":false,"suffix":""},{"dropping-particle":"","family":"Keane","given":"Kimberly A.","non-dropping-particle":"","parse-names":false,"suffix":""},{"dropping-particle":"","family":"Tesoro","given":"Eljim P.","non-dropping-particle":"","parse-names":false,"suffix":""},{"dropping-particle":"","family":"Elswick","given":"R. K.","non-dropping-particle":"","parse-names":false,"suffix":""}],"container-title":"American Journal of Respiratory and Critical Care Medicine","id":"ITEM-1","issue":"10","issued":{"date-parts":[["2002","11","15"]]},"page":"1338-1344","title":"The Richmond Agitation-Sedation Scale: Validity and reliability in adult intensive care unit patients","type":"article-journal","volume":"166"},"uris":["http://www.mendeley.com/documents/?uuid=ccea95ff-c762-452f-8f9b-d6cdef3d84c3"]}],"mendeley":{"formattedCitation":"&lt;sup&gt;40&lt;/sup&gt;","plainTextFormattedCitation":"40","previouslyFormattedCitation":"&lt;sup&gt;40&lt;/sup&gt;"},"properties":{"noteIndex":0},"schema":"https://github.com/citation-style-language/schema/raw/master/csl-citation.json"}</w:instrText>
      </w:r>
      <w:r>
        <w:rPr>
          <w:rFonts w:eastAsiaTheme="minorEastAsia"/>
          <w:sz w:val="20"/>
          <w:szCs w:val="20"/>
          <w:vertAlign w:val="superscript"/>
        </w:rPr>
        <w:fldChar w:fldCharType="separate"/>
      </w:r>
      <w:r>
        <w:rPr>
          <w:rFonts w:eastAsiaTheme="minorEastAsia"/>
          <w:sz w:val="20"/>
          <w:szCs w:val="20"/>
          <w:vertAlign w:val="superscript"/>
        </w:rPr>
        <w:t>40</w:t>
      </w:r>
      <w:r>
        <w:rPr>
          <w:rFonts w:eastAsiaTheme="minorEastAsia"/>
          <w:sz w:val="20"/>
          <w:szCs w:val="20"/>
          <w:vertAlign w:val="superscript"/>
        </w:rPr>
        <w:fldChar w:fldCharType="end"/>
      </w:r>
      <w:r>
        <w:rPr>
          <w:rFonts w:eastAsiaTheme="minorEastAsia"/>
          <w:sz w:val="20"/>
          <w:szCs w:val="20"/>
          <w:vertAlign w:val="superscript"/>
        </w:rPr>
        <w:t>,</w:t>
      </w:r>
      <w:r>
        <w:rPr>
          <w:rFonts w:eastAsiaTheme="minorEastAsia"/>
          <w:sz w:val="20"/>
          <w:szCs w:val="20"/>
          <w:vertAlign w:val="superscript"/>
        </w:rPr>
        <w:fldChar w:fldCharType="begin" w:fldLock="1"/>
      </w:r>
      <w:r>
        <w:rPr>
          <w:rFonts w:eastAsiaTheme="minorEastAsia"/>
          <w:sz w:val="20"/>
          <w:szCs w:val="20"/>
          <w:vertAlign w:val="superscript"/>
        </w:rPr>
        <w:instrText>ADDIN CSL_CITATION {"citationItems":[{"id":"ITEM-1","itemData":{"DOI":"10.1001/jama.289.22.2983","ISSN":"00987484","PMID":"12799407","abstract":"Context: Goal-directed delivery of sedative and analgesic medications is recommended as standard care in intensive care units (ICUs) because of the impact these medications have on ventilator weaning and ICU length of stay, but few of the available sedation scales have been appropriately tested for reliability and validity. Objective: To test the reliability and validity of the Richmond Agitation-Sedation Scale (RASS). Design: Prospective cohort study. Setting: Adult medical and coronary ICUs of a university-based medical center. Participants: Thirty-eight medical ICU patients enrolled for reliability testing (46% receiving mechanical ventilation) from July 21, 1999, to September 7, 1999, and an independent cohort of 275 patients receiving mechanical ventilation were enrolled for validity testing from February 1, 2000, to May 3, 2001. Main Outcome Measures: Interrater reliability of the RASS, Glasgow Coma Scale (GCS), and Ramsay Scale (RS); validity of the RASS correlated with reference standard ratings, assessments of content of consciousness, GCS scores, doses of sedatives and analgesics, and bispectral electroencephalography. Results: In 290-paired observations by nurses, results of both the RASS and RS demonstrated excellent interrater reliability (weighted κ, 0.91 and 0.94, respectively), which were both superior to the GCS (weighted κ, 0.64; P&lt;.001 for both comparisons). Criterion validity was tested in 411-paired observations in the first 96 patients of the validation cohort, in whom the RASS showed significant differences between levels of consciousness (P&lt;.001 for all) and correctly identified fluctuations within patients over time (P&lt;.001). In addition, 5 methods were used to test the construct validity of the RASS, including correlation with an attention screening examination (r=0.78, P&lt;.001), GCS scores (r=0.91, P&lt;.001), quantity of different psychoactive medication dosages 8 hours prior to assessment (eg, lorazepam: r=-0.31, P&lt;.001), successful extubation (P=.07), and bispectral electroencephalography (r=0.63, P&lt;.001). Face validity was demonstrated via a survey of 26 critical care nurses, which the results showed that 92% agreed or strongly agreed with the RASS scoring scheme, and 81% agreed or strongly agreed that the instrument provided a consensus for goal-directed delivery of medications. Conclusions: The RASS demonstrated excellent interrater reliability and criterion, construct, and face validity. This is the first sedation scale to …","author":[{"dropping-particle":"","family":"Ely","given":"E. Wesley","non-dropping-particle":"","parse-names":false,"suffix":""},{"dropping-particle":"","family":"Truman","given":"Brenda","non-dropping-particle":"","parse-names":false,"suffix":""},{"dropping-particle":"","family":"Shintani","given":"Ayumi","non-dropping-particle":"","parse-names":false,"suffix":""},{"dropping-particle":"","family":"Thomason","given":"Jason W.W.","non-dropping-particle":"","parse-names":false,"suffix":""},{"dropping-particle":"","family":"Wheeler","given":"Arthur P.","non-dropping-particle":"","parse-names":false,"suffix":""},{"dropping-particle":"","family":"Gordon","given":"Sharon","non-dropping-particle":"","parse-names":false,"suffix":""},{"dropping-particle":"","family":"Francis","given":"Joseph","non-dropping-particle":"","parse-names":false,"suffix":""},{"dropping-particle":"","family":"Speroff","given":"Theodore","non-dropping-particle":"","parse-names":false,"suffix":""},{"dropping-particle":"","family":"Gautam","given":"Shiva","non-dropping-particle":"","parse-names":false,"suffix":""},{"dropping-particle":"","family":"Margolin","given":"Richard","non-dropping-particle":"","parse-names":false,"suffix":""},{"dropping-particle":"","family":"Sessler","given":"Curtis N.","non-dropping-particle":"","parse-names":false,"suffix":""},{"dropping-particle":"","family":"Dittus","given":"Robert S.","non-dropping-particle":"","parse-names":false,"suffix":""},{"dropping-particle":"","family":"Bernard","given":"Gordon R.","non-dropping-particle":"","parse-names":false,"suffix":""}],"container-title":"Journal of the American Medical Association","id":"ITEM-1","issue":"22","issued":{"date-parts":[["2003","6","11"]]},"page":"2983-2991","title":"Monitoring Sedation Status over Time in ICU Patients: Reliability and Validity of the Richmond Agitation-Sedation Scale (RASS)","type":"article-journal","volume":"289"},"uris":["http://www.mendeley.com/documents/?uuid=2edea8c2-1bcd-48fe-ada7-fce502f6a7f1"]}],"mendeley":{"formattedCitation":"&lt;sup&gt;41&lt;/sup&gt;","plainTextFormattedCitation":"41","previouslyFormattedCitation":"&lt;sup&gt;41&lt;/sup&gt;"},"properties":{"noteIndex":0},"schema":"https://github.com/citation-style-language/schema/raw/master/csl-citation.json"}</w:instrText>
      </w:r>
      <w:r>
        <w:rPr>
          <w:rFonts w:eastAsiaTheme="minorEastAsia"/>
          <w:sz w:val="20"/>
          <w:szCs w:val="20"/>
          <w:vertAlign w:val="superscript"/>
        </w:rPr>
        <w:fldChar w:fldCharType="separate"/>
      </w:r>
      <w:r>
        <w:rPr>
          <w:rFonts w:eastAsiaTheme="minorEastAsia"/>
          <w:sz w:val="20"/>
          <w:szCs w:val="20"/>
          <w:vertAlign w:val="superscript"/>
        </w:rPr>
        <w:t>41</w:t>
      </w:r>
      <w:r>
        <w:rPr>
          <w:rFonts w:eastAsiaTheme="minorEastAsia"/>
          <w:sz w:val="20"/>
          <w:szCs w:val="20"/>
          <w:vertAlign w:val="superscript"/>
        </w:rPr>
        <w:fldChar w:fldCharType="end"/>
      </w:r>
      <w:r>
        <w:rPr>
          <w:rFonts w:eastAsiaTheme="minorEastAsia"/>
          <w:sz w:val="20"/>
          <w:szCs w:val="20"/>
        </w:rPr>
        <w:t xml:space="preserve"> </w:t>
      </w:r>
      <w:r>
        <w:rPr>
          <w:rFonts w:eastAsia="等线"/>
          <w:sz w:val="20"/>
          <w:szCs w:val="20"/>
        </w:rPr>
        <w:t xml:space="preserve">from -2 to +1. For patients admitted to the ICU without endotracheal intubation, sedatives should not be administered unless otherwise needed. Other sedatives are not allowed. </w:t>
      </w:r>
    </w:p>
    <w:p w14:paraId="253E6346" w14:textId="77777777" w:rsidR="00555164" w:rsidRDefault="002C73C0">
      <w:pPr>
        <w:spacing w:beforeLines="50" w:before="120" w:afterLines="50" w:after="120"/>
        <w:rPr>
          <w:rFonts w:eastAsia="等线"/>
          <w:sz w:val="20"/>
          <w:szCs w:val="20"/>
        </w:rPr>
      </w:pPr>
      <w:r>
        <w:rPr>
          <w:rFonts w:eastAsia="等线"/>
          <w:sz w:val="20"/>
          <w:szCs w:val="20"/>
        </w:rPr>
        <w:t xml:space="preserve">6.3.4 Other perioperative management are provided according to routine practice.  </w:t>
      </w:r>
    </w:p>
    <w:p w14:paraId="65733684" w14:textId="77777777" w:rsidR="00555164" w:rsidRDefault="00555164">
      <w:pPr>
        <w:spacing w:beforeLines="50" w:before="120" w:afterLines="50" w:after="120"/>
        <w:rPr>
          <w:rFonts w:eastAsia="等线"/>
          <w:sz w:val="20"/>
          <w:szCs w:val="20"/>
        </w:rPr>
      </w:pPr>
    </w:p>
    <w:p w14:paraId="0FFF47BD" w14:textId="77777777" w:rsidR="00555164" w:rsidRDefault="002C73C0">
      <w:pPr>
        <w:spacing w:beforeLines="50" w:before="120" w:afterLines="50" w:after="120"/>
        <w:rPr>
          <w:b/>
          <w:i/>
          <w:sz w:val="20"/>
          <w:szCs w:val="20"/>
        </w:rPr>
      </w:pPr>
      <w:r>
        <w:rPr>
          <w:b/>
          <w:i/>
          <w:sz w:val="20"/>
          <w:szCs w:val="20"/>
        </w:rPr>
        <w:t xml:space="preserve">6.4 Management of delirium </w:t>
      </w:r>
    </w:p>
    <w:p w14:paraId="4F6FD2B5" w14:textId="77777777" w:rsidR="00555164" w:rsidRDefault="002C73C0">
      <w:pPr>
        <w:spacing w:beforeLines="50" w:before="120" w:afterLines="50" w:after="120"/>
        <w:rPr>
          <w:sz w:val="20"/>
          <w:szCs w:val="20"/>
        </w:rPr>
      </w:pPr>
      <w:r>
        <w:rPr>
          <w:sz w:val="20"/>
          <w:szCs w:val="20"/>
        </w:rPr>
        <w:t xml:space="preserve">6.4.1 Precipitating factors should be identified and managed. Usually there are more than one precipitating factors (underlying diseases). </w:t>
      </w:r>
    </w:p>
    <w:p w14:paraId="0FF35AAD" w14:textId="77777777" w:rsidR="00555164" w:rsidRDefault="002C73C0">
      <w:pPr>
        <w:spacing w:beforeLines="50" w:before="120" w:afterLines="50" w:after="120"/>
        <w:rPr>
          <w:sz w:val="20"/>
          <w:szCs w:val="20"/>
        </w:rPr>
      </w:pPr>
      <w:r>
        <w:rPr>
          <w:sz w:val="20"/>
          <w:szCs w:val="20"/>
        </w:rPr>
        <w:t xml:space="preserve">6.4.2 Supportive therapies should be provided. These include reorientation, cognitive stimulation, early mobilization, hearing or vision aids, sleep promotion, and nutritional supply. A safe environment should be guaranteed for both patients and medical staff. Family members of patients should be included in the supportive therapy. </w:t>
      </w:r>
    </w:p>
    <w:p w14:paraId="05EA4810" w14:textId="77777777" w:rsidR="00555164" w:rsidRDefault="002C73C0">
      <w:pPr>
        <w:spacing w:beforeLines="50" w:before="120" w:afterLines="50" w:after="120"/>
        <w:rPr>
          <w:sz w:val="20"/>
          <w:szCs w:val="20"/>
        </w:rPr>
      </w:pPr>
      <w:r>
        <w:rPr>
          <w:sz w:val="20"/>
          <w:szCs w:val="20"/>
        </w:rPr>
        <w:t>6.4.3 Pharmacological therapy is administered only when the delirium symptoms endanger the safety of patients themselves or others, or affect the normal medical work such as mechanical ventilation and central venous catheterization. Haloperidol (0.5-2 mg) will be administered intravenously, repeated when necessary every 15-20 minutes until control of symptoms. For maintenance treatment, half of the loading dose can be given intravenously every 4 to 6 hours, lasting for several days. Oral antipsychotic drugs will be administered under the guidance of psychiatrists when necessary.</w:t>
      </w:r>
    </w:p>
    <w:p w14:paraId="07DB3D8C" w14:textId="77777777" w:rsidR="00555164" w:rsidRDefault="00555164">
      <w:pPr>
        <w:spacing w:beforeLines="50" w:before="120" w:afterLines="50" w:after="120"/>
        <w:rPr>
          <w:sz w:val="20"/>
          <w:szCs w:val="20"/>
        </w:rPr>
      </w:pPr>
    </w:p>
    <w:p w14:paraId="00D4CC06" w14:textId="77777777" w:rsidR="00555164" w:rsidRDefault="002C73C0">
      <w:pPr>
        <w:pStyle w:val="1"/>
        <w:spacing w:before="50" w:beforeAutospacing="0" w:after="50" w:afterAutospacing="0"/>
        <w:rPr>
          <w:rFonts w:ascii="Times New Roman" w:hAnsi="Times New Roman" w:cs="Times New Roman"/>
          <w:b w:val="0"/>
          <w:sz w:val="20"/>
          <w:szCs w:val="20"/>
        </w:rPr>
      </w:pPr>
      <w:bookmarkStart w:id="26" w:name="_Toc44756003"/>
      <w:bookmarkStart w:id="27" w:name="_Toc44756118"/>
      <w:bookmarkStart w:id="28" w:name="_Toc44754956"/>
      <w:bookmarkStart w:id="29" w:name="_Toc44796164"/>
      <w:r>
        <w:rPr>
          <w:rFonts w:ascii="Times New Roman" w:hAnsi="Times New Roman" w:cs="Times New Roman"/>
          <w:sz w:val="20"/>
          <w:szCs w:val="20"/>
        </w:rPr>
        <w:t>7. Data collection</w:t>
      </w:r>
      <w:bookmarkEnd w:id="26"/>
      <w:bookmarkEnd w:id="27"/>
      <w:bookmarkEnd w:id="28"/>
      <w:bookmarkEnd w:id="29"/>
      <w:r>
        <w:rPr>
          <w:rFonts w:ascii="Times New Roman" w:hAnsi="Times New Roman" w:cs="Times New Roman"/>
          <w:sz w:val="20"/>
          <w:szCs w:val="20"/>
        </w:rPr>
        <w:t xml:space="preserve"> </w:t>
      </w:r>
    </w:p>
    <w:p w14:paraId="7EA3C370" w14:textId="77777777" w:rsidR="00555164" w:rsidRDefault="00555164">
      <w:pPr>
        <w:spacing w:beforeLines="50" w:before="120" w:afterLines="50" w:after="120"/>
        <w:rPr>
          <w:b/>
          <w:sz w:val="20"/>
          <w:szCs w:val="20"/>
        </w:rPr>
      </w:pPr>
    </w:p>
    <w:p w14:paraId="6B8DA7E8" w14:textId="77777777" w:rsidR="00555164" w:rsidRDefault="002C73C0">
      <w:pPr>
        <w:spacing w:beforeLines="50" w:before="120" w:afterLines="50" w:after="120"/>
        <w:rPr>
          <w:b/>
          <w:i/>
          <w:sz w:val="20"/>
          <w:szCs w:val="20"/>
        </w:rPr>
      </w:pPr>
      <w:r>
        <w:rPr>
          <w:b/>
          <w:i/>
          <w:sz w:val="20"/>
          <w:szCs w:val="20"/>
        </w:rPr>
        <w:t xml:space="preserve">7.1 Baseline data </w:t>
      </w:r>
    </w:p>
    <w:p w14:paraId="346F5D34" w14:textId="77777777" w:rsidR="00555164" w:rsidRDefault="002C73C0">
      <w:pPr>
        <w:spacing w:beforeLines="50" w:before="120" w:afterLines="50" w:after="120"/>
        <w:rPr>
          <w:sz w:val="20"/>
          <w:szCs w:val="20"/>
        </w:rPr>
      </w:pPr>
      <w:r>
        <w:rPr>
          <w:sz w:val="20"/>
          <w:szCs w:val="20"/>
        </w:rPr>
        <w:t>7.1.1 Demographic data, including age, sex, body mass index, and education level.</w:t>
      </w:r>
    </w:p>
    <w:p w14:paraId="2F57595A" w14:textId="77777777" w:rsidR="00555164" w:rsidRDefault="002C73C0">
      <w:pPr>
        <w:spacing w:beforeLines="50" w:before="120" w:afterLines="50" w:after="120"/>
        <w:rPr>
          <w:sz w:val="20"/>
          <w:szCs w:val="20"/>
        </w:rPr>
      </w:pPr>
      <w:r>
        <w:rPr>
          <w:sz w:val="20"/>
          <w:szCs w:val="20"/>
        </w:rPr>
        <w:t xml:space="preserve">7.1.2 Diagnosis and medical history, including surgical diagnosis, </w:t>
      </w:r>
      <w:r>
        <w:rPr>
          <w:rFonts w:eastAsia="等线"/>
          <w:sz w:val="20"/>
          <w:szCs w:val="20"/>
        </w:rPr>
        <w:t>co</w:t>
      </w:r>
      <w:r>
        <w:rPr>
          <w:sz w:val="20"/>
          <w:szCs w:val="20"/>
        </w:rPr>
        <w:t>morbidities, medical therapy, drinking and smoking history, food and drug allergy, and previous history of surgery and anesthesia.</w:t>
      </w:r>
    </w:p>
    <w:p w14:paraId="450B93C8" w14:textId="77777777" w:rsidR="00555164" w:rsidRDefault="002C73C0">
      <w:pPr>
        <w:spacing w:beforeLines="50" w:before="120" w:afterLines="50" w:after="120"/>
        <w:rPr>
          <w:sz w:val="20"/>
          <w:szCs w:val="20"/>
        </w:rPr>
      </w:pPr>
      <w:r>
        <w:rPr>
          <w:sz w:val="20"/>
          <w:szCs w:val="20"/>
        </w:rPr>
        <w:t>7.1.3 Results of main laboratory tests and instrumental examinations.</w:t>
      </w:r>
    </w:p>
    <w:p w14:paraId="6831416F" w14:textId="77777777" w:rsidR="00555164" w:rsidRDefault="002C73C0">
      <w:pPr>
        <w:spacing w:beforeLines="50" w:before="120" w:afterLines="50" w:after="120"/>
        <w:rPr>
          <w:sz w:val="20"/>
          <w:szCs w:val="20"/>
        </w:rPr>
      </w:pPr>
      <w:r>
        <w:rPr>
          <w:sz w:val="20"/>
          <w:szCs w:val="20"/>
        </w:rPr>
        <w:t>7.1.4 General status, including Charlson Comorbidity Index</w:t>
      </w:r>
      <w:r>
        <w:rPr>
          <w:rFonts w:eastAsia="宋体"/>
          <w:sz w:val="20"/>
          <w:szCs w:val="20"/>
        </w:rPr>
        <w:t>,</w:t>
      </w:r>
      <w:r>
        <w:rPr>
          <w:sz w:val="20"/>
          <w:szCs w:val="20"/>
          <w:vertAlign w:val="superscript"/>
        </w:rPr>
        <w:fldChar w:fldCharType="begin" w:fldLock="1"/>
      </w:r>
      <w:r>
        <w:rPr>
          <w:sz w:val="20"/>
          <w:szCs w:val="20"/>
          <w:vertAlign w:val="superscript"/>
        </w:rPr>
        <w:instrText>ADDIN CSL_CITATION {"citationItems":[{"id":"ITEM-1","itemData":{"DOI":"10.1016/0021-9681(87)90171-8","ISSN":"00219681","PMID":"3558716","abstract":"The objective of this study was to develop a prospectively applicable method for classifying comorbid conditions which might alter the risk of mortality for use in longitudinal studies. A weighted index that takes into account the number and the seriousness of comorbid disease was developed in a cohort of 559 medical patients. The 1-yr mortality rates for the different scores were: \"0\", 12% (181); \"1-2\", 26% (225); \"3-4\", 52% (71); and \"≥ 5\", 85% (82). The index was tested for its ability to predict risk of death from comorbid disease in the second cohort of 685 patients during a 10-yr follow-up. The percent of patients who died of comorbid disease for the different scores were: \"0\", 8% (588); \"1\", 25% (54); \"2\", 48% (25); \" ≥ 3\", 59% (18). With each increased level of the comorbidity index, there were stepwise increases in the cumulative mortality attributable to comorbid disease (log rank χ2 = 165; p &lt; 0.0001). In this longer follow-up, age was also a predictor of mortality (p &lt; 0.001). The new index performed similarly to a previous system devised by Kaplan and Feinstein. The method of classifying comorbidity provides a simple, readily applicable and valid method of estimating risk of death from comorbid disease for use in longitudinal studies. Further work in larger populations is still required to refine the approach because the number of patients with any given condition in this study was relatively small. © 1987.","author":[{"dropping-particle":"","family":"Charlson","given":"Mary E.","non-dropping-particle":"","parse-names":false,"suffix":""},{"dropping-particle":"","family":"Pompei","given":"Peter","non-dropping-particle":"","parse-names":false,"suffix":""},{"dropping-particle":"","family":"Ales","given":"Kathy L.","non-dropping-particle":"","parse-names":false,"suffix":""},{"dropping-particle":"","family":"MacKenzie","given":"C. Ronald","non-dropping-particle":"","parse-names":false,"suffix":""}],"container-title":"Journal of Chronic Diseases","id":"ITEM-1","issue":"5","issued":{"date-parts":[["1987","1"]]},"page":"373-383","title":"A new method of classifying prognostic comorbidity in longitudinal studies: Development and validation","type":"article-journal","volume":"40"},"uris":["http://www.mendeley.com/documents/?uuid=89e8d4f4-071c-43b4-9df4-4a0a2432844c"]}],"mendeley":{"formattedCitation":"&lt;sup&gt;42&lt;/sup&gt;","plainTextFormattedCitation":"42","previouslyFormattedCitation":"&lt;sup&gt;42&lt;/sup&gt;"},"properties":{"noteIndex":0},"schema":"https://github.com/citation-style-language/schema/raw/master/csl-citation.json"}</w:instrText>
      </w:r>
      <w:r>
        <w:rPr>
          <w:sz w:val="20"/>
          <w:szCs w:val="20"/>
          <w:vertAlign w:val="superscript"/>
        </w:rPr>
        <w:fldChar w:fldCharType="separate"/>
      </w:r>
      <w:r>
        <w:rPr>
          <w:sz w:val="20"/>
          <w:szCs w:val="20"/>
          <w:vertAlign w:val="superscript"/>
        </w:rPr>
        <w:t>42</w:t>
      </w:r>
      <w:r>
        <w:rPr>
          <w:sz w:val="20"/>
          <w:szCs w:val="20"/>
          <w:vertAlign w:val="superscript"/>
        </w:rPr>
        <w:fldChar w:fldCharType="end"/>
      </w:r>
      <w:r>
        <w:rPr>
          <w:sz w:val="20"/>
          <w:szCs w:val="20"/>
          <w:vertAlign w:val="superscript"/>
        </w:rPr>
        <w:t>,</w:t>
      </w:r>
      <w:r>
        <w:rPr>
          <w:sz w:val="20"/>
          <w:szCs w:val="20"/>
          <w:vertAlign w:val="superscript"/>
        </w:rPr>
        <w:fldChar w:fldCharType="begin" w:fldLock="1"/>
      </w:r>
      <w:r>
        <w:rPr>
          <w:sz w:val="20"/>
          <w:szCs w:val="20"/>
          <w:vertAlign w:val="superscript"/>
        </w:rPr>
        <w:instrText>ADDIN CSL_CITATION {"citationItems":[{"id":"ITEM-1","itemData":{"DOI":"10.1093/aje/kwq433","ISSN":"0002-9262","author":[{"dropping-particle":"","family":"Quan","given":"H.","non-dropping-particle":"","parse-names":false,"suffix":""},{"dropping-particle":"","family":"Li","given":"B.","non-dropping-particle":"","parse-names":false,"suffix":""},{"dropping-particle":"","family":"Couris","given":"C. M.","non-dropping-particle":"","parse-names":false,"suffix":""},{"dropping-particle":"","family":"Fushimi","given":"K.","non-dropping-particle":"","parse-names":false,"suffix":""},{"dropping-particle":"","family":"Graham","given":"P.","non-dropping-particle":"","parse-names":false,"suffix":""},{"dropping-particle":"","family":"Hider","given":"P.","non-dropping-particle":"","parse-names":false,"suffix":""},{"dropping-particle":"","family":"Januel","given":"J.-M.","non-dropping-particle":"","parse-names":false,"suffix":""},{"dropping-particle":"","family":"Sundararajan","given":"V.","non-dropping-particle":"","parse-names":false,"suffix":""}],"container-title":"American Journal of Epidemiology","id":"ITEM-1","issue":"6","issued":{"date-parts":[["2011","3","15"]]},"page":"676-682","title":"Updating and Validating the Charlson Comorbidity Index and Score for Risk Adjustment in Hospital Discharge Abstracts Using Data From 6 Countries","type":"article-journal","volume":"173"},"uris":["http://www.mendeley.com/documents/?uuid=c614748b-32a7-48f9-9070-57ee710e63ca"]}],"mendeley":{"formattedCitation":"&lt;sup&gt;43&lt;/sup&gt;","plainTextFormattedCitation":"43","previouslyFormattedCitation":"&lt;sup&gt;43&lt;/sup&gt;"},"properties":{"noteIndex":0},"schema":"https://github.com/citation-style-language/schema/raw/master/csl-citation.json"}</w:instrText>
      </w:r>
      <w:r>
        <w:rPr>
          <w:sz w:val="20"/>
          <w:szCs w:val="20"/>
          <w:vertAlign w:val="superscript"/>
        </w:rPr>
        <w:fldChar w:fldCharType="separate"/>
      </w:r>
      <w:r>
        <w:rPr>
          <w:sz w:val="20"/>
          <w:szCs w:val="20"/>
          <w:vertAlign w:val="superscript"/>
        </w:rPr>
        <w:t>43</w:t>
      </w:r>
      <w:r>
        <w:rPr>
          <w:sz w:val="20"/>
          <w:szCs w:val="20"/>
          <w:vertAlign w:val="superscript"/>
        </w:rPr>
        <w:fldChar w:fldCharType="end"/>
      </w:r>
      <w:r>
        <w:rPr>
          <w:sz w:val="20"/>
          <w:szCs w:val="20"/>
        </w:rPr>
        <w:t xml:space="preserve"> American Society of Anesthesiologists classification, and New York Heart Association classification.</w:t>
      </w:r>
    </w:p>
    <w:p w14:paraId="44A8411A" w14:textId="77777777" w:rsidR="00555164" w:rsidRDefault="002C73C0">
      <w:pPr>
        <w:spacing w:beforeLines="50" w:before="120" w:afterLines="50" w:after="120"/>
        <w:rPr>
          <w:sz w:val="20"/>
          <w:szCs w:val="20"/>
        </w:rPr>
      </w:pPr>
      <w:r>
        <w:rPr>
          <w:sz w:val="20"/>
          <w:szCs w:val="20"/>
        </w:rPr>
        <w:t xml:space="preserve">7.1.5 Activities of daily living is assessed with the Barthel Index (score ranges from 0 to 100, with higher score indicating better function). </w:t>
      </w:r>
      <w:r>
        <w:rPr>
          <w:sz w:val="20"/>
          <w:szCs w:val="20"/>
          <w:vertAlign w:val="superscript"/>
        </w:rPr>
        <w:fldChar w:fldCharType="begin" w:fldLock="1"/>
      </w:r>
      <w:r>
        <w:rPr>
          <w:sz w:val="20"/>
          <w:szCs w:val="20"/>
          <w:vertAlign w:val="superscript"/>
        </w:rPr>
        <w:instrText>ADDIN CSL_CITATION {"citationItems":[{"id":"ITEM-1","itemData":{"DOI":"10.3109/09638288809164103","ISSN":"09638288","PMID":"3403500","abstract":"The Barthel Index is a valid measure of disability. In this study we investigated the reliability of four different methods of obtaining the score in 25 patients: self-report, asking a trained nurse who had worked with the patient for at least one shift, and separate testing by two skilled observers within 72 hours of admission. Analysis of total (summed) scores revealed a close correlation between all four methods: a difference of 4/20 points was likely to reflect a genuine difference. In individual items, most disagreement was minor and involved the definition of middle grades. Asking an informed nurse or relative was as reliable as testing, and is quicker. © 1988 Informa UK Ltd All rights reserved: reproduction in whole or part not permitted.","author":[{"dropping-particle":"","family":"Collin","given":"C.","non-dropping-particle":"","parse-names":false,"suffix":""},{"dropping-particle":"","family":"Wade","given":"D. T.","non-dropping-particle":"","parse-names":false,"suffix":""},{"dropping-particle":"","family":"Davies","given":"S.","non-dropping-particle":"","parse-names":false,"suffix":""},{"dropping-particle":"","family":"Horne","given":"V.","non-dropping-particle":"","parse-names":false,"suffix":""}],"container-title":"Disability and Rehabilitation","id":"ITEM-1","issue":"2","issued":{"date-parts":[["1988","1","7"]]},"page":"61-63","title":"The barthel ADL index: A reliability study","type":"article-journal","volume":"10"},"uris":["http://www.mendeley.com/documents/?uuid=b6c55b9a-278d-4bb1-8bb1-9b34ffc00fcc"]}],"mendeley":{"formattedCitation":"&lt;sup&gt;44&lt;/sup&gt;","plainTextFormattedCitation":"44","previouslyFormattedCitation":"&lt;sup&gt;44&lt;/sup&gt;"},"properties":{"noteIndex":0},"schema":"https://github.com/citation-style-language/schema/raw/master/csl-citation.json"}</w:instrText>
      </w:r>
      <w:r>
        <w:rPr>
          <w:sz w:val="20"/>
          <w:szCs w:val="20"/>
          <w:vertAlign w:val="superscript"/>
        </w:rPr>
        <w:fldChar w:fldCharType="separate"/>
      </w:r>
      <w:r>
        <w:rPr>
          <w:sz w:val="20"/>
          <w:szCs w:val="20"/>
          <w:vertAlign w:val="superscript"/>
        </w:rPr>
        <w:t>44</w:t>
      </w:r>
      <w:r>
        <w:rPr>
          <w:sz w:val="20"/>
          <w:szCs w:val="20"/>
          <w:vertAlign w:val="superscript"/>
        </w:rPr>
        <w:fldChar w:fldCharType="end"/>
      </w:r>
      <w:r>
        <w:rPr>
          <w:sz w:val="20"/>
          <w:szCs w:val="20"/>
          <w:vertAlign w:val="superscript"/>
        </w:rPr>
        <w:t>,</w:t>
      </w:r>
      <w:r>
        <w:rPr>
          <w:sz w:val="20"/>
          <w:szCs w:val="20"/>
          <w:vertAlign w:val="superscript"/>
        </w:rPr>
        <w:fldChar w:fldCharType="begin" w:fldLock="1"/>
      </w:r>
      <w:r>
        <w:rPr>
          <w:sz w:val="20"/>
          <w:szCs w:val="20"/>
          <w:vertAlign w:val="superscript"/>
        </w:rPr>
        <w:instrText>ADDIN CSL_CITATION {"citationItems":[{"id":"ITEM-1","itemData":{"DOI":"10.1191/026921500667059345","ISSN":"02692155","abstract":"Objectives: To investigate whether a nonclinical research assistant, using standardized scoring criteria, can reliably administer the Barthel Activities of Daily Living (ADL) index in a sample of elderly inpatients. Design. Paired comparison of nurse and nonclinical research assistant Barthel Index assessments. Setting: Acute hospital wards from two hospitals in a UK Healthcare Trust, with a catchment population of approximately 224,000 people. Methods: A consecutive sample of 94 elderly patients with a variety of medical problems. Main outcome measures: Barthel ADL Index, Folstein Mini-Mental Status Examination. Results: Whilst the inter-rater reliability of the Barthel index was within acceptable boundaries, two items out of ten had only fair agreement and row crude agreement (transfer and dressing) on Cohen's kappa scores. Conclusions: Depending on the differences observed in any particular context, the Barthel Index can be applied with reasonable reliability by nonclinical staff applying the standardized scoring criteria. It should be noted, however, that the kappa coefficients between clinical and nonclinical assessors tend to be lower than those found when comparing two clinically trained assessors in previous research.","author":[{"dropping-particle":"","family":"Richards","given":"Suzanne H.","non-dropping-particle":"","parse-names":false,"suffix":""},{"dropping-particle":"","family":"Peters","given":"Tim J.","non-dropping-particle":"","parse-names":false,"suffix":""},{"dropping-particle":"","family":"Coast","given":"Joanna","non-dropping-particle":"","parse-names":false,"suffix":""},{"dropping-particle":"","family":"Gunnell","given":"David J.","non-dropping-particle":"","parse-names":false,"suffix":""},{"dropping-particle":"","family":"Darlow","given":"Mary Anne","non-dropping-particle":"","parse-names":false,"suffix":""},{"dropping-particle":"","family":"Pounsford","given":"John","non-dropping-particle":"","parse-names":false,"suffix":""}],"container-title":"Clinical Rehabilitation","id":"ITEM-1","issue":"1","issued":{"date-parts":[["2000","2"]]},"page":"72-78","title":"Inter-rater reliability of the Barthel ADL Index: How does a researcher compare to a nurse?","type":"article-journal","volume":"14"},"uris":["http://www.mendeley.com/documents/?uuid=c459e03f-0c6c-41f0-ae3c-d2b44d3e97d3"]}],"mendeley":{"formattedCitation":"&lt;sup&gt;45&lt;/sup&gt;","plainTextFormattedCitation":"45","previouslyFormattedCitation":"&lt;sup&gt;45&lt;/sup&gt;"},"properties":{"noteIndex":0},"schema":"https://github.com/citation-style-language/schema/raw/master/csl-citation.json"}</w:instrText>
      </w:r>
      <w:r>
        <w:rPr>
          <w:sz w:val="20"/>
          <w:szCs w:val="20"/>
          <w:vertAlign w:val="superscript"/>
        </w:rPr>
        <w:fldChar w:fldCharType="separate"/>
      </w:r>
      <w:r>
        <w:rPr>
          <w:sz w:val="20"/>
          <w:szCs w:val="20"/>
          <w:vertAlign w:val="superscript"/>
        </w:rPr>
        <w:t>45</w:t>
      </w:r>
      <w:r>
        <w:rPr>
          <w:sz w:val="20"/>
          <w:szCs w:val="20"/>
          <w:vertAlign w:val="superscript"/>
        </w:rPr>
        <w:fldChar w:fldCharType="end"/>
      </w:r>
      <w:r>
        <w:rPr>
          <w:sz w:val="20"/>
          <w:szCs w:val="20"/>
          <w:vertAlign w:val="superscript"/>
        </w:rPr>
        <w:t>,</w:t>
      </w:r>
      <w:r>
        <w:rPr>
          <w:sz w:val="20"/>
          <w:szCs w:val="20"/>
          <w:vertAlign w:val="superscript"/>
        </w:rPr>
        <w:fldChar w:fldCharType="begin" w:fldLock="1"/>
      </w:r>
      <w:r>
        <w:rPr>
          <w:sz w:val="20"/>
          <w:szCs w:val="20"/>
          <w:vertAlign w:val="superscript"/>
        </w:rPr>
        <w:instrText>ADDIN CSL_CITATION {"citationItems":[{"id":"ITEM-1","itemData":{"author":[{"dropping-particle":"","family":"Min Yu, Wu Yuanyuan","given":"Yan Tiebin","non-dropping-particle":"","parse-names":false,"suffix":""}],"container-title":"Chi J Phys Med Rehabil","id":"ITEM-1","issue":"3","issued":{"date-parts":[["2008"]]},"page":"185-188","title":"Validity and reliability of the simplified Chinese version of modified Barthel index for Chinese stroke patients","type":"article-journal","volume":"30"},"uris":["http://www.mendeley.com/documents/?uuid=72b253f3-3c53-41eb-8bf2-3c06511ebd98"]}],"mendeley":{"formattedCitation":"&lt;sup&gt;46&lt;/sup&gt;","plainTextFormattedCitation":"46","previouslyFormattedCitation":"&lt;sup&gt;46&lt;/sup&gt;"},"properties":{"noteIndex":0},"schema":"https://github.com/citation-style-language/schema/raw/master/csl-citation.json"}</w:instrText>
      </w:r>
      <w:r>
        <w:rPr>
          <w:sz w:val="20"/>
          <w:szCs w:val="20"/>
          <w:vertAlign w:val="superscript"/>
        </w:rPr>
        <w:fldChar w:fldCharType="separate"/>
      </w:r>
      <w:r>
        <w:rPr>
          <w:sz w:val="20"/>
          <w:szCs w:val="20"/>
          <w:vertAlign w:val="superscript"/>
        </w:rPr>
        <w:t>46</w:t>
      </w:r>
      <w:r>
        <w:rPr>
          <w:sz w:val="20"/>
          <w:szCs w:val="20"/>
          <w:vertAlign w:val="superscript"/>
        </w:rPr>
        <w:fldChar w:fldCharType="end"/>
      </w:r>
    </w:p>
    <w:p w14:paraId="05D64D01" w14:textId="77777777" w:rsidR="00555164" w:rsidRDefault="002C73C0">
      <w:pPr>
        <w:spacing w:beforeLines="50" w:before="120" w:afterLines="50" w:after="120"/>
        <w:rPr>
          <w:sz w:val="20"/>
          <w:szCs w:val="20"/>
        </w:rPr>
      </w:pPr>
      <w:r>
        <w:rPr>
          <w:sz w:val="20"/>
          <w:szCs w:val="20"/>
        </w:rPr>
        <w:t>7.1.6 Cognitive function is assessed with the Mini-Mental State Examination (score ranges from 0 to 30, with higher score indicating better function).</w:t>
      </w:r>
      <w:r>
        <w:rPr>
          <w:sz w:val="20"/>
          <w:szCs w:val="20"/>
          <w:vertAlign w:val="superscript"/>
        </w:rPr>
        <w:fldChar w:fldCharType="begin" w:fldLock="1"/>
      </w:r>
      <w:r>
        <w:rPr>
          <w:sz w:val="20"/>
          <w:szCs w:val="20"/>
          <w:vertAlign w:val="superscript"/>
        </w:rPr>
        <w:instrText>ADDIN CSL_CITATION {"citationItems":[{"id":"ITEM-1","itemData":{"DOI":"10.1053/apnr.2000.9231","ISSN":"08971897","abstract":"The Mini-Mental State Examination (MMSE), as developed by Folstein, Folstein, and McHugh (1975), is the most widely used of cognitive screening tools. An examination of the psychometric properties of the MMSE seems warranted because the accurate and comprehensive assessment of mental status can yield profound implications for the quality of life of cognitively impaired older adults (Danner, Beck, Heacock, &amp; Modlin, 1993). In clinical practice, nurses must not only use a valid and reliable screening tool for assessing cognitive impairment, but they must also assess the physical disabilities that may affect client performance and, hence, the cognitive impairment score. The purpose of this study is to examine the psychometric properties of the MMSE in comparison to a more standardized tool and to identify implications of the tool for clinical practice. Copyright © 2000 by W.B. Saunders Company.","author":[{"dropping-particle":"","family":"Pangman","given":"Verna C.","non-dropping-particle":"","parse-names":false,"suffix":""},{"dropping-particle":"","family":"Sloan","given":"Jeff","non-dropping-particle":"","parse-names":false,"suffix":""},{"dropping-particle":"","family":"Guse","given":"Lorna","non-dropping-particle":"","parse-names":false,"suffix":""}],"container-title":"Applied Nursing Research","id":"ITEM-1","issue":"4","issued":{"date-parts":[["2000","11"]]},"page":"209-213","title":"An examination of psychometric properties of the Mini-Mental State Examination and the standardized Mini-Mental State Examination: Implications for clinical practice","type":"article-journal","volume":"13"},"uris":["http://www.mendeley.com/documents/?uuid=036e95d7-29e9-4dd2-bbe1-12d85b2e08a0"]}],"mendeley":{"formattedCitation":"&lt;sup&gt;47&lt;/sup&gt;","plainTextFormattedCitation":"47","previouslyFormattedCitation":"&lt;sup&gt;47&lt;/sup&gt;"},"properties":{"noteIndex":0},"schema":"https://github.com/citation-style-language/schema/raw/master/csl-citation.json"}</w:instrText>
      </w:r>
      <w:r>
        <w:rPr>
          <w:sz w:val="20"/>
          <w:szCs w:val="20"/>
          <w:vertAlign w:val="superscript"/>
        </w:rPr>
        <w:fldChar w:fldCharType="separate"/>
      </w:r>
      <w:r>
        <w:rPr>
          <w:sz w:val="20"/>
          <w:szCs w:val="20"/>
          <w:vertAlign w:val="superscript"/>
        </w:rPr>
        <w:t>47</w:t>
      </w:r>
      <w:r>
        <w:rPr>
          <w:sz w:val="20"/>
          <w:szCs w:val="20"/>
          <w:vertAlign w:val="superscript"/>
        </w:rPr>
        <w:fldChar w:fldCharType="end"/>
      </w:r>
      <w:r>
        <w:rPr>
          <w:sz w:val="20"/>
          <w:szCs w:val="20"/>
          <w:vertAlign w:val="superscript"/>
        </w:rPr>
        <w:t>,</w:t>
      </w:r>
      <w:r>
        <w:rPr>
          <w:sz w:val="20"/>
          <w:szCs w:val="20"/>
          <w:vertAlign w:val="superscript"/>
        </w:rPr>
        <w:fldChar w:fldCharType="begin" w:fldLock="1"/>
      </w:r>
      <w:r>
        <w:rPr>
          <w:sz w:val="20"/>
          <w:szCs w:val="20"/>
          <w:vertAlign w:val="superscript"/>
        </w:rPr>
        <w:instrText>ADDIN CSL_CITATION {"citationItems":[{"id":"ITEM-1","itemData":{"DOI":"10.1016/0895-4356(88)90034-0","ISSN":"08954356","abstract":"A dementia screening survey was carried out in Shanghai using a culturally adapted Chinese version of the Mini-Mental State Examination. A probability sample of 5055 community-dwelling elderly in Shanghai was surveyed, 1497 aged 55-64, 2187 aged 65-74, and 1371 aged 75 and over. In the 73.3% of the subjects who had gone to school, using the age and education adjustments suggested by Kittner et al. (1986), [Kittner ei al. J Chron Dis 39: 163-170; 1986] suitable cutoff scores could readily be selected to identify the subjects who should be examined intensively for the presence of dementia. However, in the 26.7% who had not gone to school, there was a significant increase in low scores on the mental status test as well as a different error pattern, reflecting the lack of formal education. Methods for following cognitive changes in illiterate individuals need further development. © 1988.","author":[{"dropping-particle":"","family":"Katzman","given":"Robert","non-dropping-particle":"","parse-names":false,"suffix":""},{"dropping-particle":"","family":"Zhang","given":"Mingyuan","non-dropping-particle":"","parse-names":false,"suffix":""},{"dropping-particle":"","family":"Ouang-Ya-Qu","given":"","non-dropping-particle":"","parse-names":false,"suffix":""},{"dropping-particle":"","family":"Wang","given":"Zhengyu","non-dropping-particle":"","parse-names":false,"suffix":""},{"dropping-particle":"","family":"Liu","given":"William T.","non-dropping-particle":"","parse-names":false,"suffix":""},{"dropping-particle":"","family":"Yu","given":"Elena","non-dropping-particle":"","parse-names":false,"suffix":""},{"dropping-particle":"","family":"Wong","given":"Sin Chi","non-dropping-particle":"","parse-names":false,"suffix":""},{"dropping-particle":"","family":"Salmon","given":"David P.","non-dropping-particle":"","parse-names":false,"suffix":""},{"dropping-particle":"","family":"Grant","given":"Igor","non-dropping-particle":"","parse-names":false,"suffix":""}],"container-title":"Journal of Clinical Epidemiology","id":"ITEM-1","issue":"10","issued":{"date-parts":[["1988","1"]]},"page":"971-978","title":"A Chinese version of the mini-mental state examination; Impact of illiteracy in a Shanghai dementia survey","type":"article-journal","volume":"41"},"uris":["http://www.mendeley.com/documents/?uuid=f1440529-23b0-4c1b-b8f5-43ab87c06664"]}],"mendeley":{"formattedCitation":"&lt;sup&gt;48&lt;/sup&gt;","plainTextFormattedCitation":"48","previouslyFormattedCitation":"&lt;sup&gt;48&lt;/sup&gt;"},"properties":{"noteIndex":0},"schema":"https://github.com/citation-style-language/schema/raw/master/csl-citation.json"}</w:instrText>
      </w:r>
      <w:r>
        <w:rPr>
          <w:sz w:val="20"/>
          <w:szCs w:val="20"/>
          <w:vertAlign w:val="superscript"/>
        </w:rPr>
        <w:fldChar w:fldCharType="separate"/>
      </w:r>
      <w:r>
        <w:rPr>
          <w:sz w:val="20"/>
          <w:szCs w:val="20"/>
          <w:vertAlign w:val="superscript"/>
        </w:rPr>
        <w:t>48</w:t>
      </w:r>
      <w:r>
        <w:rPr>
          <w:sz w:val="20"/>
          <w:szCs w:val="20"/>
          <w:vertAlign w:val="superscript"/>
        </w:rPr>
        <w:fldChar w:fldCharType="end"/>
      </w:r>
    </w:p>
    <w:p w14:paraId="0954C894" w14:textId="77777777" w:rsidR="00555164" w:rsidRDefault="002C73C0">
      <w:pPr>
        <w:spacing w:beforeLines="50" w:before="120" w:afterLines="50" w:after="120"/>
        <w:rPr>
          <w:sz w:val="20"/>
          <w:szCs w:val="20"/>
        </w:rPr>
      </w:pPr>
      <w:r>
        <w:rPr>
          <w:sz w:val="20"/>
          <w:szCs w:val="20"/>
        </w:rPr>
        <w:t>7.1.7 Anxiety and depression are assessed with the Hospital Anxiety and Depression Scale (score ranges from 0 to 21 for either depression or anxiety, with higher score indicating more severe symptoms. A score &gt;7 is adopted as the borderline abnormal).</w:t>
      </w:r>
      <w:r>
        <w:rPr>
          <w:sz w:val="20"/>
          <w:szCs w:val="20"/>
          <w:vertAlign w:val="superscript"/>
        </w:rPr>
        <w:fldChar w:fldCharType="begin" w:fldLock="1"/>
      </w:r>
      <w:r>
        <w:rPr>
          <w:sz w:val="20"/>
          <w:szCs w:val="20"/>
          <w:vertAlign w:val="superscript"/>
        </w:rPr>
        <w:instrText>ADDIN CSL_CITATION {"citationItems":[{"id":"ITEM-1","itemData":{"DOI":"10.1111/j.1600-0447.1983.tb09716.x","ISSN":"0001-690X","PMID":"6880820","abstract":"ABSTRACT– A self‐assessment scale has been developed and found to be a reliable instrument for detecting states of depression and anxiety in the setting of an hospital medical outpatient clinic. The anxiety and depressive subscales are also valid measures of severity of the emotional disorder. It is suggested that the introduction of the scales into general hospital practice would facilitate the large task of detection and management of emotional disorder in patients under investigation and treatment in medical and surgical departments. Copyright © 1983, Wiley Blackwell. All rights reserved","author":[{"dropping-particle":"","family":"Zigmond","given":"A. S.","non-dropping-particle":"","parse-names":false,"suffix":""},{"dropping-particle":"","family":"Snaith","given":"R. P.","non-dropping-particle":"","parse-names":false,"suffix":""}],"container-title":"Acta Psychiatrica Scandinavica","id":"ITEM-1","issue":"6","issued":{"date-parts":[["1983","6"]]},"page":"361-370","title":"The Hospital Anxiety and Depression Scale","type":"article-journal","volume":"67"},"uris":["http://www.mendeley.com/documents/?uuid=ed377a17-88eb-4965-9d12-fcc350a666d6"]}],"mendeley":{"formattedCitation":"&lt;sup&gt;49&lt;/sup&gt;","plainTextFormattedCitation":"49","previouslyFormattedCitation":"&lt;sup&gt;49&lt;/sup&gt;"},"properties":{"noteIndex":0},"schema":"https://github.com/citation-style-language/schema/raw/master/csl-citation.json"}</w:instrText>
      </w:r>
      <w:r>
        <w:rPr>
          <w:sz w:val="20"/>
          <w:szCs w:val="20"/>
          <w:vertAlign w:val="superscript"/>
        </w:rPr>
        <w:fldChar w:fldCharType="separate"/>
      </w:r>
      <w:r>
        <w:rPr>
          <w:sz w:val="20"/>
          <w:szCs w:val="20"/>
          <w:vertAlign w:val="superscript"/>
        </w:rPr>
        <w:t>49</w:t>
      </w:r>
      <w:r>
        <w:rPr>
          <w:sz w:val="20"/>
          <w:szCs w:val="20"/>
          <w:vertAlign w:val="superscript"/>
        </w:rPr>
        <w:fldChar w:fldCharType="end"/>
      </w:r>
      <w:r>
        <w:rPr>
          <w:sz w:val="20"/>
          <w:szCs w:val="20"/>
          <w:vertAlign w:val="superscript"/>
        </w:rPr>
        <w:t>,</w:t>
      </w:r>
      <w:r>
        <w:rPr>
          <w:sz w:val="20"/>
          <w:szCs w:val="20"/>
          <w:vertAlign w:val="superscript"/>
        </w:rPr>
        <w:fldChar w:fldCharType="begin" w:fldLock="1"/>
      </w:r>
      <w:r>
        <w:rPr>
          <w:sz w:val="20"/>
          <w:szCs w:val="20"/>
          <w:vertAlign w:val="superscript"/>
        </w:rPr>
        <w:instrText>ADDIN CSL_CITATION {"citationItems":[{"id":"ITEM-1","itemData":{"DOI":"10.1016/S0022-3999(01)00296-3","ISSN":"00223999","PMID":"11832252","abstract":"Objective: To review the literature of the validity of the Hospital Anxiety and Depression Scale (HADS). Method: A review of the 747 identified papers that used HADS was performed to address the following questions: (I) How are the factor structure, discriminant validity and the internal consistency of HADS? (II) How does HADS perform as a case finder for anxiety disorders and depression? (III) How does HADS agree with other self-rating instruments used to rate anxiety and depression? Results: Most factor analyses demonstrated a two-factor solution in good accordance with the HADS subscales for Anxiety (HADS-A) and Depression (HADS-D), respectively. The correlations between the two subscales varied from .40 to .74 (mean .56). Cronbach's alpha for HADS-A varied from .68 to .93 (mean .83) and for HADS-D from .67 to .90 (mean .82). In most studies an optimal balance between sensitivity and specificity was achieved when caseness was defined by a score of 8 or above on both HADS-A and HADS-D. The sensitivity and specificity for both HADS-A and HADS-D of approximately 0.80 were very similar to the sensitivity and specificity achieved by the General Health Questionnaire (GHQ). Correlations between HADS and other commonly used questionnaires were in the range .49 to .83. Conclusions: HADS was found to perform well in assessing the symptom severity and caseness of anxiety disorders and depression in both somatic, psychiatric and primary care patients and in the general population. © 2002 Elsevier Science Inc. All rights reserved.","author":[{"dropping-particle":"","family":"Bjelland","given":"Ingvar","non-dropping-particle":"","parse-names":false,"suffix":""},{"dropping-particle":"","family":"Dahl","given":"Alv A.","non-dropping-particle":"","parse-names":false,"suffix":""},{"dropping-particle":"","family":"Haug","given":"Tone Tangen","non-dropping-particle":"","parse-names":false,"suffix":""},{"dropping-particle":"","family":"Neckelmann","given":"Dag","non-dropping-particle":"","parse-names":false,"suffix":""}],"container-title":"Journal of Psychosomatic Research","id":"ITEM-1","issue":"2","issued":{"date-parts":[["2002","2"]]},"page":"69-77","title":"The validity of the Hospital Anxiety and Depression Scale: An updated literature review","type":"article-journal","volume":"52"},"uris":["http://www.mendeley.com/documents/?uuid=0ad7e0f5-bdf6-4733-8d9e-520dc702141b"]}],"mendeley":{"formattedCitation":"&lt;sup&gt;50&lt;/sup&gt;","plainTextFormattedCitation":"50","previouslyFormattedCitation":"&lt;sup&gt;50&lt;/sup&gt;"},"properties":{"noteIndex":0},"schema":"https://github.com/citation-style-language/schema/raw/master/csl-citation.json"}</w:instrText>
      </w:r>
      <w:r>
        <w:rPr>
          <w:sz w:val="20"/>
          <w:szCs w:val="20"/>
          <w:vertAlign w:val="superscript"/>
        </w:rPr>
        <w:fldChar w:fldCharType="separate"/>
      </w:r>
      <w:r>
        <w:rPr>
          <w:sz w:val="20"/>
          <w:szCs w:val="20"/>
          <w:vertAlign w:val="superscript"/>
        </w:rPr>
        <w:t>50</w:t>
      </w:r>
      <w:r>
        <w:rPr>
          <w:sz w:val="20"/>
          <w:szCs w:val="20"/>
          <w:vertAlign w:val="superscript"/>
        </w:rPr>
        <w:fldChar w:fldCharType="end"/>
      </w:r>
      <w:r>
        <w:rPr>
          <w:sz w:val="20"/>
          <w:szCs w:val="20"/>
          <w:vertAlign w:val="superscript"/>
        </w:rPr>
        <w:t>,</w:t>
      </w:r>
      <w:r>
        <w:rPr>
          <w:sz w:val="20"/>
          <w:szCs w:val="20"/>
          <w:vertAlign w:val="superscript"/>
        </w:rPr>
        <w:fldChar w:fldCharType="begin" w:fldLock="1"/>
      </w:r>
      <w:r>
        <w:rPr>
          <w:sz w:val="20"/>
          <w:szCs w:val="20"/>
          <w:vertAlign w:val="superscript"/>
        </w:rPr>
        <w:instrText>ADDIN CSL_CITATION {"citationItems":[{"id":"ITEM-1","itemData":{"ISSN":"0884-8297","PMID":"8070982","abstract":"The authenticity of the Chinese translation of the Hospital Anxiety and Depression Scale (HAD) was tested in a sample of medical students. The Chinese version demonstrated good agreement with the English original. There was a large difference between the mean anxiety and depression subscores. Factor analysis consistently yielded three factors, suggesting the existence of a somatic factor. It is suggested that a common cut-off point for the subscales of the HAD scale is not advisable and a multidimensional model for mood disorders is more appropriate in a cross-cultural context.","author":[{"dropping-particle":"","family":"Leung","given":"C M","non-dropping-particle":"","parse-names":false,"suffix":""},{"dropping-particle":"","family":"Ho","given":"S","non-dropping-particle":"","parse-names":false,"suffix":""},{"dropping-particle":"","family":"Kan","given":"C S","non-dropping-particle":"","parse-names":false,"suffix":""},{"dropping-particle":"","family":"Hung","given":"C H","non-dropping-particle":"","parse-names":false,"suffix":""},{"dropping-particle":"","family":"Chen","given":"C N","non-dropping-particle":"","parse-names":false,"suffix":""}],"container-title":"International journal of psychosomatics : official publication of the International Psychosomatics Institute","id":"ITEM-1","issue":"1-4","issued":{"date-parts":[["1993"]]},"page":"29-34","title":"Evaluation of the Chinese version of the Hospital Anxiety and Depression Scale. A cross-cultural perspective.","type":"article-journal","volume":"40"},"uris":["http://www.mendeley.com/documents/?uuid=10758dc1-ff85-4dca-ba46-567d1f8164e3"]}],"mendeley":{"formattedCitation":"&lt;sup&gt;51&lt;/sup&gt;","plainTextFormattedCitation":"51","previouslyFormattedCitation":"&lt;sup&gt;51&lt;/sup&gt;"},"properties":{"noteIndex":0},"schema":"https://github.com/citation-style-language/schema/raw/master/csl-citation.json"}</w:instrText>
      </w:r>
      <w:r>
        <w:rPr>
          <w:sz w:val="20"/>
          <w:szCs w:val="20"/>
          <w:vertAlign w:val="superscript"/>
        </w:rPr>
        <w:fldChar w:fldCharType="separate"/>
      </w:r>
      <w:r>
        <w:rPr>
          <w:sz w:val="20"/>
          <w:szCs w:val="20"/>
          <w:vertAlign w:val="superscript"/>
        </w:rPr>
        <w:t>51</w:t>
      </w:r>
      <w:r>
        <w:rPr>
          <w:sz w:val="20"/>
          <w:szCs w:val="20"/>
          <w:vertAlign w:val="superscript"/>
        </w:rPr>
        <w:fldChar w:fldCharType="end"/>
      </w:r>
    </w:p>
    <w:p w14:paraId="149F857F" w14:textId="77777777" w:rsidR="00555164" w:rsidRDefault="002C73C0">
      <w:pPr>
        <w:spacing w:beforeLines="50" w:before="120" w:afterLines="50" w:after="120"/>
        <w:rPr>
          <w:sz w:val="20"/>
          <w:szCs w:val="20"/>
          <w:vertAlign w:val="superscript"/>
        </w:rPr>
      </w:pPr>
      <w:r>
        <w:rPr>
          <w:sz w:val="20"/>
          <w:szCs w:val="20"/>
        </w:rPr>
        <w:t>7.1.8 Delirium is assessed with the Confusion Assessment Method for the Intensive Care Unit (CAM-ICU).</w:t>
      </w:r>
      <w:r>
        <w:rPr>
          <w:sz w:val="20"/>
          <w:szCs w:val="20"/>
          <w:vertAlign w:val="superscript"/>
        </w:rPr>
        <w:fldChar w:fldCharType="begin" w:fldLock="1"/>
      </w:r>
      <w:r>
        <w:rPr>
          <w:sz w:val="20"/>
          <w:szCs w:val="20"/>
          <w:vertAlign w:val="superscript"/>
        </w:rPr>
        <w:instrText>ADDIN CSL_CITATION {"citationItems":[{"id":"ITEM-1","itemData":{"DOI":"10.1001/jama.286.21.2703","ISSN":"00987484","PMID":"11730446","abstract":"Context: Delirium is a common problem in the intensive care unit (ICU). Accurate diagnosis is limited by the difficulty of communicating with mechanically ventilated patients and by lack of a validated delirium instrument for use in the ICU. Objectives: To validate a delirium assessment instrument that uses standardized nonverbal assessments for mechanically ventilated patients and to determine the occurrence rate of delirium in such patients. Design and Setting: Prospective cohort study testing the Confusion Assessment Method for ICU Patients (CAM-ICU) in the adult medical and coronary ICUs of a US university-based medical center. Participants: A total of 111 consecutive patients who were mechanically ventilated were enrolled from February 1, 2000, to July 15, 2000, of whom 96 (86.5%) were evaluable for the development of delirium and 15 (13.5%) were excluded because they remained comatose throughout the investigation. Main Outcome Measures: Occurrence rate of delirium and sensitivity, specificity, and interrater reliability of delirium assessments using the CAM-ICU, made daily by 2 critical care study nurses, compared with assessments by delirium experts using Diagnostic and Statistical Manual of Mental Disorders, Fourth Edition, criteria. Results: A total of 471 daily paired evaluations were completed. Compared with the reference standard for diagnosing delirium, 2 study nurses using the CAM-ICU had sensitivities of 100% and 93%, specificities of 98% and 100%, and high interrater reliability (κ=0.96; 95% confidence interval, 0.92-0.99). Interrater reliability measures across subgroup comparisons showed K values of 0.92 for those aged 65 years or older, 0.99 for those with suspected dementia, or 0.94 for those with Acute Physiology and Chronic Health Evaluation II scores at or above the median value of 23 (all P&lt;.001). Comparing sensitivity and specificity between patient subgroups according to age, suspected dementia, or severity of illness showed no significant differences. The mean (SD) CAM-ICU administration time was 2 (1) minutes. Reference standard diagnoses of delirium, stupor, and coma occurred in 25.2%, 21.3%, and 28.5% of all observations, respectively. Delirium occurred in 80 (83.3%) patients during their ICU stay for a mean (SD) of 2.4 (1.6) days. Delirium was even present in 39.5% of alert or easily aroused patient observations by the reference standard and persisted in 10.4% of patients at hospital discharge. Conclusions: Delirium, a com…","author":[{"dropping-particle":"","family":"Ely","given":"E. Wesley","non-dropping-particle":"","parse-names":false,"suffix":""},{"dropping-particle":"","family":"Bernard","given":"Gordon R.","non-dropping-particle":"","parse-names":false,"suffix":""},{"dropping-particle":"","family":"Speroff","given":"Theodore","non-dropping-particle":"","parse-names":false,"suffix":""},{"dropping-particle":"","family":"Gautam","given":"Shiva","non-dropping-particle":"","parse-names":false,"suffix":""},{"dropping-particle":"","family":"Dittus","given":"Robert","non-dropping-particle":"","parse-names":false,"suffix":""},{"dropping-particle":"","family":"May","given":"Lisa","non-dropping-particle":"","parse-names":false,"suffix":""},{"dropping-particle":"","family":"Truman","given":"Brenda","non-dropping-particle":"","parse-names":false,"suffix":""},{"dropping-particle":"","family":"Ely","given":"E. Wesley","non-dropping-particle":"","parse-names":false,"suffix":""},{"dropping-particle":"","family":"Bernard","given":"Gordon R.","non-dropping-particle":"","parse-names":false,"suffix":""},{"dropping-particle":"","family":"Gordon","given":"Sharon","non-dropping-particle":"","parse-names":false,"suffix":""},{"dropping-particle":"","family":"Margolin","given":"Richard","non-dropping-particle":"","parse-names":false,"suffix":""},{"dropping-particle":"","family":"Inouye","given":"Sharon K.","non-dropping-particle":"","parse-names":false,"suffix":""},{"dropping-particle":"","family":"Francis","given":"Joseph","non-dropping-particle":"","parse-names":false,"suffix":""},{"dropping-particle":"","family":"Hart","given":"Robert P.","non-dropping-particle":"","parse-names":false,"suffix":""}],"container-title":"Journal of the American Medical Association","id":"ITEM-1","issue":"21","issued":{"date-parts":[["2001","12","5"]]},"page":"2703-2710","title":"Delirium in mechanically ventilated patients: Validity and reliability of the Confusion Assessment Method for the intensive care unit (CAM-ICU)","type":"article-journal","volume":"286"},"uris":["http://www.mendeley.com/documents/?uuid=283c8504-5e6c-4f9a-be59-efaa14745e9e"]}],"mendeley":{"formattedCitation":"&lt;sup&gt;52&lt;/sup&gt;","plainTextFormattedCitation":"52","previouslyFormattedCitation":"&lt;sup&gt;52&lt;/sup&gt;"},"properties":{"noteIndex":0},"schema":"https://github.com/citation-style-language/schema/raw/master/csl-citation.json"}</w:instrText>
      </w:r>
      <w:r>
        <w:rPr>
          <w:sz w:val="20"/>
          <w:szCs w:val="20"/>
          <w:vertAlign w:val="superscript"/>
        </w:rPr>
        <w:fldChar w:fldCharType="separate"/>
      </w:r>
      <w:r>
        <w:rPr>
          <w:sz w:val="20"/>
          <w:szCs w:val="20"/>
          <w:vertAlign w:val="superscript"/>
        </w:rPr>
        <w:t>52</w:t>
      </w:r>
      <w:r>
        <w:rPr>
          <w:sz w:val="20"/>
          <w:szCs w:val="20"/>
          <w:vertAlign w:val="superscript"/>
        </w:rPr>
        <w:fldChar w:fldCharType="end"/>
      </w:r>
      <w:r>
        <w:rPr>
          <w:sz w:val="20"/>
          <w:szCs w:val="20"/>
          <w:vertAlign w:val="superscript"/>
        </w:rPr>
        <w:t>,</w:t>
      </w:r>
      <w:r>
        <w:rPr>
          <w:sz w:val="20"/>
          <w:szCs w:val="20"/>
          <w:vertAlign w:val="superscript"/>
        </w:rPr>
        <w:fldChar w:fldCharType="begin" w:fldLock="1"/>
      </w:r>
      <w:r>
        <w:rPr>
          <w:sz w:val="20"/>
          <w:szCs w:val="20"/>
          <w:vertAlign w:val="superscript"/>
        </w:rPr>
        <w:instrText>ADDIN CSL_CITATION {"citationItems":[{"id":"ITEM-1","itemData":{"DOI":"10.6224/JN.54.4.45","ISSN":"0047262X","PMID":"17654427","abstract":"This study was designed to evaluate the reliability and validity of the Chinese version of the diagnostic and statistical manual (DSM) of mental disorders written by Ely et al as a confusion assessment method for the intensive care unit (CAM-ICU) for diagnosing delirium. Purposive sampling was used to recruit 31 patients in a southern medical center ICU. Data were collected by two interviewers who used CAM-ICU to test inter-rater consistency. DSM served as the delirium diagnosis standard to test CAM-ICU validity and calculate sensitivity and specificity. The inter-rater reliability Kappa value for CAM-ICU applied to delirium diagnosis was .48 (p &lt; .01). The validity PABAK value was .48 (p &lt; .01) and McNemar's test value was p = .72. The sensitivity achieved by the two interviewers was 89%, versus 96% for the doctor. The CAM-ICU is a method that helps ICU nursing staff to detect occurrences of delirium rapidly and easily, permitting early intervention treatment with fewer complications.","author":[{"dropping-particle":"","family":"Chuang","given":"Wen Ling","non-dropping-particle":"","parse-names":false,"suffix":""},{"dropping-particle":"","family":"Lin","given":"Chien Ho","non-dropping-particle":"","parse-names":false,"suffix":""},{"dropping-particle":"","family":"Hsu","given":"Wen Chi","non-dropping-particle":"","parse-names":false,"suffix":""},{"dropping-particle":"","family":"Ting","given":"Yu Ju","non-dropping-particle":"","parse-names":false,"suffix":""},{"dropping-particle":"","family":"Lin","given":"Kao Chang","non-dropping-particle":"","parse-names":false,"suffix":""},{"dropping-particle":"","family":"Ma","given":"Shu Ching","non-dropping-particle":"","parse-names":false,"suffix":""}],"container-title":"Hu Li Za Zhi","id":"ITEM-1","issue":"4","issued":{"date-parts":[["2007","8"]]},"page":"45-52","title":"Evaluation of the reliability and validity of the Chinese version of the confusion assessment method for the intensive care unit","type":"article-journal","volume":"54"},"uris":["http://www.mendeley.com/documents/?uuid=7e2c1e7e-f81c-4aab-8765-060dc9e9d557"]}],"mendeley":{"formattedCitation":"&lt;sup&gt;53&lt;/sup&gt;","plainTextFormattedCitation":"53","previouslyFormattedCitation":"&lt;sup&gt;53&lt;/sup&gt;"},"properties":{"noteIndex":0},"schema":"https://github.com/citation-style-language/schema/raw/master/csl-citation.json"}</w:instrText>
      </w:r>
      <w:r>
        <w:rPr>
          <w:sz w:val="20"/>
          <w:szCs w:val="20"/>
          <w:vertAlign w:val="superscript"/>
        </w:rPr>
        <w:fldChar w:fldCharType="separate"/>
      </w:r>
      <w:r>
        <w:rPr>
          <w:sz w:val="20"/>
          <w:szCs w:val="20"/>
          <w:vertAlign w:val="superscript"/>
        </w:rPr>
        <w:t>53</w:t>
      </w:r>
      <w:r>
        <w:rPr>
          <w:sz w:val="20"/>
          <w:szCs w:val="20"/>
          <w:vertAlign w:val="superscript"/>
        </w:rPr>
        <w:fldChar w:fldCharType="end"/>
      </w:r>
      <w:r>
        <w:rPr>
          <w:sz w:val="20"/>
          <w:szCs w:val="20"/>
          <w:vertAlign w:val="superscript"/>
        </w:rPr>
        <w:t xml:space="preserve"> </w:t>
      </w:r>
    </w:p>
    <w:p w14:paraId="46D127A9" w14:textId="77777777" w:rsidR="00555164" w:rsidRDefault="00555164">
      <w:pPr>
        <w:spacing w:beforeLines="50" w:before="120" w:afterLines="50" w:after="120"/>
        <w:rPr>
          <w:sz w:val="20"/>
          <w:szCs w:val="20"/>
        </w:rPr>
      </w:pPr>
    </w:p>
    <w:p w14:paraId="60EB6605" w14:textId="77777777" w:rsidR="00555164" w:rsidRDefault="002C73C0">
      <w:pPr>
        <w:spacing w:beforeLines="50" w:before="120" w:afterLines="50" w:after="120"/>
        <w:rPr>
          <w:b/>
          <w:i/>
          <w:sz w:val="20"/>
          <w:szCs w:val="20"/>
        </w:rPr>
      </w:pPr>
      <w:r>
        <w:rPr>
          <w:b/>
          <w:i/>
          <w:sz w:val="20"/>
          <w:szCs w:val="20"/>
        </w:rPr>
        <w:t xml:space="preserve">7.2 Intraoperative data </w:t>
      </w:r>
    </w:p>
    <w:p w14:paraId="41B5AFAC" w14:textId="77777777" w:rsidR="00555164" w:rsidRDefault="002C73C0">
      <w:pPr>
        <w:spacing w:beforeLines="50" w:before="120" w:afterLines="50" w:after="120"/>
        <w:rPr>
          <w:sz w:val="20"/>
          <w:szCs w:val="20"/>
        </w:rPr>
      </w:pPr>
      <w:r>
        <w:rPr>
          <w:sz w:val="20"/>
          <w:szCs w:val="20"/>
        </w:rPr>
        <w:lastRenderedPageBreak/>
        <w:t>7.2.1 Anesthesia method, type and dose of anesthetics and other medications used during anesthesia, duration of anesthesia.</w:t>
      </w:r>
    </w:p>
    <w:p w14:paraId="72213BDD" w14:textId="77777777" w:rsidR="00555164" w:rsidRDefault="002C73C0">
      <w:pPr>
        <w:spacing w:beforeLines="50" w:before="120" w:afterLines="50" w:after="120"/>
        <w:rPr>
          <w:sz w:val="20"/>
          <w:szCs w:val="20"/>
        </w:rPr>
      </w:pPr>
      <w:r>
        <w:rPr>
          <w:sz w:val="20"/>
          <w:szCs w:val="20"/>
        </w:rPr>
        <w:t>7.2.2 Fluid balance (including fluid infusion, estimated blood loss, and urine output) and transfusion of blood products.</w:t>
      </w:r>
    </w:p>
    <w:p w14:paraId="00027A16" w14:textId="77777777" w:rsidR="00555164" w:rsidRDefault="002C73C0">
      <w:pPr>
        <w:spacing w:beforeLines="50" w:before="120" w:afterLines="50" w:after="120"/>
        <w:rPr>
          <w:sz w:val="20"/>
          <w:szCs w:val="20"/>
        </w:rPr>
      </w:pPr>
      <w:r>
        <w:rPr>
          <w:sz w:val="20"/>
          <w:szCs w:val="20"/>
        </w:rPr>
        <w:t>7.2.3 Location, type, name and duration of the surgery.</w:t>
      </w:r>
    </w:p>
    <w:p w14:paraId="7A124793" w14:textId="77777777" w:rsidR="00555164" w:rsidRDefault="002C73C0">
      <w:pPr>
        <w:spacing w:beforeLines="50" w:before="120" w:afterLines="50" w:after="120"/>
        <w:rPr>
          <w:rFonts w:eastAsia="等线"/>
          <w:sz w:val="20"/>
          <w:szCs w:val="20"/>
        </w:rPr>
      </w:pPr>
      <w:r>
        <w:rPr>
          <w:rFonts w:eastAsia="等线"/>
          <w:sz w:val="20"/>
          <w:szCs w:val="20"/>
        </w:rPr>
        <w:t>7.2.4 Data of vital signs and arterial blood gas result (if available).</w:t>
      </w:r>
    </w:p>
    <w:p w14:paraId="2A50CB57" w14:textId="77777777" w:rsidR="00555164" w:rsidRDefault="002C73C0">
      <w:pPr>
        <w:spacing w:beforeLines="50" w:before="120" w:afterLines="50" w:after="120"/>
        <w:rPr>
          <w:rFonts w:eastAsia="等线"/>
          <w:sz w:val="20"/>
          <w:szCs w:val="20"/>
        </w:rPr>
      </w:pPr>
      <w:r>
        <w:rPr>
          <w:rFonts w:eastAsia="等线"/>
          <w:sz w:val="20"/>
          <w:szCs w:val="20"/>
        </w:rPr>
        <w:t>7.2.5 For patients recruited in Peking University First Hospital, blood samples (4 mL) will be collected before surgery with their agreement. The serum will be separated within 1 hour and stored in the -80</w:t>
      </w:r>
      <w:r>
        <w:rPr>
          <w:rFonts w:eastAsia="等线"/>
          <w:sz w:val="20"/>
          <w:szCs w:val="20"/>
        </w:rPr>
        <w:sym w:font="Symbol" w:char="F0B0"/>
      </w:r>
      <w:r>
        <w:rPr>
          <w:rFonts w:eastAsia="等线"/>
          <w:sz w:val="20"/>
          <w:szCs w:val="20"/>
        </w:rPr>
        <w:t xml:space="preserve">C freezer until measurement of serum cortisol, interleukin (IL)-6 and IL-8 concentration. </w:t>
      </w:r>
    </w:p>
    <w:p w14:paraId="78959075" w14:textId="77777777" w:rsidR="00555164" w:rsidRDefault="00555164">
      <w:pPr>
        <w:spacing w:beforeLines="50" w:before="120" w:afterLines="50" w:after="120"/>
        <w:rPr>
          <w:rFonts w:eastAsia="等线"/>
          <w:sz w:val="20"/>
          <w:szCs w:val="20"/>
        </w:rPr>
      </w:pPr>
    </w:p>
    <w:p w14:paraId="1CD3E020" w14:textId="77777777" w:rsidR="00555164" w:rsidRDefault="002C73C0">
      <w:pPr>
        <w:spacing w:beforeLines="50" w:before="120" w:afterLines="50" w:after="120"/>
        <w:rPr>
          <w:b/>
          <w:i/>
          <w:sz w:val="20"/>
          <w:szCs w:val="20"/>
        </w:rPr>
      </w:pPr>
      <w:r>
        <w:rPr>
          <w:b/>
          <w:i/>
          <w:sz w:val="20"/>
          <w:szCs w:val="20"/>
        </w:rPr>
        <w:t xml:space="preserve">7.3 Postoperative data </w:t>
      </w:r>
    </w:p>
    <w:p w14:paraId="0749FCC7" w14:textId="77777777" w:rsidR="00555164" w:rsidRDefault="002C73C0">
      <w:pPr>
        <w:spacing w:beforeLines="50" w:before="120" w:afterLines="50" w:after="120"/>
        <w:rPr>
          <w:sz w:val="20"/>
          <w:szCs w:val="20"/>
        </w:rPr>
      </w:pPr>
      <w:r>
        <w:rPr>
          <w:sz w:val="20"/>
          <w:szCs w:val="20"/>
        </w:rPr>
        <w:t>7.3.1 Patients will be visited twice daily during the first seven</w:t>
      </w:r>
      <w:r>
        <w:rPr>
          <w:rFonts w:eastAsia="等线"/>
          <w:sz w:val="20"/>
          <w:szCs w:val="20"/>
        </w:rPr>
        <w:t xml:space="preserve"> </w:t>
      </w:r>
      <w:r>
        <w:rPr>
          <w:sz w:val="20"/>
          <w:szCs w:val="20"/>
        </w:rPr>
        <w:t>days after surgery; they will then be</w:t>
      </w:r>
      <w:r>
        <w:rPr>
          <w:rFonts w:eastAsia="等线"/>
          <w:sz w:val="20"/>
          <w:szCs w:val="20"/>
        </w:rPr>
        <w:t xml:space="preserve"> </w:t>
      </w:r>
      <w:r>
        <w:rPr>
          <w:sz w:val="20"/>
          <w:szCs w:val="20"/>
        </w:rPr>
        <w:t>followed up weekly until 30 days after surgery. Information from the Electronic Anesthesia Information System and the Electronic Medical Record System will be achieved. Discharged patients will be contacted by telephone.</w:t>
      </w:r>
    </w:p>
    <w:p w14:paraId="3C7306E8" w14:textId="77777777" w:rsidR="00555164" w:rsidRDefault="002C73C0">
      <w:pPr>
        <w:spacing w:beforeLines="50" w:before="120" w:afterLines="50" w:after="120"/>
        <w:rPr>
          <w:sz w:val="20"/>
          <w:szCs w:val="20"/>
        </w:rPr>
      </w:pPr>
      <w:r>
        <w:rPr>
          <w:sz w:val="20"/>
          <w:szCs w:val="20"/>
        </w:rPr>
        <w:t>7.3.2 Occurrence of delirium during the first seven postoperative days will be assessed with the CAM‐ICU twice daily (8-10 AM and 6-8 PM). Immediately before assessing delirium, sedation or agitation will be assessed using the RASS.</w:t>
      </w:r>
      <w:r>
        <w:rPr>
          <w:color w:val="000000"/>
          <w:sz w:val="20"/>
          <w:szCs w:val="20"/>
        </w:rPr>
        <w:t xml:space="preserve"> </w:t>
      </w:r>
      <w:r>
        <w:rPr>
          <w:sz w:val="20"/>
          <w:szCs w:val="20"/>
        </w:rPr>
        <w:t>For deeply sedated or unarousable patients (RASS –4 or –5), delirium is not assessed and the patient is recorded as comatose. For patients with a RASS from -3 to +4, delirium is assessed with the CAM-ICU. Delirium episodes are classified into three motoric subtypes, i.e., hyperactive (RASS is consistently positive, from +1 to +4), hypoactive (RASS is consistently neutral or negative, from –3 to 0</w:t>
      </w:r>
      <w:r>
        <w:rPr>
          <w:color w:val="000000" w:themeColor="text1"/>
          <w:sz w:val="20"/>
          <w:szCs w:val="20"/>
        </w:rPr>
        <w:t xml:space="preserve">), and </w:t>
      </w:r>
      <w:r>
        <w:rPr>
          <w:sz w:val="20"/>
          <w:szCs w:val="20"/>
        </w:rPr>
        <w:t>mixed.</w:t>
      </w:r>
      <w:r>
        <w:rPr>
          <w:sz w:val="20"/>
          <w:szCs w:val="20"/>
          <w:vertAlign w:val="superscript"/>
        </w:rPr>
        <w:fldChar w:fldCharType="begin" w:fldLock="1"/>
      </w:r>
      <w:r>
        <w:rPr>
          <w:sz w:val="20"/>
          <w:szCs w:val="20"/>
          <w:vertAlign w:val="superscript"/>
        </w:rPr>
        <w:instrText>ADDIN CSL_CITATION {"citationItems":[{"id":"ITEM-1","itemData":{"DOI":"10.1111/j.1532-5415.2005.00621.x","ISSN":"00028614","abstract":"OBJECTIVES: To describe the motoric subtypes of delirium in critically ill patients and compare patients aged 65 and older with a younger cohort. DESIGN: Prospective cohort study. SETTING: The medical intensive care unit (MICU) of a tertiary care academic medical center. PARTICIPANTS: Six hundred fourteen MICU patients admitted during a process improvement initiative to monitor levels of sedation and delirium. MEASUREMENTS MICU: nursing staff assessed delirium and level of consciousness in all MICU patients at least once per 12-hour shift using the Confusion Assessment Method for the Intensive Care Unit and the Richmond Agitation-Sedation Scale. Delirium episodes were categorized as hypoactive, hyperactive, and mixed type. RESULTS: Delirium was detected in 112 of 156 (71.8%) subjects aged 65 and older and 263 of 458 (57.4%) subjects younger than 65. Mixed type was most common (54.9%), followed by hypoactive delirium (43.5%) and purely hyperactive delirium (1.6%). Patients aged 65 and older experienced hypoactive delirium at a greater rate than younger patients (41.0% vs 21.6%, P&lt;.001) and never experienced hyperactive delirium. Older age was strongly and independently associated with hypoactive delirium (adjusted odds ratioCombining double low line3.0, 95% confidence intervalCombining double low line1.7-5.3), compared with no delirium in a model that adjusted for other important determinants of delirium including severity of illness, sedative medication use, and ventilation status. CONCLUSION: Older age is a strong predictor of hypoactive delirium in MICU patients, and this motoric subtype of delirium may be missed in the absence of active monitoring. © 2006, Copyright the Authors.","author":[{"dropping-particle":"","family":"Peterson","given":"Josh F.","non-dropping-particle":"","parse-names":false,"suffix":""},{"dropping-particle":"","family":"Pun","given":"Brenda T.","non-dropping-particle":"","parse-names":false,"suffix":""},{"dropping-particle":"","family":"Dittus","given":"Robert S.","non-dropping-particle":"","parse-names":false,"suffix":""},{"dropping-particle":"","family":"Thomason","given":"Jason W.W.","non-dropping-particle":"","parse-names":false,"suffix":""},{"dropping-particle":"","family":"Jackson","given":"James C.","non-dropping-particle":"","parse-names":false,"suffix":""},{"dropping-particle":"","family":"Shintani","given":"Ayumi K.","non-dropping-particle":"","parse-names":false,"suffix":""},{"dropping-particle":"","family":"Ely","given":"Ewesley","non-dropping-particle":"","parse-names":false,"suffix":""}],"container-title":"Journal of the American Geriatrics Society","id":"ITEM-1","issue":"3","issued":{"date-parts":[["2006","3"]]},"page":"479-484","title":"Delirium and its motoric subtypes: A study of 614 critically ill patients","type":"article-journal","volume":"54"},"uris":["http://www.mendeley.com/documents/?uuid=9c73ef0a-7acd-4423-9706-711c217bc109"]}],"mendeley":{"formattedCitation":"&lt;sup&gt;54&lt;/sup&gt;","plainTextFormattedCitation":"54","previouslyFormattedCitation":"&lt;sup&gt;54&lt;/sup&gt;"},"properties":{"noteIndex":0},"schema":"https://github.com/citation-style-language/schema/raw/master/csl-citation.json"}</w:instrText>
      </w:r>
      <w:r>
        <w:rPr>
          <w:sz w:val="20"/>
          <w:szCs w:val="20"/>
          <w:vertAlign w:val="superscript"/>
        </w:rPr>
        <w:fldChar w:fldCharType="separate"/>
      </w:r>
      <w:r>
        <w:rPr>
          <w:sz w:val="20"/>
          <w:szCs w:val="20"/>
          <w:vertAlign w:val="superscript"/>
        </w:rPr>
        <w:t>54</w:t>
      </w:r>
      <w:r>
        <w:rPr>
          <w:sz w:val="20"/>
          <w:szCs w:val="20"/>
          <w:vertAlign w:val="superscript"/>
        </w:rPr>
        <w:fldChar w:fldCharType="end"/>
      </w:r>
      <w:r>
        <w:rPr>
          <w:sz w:val="20"/>
          <w:szCs w:val="20"/>
        </w:rPr>
        <w:t xml:space="preserve"> Investigators for postoperative delirium assessment will be trained by psychiatrists to use the CAM‐ICU before the trial is commenced. For patients who meet the criteria of delirium, the severity of delirium will be assessed with the Chinese version of  Delirium rating scale revised-98 (DRS-R-98-C).</w:t>
      </w:r>
      <w:r>
        <w:rPr>
          <w:sz w:val="20"/>
          <w:szCs w:val="20"/>
        </w:rPr>
        <w:fldChar w:fldCharType="begin" w:fldLock="1"/>
      </w:r>
      <w:r>
        <w:rPr>
          <w:sz w:val="20"/>
          <w:szCs w:val="20"/>
        </w:rPr>
        <w:instrText>ADDIN CSL_CITATION {"citationItems":[{"id":"ITEM-1","itemData":{"DOI":"10.1016/j.comppsych.2008.05.011","ISSN":"0010440X","author":[{"dropping-particle":"","family":"Huang","given":"Ming-Chyi","non-dropping-particle":"","parse-names":false,"suffix":""},{"dropping-particle":"","family":"Lee","given":"Chun-Hung","non-dropping-particle":"","parse-names":false,"suffix":""},{"dropping-particle":"","family":"Lai","given":"Ying-Ching","non-dropping-particle":"","parse-names":false,"suffix":""},{"dropping-particle":"","family":"Kao","given":"Yu-Fen","non-dropping-particle":"","parse-names":false,"suffix":""},{"dropping-particle":"","family":"Lin","given":"Hong-Yen","non-dropping-particle":"","parse-names":false,"suffix":""},{"dropping-particle":"","family":"Chen","given":"Chun-Hsin","non-dropping-particle":"","parse-names":false,"suffix":""}],"container-title":"Comprehensive Psychiatry","id":"ITEM-1","issue":"1","issued":{"date-parts":[["2009","1"]]},"page":"81-85","title":"Chinese version of the Delirium Rating Scale-Revised-98: reliability and validity","type":"article-journal","volume":"50"},"uris":["http://www.mendeley.com/documents/?uuid=d1bca460-d4f2-401e-a6d4-277d3fd564db"]}],"mendeley":{"formattedCitation":"&lt;sup&gt;55&lt;/sup&gt;","plainTextFormattedCitation":"55","previouslyFormattedCitation":"&lt;sup&gt;55&lt;/sup&gt;"},"properties":{"noteIndex":0},"schema":"https://github.com/citation-style-language/schema/raw/master/csl-citation.json"}</w:instrText>
      </w:r>
      <w:r>
        <w:rPr>
          <w:sz w:val="20"/>
          <w:szCs w:val="20"/>
        </w:rPr>
        <w:fldChar w:fldCharType="separate"/>
      </w:r>
      <w:r>
        <w:rPr>
          <w:sz w:val="20"/>
          <w:szCs w:val="20"/>
          <w:vertAlign w:val="superscript"/>
        </w:rPr>
        <w:t>55</w:t>
      </w:r>
      <w:r>
        <w:rPr>
          <w:sz w:val="20"/>
          <w:szCs w:val="20"/>
        </w:rPr>
        <w:fldChar w:fldCharType="end"/>
      </w:r>
    </w:p>
    <w:p w14:paraId="23DCB6FE" w14:textId="77777777" w:rsidR="00555164" w:rsidRDefault="002C73C0">
      <w:pPr>
        <w:pStyle w:val="ad"/>
        <w:spacing w:beforeLines="50" w:before="120" w:beforeAutospacing="0" w:afterLines="50" w:after="120" w:afterAutospacing="0"/>
        <w:rPr>
          <w:sz w:val="20"/>
          <w:szCs w:val="20"/>
        </w:rPr>
      </w:pPr>
      <w:r>
        <w:rPr>
          <w:sz w:val="20"/>
          <w:szCs w:val="20"/>
        </w:rPr>
        <w:t xml:space="preserve">7.3.3 The intensity of postoperative pain both at rest and with coughing during the first three postoperative days will be evaluated twice daily at the same time of delirium assessment (8-10 AM and 6-8 PM) with the numeric rating scale (NRS, a 11-point scale where 0 indicates no pain and 10 indicates the worst pain). For patients who are deeply sedated or unarousable (−4 or −5 on the RASS), pain evaluation will be stopped and repeated later. </w:t>
      </w:r>
    </w:p>
    <w:p w14:paraId="6564F767" w14:textId="77777777" w:rsidR="00555164" w:rsidRDefault="002C73C0">
      <w:pPr>
        <w:pStyle w:val="ad"/>
        <w:spacing w:beforeLines="50" w:before="120" w:beforeAutospacing="0" w:afterLines="50" w:after="120" w:afterAutospacing="0"/>
        <w:rPr>
          <w:sz w:val="20"/>
          <w:szCs w:val="20"/>
        </w:rPr>
      </w:pPr>
      <w:r>
        <w:rPr>
          <w:sz w:val="20"/>
          <w:szCs w:val="20"/>
        </w:rPr>
        <w:t>7.3.4 The use of analgesics and other medications during the first 7 days after surgery will be recorded.</w:t>
      </w:r>
    </w:p>
    <w:p w14:paraId="6D740F0B" w14:textId="77777777" w:rsidR="00555164" w:rsidRDefault="002C73C0">
      <w:pPr>
        <w:pStyle w:val="ad"/>
        <w:spacing w:beforeLines="50" w:before="120" w:beforeAutospacing="0" w:afterLines="50" w:after="120" w:afterAutospacing="0"/>
        <w:rPr>
          <w:sz w:val="20"/>
          <w:szCs w:val="20"/>
        </w:rPr>
      </w:pPr>
      <w:r>
        <w:rPr>
          <w:sz w:val="20"/>
          <w:szCs w:val="20"/>
        </w:rPr>
        <w:t>7.3.5 For patients who are admitted to the ICU after surgery, the worst Acute Physiology and Chronic Health Evaluation II (APACHE II, score ranges from 0 to 71, with higher score indicating more severe disease)</w:t>
      </w:r>
      <w:r>
        <w:rPr>
          <w:sz w:val="20"/>
          <w:szCs w:val="20"/>
          <w:vertAlign w:val="superscript"/>
        </w:rPr>
        <w:fldChar w:fldCharType="begin" w:fldLock="1"/>
      </w:r>
      <w:r>
        <w:rPr>
          <w:sz w:val="20"/>
          <w:szCs w:val="20"/>
          <w:vertAlign w:val="superscript"/>
        </w:rPr>
        <w:instrText>ADDIN CSL_CITATION {"citationItems":[{"id":"ITEM-1","itemData":{"DOI":"10.1097/00003246-198510000-00009","ISSN":"00903493","PMID":"3928249","abstract":"This paper presents the form and validation results of APACHE II, a severity of disease classification system. APACHE II uses a point score based upon initial values of 12 routine physiologic measurements, age, and previous health status to provide a general measure of severity of disease. An increasing score (range 0 to 71) was closely correlated with the subsequent risk of hospital death for 5815 intensive care admission from 13 hospitals. This relationship was also found for many common diseases. When APACHE II scores are combined with an accurate description of disease, they can prognostically stratify acutely ill patients and assist investigators comparing the success of new or differing forms of therapy. This scoring index can be used to evaluate the use of hospital resources and compare the efficacy of intensive care in different hospitals or over time.","author":[{"dropping-particle":"","family":"Knaus","given":"W. A.","non-dropping-particle":"","parse-names":false,"suffix":""},{"dropping-particle":"","family":"Draper","given":"E. A.","non-dropping-particle":"","parse-names":false,"suffix":""},{"dropping-particle":"","family":"Wagner","given":"D. P.","non-dropping-particle":"","parse-names":false,"suffix":""},{"dropping-particle":"","family":"Zimmerman","given":"J. E.","non-dropping-particle":"","parse-names":false,"suffix":""}],"container-title":"Critical Care Medicine","id":"ITEM-1","issue":"10","issued":{"date-parts":[["1985","10"]]},"page":"818-829","title":"APACHE II: A severity of disease classification system","type":"article-journal","volume":"13"},"uris":["http://www.mendeley.com/documents/?uuid=f97d9b3d-abc3-4d08-9b74-7dbac29c0c0e"]}],"mendeley":{"formattedCitation":"&lt;sup&gt;56&lt;/sup&gt;","plainTextFormattedCitation":"56","previouslyFormattedCitation":"&lt;sup&gt;56&lt;/sup&gt;"},"properties":{"noteIndex":0},"schema":"https://github.com/citation-style-language/schema/raw/master/csl-citation.json"}</w:instrText>
      </w:r>
      <w:r>
        <w:rPr>
          <w:sz w:val="20"/>
          <w:szCs w:val="20"/>
          <w:vertAlign w:val="superscript"/>
        </w:rPr>
        <w:fldChar w:fldCharType="separate"/>
      </w:r>
      <w:r>
        <w:rPr>
          <w:sz w:val="20"/>
          <w:szCs w:val="20"/>
          <w:vertAlign w:val="superscript"/>
        </w:rPr>
        <w:t>56</w:t>
      </w:r>
      <w:r>
        <w:rPr>
          <w:sz w:val="20"/>
          <w:szCs w:val="20"/>
          <w:vertAlign w:val="superscript"/>
        </w:rPr>
        <w:fldChar w:fldCharType="end"/>
      </w:r>
      <w:r>
        <w:rPr>
          <w:sz w:val="20"/>
          <w:szCs w:val="20"/>
        </w:rPr>
        <w:t xml:space="preserve"> score during the first 24 hours after surgery, the duration of mechanical ventilation (for those with endotracheal tubes), the use of sedatives, and the length of ICU stay will be recorded.</w:t>
      </w:r>
    </w:p>
    <w:p w14:paraId="18721707" w14:textId="77777777" w:rsidR="00555164" w:rsidRDefault="002C73C0">
      <w:pPr>
        <w:spacing w:beforeLines="50" w:before="120" w:afterLines="50" w:after="120"/>
        <w:rPr>
          <w:sz w:val="20"/>
          <w:szCs w:val="20"/>
        </w:rPr>
      </w:pPr>
      <w:r>
        <w:rPr>
          <w:sz w:val="20"/>
          <w:szCs w:val="20"/>
        </w:rPr>
        <w:t>7.3.6 For patients recruited in Peking University First Hospital, blood samples</w:t>
      </w:r>
      <w:r>
        <w:rPr>
          <w:rFonts w:eastAsia="宋体"/>
          <w:sz w:val="20"/>
          <w:szCs w:val="20"/>
        </w:rPr>
        <w:t xml:space="preserve"> (4 mL)</w:t>
      </w:r>
      <w:r>
        <w:rPr>
          <w:sz w:val="20"/>
          <w:szCs w:val="20"/>
        </w:rPr>
        <w:t xml:space="preserve"> </w:t>
      </w:r>
      <w:r>
        <w:rPr>
          <w:rFonts w:eastAsia="宋体"/>
          <w:sz w:val="20"/>
          <w:szCs w:val="20"/>
        </w:rPr>
        <w:t>will be</w:t>
      </w:r>
      <w:r>
        <w:rPr>
          <w:sz w:val="20"/>
          <w:szCs w:val="20"/>
        </w:rPr>
        <w:t xml:space="preserve"> collected on the 1</w:t>
      </w:r>
      <w:r>
        <w:rPr>
          <w:sz w:val="20"/>
          <w:szCs w:val="20"/>
          <w:vertAlign w:val="superscript"/>
        </w:rPr>
        <w:t>st</w:t>
      </w:r>
      <w:r>
        <w:rPr>
          <w:sz w:val="20"/>
          <w:szCs w:val="20"/>
        </w:rPr>
        <w:t xml:space="preserve"> and 3</w:t>
      </w:r>
      <w:r>
        <w:rPr>
          <w:sz w:val="20"/>
          <w:szCs w:val="20"/>
          <w:vertAlign w:val="superscript"/>
        </w:rPr>
        <w:t>rd</w:t>
      </w:r>
      <w:r>
        <w:rPr>
          <w:sz w:val="20"/>
          <w:szCs w:val="20"/>
        </w:rPr>
        <w:t xml:space="preserve"> morning</w:t>
      </w:r>
      <w:r>
        <w:rPr>
          <w:rFonts w:eastAsia="宋体"/>
          <w:sz w:val="20"/>
          <w:szCs w:val="20"/>
        </w:rPr>
        <w:t xml:space="preserve"> </w:t>
      </w:r>
      <w:r>
        <w:rPr>
          <w:sz w:val="20"/>
          <w:szCs w:val="20"/>
        </w:rPr>
        <w:t xml:space="preserve">(6-8 </w:t>
      </w:r>
      <w:r>
        <w:rPr>
          <w:rFonts w:eastAsia="宋体"/>
          <w:sz w:val="20"/>
          <w:szCs w:val="20"/>
        </w:rPr>
        <w:t>A</w:t>
      </w:r>
      <w:r>
        <w:rPr>
          <w:sz w:val="20"/>
          <w:szCs w:val="20"/>
        </w:rPr>
        <w:t xml:space="preserve">M) after surgery </w:t>
      </w:r>
      <w:r>
        <w:rPr>
          <w:rFonts w:eastAsia="宋体"/>
          <w:sz w:val="20"/>
          <w:szCs w:val="20"/>
        </w:rPr>
        <w:t>with their agreements</w:t>
      </w:r>
      <w:r>
        <w:rPr>
          <w:sz w:val="20"/>
          <w:szCs w:val="20"/>
        </w:rPr>
        <w:t xml:space="preserve">. </w:t>
      </w:r>
      <w:r>
        <w:rPr>
          <w:rFonts w:eastAsia="宋体"/>
          <w:sz w:val="20"/>
          <w:szCs w:val="20"/>
        </w:rPr>
        <w:t>T</w:t>
      </w:r>
      <w:r>
        <w:rPr>
          <w:sz w:val="20"/>
          <w:szCs w:val="20"/>
        </w:rPr>
        <w:t>he serum</w:t>
      </w:r>
      <w:r>
        <w:rPr>
          <w:rFonts w:eastAsia="宋体"/>
          <w:sz w:val="20"/>
          <w:szCs w:val="20"/>
        </w:rPr>
        <w:t xml:space="preserve"> will be</w:t>
      </w:r>
      <w:r>
        <w:rPr>
          <w:sz w:val="20"/>
          <w:szCs w:val="20"/>
        </w:rPr>
        <w:t xml:space="preserve"> separated within 1 hour and stored in the -80</w:t>
      </w:r>
      <w:r>
        <w:rPr>
          <w:sz w:val="20"/>
          <w:szCs w:val="20"/>
        </w:rPr>
        <w:sym w:font="Symbol" w:char="F0B0"/>
      </w:r>
      <w:r>
        <w:rPr>
          <w:rFonts w:eastAsia="等线"/>
          <w:sz w:val="20"/>
          <w:szCs w:val="20"/>
        </w:rPr>
        <w:t>C</w:t>
      </w:r>
      <w:r>
        <w:rPr>
          <w:sz w:val="20"/>
          <w:szCs w:val="20"/>
        </w:rPr>
        <w:t xml:space="preserve"> freezer</w:t>
      </w:r>
      <w:r>
        <w:rPr>
          <w:rFonts w:eastAsia="宋体"/>
          <w:sz w:val="20"/>
          <w:szCs w:val="20"/>
        </w:rPr>
        <w:t xml:space="preserve"> </w:t>
      </w:r>
      <w:r>
        <w:rPr>
          <w:sz w:val="20"/>
          <w:szCs w:val="20"/>
        </w:rPr>
        <w:t>until measurement of serum cortisol, IL-6 and IL-8 concentration. The blood samples will be sent for measurement within 7 days after surgery. All blood samples from delirium patients will be sent for testing. Blood samples</w:t>
      </w:r>
      <w:r>
        <w:rPr>
          <w:rFonts w:eastAsia="宋体"/>
          <w:sz w:val="20"/>
          <w:szCs w:val="20"/>
        </w:rPr>
        <w:t xml:space="preserve"> from</w:t>
      </w:r>
      <w:r>
        <w:rPr>
          <w:sz w:val="20"/>
          <w:szCs w:val="20"/>
        </w:rPr>
        <w:t xml:space="preserve"> non-delirium patients will be selected in a 1:4 ratio to delirium patients and sent for testing.</w:t>
      </w:r>
    </w:p>
    <w:p w14:paraId="6BEA2F19" w14:textId="77777777" w:rsidR="00555164" w:rsidRDefault="002C73C0">
      <w:pPr>
        <w:pStyle w:val="ad"/>
        <w:spacing w:beforeLines="50" w:before="120" w:beforeAutospacing="0" w:afterLines="50" w:after="120" w:afterAutospacing="0"/>
        <w:rPr>
          <w:sz w:val="20"/>
          <w:szCs w:val="20"/>
        </w:rPr>
      </w:pPr>
      <w:r>
        <w:rPr>
          <w:sz w:val="20"/>
          <w:szCs w:val="20"/>
        </w:rPr>
        <w:t>7.3.7 Occurrence of non‐delirium complications during the first 30 days after surgery will be recorded. Non-delirium complications are defined as newly occurred medical conditions other than delirium that are harmful to patients’ recovery and required therapeutic intervention, i.e., grade II or higher on the Clavien-Dindo classification.</w:t>
      </w:r>
      <w:r>
        <w:rPr>
          <w:sz w:val="20"/>
          <w:szCs w:val="20"/>
          <w:vertAlign w:val="superscript"/>
        </w:rPr>
        <w:fldChar w:fldCharType="begin" w:fldLock="1"/>
      </w:r>
      <w:r>
        <w:rPr>
          <w:sz w:val="20"/>
          <w:szCs w:val="20"/>
          <w:vertAlign w:val="superscript"/>
        </w:rPr>
        <w:instrText>ADDIN CSL_CITATION {"citationItems":[{"id":"ITEM-1","itemData":{"DOI":"10.1097/01.sla.0000133083.54934.ae","ISSN":"00034932","PMID":"15273542","abstract":"Objective: Although quality assessment is gaining increasing attention, there is still no consensus on how to define and grade postoperative complications. This shortcoming hampers comparison of outcome data among different centers and therapies and over time. Patients and Methods: A classification of complications published by one of the authors in 1992 was critically re-evaluated and modified to increase its accuracy and its acceptability in the surgical community. Modifications mainly focused on the manner of reporting life-threatening and permanently disabling complications. The new grading system still mostly relies on the therapy used to treat the complication. The classification was tested in a cohort of 6336 patients who underwent elective general surgery at our institution. The reproducibility and personal judgment of the classification were evaluated through an international survey with 2 questionnaires sent to 10 surgical centers worldwide. Results: The new ranking system significantly correlated with complexity of surgery (P &lt; 0.0001) as well as with the length of the hospital stay (P &lt; 0.0001). A total of 144 surgeons from 10 different centers around the world and at different levels of training returned the survey. Ninety percent of the case presentations were correctly graded. The classification was considered to be simple (92% of the respondents), reproducible (91%), logical (92%), useful (90%), and comprehensive (89%). The answers of both questionnaires were not dependent on the origin of the reply and the level of training of the surgeons. Conclusions: The new complication classification appears reliable and may represent a compelling tool for quality assessment in surgery in all parts of the world.","author":[{"dropping-particle":"","family":"Dindo","given":"Daniel","non-dropping-particle":"","parse-names":false,"suffix":""},{"dropping-particle":"","family":"Demartines","given":"Nicolas","non-dropping-particle":"","parse-names":false,"suffix":""},{"dropping-particle":"","family":"Clavien","given":"Pierre Alain","non-dropping-particle":"","parse-names":false,"suffix":""}],"container-title":"Annals of Surgery","id":"ITEM-1","issue":"2","issued":{"date-parts":[["2004","8"]]},"page":"205-213","title":"Classification of surgical complications: A new proposal with evaluation in a cohort of 6336 patients and results of a survey","type":"article-journal","volume":"240"},"uris":["http://www.mendeley.com/documents/?uuid=7a535a40-807b-4c9d-a457-2b6e7fd59a52"]}],"mendeley":{"formattedCitation":"&lt;sup&gt;57&lt;/sup&gt;","plainTextFormattedCitation":"57","previouslyFormattedCitation":"&lt;sup&gt;57&lt;/sup&gt;"},"properties":{"noteIndex":0},"schema":"https://github.com/citation-style-language/schema/raw/master/csl-citation.json"}</w:instrText>
      </w:r>
      <w:r>
        <w:rPr>
          <w:sz w:val="20"/>
          <w:szCs w:val="20"/>
          <w:vertAlign w:val="superscript"/>
        </w:rPr>
        <w:fldChar w:fldCharType="separate"/>
      </w:r>
      <w:r>
        <w:rPr>
          <w:sz w:val="20"/>
          <w:szCs w:val="20"/>
          <w:vertAlign w:val="superscript"/>
        </w:rPr>
        <w:t>57</w:t>
      </w:r>
      <w:r>
        <w:rPr>
          <w:sz w:val="20"/>
          <w:szCs w:val="20"/>
          <w:vertAlign w:val="superscript"/>
        </w:rPr>
        <w:fldChar w:fldCharType="end"/>
      </w:r>
    </w:p>
    <w:p w14:paraId="121DBDD5" w14:textId="77777777" w:rsidR="00555164" w:rsidRDefault="002C73C0">
      <w:pPr>
        <w:pStyle w:val="ad"/>
        <w:spacing w:beforeLines="50" w:before="120" w:beforeAutospacing="0" w:afterLines="50" w:after="120" w:afterAutospacing="0"/>
        <w:rPr>
          <w:sz w:val="20"/>
          <w:szCs w:val="20"/>
        </w:rPr>
      </w:pPr>
      <w:r>
        <w:rPr>
          <w:sz w:val="20"/>
          <w:szCs w:val="20"/>
        </w:rPr>
        <w:t>7.3.8 Postoperative observation cards will be given to family members/care providers for bedside care. Any potential symptoms will be recorded by the family members/care providers in the observation cards, which are collected by the investigators during each follow-up.</w:t>
      </w:r>
    </w:p>
    <w:p w14:paraId="1A084FA6" w14:textId="77777777" w:rsidR="00555164" w:rsidRDefault="002C73C0">
      <w:pPr>
        <w:pStyle w:val="ad"/>
        <w:spacing w:beforeLines="50" w:before="120" w:beforeAutospacing="0" w:afterLines="50" w:after="120" w:afterAutospacing="0"/>
        <w:rPr>
          <w:sz w:val="20"/>
          <w:szCs w:val="20"/>
        </w:rPr>
      </w:pPr>
      <w:r>
        <w:rPr>
          <w:sz w:val="20"/>
          <w:szCs w:val="20"/>
        </w:rPr>
        <w:t>7.3.9 Time to resume fluid and food intake.</w:t>
      </w:r>
    </w:p>
    <w:p w14:paraId="4BE460C8" w14:textId="77777777" w:rsidR="00555164" w:rsidRDefault="002C73C0">
      <w:pPr>
        <w:pStyle w:val="ad"/>
        <w:spacing w:beforeLines="50" w:before="120" w:beforeAutospacing="0" w:afterLines="50" w:after="120" w:afterAutospacing="0"/>
        <w:rPr>
          <w:sz w:val="20"/>
          <w:szCs w:val="20"/>
        </w:rPr>
      </w:pPr>
      <w:r>
        <w:rPr>
          <w:sz w:val="20"/>
          <w:szCs w:val="20"/>
        </w:rPr>
        <w:t>7.3.10 Length of hospital stay after surgery.</w:t>
      </w:r>
    </w:p>
    <w:p w14:paraId="1361AB74" w14:textId="77777777" w:rsidR="00555164" w:rsidRDefault="002C73C0">
      <w:pPr>
        <w:pStyle w:val="ad"/>
        <w:spacing w:beforeLines="50" w:before="120" w:beforeAutospacing="0" w:afterLines="50" w:after="120" w:afterAutospacing="0"/>
        <w:rPr>
          <w:sz w:val="20"/>
          <w:szCs w:val="20"/>
        </w:rPr>
      </w:pPr>
      <w:r>
        <w:rPr>
          <w:sz w:val="20"/>
          <w:szCs w:val="20"/>
        </w:rPr>
        <w:t xml:space="preserve">7.3.11 All‐cause 30‐day mortality after surgery. </w:t>
      </w:r>
    </w:p>
    <w:p w14:paraId="24FB4FF8" w14:textId="77777777" w:rsidR="00555164" w:rsidRDefault="00555164">
      <w:pPr>
        <w:spacing w:beforeLines="50" w:before="120" w:afterLines="50" w:after="120"/>
        <w:rPr>
          <w:sz w:val="20"/>
          <w:szCs w:val="20"/>
        </w:rPr>
      </w:pPr>
    </w:p>
    <w:p w14:paraId="583793DD" w14:textId="77777777" w:rsidR="00555164" w:rsidRDefault="002C73C0">
      <w:pPr>
        <w:pStyle w:val="ad"/>
        <w:spacing w:beforeLines="50" w:before="120" w:beforeAutospacing="0" w:afterLines="50" w:after="120" w:afterAutospacing="0"/>
        <w:outlineLvl w:val="0"/>
        <w:rPr>
          <w:b/>
          <w:sz w:val="20"/>
          <w:szCs w:val="20"/>
        </w:rPr>
      </w:pPr>
      <w:bookmarkStart w:id="30" w:name="_Toc44796165"/>
      <w:bookmarkStart w:id="31" w:name="_Toc44756004"/>
      <w:bookmarkStart w:id="32" w:name="_Toc44754957"/>
      <w:bookmarkStart w:id="33" w:name="_Toc44756119"/>
      <w:r>
        <w:rPr>
          <w:b/>
          <w:sz w:val="20"/>
          <w:szCs w:val="20"/>
        </w:rPr>
        <w:t>8. Outcomes</w:t>
      </w:r>
      <w:bookmarkEnd w:id="30"/>
      <w:bookmarkEnd w:id="31"/>
      <w:bookmarkEnd w:id="32"/>
      <w:bookmarkEnd w:id="33"/>
      <w:r>
        <w:rPr>
          <w:b/>
          <w:sz w:val="20"/>
          <w:szCs w:val="20"/>
        </w:rPr>
        <w:t xml:space="preserve"> </w:t>
      </w:r>
    </w:p>
    <w:p w14:paraId="67307D05" w14:textId="77777777" w:rsidR="00555164" w:rsidRDefault="00555164">
      <w:pPr>
        <w:pStyle w:val="ad"/>
        <w:spacing w:beforeLines="50" w:before="120" w:beforeAutospacing="0" w:afterLines="50" w:after="120" w:afterAutospacing="0"/>
        <w:rPr>
          <w:b/>
          <w:sz w:val="20"/>
          <w:szCs w:val="20"/>
        </w:rPr>
      </w:pPr>
    </w:p>
    <w:p w14:paraId="4A390CB2"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8.1 Primary outcome </w:t>
      </w:r>
    </w:p>
    <w:p w14:paraId="09A8E761" w14:textId="77777777" w:rsidR="00555164" w:rsidRDefault="002C73C0">
      <w:pPr>
        <w:pStyle w:val="ad"/>
        <w:spacing w:beforeLines="50" w:before="120" w:beforeAutospacing="0" w:afterLines="50" w:after="120" w:afterAutospacing="0"/>
        <w:rPr>
          <w:sz w:val="20"/>
          <w:szCs w:val="20"/>
        </w:rPr>
      </w:pPr>
      <w:r>
        <w:rPr>
          <w:sz w:val="20"/>
          <w:szCs w:val="20"/>
        </w:rPr>
        <w:t xml:space="preserve">Incidence of delirium within 7 days after surgery. </w:t>
      </w:r>
    </w:p>
    <w:p w14:paraId="2FC11821" w14:textId="77777777" w:rsidR="00555164" w:rsidRDefault="00555164">
      <w:pPr>
        <w:pStyle w:val="ad"/>
        <w:spacing w:beforeLines="50" w:before="120" w:beforeAutospacing="0" w:afterLines="50" w:after="120" w:afterAutospacing="0"/>
        <w:rPr>
          <w:sz w:val="20"/>
          <w:szCs w:val="20"/>
        </w:rPr>
      </w:pPr>
    </w:p>
    <w:p w14:paraId="1DC7840E"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8.2 Secondary outcomes </w:t>
      </w:r>
    </w:p>
    <w:p w14:paraId="0A21CD4E" w14:textId="77777777" w:rsidR="00555164" w:rsidRDefault="002C73C0">
      <w:pPr>
        <w:pStyle w:val="ad"/>
        <w:spacing w:beforeLines="50" w:before="120" w:beforeAutospacing="0" w:afterLines="50" w:after="120" w:afterAutospacing="0"/>
        <w:rPr>
          <w:sz w:val="20"/>
          <w:szCs w:val="20"/>
        </w:rPr>
      </w:pPr>
      <w:r>
        <w:rPr>
          <w:sz w:val="20"/>
          <w:szCs w:val="20"/>
        </w:rPr>
        <w:t>8.2.1 The percentage of intensive care unit (ICU) admission after surgery.</w:t>
      </w:r>
    </w:p>
    <w:p w14:paraId="4DCDD000" w14:textId="77777777" w:rsidR="00555164" w:rsidRDefault="002C73C0">
      <w:pPr>
        <w:pStyle w:val="ad"/>
        <w:spacing w:beforeLines="50" w:before="120" w:beforeAutospacing="0" w:afterLines="50" w:after="120" w:afterAutospacing="0"/>
        <w:rPr>
          <w:sz w:val="20"/>
          <w:szCs w:val="20"/>
        </w:rPr>
      </w:pPr>
      <w:r>
        <w:rPr>
          <w:sz w:val="20"/>
          <w:szCs w:val="20"/>
        </w:rPr>
        <w:t>8.2.2 The intensity of pain during the first three days after surgery.</w:t>
      </w:r>
    </w:p>
    <w:p w14:paraId="6BB15F59" w14:textId="77777777" w:rsidR="00555164" w:rsidRDefault="002C73C0">
      <w:pPr>
        <w:pStyle w:val="ad"/>
        <w:spacing w:beforeLines="50" w:before="120" w:beforeAutospacing="0" w:afterLines="50" w:after="120" w:afterAutospacing="0"/>
        <w:rPr>
          <w:sz w:val="20"/>
          <w:szCs w:val="20"/>
        </w:rPr>
      </w:pPr>
      <w:r>
        <w:rPr>
          <w:sz w:val="20"/>
          <w:szCs w:val="20"/>
        </w:rPr>
        <w:t>8.2.3 The severity of delirium within 7 days after surgery.</w:t>
      </w:r>
    </w:p>
    <w:p w14:paraId="0EA3C0E3" w14:textId="77777777" w:rsidR="00555164" w:rsidRDefault="002C73C0">
      <w:pPr>
        <w:pStyle w:val="ad"/>
        <w:spacing w:beforeLines="50" w:before="120" w:beforeAutospacing="0" w:afterLines="50" w:after="120" w:afterAutospacing="0"/>
        <w:rPr>
          <w:rFonts w:eastAsiaTheme="minorEastAsia"/>
          <w:sz w:val="20"/>
          <w:szCs w:val="20"/>
        </w:rPr>
      </w:pPr>
      <w:r>
        <w:rPr>
          <w:rFonts w:eastAsiaTheme="minorEastAsia"/>
          <w:sz w:val="20"/>
          <w:szCs w:val="20"/>
        </w:rPr>
        <w:t>8.2.4 The daily prevalence of delirium.</w:t>
      </w:r>
    </w:p>
    <w:p w14:paraId="3B2B7924" w14:textId="77777777" w:rsidR="00555164" w:rsidRDefault="002C73C0">
      <w:pPr>
        <w:pStyle w:val="ad"/>
        <w:spacing w:beforeLines="50" w:before="120" w:beforeAutospacing="0" w:afterLines="50" w:after="120" w:afterAutospacing="0"/>
        <w:rPr>
          <w:sz w:val="20"/>
          <w:szCs w:val="20"/>
        </w:rPr>
      </w:pPr>
      <w:r>
        <w:rPr>
          <w:sz w:val="20"/>
          <w:szCs w:val="20"/>
        </w:rPr>
        <w:t>8.2.5 Time to onset of delirium.</w:t>
      </w:r>
    </w:p>
    <w:p w14:paraId="0DD32828" w14:textId="77777777" w:rsidR="00555164" w:rsidRDefault="002C73C0">
      <w:pPr>
        <w:pStyle w:val="ad"/>
        <w:spacing w:beforeLines="50" w:before="120" w:beforeAutospacing="0" w:afterLines="50" w:after="120" w:afterAutospacing="0"/>
        <w:rPr>
          <w:sz w:val="20"/>
          <w:szCs w:val="20"/>
        </w:rPr>
      </w:pPr>
      <w:r>
        <w:rPr>
          <w:sz w:val="20"/>
          <w:szCs w:val="20"/>
        </w:rPr>
        <w:t>8.2.6 Time to resume fluid/food intake.</w:t>
      </w:r>
    </w:p>
    <w:p w14:paraId="78B84458" w14:textId="77777777" w:rsidR="00555164" w:rsidRDefault="002C73C0">
      <w:pPr>
        <w:pStyle w:val="ad"/>
        <w:spacing w:beforeLines="50" w:before="120" w:beforeAutospacing="0" w:afterLines="50" w:after="120" w:afterAutospacing="0"/>
        <w:rPr>
          <w:sz w:val="20"/>
          <w:szCs w:val="20"/>
        </w:rPr>
      </w:pPr>
      <w:r>
        <w:rPr>
          <w:sz w:val="20"/>
          <w:szCs w:val="20"/>
        </w:rPr>
        <w:t>8.2.7 The length of stay in hospital after surgery.</w:t>
      </w:r>
    </w:p>
    <w:p w14:paraId="5022DE8D" w14:textId="77777777" w:rsidR="00555164" w:rsidRDefault="002C73C0">
      <w:pPr>
        <w:pStyle w:val="ad"/>
        <w:spacing w:beforeLines="50" w:before="120" w:beforeAutospacing="0" w:afterLines="50" w:after="120" w:afterAutospacing="0"/>
        <w:rPr>
          <w:sz w:val="20"/>
          <w:szCs w:val="20"/>
        </w:rPr>
      </w:pPr>
      <w:r>
        <w:rPr>
          <w:sz w:val="20"/>
          <w:szCs w:val="20"/>
        </w:rPr>
        <w:t>8.2.8 The incidence of non-delirium major complications within 30 days after surgery.</w:t>
      </w:r>
    </w:p>
    <w:p w14:paraId="64C0A75B" w14:textId="77777777" w:rsidR="00555164" w:rsidRDefault="002C73C0">
      <w:pPr>
        <w:pStyle w:val="ad"/>
        <w:spacing w:beforeLines="50" w:before="120" w:beforeAutospacing="0" w:afterLines="50" w:after="120" w:afterAutospacing="0"/>
        <w:rPr>
          <w:sz w:val="20"/>
          <w:szCs w:val="20"/>
        </w:rPr>
      </w:pPr>
      <w:r>
        <w:rPr>
          <w:sz w:val="20"/>
          <w:szCs w:val="20"/>
        </w:rPr>
        <w:t>8.2.9 The 30-day all-cause mortality.</w:t>
      </w:r>
    </w:p>
    <w:p w14:paraId="4DE1299F" w14:textId="77777777" w:rsidR="00555164" w:rsidRDefault="00555164">
      <w:pPr>
        <w:pStyle w:val="ad"/>
        <w:spacing w:beforeLines="50" w:before="120" w:beforeAutospacing="0" w:afterLines="50" w:after="120" w:afterAutospacing="0"/>
        <w:rPr>
          <w:rFonts w:eastAsia="宋体"/>
          <w:sz w:val="20"/>
          <w:szCs w:val="20"/>
        </w:rPr>
      </w:pPr>
    </w:p>
    <w:p w14:paraId="52069140" w14:textId="77777777" w:rsidR="00555164" w:rsidRDefault="002C73C0">
      <w:pPr>
        <w:pStyle w:val="ad"/>
        <w:spacing w:beforeLines="50" w:before="120" w:beforeAutospacing="0" w:afterLines="50" w:after="120" w:afterAutospacing="0"/>
        <w:rPr>
          <w:b/>
          <w:i/>
          <w:sz w:val="20"/>
          <w:szCs w:val="20"/>
        </w:rPr>
      </w:pPr>
      <w:r>
        <w:rPr>
          <w:b/>
          <w:i/>
          <w:sz w:val="20"/>
          <w:szCs w:val="20"/>
        </w:rPr>
        <w:t>8.3 Other pre-specified outcomes</w:t>
      </w:r>
    </w:p>
    <w:p w14:paraId="60FF31F1" w14:textId="77777777" w:rsidR="00555164" w:rsidRDefault="002C73C0">
      <w:pPr>
        <w:pStyle w:val="ad"/>
        <w:spacing w:beforeLines="50" w:before="120" w:beforeAutospacing="0" w:afterLines="50" w:after="120" w:afterAutospacing="0"/>
        <w:rPr>
          <w:sz w:val="20"/>
          <w:szCs w:val="20"/>
        </w:rPr>
      </w:pPr>
      <w:r>
        <w:rPr>
          <w:sz w:val="20"/>
          <w:szCs w:val="20"/>
        </w:rPr>
        <w:t>8.3.1 Serum cortisol concentration after surgery (selected patients).</w:t>
      </w:r>
    </w:p>
    <w:p w14:paraId="392BE7C2" w14:textId="77777777" w:rsidR="00555164" w:rsidRDefault="002C73C0">
      <w:pPr>
        <w:pStyle w:val="ad"/>
        <w:spacing w:beforeLines="50" w:before="120" w:beforeAutospacing="0" w:afterLines="50" w:after="120" w:afterAutospacing="0"/>
        <w:rPr>
          <w:sz w:val="20"/>
          <w:szCs w:val="20"/>
        </w:rPr>
      </w:pPr>
      <w:r>
        <w:rPr>
          <w:sz w:val="20"/>
          <w:szCs w:val="20"/>
        </w:rPr>
        <w:t>8.3.2 Serum IL-6 concentration after surgery (selected patients).</w:t>
      </w:r>
    </w:p>
    <w:p w14:paraId="6466C4F5" w14:textId="77777777" w:rsidR="00555164" w:rsidRDefault="002C73C0">
      <w:pPr>
        <w:pStyle w:val="ad"/>
        <w:spacing w:beforeLines="50" w:before="120" w:beforeAutospacing="0" w:afterLines="50" w:after="120" w:afterAutospacing="0"/>
        <w:rPr>
          <w:sz w:val="20"/>
          <w:szCs w:val="20"/>
        </w:rPr>
      </w:pPr>
      <w:r>
        <w:rPr>
          <w:sz w:val="20"/>
          <w:szCs w:val="20"/>
        </w:rPr>
        <w:t>8.3.3 Serum IL-8 concentration after surgery (selected patients).</w:t>
      </w:r>
    </w:p>
    <w:p w14:paraId="559ECFC8" w14:textId="77777777" w:rsidR="00555164" w:rsidRDefault="00555164">
      <w:pPr>
        <w:pStyle w:val="ad"/>
        <w:spacing w:beforeLines="50" w:before="120" w:beforeAutospacing="0" w:afterLines="50" w:after="120" w:afterAutospacing="0"/>
        <w:rPr>
          <w:sz w:val="20"/>
          <w:szCs w:val="20"/>
        </w:rPr>
      </w:pPr>
    </w:p>
    <w:p w14:paraId="48961142" w14:textId="77777777" w:rsidR="00555164" w:rsidRDefault="002C73C0">
      <w:pPr>
        <w:pStyle w:val="ad"/>
        <w:spacing w:beforeLines="50" w:before="120" w:beforeAutospacing="0" w:afterLines="50" w:after="120" w:afterAutospacing="0"/>
        <w:outlineLvl w:val="0"/>
        <w:rPr>
          <w:b/>
          <w:sz w:val="20"/>
          <w:szCs w:val="20"/>
        </w:rPr>
      </w:pPr>
      <w:bookmarkStart w:id="34" w:name="_Toc44756005"/>
      <w:bookmarkStart w:id="35" w:name="_Toc44796166"/>
      <w:bookmarkStart w:id="36" w:name="_Toc44754958"/>
      <w:bookmarkStart w:id="37" w:name="_Toc44756120"/>
      <w:r>
        <w:rPr>
          <w:b/>
          <w:sz w:val="20"/>
          <w:szCs w:val="20"/>
        </w:rPr>
        <w:t>9. Adverse events</w:t>
      </w:r>
      <w:bookmarkEnd w:id="34"/>
      <w:bookmarkEnd w:id="35"/>
      <w:bookmarkEnd w:id="36"/>
      <w:bookmarkEnd w:id="37"/>
      <w:r>
        <w:rPr>
          <w:b/>
          <w:sz w:val="20"/>
          <w:szCs w:val="20"/>
        </w:rPr>
        <w:t xml:space="preserve"> </w:t>
      </w:r>
    </w:p>
    <w:p w14:paraId="4020F681" w14:textId="77777777" w:rsidR="00555164" w:rsidRDefault="00555164">
      <w:pPr>
        <w:pStyle w:val="ad"/>
        <w:spacing w:beforeLines="50" w:before="120" w:beforeAutospacing="0" w:afterLines="50" w:after="120" w:afterAutospacing="0"/>
        <w:rPr>
          <w:b/>
          <w:sz w:val="20"/>
          <w:szCs w:val="20"/>
        </w:rPr>
      </w:pPr>
    </w:p>
    <w:p w14:paraId="4B9D916C"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9.1 Definition </w:t>
      </w:r>
    </w:p>
    <w:p w14:paraId="76E0BEE9" w14:textId="77777777" w:rsidR="00555164" w:rsidRDefault="002C73C0">
      <w:pPr>
        <w:pStyle w:val="ad"/>
        <w:spacing w:beforeLines="50" w:before="120" w:beforeAutospacing="0" w:afterLines="50" w:after="120" w:afterAutospacing="0"/>
        <w:rPr>
          <w:sz w:val="20"/>
          <w:szCs w:val="20"/>
        </w:rPr>
      </w:pPr>
      <w:r>
        <w:rPr>
          <w:sz w:val="20"/>
          <w:szCs w:val="20"/>
        </w:rPr>
        <w:t>An adverse event indicates any unpredictable, unfavorable medical event that is associated with any medical intervention and occurs during the study period. It can be related to the study intervention or otherwise. It can manifest as any uncomfortable signs (including abnormal laboratory findings), symptoms or transient morbidity.</w:t>
      </w:r>
    </w:p>
    <w:p w14:paraId="2708F951" w14:textId="77777777" w:rsidR="00555164" w:rsidRDefault="00555164">
      <w:pPr>
        <w:pStyle w:val="ad"/>
        <w:spacing w:beforeLines="50" w:before="120" w:beforeAutospacing="0" w:afterLines="50" w:after="120" w:afterAutospacing="0"/>
        <w:rPr>
          <w:sz w:val="20"/>
          <w:szCs w:val="20"/>
        </w:rPr>
      </w:pPr>
    </w:p>
    <w:p w14:paraId="1E5157E4" w14:textId="77777777" w:rsidR="00555164" w:rsidRDefault="002C73C0">
      <w:pPr>
        <w:pStyle w:val="ad"/>
        <w:spacing w:beforeLines="50" w:before="120" w:beforeAutospacing="0" w:afterLines="50" w:after="120" w:afterAutospacing="0"/>
        <w:rPr>
          <w:rFonts w:eastAsia="等线"/>
          <w:sz w:val="20"/>
          <w:szCs w:val="20"/>
        </w:rPr>
      </w:pPr>
      <w:r>
        <w:rPr>
          <w:b/>
          <w:bCs/>
          <w:i/>
          <w:iCs/>
          <w:sz w:val="20"/>
          <w:szCs w:val="20"/>
        </w:rPr>
        <w:t>9.2 Predicted adverse events in this study</w:t>
      </w:r>
    </w:p>
    <w:p w14:paraId="31A599E6"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9.2.1 Intraoperative adverse events</w:t>
      </w:r>
    </w:p>
    <w:p w14:paraId="390DDEC0" w14:textId="77777777" w:rsidR="00555164" w:rsidRDefault="002C73C0">
      <w:pPr>
        <w:pStyle w:val="ad"/>
        <w:spacing w:beforeLines="50" w:before="120" w:beforeAutospacing="0" w:afterLines="50" w:after="120" w:afterAutospacing="0"/>
        <w:rPr>
          <w:sz w:val="20"/>
          <w:szCs w:val="20"/>
        </w:rPr>
      </w:pPr>
      <w:r>
        <w:rPr>
          <w:sz w:val="20"/>
          <w:szCs w:val="20"/>
        </w:rPr>
        <w:t>9.2.1.1 Adverse events related to epidural puncture/catheterization include accidental dural puncture, nerve injury, failed epidural puncture/catheterization, epidural catheter obstruction, blood appear in epidural catheter, epidural catheter dislodgement, local/epidural hematoma, local/nerve injury, etc.</w:t>
      </w:r>
    </w:p>
    <w:p w14:paraId="64274F8D" w14:textId="77777777" w:rsidR="00555164" w:rsidRDefault="002C73C0">
      <w:pPr>
        <w:pStyle w:val="ad"/>
        <w:spacing w:beforeLines="50" w:before="120" w:beforeAutospacing="0" w:afterLines="50" w:after="120" w:afterAutospacing="0"/>
        <w:rPr>
          <w:sz w:val="20"/>
          <w:szCs w:val="20"/>
        </w:rPr>
      </w:pPr>
      <w:r>
        <w:rPr>
          <w:sz w:val="20"/>
          <w:szCs w:val="20"/>
        </w:rPr>
        <w:t>9.2.1.2 Adverse events related to epidural and/or general anesthesia include local anesthetic intoxation, total spinal anesthesia, intraoperative hypotension (systolic blood pressure &lt;80 mmHg), intraoperative hypertension (systolic blood pressure &gt;180 mmHg), intraoperative bradycardia (heart rate &lt;40 bpm), intraoperative tachycardia (heart rate &gt;100 bpm), teeth injury, laryngeal spasm, prophylaxis, arrhythmia, cardiac events, atelectasis, etc.</w:t>
      </w:r>
    </w:p>
    <w:p w14:paraId="5323D253" w14:textId="77777777" w:rsidR="00555164" w:rsidRDefault="002C73C0">
      <w:pPr>
        <w:pStyle w:val="ad"/>
        <w:spacing w:beforeLines="50" w:before="120" w:beforeAutospacing="0" w:afterLines="50" w:after="120" w:afterAutospacing="0"/>
        <w:rPr>
          <w:sz w:val="20"/>
          <w:szCs w:val="20"/>
        </w:rPr>
      </w:pPr>
      <w:r>
        <w:rPr>
          <w:sz w:val="20"/>
          <w:szCs w:val="20"/>
        </w:rPr>
        <w:t>9.2.2 Postoperative adverse events</w:t>
      </w:r>
    </w:p>
    <w:p w14:paraId="2048AEE5" w14:textId="77777777" w:rsidR="00555164" w:rsidRDefault="002C73C0">
      <w:pPr>
        <w:pStyle w:val="ad"/>
        <w:spacing w:beforeLines="50" w:before="120" w:beforeAutospacing="0" w:afterLines="50" w:after="120" w:afterAutospacing="0"/>
        <w:rPr>
          <w:sz w:val="20"/>
          <w:szCs w:val="20"/>
        </w:rPr>
      </w:pPr>
      <w:r>
        <w:rPr>
          <w:sz w:val="20"/>
          <w:szCs w:val="20"/>
        </w:rPr>
        <w:t>9.2.2.1 Adverse events related to epidural analgesia include epidural catheter obstruction, inadequate epidural analgesia, epidural catheter dislodgement, epidural hematoma, epidural abscess, sequelae of nerve injury, post dural puncture headache, pruritus, leg weakness, etc.</w:t>
      </w:r>
    </w:p>
    <w:p w14:paraId="1F6A3A85" w14:textId="77777777" w:rsidR="00555164" w:rsidRDefault="002C73C0">
      <w:pPr>
        <w:pStyle w:val="ad"/>
        <w:spacing w:beforeLines="50" w:before="120" w:beforeAutospacing="0" w:afterLines="50" w:after="120" w:afterAutospacing="0"/>
        <w:rPr>
          <w:sz w:val="20"/>
          <w:szCs w:val="20"/>
        </w:rPr>
      </w:pPr>
      <w:r>
        <w:rPr>
          <w:sz w:val="20"/>
          <w:szCs w:val="20"/>
        </w:rPr>
        <w:t>9.2.2.2 Other adverse events include nausea, vomiting, postoperative hypotension (systolic blood pressure &lt;90 mmHg), postoperative hypertension (systolic blood pressure &gt;160 mmHg), postoperative bradycardia (heart rate &lt;50 bpm), postoperative tachycardia (heart rate &gt;100 bpm), inadequate analgesia, etc.</w:t>
      </w:r>
    </w:p>
    <w:p w14:paraId="4953C40D" w14:textId="77777777" w:rsidR="00555164" w:rsidRDefault="002C73C0">
      <w:pPr>
        <w:pStyle w:val="ad"/>
        <w:spacing w:beforeLines="50" w:before="120" w:beforeAutospacing="0" w:afterLines="50" w:after="120" w:afterAutospacing="0"/>
        <w:rPr>
          <w:sz w:val="20"/>
          <w:szCs w:val="20"/>
        </w:rPr>
      </w:pPr>
      <w:r>
        <w:rPr>
          <w:sz w:val="20"/>
          <w:szCs w:val="20"/>
        </w:rPr>
        <w:lastRenderedPageBreak/>
        <w:t>9.2.3 In the present study, adverse events will be monitored from the beginning of anesthesia (epidural puncture or induction of general anesthesia) until 72 hours after surgery, i.e., end of patient-controlled analgesia.</w:t>
      </w:r>
    </w:p>
    <w:p w14:paraId="2D95085B" w14:textId="77777777" w:rsidR="00555164" w:rsidRDefault="00555164">
      <w:pPr>
        <w:pStyle w:val="ad"/>
        <w:spacing w:beforeLines="50" w:before="120" w:beforeAutospacing="0" w:afterLines="50" w:after="120" w:afterAutospacing="0"/>
        <w:rPr>
          <w:sz w:val="20"/>
          <w:szCs w:val="20"/>
        </w:rPr>
      </w:pPr>
    </w:p>
    <w:p w14:paraId="496E5889"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9.3 Management </w:t>
      </w:r>
    </w:p>
    <w:p w14:paraId="29475291" w14:textId="77777777" w:rsidR="00555164" w:rsidRDefault="002C73C0">
      <w:pPr>
        <w:pStyle w:val="ad"/>
        <w:spacing w:beforeLines="50" w:before="120" w:beforeAutospacing="0" w:afterLines="50" w:after="120" w:afterAutospacing="0"/>
        <w:rPr>
          <w:sz w:val="20"/>
          <w:szCs w:val="20"/>
        </w:rPr>
      </w:pPr>
      <w:r>
        <w:rPr>
          <w:sz w:val="20"/>
          <w:szCs w:val="20"/>
        </w:rPr>
        <w:t>9.3.1 Therapies will be provided according to patients’ condition and routine practice. Generally, hypotension is managed with lighting anesthesia, intravenous fluid and vasopressors; hypertension is managed with deepening anesthesia and antihypertensive drugs; bradycardia is managed with lighting anesthesia and atropine; tachycardia is managed with deepening anesthesia, intravenous fluid and esmolol when necessary.</w:t>
      </w:r>
    </w:p>
    <w:p w14:paraId="30375380" w14:textId="77777777" w:rsidR="00555164" w:rsidRDefault="002C73C0">
      <w:pPr>
        <w:pStyle w:val="ad"/>
        <w:spacing w:beforeLines="50" w:before="120" w:beforeAutospacing="0" w:afterLines="50" w:after="120" w:afterAutospacing="0"/>
        <w:rPr>
          <w:sz w:val="20"/>
          <w:szCs w:val="20"/>
        </w:rPr>
      </w:pPr>
      <w:r>
        <w:rPr>
          <w:sz w:val="20"/>
          <w:szCs w:val="20"/>
        </w:rPr>
        <w:t xml:space="preserve">9.3.2 The study intervention (epidural anesthesia or postoperative epidural/intravenous analgesia) can be stopped temporarily or permanently if considered necessarily by the attending anesthesiologist or surgeons. The time and reasons of study intervention interruption will be recorded. </w:t>
      </w:r>
    </w:p>
    <w:p w14:paraId="558B32A3" w14:textId="77777777" w:rsidR="00555164" w:rsidRDefault="002C73C0">
      <w:pPr>
        <w:pStyle w:val="ad"/>
        <w:spacing w:beforeLines="50" w:before="120" w:beforeAutospacing="0" w:afterLines="50" w:after="120" w:afterAutospacing="0"/>
        <w:rPr>
          <w:sz w:val="20"/>
          <w:szCs w:val="20"/>
        </w:rPr>
      </w:pPr>
      <w:r>
        <w:rPr>
          <w:sz w:val="20"/>
          <w:szCs w:val="20"/>
        </w:rPr>
        <w:t>9.3.3 In case that the patient-controlled analgesia (for study intervention) is terminated early, other analgesics will be provided.</w:t>
      </w:r>
    </w:p>
    <w:p w14:paraId="58226896" w14:textId="77777777" w:rsidR="00555164" w:rsidRDefault="00555164">
      <w:pPr>
        <w:pStyle w:val="ad"/>
        <w:spacing w:beforeLines="50" w:before="120" w:beforeAutospacing="0" w:afterLines="50" w:after="120" w:afterAutospacing="0"/>
        <w:rPr>
          <w:sz w:val="20"/>
          <w:szCs w:val="20"/>
        </w:rPr>
      </w:pPr>
    </w:p>
    <w:p w14:paraId="3B13265F"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9.4 Record </w:t>
      </w:r>
    </w:p>
    <w:p w14:paraId="68B3E938" w14:textId="77777777" w:rsidR="00555164" w:rsidRDefault="002C73C0">
      <w:pPr>
        <w:pStyle w:val="ad"/>
        <w:spacing w:beforeLines="50" w:before="120" w:beforeAutospacing="0" w:afterLines="50" w:after="120" w:afterAutospacing="0"/>
        <w:rPr>
          <w:sz w:val="20"/>
          <w:szCs w:val="20"/>
        </w:rPr>
      </w:pPr>
      <w:r>
        <w:rPr>
          <w:sz w:val="20"/>
          <w:szCs w:val="20"/>
        </w:rPr>
        <w:t>9.4.1 Any adverse event should be documented, including occurrence, type/diagnosis, time of diagnosis, management, duration of persistence, and sequelae.</w:t>
      </w:r>
    </w:p>
    <w:p w14:paraId="5906F9F6" w14:textId="77777777" w:rsidR="00555164" w:rsidRDefault="002C73C0">
      <w:pPr>
        <w:pStyle w:val="ad"/>
        <w:spacing w:beforeLines="50" w:before="120" w:beforeAutospacing="0" w:afterLines="50" w:after="120" w:afterAutospacing="0"/>
        <w:rPr>
          <w:sz w:val="20"/>
          <w:szCs w:val="20"/>
        </w:rPr>
      </w:pPr>
      <w:r>
        <w:rPr>
          <w:sz w:val="20"/>
          <w:szCs w:val="20"/>
        </w:rPr>
        <w:t xml:space="preserve">9.4.2 Any adverse event should be followed up until it is completely resolved or therapy terminated. </w:t>
      </w:r>
    </w:p>
    <w:p w14:paraId="7BB02C6D" w14:textId="77777777" w:rsidR="00555164" w:rsidRDefault="00555164">
      <w:pPr>
        <w:pStyle w:val="ad"/>
        <w:spacing w:beforeLines="50" w:before="120" w:beforeAutospacing="0" w:afterLines="50" w:after="120" w:afterAutospacing="0"/>
        <w:rPr>
          <w:sz w:val="20"/>
          <w:szCs w:val="20"/>
        </w:rPr>
      </w:pPr>
    </w:p>
    <w:p w14:paraId="30A55E8A" w14:textId="77777777" w:rsidR="00555164" w:rsidRDefault="002C73C0">
      <w:pPr>
        <w:pStyle w:val="ad"/>
        <w:spacing w:beforeLines="50" w:before="120" w:beforeAutospacing="0" w:afterLines="50" w:after="120" w:afterAutospacing="0"/>
        <w:outlineLvl w:val="0"/>
        <w:rPr>
          <w:b/>
          <w:bCs/>
          <w:sz w:val="20"/>
          <w:szCs w:val="20"/>
        </w:rPr>
      </w:pPr>
      <w:bookmarkStart w:id="38" w:name="_Toc44754959"/>
      <w:bookmarkStart w:id="39" w:name="_Toc44756121"/>
      <w:bookmarkStart w:id="40" w:name="_Toc44796167"/>
      <w:bookmarkStart w:id="41" w:name="_Toc44756006"/>
      <w:r>
        <w:rPr>
          <w:b/>
          <w:bCs/>
          <w:sz w:val="20"/>
          <w:szCs w:val="20"/>
        </w:rPr>
        <w:t>10. Severe adverse events</w:t>
      </w:r>
      <w:bookmarkEnd w:id="38"/>
      <w:bookmarkEnd w:id="39"/>
      <w:bookmarkEnd w:id="40"/>
      <w:bookmarkEnd w:id="41"/>
      <w:r>
        <w:rPr>
          <w:b/>
          <w:bCs/>
          <w:sz w:val="20"/>
          <w:szCs w:val="20"/>
        </w:rPr>
        <w:t xml:space="preserve"> </w:t>
      </w:r>
    </w:p>
    <w:p w14:paraId="5328A13C" w14:textId="77777777" w:rsidR="00555164" w:rsidRDefault="00555164">
      <w:pPr>
        <w:pStyle w:val="ad"/>
        <w:spacing w:beforeLines="50" w:before="120" w:beforeAutospacing="0" w:afterLines="50" w:after="120" w:afterAutospacing="0"/>
        <w:rPr>
          <w:b/>
          <w:sz w:val="20"/>
          <w:szCs w:val="20"/>
        </w:rPr>
      </w:pPr>
    </w:p>
    <w:p w14:paraId="58BE511D" w14:textId="77777777" w:rsidR="00555164" w:rsidRDefault="002C73C0">
      <w:pPr>
        <w:pStyle w:val="ad"/>
        <w:spacing w:beforeLines="50" w:before="120" w:beforeAutospacing="0" w:afterLines="50" w:after="120" w:afterAutospacing="0"/>
        <w:rPr>
          <w:b/>
          <w:i/>
          <w:sz w:val="20"/>
          <w:szCs w:val="20"/>
        </w:rPr>
      </w:pPr>
      <w:r>
        <w:rPr>
          <w:b/>
          <w:bCs/>
          <w:i/>
          <w:iCs/>
          <w:sz w:val="20"/>
          <w:szCs w:val="20"/>
        </w:rPr>
        <w:t xml:space="preserve">10.1 Definition </w:t>
      </w:r>
    </w:p>
    <w:p w14:paraId="183AA8F8" w14:textId="77777777" w:rsidR="00555164" w:rsidRDefault="002C73C0">
      <w:pPr>
        <w:pStyle w:val="ad"/>
        <w:spacing w:beforeLines="50" w:before="120" w:beforeAutospacing="0" w:afterLines="50" w:after="120" w:afterAutospacing="0"/>
        <w:rPr>
          <w:sz w:val="20"/>
          <w:szCs w:val="20"/>
        </w:rPr>
      </w:pPr>
      <w:r>
        <w:rPr>
          <w:sz w:val="20"/>
          <w:szCs w:val="20"/>
        </w:rPr>
        <w:t xml:space="preserve">A severe adverse event indicates any unpredictable medical events that lead to death, threat of life, prolonged length of hospital </w:t>
      </w:r>
      <w:proofErr w:type="gramStart"/>
      <w:r>
        <w:rPr>
          <w:sz w:val="20"/>
          <w:szCs w:val="20"/>
        </w:rPr>
        <w:t>stay</w:t>
      </w:r>
      <w:proofErr w:type="gramEnd"/>
      <w:r>
        <w:rPr>
          <w:sz w:val="20"/>
          <w:szCs w:val="20"/>
        </w:rPr>
        <w:t xml:space="preserve">, persistent disability or dysfunction, or other severe event. </w:t>
      </w:r>
    </w:p>
    <w:p w14:paraId="1D70E6FF" w14:textId="77777777" w:rsidR="00555164" w:rsidRDefault="00555164">
      <w:pPr>
        <w:pStyle w:val="ad"/>
        <w:spacing w:beforeLines="50" w:before="120" w:beforeAutospacing="0" w:afterLines="50" w:after="120" w:afterAutospacing="0"/>
        <w:rPr>
          <w:sz w:val="20"/>
          <w:szCs w:val="20"/>
        </w:rPr>
      </w:pPr>
    </w:p>
    <w:p w14:paraId="0F5A8142" w14:textId="77777777" w:rsidR="00555164" w:rsidRDefault="002C73C0">
      <w:pPr>
        <w:pStyle w:val="ad"/>
        <w:spacing w:beforeLines="50" w:before="120" w:beforeAutospacing="0" w:afterLines="50" w:after="120" w:afterAutospacing="0"/>
        <w:rPr>
          <w:b/>
          <w:i/>
          <w:sz w:val="20"/>
          <w:szCs w:val="20"/>
        </w:rPr>
      </w:pPr>
      <w:r>
        <w:rPr>
          <w:b/>
          <w:bCs/>
          <w:i/>
          <w:iCs/>
          <w:sz w:val="20"/>
          <w:szCs w:val="20"/>
        </w:rPr>
        <w:t xml:space="preserve">10.2 Management </w:t>
      </w:r>
    </w:p>
    <w:p w14:paraId="1E1D726E" w14:textId="77777777" w:rsidR="00555164" w:rsidRDefault="002C73C0">
      <w:pPr>
        <w:pStyle w:val="ad"/>
        <w:spacing w:beforeLines="50" w:before="120" w:beforeAutospacing="0" w:afterLines="50" w:after="120" w:afterAutospacing="0"/>
        <w:rPr>
          <w:sz w:val="20"/>
          <w:szCs w:val="20"/>
        </w:rPr>
      </w:pPr>
      <w:r>
        <w:rPr>
          <w:sz w:val="20"/>
          <w:szCs w:val="20"/>
        </w:rPr>
        <w:t xml:space="preserve">In case of any severe adverse events, the study intervention will be stopped and treatment will be initiated immediately. </w:t>
      </w:r>
    </w:p>
    <w:p w14:paraId="6ABBBB4D" w14:textId="77777777" w:rsidR="00555164" w:rsidRDefault="00555164">
      <w:pPr>
        <w:pStyle w:val="ad"/>
        <w:spacing w:beforeLines="50" w:before="120" w:beforeAutospacing="0" w:afterLines="50" w:after="120" w:afterAutospacing="0"/>
        <w:rPr>
          <w:sz w:val="20"/>
          <w:szCs w:val="20"/>
        </w:rPr>
      </w:pPr>
    </w:p>
    <w:p w14:paraId="3F0D74E8" w14:textId="77777777" w:rsidR="00555164" w:rsidRDefault="002C73C0">
      <w:pPr>
        <w:pStyle w:val="ad"/>
        <w:spacing w:beforeLines="50" w:before="120" w:beforeAutospacing="0" w:afterLines="50" w:after="120" w:afterAutospacing="0"/>
        <w:rPr>
          <w:b/>
          <w:i/>
          <w:sz w:val="20"/>
          <w:szCs w:val="20"/>
        </w:rPr>
      </w:pPr>
      <w:r>
        <w:rPr>
          <w:b/>
          <w:bCs/>
          <w:i/>
          <w:iCs/>
          <w:sz w:val="20"/>
          <w:szCs w:val="20"/>
        </w:rPr>
        <w:t xml:space="preserve">10.3 Record and report </w:t>
      </w:r>
    </w:p>
    <w:p w14:paraId="024AAC65" w14:textId="77777777" w:rsidR="00555164" w:rsidRDefault="002C73C0">
      <w:pPr>
        <w:pStyle w:val="ad"/>
        <w:spacing w:beforeLines="50" w:before="120" w:beforeAutospacing="0" w:afterLines="50" w:after="120" w:afterAutospacing="0"/>
        <w:rPr>
          <w:sz w:val="20"/>
          <w:szCs w:val="20"/>
        </w:rPr>
      </w:pPr>
      <w:r>
        <w:rPr>
          <w:sz w:val="20"/>
          <w:szCs w:val="20"/>
        </w:rPr>
        <w:t>10.3.1 In case of any severe adverse event, apart from active treatment and record as above, the principal investigator and the Ethics Committee (Peking University Institutional Review Board) will be informed within 24 hours in written report.</w:t>
      </w:r>
    </w:p>
    <w:p w14:paraId="05C45671" w14:textId="77777777" w:rsidR="00555164" w:rsidRDefault="002C73C0">
      <w:pPr>
        <w:pStyle w:val="ad"/>
        <w:spacing w:beforeLines="50" w:before="120" w:beforeAutospacing="0" w:afterLines="50" w:after="120" w:afterAutospacing="0"/>
        <w:rPr>
          <w:sz w:val="20"/>
          <w:szCs w:val="20"/>
        </w:rPr>
      </w:pPr>
      <w:r>
        <w:rPr>
          <w:sz w:val="20"/>
          <w:szCs w:val="20"/>
        </w:rPr>
        <w:t>10.3.2 In case of study intervention related death, immediately stop the clinical trial, report the event to the Ethics Committee as soon as possible, record in detail and carefully preserve the related documents.</w:t>
      </w:r>
    </w:p>
    <w:p w14:paraId="5834E5EC" w14:textId="77777777" w:rsidR="00555164" w:rsidRDefault="002C73C0">
      <w:pPr>
        <w:pStyle w:val="ad"/>
        <w:spacing w:beforeLines="50" w:before="120" w:beforeAutospacing="0" w:afterLines="50" w:after="120" w:afterAutospacing="0"/>
        <w:rPr>
          <w:sz w:val="20"/>
          <w:szCs w:val="20"/>
        </w:rPr>
      </w:pPr>
      <w:r>
        <w:rPr>
          <w:sz w:val="20"/>
          <w:szCs w:val="20"/>
        </w:rPr>
        <w:t xml:space="preserve">10.3.3 Any severe adverse event must be followed up until it is completely resolved or when therapy is ended. </w:t>
      </w:r>
    </w:p>
    <w:p w14:paraId="00657A67" w14:textId="77777777" w:rsidR="00555164" w:rsidRDefault="00555164">
      <w:pPr>
        <w:pStyle w:val="ad"/>
        <w:spacing w:beforeLines="50" w:before="120" w:beforeAutospacing="0" w:afterLines="50" w:after="120" w:afterAutospacing="0"/>
        <w:rPr>
          <w:sz w:val="20"/>
          <w:szCs w:val="20"/>
        </w:rPr>
      </w:pPr>
    </w:p>
    <w:p w14:paraId="50156648" w14:textId="77777777" w:rsidR="00555164" w:rsidRDefault="002C73C0">
      <w:pPr>
        <w:pStyle w:val="ad"/>
        <w:spacing w:beforeLines="50" w:before="120" w:beforeAutospacing="0" w:afterLines="50" w:after="120" w:afterAutospacing="0"/>
        <w:outlineLvl w:val="0"/>
        <w:rPr>
          <w:b/>
          <w:sz w:val="20"/>
          <w:szCs w:val="20"/>
        </w:rPr>
      </w:pPr>
      <w:bookmarkStart w:id="42" w:name="_Toc44796168"/>
      <w:bookmarkStart w:id="43" w:name="_Toc44756007"/>
      <w:bookmarkStart w:id="44" w:name="_Toc44756122"/>
      <w:bookmarkStart w:id="45" w:name="_Toc44754960"/>
      <w:r>
        <w:rPr>
          <w:b/>
          <w:sz w:val="20"/>
          <w:szCs w:val="20"/>
        </w:rPr>
        <w:t>11. The rule of unmasking</w:t>
      </w:r>
      <w:bookmarkEnd w:id="42"/>
      <w:bookmarkEnd w:id="43"/>
      <w:bookmarkEnd w:id="44"/>
      <w:bookmarkEnd w:id="45"/>
    </w:p>
    <w:p w14:paraId="6001C015" w14:textId="77777777" w:rsidR="00555164" w:rsidRDefault="002C73C0">
      <w:pPr>
        <w:pStyle w:val="ad"/>
        <w:spacing w:beforeLines="50" w:before="120" w:beforeAutospacing="0" w:afterLines="50" w:after="120" w:afterAutospacing="0"/>
        <w:rPr>
          <w:sz w:val="20"/>
          <w:szCs w:val="20"/>
        </w:rPr>
      </w:pPr>
      <w:r>
        <w:rPr>
          <w:sz w:val="20"/>
          <w:szCs w:val="20"/>
        </w:rPr>
        <w:t>11.1 After the follow-up of all cases have been completed, the data of case report forms have been checked as correct, and the data entry have been finished, a database inspection report will be written by the data manager.</w:t>
      </w:r>
    </w:p>
    <w:p w14:paraId="3E32CB62" w14:textId="77777777" w:rsidR="00555164" w:rsidRDefault="002C73C0">
      <w:pPr>
        <w:pStyle w:val="ad"/>
        <w:spacing w:beforeLines="50" w:before="120" w:beforeAutospacing="0" w:afterLines="50" w:after="120" w:afterAutospacing="0"/>
        <w:rPr>
          <w:sz w:val="20"/>
          <w:szCs w:val="20"/>
        </w:rPr>
      </w:pPr>
      <w:r>
        <w:rPr>
          <w:sz w:val="20"/>
          <w:szCs w:val="20"/>
        </w:rPr>
        <w:t>11.2 After the database is locked, unmasking will be conducted. And the database will be sent to the statisticians for statistical analysis.</w:t>
      </w:r>
    </w:p>
    <w:p w14:paraId="3DB13BB4" w14:textId="77777777" w:rsidR="00555164" w:rsidRDefault="00555164">
      <w:pPr>
        <w:pStyle w:val="ad"/>
        <w:spacing w:beforeLines="50" w:before="120" w:beforeAutospacing="0" w:afterLines="50" w:after="120" w:afterAutospacing="0"/>
        <w:rPr>
          <w:sz w:val="20"/>
          <w:szCs w:val="20"/>
        </w:rPr>
      </w:pPr>
    </w:p>
    <w:p w14:paraId="534C3EB5" w14:textId="77777777" w:rsidR="00555164" w:rsidRDefault="002C73C0">
      <w:pPr>
        <w:pStyle w:val="ad"/>
        <w:spacing w:beforeLines="50" w:before="120" w:beforeAutospacing="0" w:afterLines="50" w:after="120" w:afterAutospacing="0"/>
        <w:outlineLvl w:val="0"/>
        <w:rPr>
          <w:b/>
          <w:sz w:val="20"/>
          <w:szCs w:val="20"/>
        </w:rPr>
      </w:pPr>
      <w:bookmarkStart w:id="46" w:name="_Toc44796169"/>
      <w:bookmarkStart w:id="47" w:name="_Toc44756008"/>
      <w:bookmarkStart w:id="48" w:name="_Toc44756123"/>
      <w:bookmarkStart w:id="49" w:name="_Toc44754961"/>
      <w:r>
        <w:rPr>
          <w:b/>
          <w:sz w:val="20"/>
          <w:szCs w:val="20"/>
        </w:rPr>
        <w:t>12. Data management</w:t>
      </w:r>
      <w:bookmarkEnd w:id="46"/>
      <w:bookmarkEnd w:id="47"/>
      <w:bookmarkEnd w:id="48"/>
      <w:bookmarkEnd w:id="49"/>
      <w:r>
        <w:rPr>
          <w:b/>
          <w:sz w:val="20"/>
          <w:szCs w:val="20"/>
        </w:rPr>
        <w:t xml:space="preserve"> </w:t>
      </w:r>
    </w:p>
    <w:p w14:paraId="2F0E892F" w14:textId="77777777" w:rsidR="00555164" w:rsidRDefault="002C73C0">
      <w:pPr>
        <w:pStyle w:val="ad"/>
        <w:spacing w:beforeLines="50" w:before="120" w:beforeAutospacing="0" w:afterLines="50" w:after="120" w:afterAutospacing="0"/>
        <w:rPr>
          <w:sz w:val="20"/>
          <w:szCs w:val="20"/>
        </w:rPr>
      </w:pPr>
      <w:r>
        <w:rPr>
          <w:sz w:val="20"/>
          <w:szCs w:val="20"/>
        </w:rPr>
        <w:lastRenderedPageBreak/>
        <w:t>12.1 The investigators should record data timely, completely and correctly according to the original observations and assessments.</w:t>
      </w:r>
    </w:p>
    <w:p w14:paraId="5BB1AB56" w14:textId="77777777" w:rsidR="00555164" w:rsidRDefault="002C73C0">
      <w:pPr>
        <w:pStyle w:val="ad"/>
        <w:spacing w:beforeLines="50" w:before="120" w:beforeAutospacing="0" w:afterLines="50" w:after="120" w:afterAutospacing="0"/>
        <w:rPr>
          <w:sz w:val="20"/>
          <w:szCs w:val="20"/>
        </w:rPr>
      </w:pPr>
      <w:r>
        <w:rPr>
          <w:sz w:val="20"/>
          <w:szCs w:val="20"/>
        </w:rPr>
        <w:t>12.2 The completed case report forms, after signed by the supervisors, will be sent to a clinical data custodian.</w:t>
      </w:r>
    </w:p>
    <w:p w14:paraId="4A06E539" w14:textId="77777777" w:rsidR="00555164" w:rsidRDefault="002C73C0">
      <w:pPr>
        <w:pStyle w:val="ad"/>
        <w:spacing w:beforeLines="50" w:before="120" w:beforeAutospacing="0" w:afterLines="50" w:after="120" w:afterAutospacing="0"/>
        <w:rPr>
          <w:sz w:val="20"/>
          <w:szCs w:val="20"/>
        </w:rPr>
      </w:pPr>
      <w:r>
        <w:rPr>
          <w:sz w:val="20"/>
          <w:szCs w:val="20"/>
        </w:rPr>
        <w:t xml:space="preserve">12.3 After the data in the case report forms have been input and checked, the case report forms will be stored in sequence order. </w:t>
      </w:r>
    </w:p>
    <w:p w14:paraId="05949387" w14:textId="77777777" w:rsidR="00555164" w:rsidRDefault="002C73C0">
      <w:pPr>
        <w:pStyle w:val="ad"/>
        <w:spacing w:beforeLines="50" w:before="120" w:beforeAutospacing="0" w:afterLines="50" w:after="120" w:afterAutospacing="0"/>
        <w:rPr>
          <w:sz w:val="20"/>
          <w:szCs w:val="20"/>
        </w:rPr>
      </w:pPr>
      <w:r>
        <w:rPr>
          <w:sz w:val="20"/>
          <w:szCs w:val="20"/>
        </w:rPr>
        <w:t>12.4 Data management will be inspected by Peking University Clinical Research Institute.</w:t>
      </w:r>
    </w:p>
    <w:p w14:paraId="2FEC5106" w14:textId="77777777" w:rsidR="00555164" w:rsidRDefault="00555164">
      <w:pPr>
        <w:pStyle w:val="ad"/>
        <w:spacing w:beforeLines="50" w:before="120" w:beforeAutospacing="0" w:afterLines="50" w:after="120" w:afterAutospacing="0"/>
        <w:rPr>
          <w:sz w:val="20"/>
          <w:szCs w:val="20"/>
        </w:rPr>
      </w:pPr>
    </w:p>
    <w:p w14:paraId="17ED28C0" w14:textId="77777777" w:rsidR="00555164" w:rsidRDefault="002C73C0">
      <w:pPr>
        <w:pStyle w:val="ad"/>
        <w:spacing w:beforeLines="50" w:before="120" w:beforeAutospacing="0" w:afterLines="50" w:after="120" w:afterAutospacing="0"/>
        <w:outlineLvl w:val="0"/>
        <w:rPr>
          <w:b/>
          <w:sz w:val="20"/>
          <w:szCs w:val="20"/>
        </w:rPr>
      </w:pPr>
      <w:bookmarkStart w:id="50" w:name="_Toc44754962"/>
      <w:bookmarkStart w:id="51" w:name="_Toc44756009"/>
      <w:bookmarkStart w:id="52" w:name="_Toc44756124"/>
      <w:bookmarkStart w:id="53" w:name="_Toc44796170"/>
      <w:r>
        <w:rPr>
          <w:b/>
          <w:sz w:val="20"/>
          <w:szCs w:val="20"/>
        </w:rPr>
        <w:t>13 Statistical analysis</w:t>
      </w:r>
      <w:bookmarkEnd w:id="50"/>
      <w:bookmarkEnd w:id="51"/>
      <w:bookmarkEnd w:id="52"/>
      <w:bookmarkEnd w:id="53"/>
      <w:r>
        <w:rPr>
          <w:b/>
          <w:sz w:val="20"/>
          <w:szCs w:val="20"/>
        </w:rPr>
        <w:t xml:space="preserve"> </w:t>
      </w:r>
    </w:p>
    <w:p w14:paraId="004111DD" w14:textId="77777777" w:rsidR="00555164" w:rsidRDefault="00555164">
      <w:pPr>
        <w:pStyle w:val="ad"/>
        <w:spacing w:beforeLines="50" w:before="120" w:beforeAutospacing="0" w:afterLines="50" w:after="120" w:afterAutospacing="0"/>
        <w:rPr>
          <w:b/>
          <w:sz w:val="20"/>
          <w:szCs w:val="20"/>
        </w:rPr>
      </w:pPr>
    </w:p>
    <w:p w14:paraId="5B570308"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13.1 General principles </w:t>
      </w:r>
    </w:p>
    <w:p w14:paraId="341C2925" w14:textId="77777777" w:rsidR="00555164" w:rsidRDefault="002C73C0">
      <w:pPr>
        <w:pStyle w:val="ad"/>
        <w:spacing w:beforeLines="50" w:before="120" w:beforeAutospacing="0" w:afterLines="50" w:after="120" w:afterAutospacing="0"/>
        <w:rPr>
          <w:sz w:val="20"/>
          <w:szCs w:val="20"/>
        </w:rPr>
      </w:pPr>
      <w:r>
        <w:rPr>
          <w:sz w:val="20"/>
          <w:szCs w:val="20"/>
        </w:rPr>
        <w:t>13.1.1 Numeric variables will be presented as mean ± standard deviation or median (minimum, maximum; or interquartile range). Categorical variables will be presented as number of cases (percentage).</w:t>
      </w:r>
    </w:p>
    <w:p w14:paraId="37632D22" w14:textId="77777777" w:rsidR="00555164" w:rsidRDefault="002C73C0">
      <w:pPr>
        <w:pStyle w:val="ad"/>
        <w:spacing w:beforeLines="50" w:before="120" w:beforeAutospacing="0" w:afterLines="50" w:after="120" w:afterAutospacing="0"/>
        <w:rPr>
          <w:sz w:val="20"/>
          <w:szCs w:val="20"/>
        </w:rPr>
      </w:pPr>
      <w:r>
        <w:rPr>
          <w:sz w:val="20"/>
          <w:szCs w:val="20"/>
        </w:rPr>
        <w:t xml:space="preserve">13.1.2 For each hypothesis, two‐tailed tests will be used in all statistical analysis, and p &lt;0.05 will be considered statistically significant. </w:t>
      </w:r>
    </w:p>
    <w:p w14:paraId="72C75022" w14:textId="77777777" w:rsidR="00555164" w:rsidRDefault="002C73C0">
      <w:pPr>
        <w:pStyle w:val="ad"/>
        <w:spacing w:beforeLines="50" w:before="120" w:beforeAutospacing="0" w:afterLines="50" w:after="120" w:afterAutospacing="0"/>
        <w:rPr>
          <w:sz w:val="20"/>
          <w:szCs w:val="20"/>
        </w:rPr>
      </w:pPr>
      <w:r>
        <w:rPr>
          <w:sz w:val="20"/>
          <w:szCs w:val="20"/>
        </w:rPr>
        <w:t>13.1.3 The primary and secondary outcomes will be analyzed in an intention-to-treat population, i.e., all patients are analyzed in the group to which they are randomized and received at least part of study intervention. If epidural anesthesia and/or analgesia fail, these patients will be converted to general anesthesia and intravenous analgesia but will be analyzed in the group to which they are randomized. Also, we will do per-protocol analysis for the primary endpoint, in this case, drop-out patients will be excluded.</w:t>
      </w:r>
    </w:p>
    <w:p w14:paraId="635A1FEF" w14:textId="77777777" w:rsidR="00555164" w:rsidRDefault="00555164">
      <w:pPr>
        <w:pStyle w:val="ad"/>
        <w:spacing w:beforeLines="50" w:before="120" w:beforeAutospacing="0" w:afterLines="50" w:after="120" w:afterAutospacing="0"/>
        <w:rPr>
          <w:sz w:val="20"/>
          <w:szCs w:val="20"/>
        </w:rPr>
      </w:pPr>
    </w:p>
    <w:p w14:paraId="13881022"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13.2 Patient recruitment and drop‐out status </w:t>
      </w:r>
    </w:p>
    <w:p w14:paraId="65DFA8F0" w14:textId="77777777" w:rsidR="00555164" w:rsidRDefault="002C73C0">
      <w:pPr>
        <w:pStyle w:val="ad"/>
        <w:spacing w:beforeLines="50" w:before="120" w:beforeAutospacing="0" w:afterLines="50" w:after="120" w:afterAutospacing="0"/>
        <w:rPr>
          <w:sz w:val="20"/>
          <w:szCs w:val="20"/>
        </w:rPr>
      </w:pPr>
      <w:r>
        <w:rPr>
          <w:sz w:val="20"/>
          <w:szCs w:val="20"/>
        </w:rPr>
        <w:t xml:space="preserve">The status of patient recruitment and drop‐out will be summarized and listed. Comparison of the overall elimination/drop‐out rate between the two groups will be performed with </w:t>
      </w:r>
      <w:r>
        <w:rPr>
          <w:rFonts w:eastAsia="等线"/>
          <w:sz w:val="20"/>
          <w:szCs w:val="20"/>
        </w:rPr>
        <w:t>C</w:t>
      </w:r>
      <w:r>
        <w:rPr>
          <w:sz w:val="20"/>
          <w:szCs w:val="20"/>
        </w:rPr>
        <w:t xml:space="preserve">hi‐Square test. </w:t>
      </w:r>
    </w:p>
    <w:p w14:paraId="5060EF0E" w14:textId="77777777" w:rsidR="00555164" w:rsidRDefault="00555164">
      <w:pPr>
        <w:pStyle w:val="ad"/>
        <w:spacing w:beforeLines="50" w:before="120" w:beforeAutospacing="0" w:afterLines="50" w:after="120" w:afterAutospacing="0"/>
        <w:rPr>
          <w:sz w:val="20"/>
          <w:szCs w:val="20"/>
        </w:rPr>
      </w:pPr>
    </w:p>
    <w:p w14:paraId="31BFCD32"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13.3 Demographics and baseline characteristics </w:t>
      </w:r>
    </w:p>
    <w:p w14:paraId="262FBA3A" w14:textId="77777777" w:rsidR="00555164" w:rsidRDefault="002C73C0">
      <w:pPr>
        <w:pStyle w:val="ad"/>
        <w:spacing w:beforeLines="50" w:before="120" w:beforeAutospacing="0" w:afterLines="50" w:after="120" w:afterAutospacing="0"/>
        <w:rPr>
          <w:sz w:val="20"/>
          <w:szCs w:val="20"/>
        </w:rPr>
      </w:pPr>
      <w:r>
        <w:rPr>
          <w:sz w:val="20"/>
          <w:szCs w:val="20"/>
        </w:rPr>
        <w:t xml:space="preserve">13.3.1 Demographics and baseline data will be presented. </w:t>
      </w:r>
    </w:p>
    <w:p w14:paraId="10080C5A" w14:textId="77777777" w:rsidR="00555164" w:rsidRDefault="002C73C0">
      <w:pPr>
        <w:pStyle w:val="ad"/>
        <w:spacing w:beforeLines="50" w:before="120" w:beforeAutospacing="0" w:afterLines="50" w:after="120" w:afterAutospacing="0"/>
        <w:rPr>
          <w:sz w:val="20"/>
          <w:szCs w:val="20"/>
        </w:rPr>
      </w:pPr>
      <w:r>
        <w:rPr>
          <w:sz w:val="20"/>
          <w:szCs w:val="20"/>
        </w:rPr>
        <w:t xml:space="preserve">13.3.2 For between-group differences, continuous variables will be analyzed using </w:t>
      </w:r>
      <w:r>
        <w:rPr>
          <w:rFonts w:eastAsia="等线"/>
          <w:sz w:val="20"/>
          <w:szCs w:val="20"/>
        </w:rPr>
        <w:t xml:space="preserve">independent-samples t test or Mann-Whitney U test; categorical variables will be analyzed using the Chi-Square test, continuity correction Chi-Square test or Fisher exact test. </w:t>
      </w:r>
    </w:p>
    <w:p w14:paraId="1FCEA4E6" w14:textId="77777777" w:rsidR="00555164" w:rsidRDefault="00555164">
      <w:pPr>
        <w:pStyle w:val="ad"/>
        <w:spacing w:beforeLines="50" w:before="120" w:beforeAutospacing="0" w:afterLines="50" w:after="120" w:afterAutospacing="0"/>
        <w:rPr>
          <w:sz w:val="20"/>
          <w:szCs w:val="20"/>
        </w:rPr>
      </w:pPr>
    </w:p>
    <w:p w14:paraId="5598DAFA"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13.4 Efficacy analysis </w:t>
      </w:r>
    </w:p>
    <w:p w14:paraId="64159756" w14:textId="77777777" w:rsidR="00555164" w:rsidRDefault="002C73C0">
      <w:pPr>
        <w:pStyle w:val="ad"/>
        <w:spacing w:beforeLines="50" w:before="120" w:beforeAutospacing="0" w:afterLines="50" w:after="120" w:afterAutospacing="0"/>
        <w:rPr>
          <w:sz w:val="20"/>
          <w:szCs w:val="20"/>
        </w:rPr>
      </w:pPr>
      <w:r>
        <w:rPr>
          <w:sz w:val="20"/>
          <w:szCs w:val="20"/>
        </w:rPr>
        <w:t xml:space="preserve">13.4.1 Evaluation of primary endpoint </w:t>
      </w:r>
    </w:p>
    <w:p w14:paraId="2B5BBB60" w14:textId="77777777" w:rsidR="00555164" w:rsidRDefault="002C73C0">
      <w:pPr>
        <w:pStyle w:val="ad"/>
        <w:spacing w:beforeLines="50" w:before="120" w:beforeAutospacing="0" w:afterLines="50" w:after="120" w:afterAutospacing="0"/>
        <w:rPr>
          <w:sz w:val="20"/>
          <w:szCs w:val="20"/>
        </w:rPr>
      </w:pPr>
      <w:r>
        <w:rPr>
          <w:sz w:val="20"/>
          <w:szCs w:val="20"/>
        </w:rPr>
        <w:t>The incidence of delirium within 7 days after surgery will be calculated. Comparison between groups will be performed with Chi-Squared test. The difference of risk for postoperative delirium between two groups will be expressed as relative risk (RR) and 95% CI. For patients with missing data due to early hospital discharge or death, the last delirium assessment results will be considered as the missing data when calculating the incidence of delirium within 7 postoperative days</w:t>
      </w:r>
      <w:bookmarkStart w:id="54" w:name="_Hlk44857974"/>
      <w:r>
        <w:rPr>
          <w:sz w:val="20"/>
          <w:szCs w:val="20"/>
        </w:rPr>
        <w:t>; the missing data will not be replaced when calculating the daily prevalence of delirium.</w:t>
      </w:r>
      <w:bookmarkEnd w:id="54"/>
    </w:p>
    <w:p w14:paraId="79301263" w14:textId="77777777" w:rsidR="00555164" w:rsidRDefault="002C73C0">
      <w:pPr>
        <w:pStyle w:val="ad"/>
        <w:spacing w:beforeLines="50" w:before="120" w:beforeAutospacing="0" w:afterLines="50" w:after="120" w:afterAutospacing="0"/>
        <w:rPr>
          <w:sz w:val="20"/>
          <w:szCs w:val="20"/>
        </w:rPr>
      </w:pPr>
      <w:r>
        <w:rPr>
          <w:sz w:val="20"/>
          <w:szCs w:val="20"/>
        </w:rPr>
        <w:t xml:space="preserve">13.4.2 Evaluation of secondary endpoints </w:t>
      </w:r>
    </w:p>
    <w:p w14:paraId="443E48DD" w14:textId="77777777" w:rsidR="00555164" w:rsidRDefault="002C73C0">
      <w:pPr>
        <w:pStyle w:val="ad"/>
        <w:spacing w:beforeLines="50" w:before="120" w:beforeAutospacing="0" w:afterLines="50" w:after="120" w:afterAutospacing="0"/>
        <w:rPr>
          <w:sz w:val="20"/>
          <w:szCs w:val="20"/>
        </w:rPr>
      </w:pPr>
      <w:r>
        <w:rPr>
          <w:sz w:val="20"/>
          <w:szCs w:val="20"/>
        </w:rPr>
        <w:t xml:space="preserve">13.4.2.1 Time‐to‐event variables (time to onset of delirium, time to resume fluid/food intake, length of stay in hospital after surgery) will be calculated with Kaplan-Meier estimator, with differences between groups assessed by the log-rank test. The estimates hazard ratio (HR) and 95% CI will be provided. </w:t>
      </w:r>
    </w:p>
    <w:p w14:paraId="247E2B84" w14:textId="77777777" w:rsidR="00555164" w:rsidRDefault="002C73C0">
      <w:pPr>
        <w:pStyle w:val="ad"/>
        <w:spacing w:beforeLines="50" w:before="120" w:beforeAutospacing="0" w:afterLines="50" w:after="120" w:afterAutospacing="0"/>
        <w:rPr>
          <w:sz w:val="20"/>
          <w:szCs w:val="20"/>
        </w:rPr>
      </w:pPr>
      <w:r>
        <w:rPr>
          <w:sz w:val="20"/>
          <w:szCs w:val="20"/>
        </w:rPr>
        <w:t xml:space="preserve">13.4.2.2 Categorical variables (the incidences of major complications other than delirium, the daily prevalence of delirium, and the 30-day all-cause mortality rate) will be analyzed using the Chi-Square test, continuity correction Chi-Square test or Fisher exact test. The estimated relative risk (RR) and 95% CI will be provided. </w:t>
      </w:r>
    </w:p>
    <w:p w14:paraId="175829A4" w14:textId="77777777" w:rsidR="00555164" w:rsidRDefault="002C73C0">
      <w:pPr>
        <w:pStyle w:val="ad"/>
        <w:spacing w:beforeLines="50" w:before="120" w:beforeAutospacing="0" w:afterLines="50" w:after="120" w:afterAutospacing="0"/>
        <w:rPr>
          <w:rFonts w:eastAsia="等线"/>
          <w:sz w:val="20"/>
          <w:szCs w:val="20"/>
        </w:rPr>
      </w:pPr>
      <w:r>
        <w:rPr>
          <w:sz w:val="20"/>
          <w:szCs w:val="20"/>
        </w:rPr>
        <w:lastRenderedPageBreak/>
        <w:t xml:space="preserve">13.4.2.3 Ranked variables (the severity of delirium, the NRS pain scores after surgery) will be analyzed using the Mann-Whitney U test. </w:t>
      </w:r>
      <w:r>
        <w:rPr>
          <w:rFonts w:eastAsia="等线"/>
          <w:sz w:val="20"/>
          <w:szCs w:val="20"/>
        </w:rPr>
        <w:t xml:space="preserve">The difference between two medians and 95% CI will be calculated with the Hodges-Lehmann estimator. </w:t>
      </w:r>
    </w:p>
    <w:p w14:paraId="2C424562" w14:textId="77777777" w:rsidR="00555164" w:rsidRDefault="002C73C0">
      <w:pPr>
        <w:pStyle w:val="ad"/>
        <w:spacing w:beforeLines="50" w:before="120" w:beforeAutospacing="0" w:afterLines="50" w:after="120" w:afterAutospacing="0"/>
        <w:rPr>
          <w:sz w:val="20"/>
          <w:szCs w:val="20"/>
        </w:rPr>
      </w:pPr>
      <w:r>
        <w:rPr>
          <w:sz w:val="20"/>
          <w:szCs w:val="20"/>
        </w:rPr>
        <w:t xml:space="preserve">13.4.2.4 Numeric variables (serum concentrations of cortisol, IL-6 and IL-8) will be analyzed using the independent-samples t test or Mann-Whitney U test. Mean/median differences and 95% CI will be provided. </w:t>
      </w:r>
    </w:p>
    <w:p w14:paraId="056C7B0D" w14:textId="77777777" w:rsidR="00555164" w:rsidRDefault="00555164">
      <w:pPr>
        <w:pStyle w:val="ad"/>
        <w:spacing w:beforeLines="50" w:before="120" w:beforeAutospacing="0" w:afterLines="50" w:after="120" w:afterAutospacing="0"/>
        <w:rPr>
          <w:rFonts w:eastAsia="等线"/>
          <w:sz w:val="20"/>
          <w:szCs w:val="20"/>
        </w:rPr>
      </w:pPr>
    </w:p>
    <w:p w14:paraId="2DB948E9" w14:textId="77777777" w:rsidR="00555164" w:rsidRDefault="002C73C0">
      <w:pPr>
        <w:pStyle w:val="ad"/>
        <w:spacing w:beforeLines="50" w:before="120" w:beforeAutospacing="0" w:afterLines="50" w:after="120" w:afterAutospacing="0"/>
        <w:rPr>
          <w:rFonts w:eastAsia="等线"/>
          <w:b/>
          <w:bCs/>
          <w:i/>
          <w:iCs/>
          <w:sz w:val="20"/>
          <w:szCs w:val="20"/>
        </w:rPr>
      </w:pPr>
      <w:r>
        <w:rPr>
          <w:rFonts w:eastAsia="等线"/>
          <w:b/>
          <w:bCs/>
          <w:i/>
          <w:iCs/>
          <w:sz w:val="20"/>
          <w:szCs w:val="20"/>
        </w:rPr>
        <w:t>13.5 Safety analysis</w:t>
      </w:r>
    </w:p>
    <w:p w14:paraId="382EEC69"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13.5.1 Describe the occurrence of adverse events in each group.</w:t>
      </w:r>
    </w:p>
    <w:p w14:paraId="7B3042D8"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13.5.2 Describe the management of adverse events when appropriate.</w:t>
      </w:r>
    </w:p>
    <w:p w14:paraId="05815C59"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 xml:space="preserve">13.5.3 Describe the occurrence of severe adverse events. </w:t>
      </w:r>
    </w:p>
    <w:p w14:paraId="4EC069D2"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 xml:space="preserve">13.5.4 The rates of adverse events and/or managements between the two groups will be compared with Chi-Square test, continuity correction Chi-Square test or Fisher exact test. </w:t>
      </w:r>
    </w:p>
    <w:p w14:paraId="46A86C90" w14:textId="77777777" w:rsidR="00555164" w:rsidRDefault="00555164">
      <w:pPr>
        <w:pStyle w:val="ad"/>
        <w:spacing w:beforeLines="50" w:before="120" w:beforeAutospacing="0" w:afterLines="50" w:after="120" w:afterAutospacing="0"/>
        <w:rPr>
          <w:rFonts w:eastAsia="等线"/>
          <w:sz w:val="20"/>
          <w:szCs w:val="20"/>
        </w:rPr>
      </w:pPr>
    </w:p>
    <w:p w14:paraId="4659B0E5" w14:textId="77777777" w:rsidR="00555164" w:rsidRDefault="002C73C0">
      <w:pPr>
        <w:pStyle w:val="ad"/>
        <w:spacing w:beforeLines="50" w:before="120" w:beforeAutospacing="0" w:afterLines="50" w:after="120" w:afterAutospacing="0"/>
        <w:rPr>
          <w:rFonts w:eastAsiaTheme="minorEastAsia"/>
          <w:b/>
          <w:i/>
          <w:sz w:val="20"/>
          <w:szCs w:val="20"/>
        </w:rPr>
      </w:pPr>
      <w:r>
        <w:rPr>
          <w:rFonts w:eastAsiaTheme="minorEastAsia"/>
          <w:b/>
          <w:i/>
          <w:sz w:val="20"/>
          <w:szCs w:val="20"/>
        </w:rPr>
        <w:t>13.6 Missing data</w:t>
      </w:r>
    </w:p>
    <w:p w14:paraId="79E42033" w14:textId="77777777" w:rsidR="00555164" w:rsidRDefault="002C73C0">
      <w:pPr>
        <w:pStyle w:val="ad"/>
        <w:spacing w:beforeLines="50" w:before="120" w:beforeAutospacing="0" w:afterLines="50" w:after="120" w:afterAutospacing="0"/>
        <w:rPr>
          <w:rFonts w:eastAsiaTheme="minorEastAsia"/>
          <w:sz w:val="20"/>
          <w:szCs w:val="20"/>
        </w:rPr>
      </w:pPr>
      <w:r>
        <w:rPr>
          <w:rFonts w:eastAsiaTheme="minorEastAsia"/>
          <w:sz w:val="20"/>
          <w:szCs w:val="20"/>
        </w:rPr>
        <w:t xml:space="preserve">Missing data or incomplete data will be marked in the </w:t>
      </w:r>
      <w:r>
        <w:rPr>
          <w:sz w:val="20"/>
          <w:szCs w:val="20"/>
        </w:rPr>
        <w:t>case report forms</w:t>
      </w:r>
      <w:r>
        <w:rPr>
          <w:rFonts w:eastAsiaTheme="minorEastAsia"/>
          <w:sz w:val="20"/>
          <w:szCs w:val="20"/>
        </w:rPr>
        <w:t xml:space="preserve">. The </w:t>
      </w:r>
      <w:proofErr w:type="gramStart"/>
      <w:r>
        <w:rPr>
          <w:rFonts w:eastAsiaTheme="minorEastAsia"/>
          <w:sz w:val="20"/>
          <w:szCs w:val="20"/>
        </w:rPr>
        <w:t>principle</w:t>
      </w:r>
      <w:proofErr w:type="gramEnd"/>
      <w:r>
        <w:rPr>
          <w:rFonts w:eastAsiaTheme="minorEastAsia"/>
          <w:sz w:val="20"/>
          <w:szCs w:val="20"/>
        </w:rPr>
        <w:t xml:space="preserve"> investigator and the statistician will discuss and determine the management of missing data. Details will be listed in the final statistical analysis plan. </w:t>
      </w:r>
    </w:p>
    <w:p w14:paraId="3FB42AA8" w14:textId="77777777" w:rsidR="00555164" w:rsidRDefault="00555164">
      <w:pPr>
        <w:pStyle w:val="ad"/>
        <w:spacing w:beforeLines="50" w:before="120" w:beforeAutospacing="0" w:afterLines="50" w:after="120" w:afterAutospacing="0"/>
        <w:rPr>
          <w:rFonts w:eastAsiaTheme="minorEastAsia"/>
          <w:sz w:val="20"/>
          <w:szCs w:val="20"/>
        </w:rPr>
      </w:pPr>
    </w:p>
    <w:p w14:paraId="7DD538AF" w14:textId="77777777" w:rsidR="00555164" w:rsidRDefault="002C73C0">
      <w:pPr>
        <w:pStyle w:val="ad"/>
        <w:spacing w:beforeLines="50" w:before="120" w:beforeAutospacing="0" w:afterLines="50" w:after="120" w:afterAutospacing="0"/>
        <w:outlineLvl w:val="0"/>
        <w:rPr>
          <w:b/>
          <w:sz w:val="20"/>
          <w:szCs w:val="20"/>
        </w:rPr>
      </w:pPr>
      <w:bookmarkStart w:id="55" w:name="_Toc44756010"/>
      <w:bookmarkStart w:id="56" w:name="_Toc44755864"/>
      <w:bookmarkStart w:id="57" w:name="_Toc44756125"/>
      <w:bookmarkStart w:id="58" w:name="_Toc44796171"/>
      <w:bookmarkStart w:id="59" w:name="_Toc44754963"/>
      <w:r>
        <w:rPr>
          <w:b/>
          <w:sz w:val="20"/>
          <w:szCs w:val="20"/>
        </w:rPr>
        <w:t>14. Quality control and quality assurance</w:t>
      </w:r>
      <w:bookmarkEnd w:id="55"/>
      <w:bookmarkEnd w:id="56"/>
      <w:bookmarkEnd w:id="57"/>
      <w:bookmarkEnd w:id="58"/>
      <w:bookmarkEnd w:id="59"/>
      <w:r>
        <w:rPr>
          <w:b/>
          <w:sz w:val="20"/>
          <w:szCs w:val="20"/>
        </w:rPr>
        <w:t xml:space="preserve"> </w:t>
      </w:r>
    </w:p>
    <w:p w14:paraId="77EC809D" w14:textId="77777777" w:rsidR="00555164" w:rsidRDefault="00555164">
      <w:pPr>
        <w:pStyle w:val="ad"/>
        <w:spacing w:beforeLines="50" w:before="120" w:beforeAutospacing="0" w:afterLines="50" w:after="120" w:afterAutospacing="0"/>
        <w:rPr>
          <w:b/>
          <w:sz w:val="20"/>
          <w:szCs w:val="20"/>
        </w:rPr>
      </w:pPr>
    </w:p>
    <w:p w14:paraId="470F0EBB" w14:textId="77777777" w:rsidR="00555164" w:rsidRDefault="002C73C0">
      <w:pPr>
        <w:pStyle w:val="ad"/>
        <w:spacing w:beforeLines="50" w:before="120" w:beforeAutospacing="0" w:afterLines="50" w:after="120" w:afterAutospacing="0"/>
        <w:rPr>
          <w:b/>
          <w:i/>
          <w:sz w:val="20"/>
          <w:szCs w:val="20"/>
        </w:rPr>
      </w:pPr>
      <w:r>
        <w:rPr>
          <w:b/>
          <w:i/>
          <w:sz w:val="20"/>
          <w:szCs w:val="20"/>
        </w:rPr>
        <w:t>14.1 Training for investigators</w:t>
      </w:r>
    </w:p>
    <w:p w14:paraId="27B4F3FA" w14:textId="77777777" w:rsidR="00555164" w:rsidRDefault="002C73C0">
      <w:pPr>
        <w:pStyle w:val="ad"/>
        <w:spacing w:beforeLines="50" w:before="120" w:beforeAutospacing="0" w:afterLines="50" w:after="120" w:afterAutospacing="0"/>
        <w:rPr>
          <w:bCs/>
          <w:iCs/>
          <w:sz w:val="20"/>
          <w:szCs w:val="20"/>
        </w:rPr>
      </w:pPr>
      <w:r>
        <w:rPr>
          <w:bCs/>
          <w:iCs/>
          <w:sz w:val="20"/>
          <w:szCs w:val="20"/>
        </w:rPr>
        <w:t xml:space="preserve">14.1.1 An investigator training program will be designed by the </w:t>
      </w:r>
      <w:proofErr w:type="gramStart"/>
      <w:r>
        <w:rPr>
          <w:bCs/>
          <w:iCs/>
          <w:sz w:val="20"/>
          <w:szCs w:val="20"/>
        </w:rPr>
        <w:t>principle</w:t>
      </w:r>
      <w:proofErr w:type="gramEnd"/>
      <w:r>
        <w:rPr>
          <w:bCs/>
          <w:iCs/>
          <w:sz w:val="20"/>
          <w:szCs w:val="20"/>
        </w:rPr>
        <w:t xml:space="preserve"> investigator. A study coordinator will be designated to organize and implement the training program, and to record and preserve the related documents. </w:t>
      </w:r>
    </w:p>
    <w:p w14:paraId="640081B4" w14:textId="77777777" w:rsidR="00555164" w:rsidRDefault="002C73C0">
      <w:pPr>
        <w:pStyle w:val="ad"/>
        <w:spacing w:beforeLines="50" w:before="120" w:beforeAutospacing="0" w:afterLines="50" w:after="120" w:afterAutospacing="0"/>
        <w:rPr>
          <w:bCs/>
          <w:iCs/>
          <w:sz w:val="20"/>
          <w:szCs w:val="20"/>
        </w:rPr>
      </w:pPr>
      <w:r>
        <w:rPr>
          <w:bCs/>
          <w:iCs/>
          <w:sz w:val="20"/>
          <w:szCs w:val="20"/>
        </w:rPr>
        <w:t xml:space="preserve">14.1.2 Investigator training will be performed during the month before starting the study. </w:t>
      </w:r>
    </w:p>
    <w:p w14:paraId="027CC5F7" w14:textId="77777777" w:rsidR="00555164" w:rsidRDefault="002C73C0">
      <w:pPr>
        <w:pStyle w:val="ad"/>
        <w:spacing w:beforeLines="50" w:before="120" w:beforeAutospacing="0" w:afterLines="50" w:after="120" w:afterAutospacing="0"/>
        <w:rPr>
          <w:bCs/>
          <w:iCs/>
          <w:sz w:val="20"/>
          <w:szCs w:val="20"/>
        </w:rPr>
      </w:pPr>
      <w:r>
        <w:rPr>
          <w:bCs/>
          <w:iCs/>
          <w:sz w:val="20"/>
          <w:szCs w:val="20"/>
        </w:rPr>
        <w:t xml:space="preserve">14.1.2.1 Delirium assessment will be trained by psychiatrists. Investigators who are in charge of delirium assessment in each study center (at least two investigators in each center) must attend the training program and pass the examination. The training program includes lectures on the clinical manifestations, potential mechanisms, diagnosis and treatment of delirium, a lecture explaining the use of the CAM-ICU, and simulating training courses with patient-actors for delirium assessment with the CAM-ICU. The simulating training will continue until the agreements of delirium diagnoses between psychiatrists and investigators reach &gt;99%. </w:t>
      </w:r>
    </w:p>
    <w:p w14:paraId="07C3339B" w14:textId="77777777" w:rsidR="00555164" w:rsidRDefault="002C73C0">
      <w:pPr>
        <w:pStyle w:val="ad"/>
        <w:spacing w:beforeLines="50" w:before="120" w:beforeAutospacing="0" w:afterLines="50" w:after="120" w:afterAutospacing="0"/>
        <w:rPr>
          <w:bCs/>
          <w:iCs/>
          <w:sz w:val="20"/>
          <w:szCs w:val="20"/>
        </w:rPr>
      </w:pPr>
      <w:r>
        <w:rPr>
          <w:bCs/>
          <w:iCs/>
          <w:sz w:val="20"/>
          <w:szCs w:val="20"/>
        </w:rPr>
        <w:t xml:space="preserve">14.1.2.2 Other training contents that must be finished before starting the study include the Good Clinical Practice principles, the study protocol, the standard operating procedures of the study, the working plan of the study, the instruction for the case report form, and other matters needing attention during the study (collection of blood samples, allowed and prohibited medications, etc.). </w:t>
      </w:r>
    </w:p>
    <w:p w14:paraId="669F6E7E" w14:textId="77777777" w:rsidR="00555164" w:rsidRDefault="002C73C0">
      <w:pPr>
        <w:pStyle w:val="ad"/>
        <w:spacing w:beforeLines="50" w:before="120" w:beforeAutospacing="0" w:afterLines="50" w:after="120" w:afterAutospacing="0"/>
        <w:rPr>
          <w:bCs/>
          <w:iCs/>
          <w:sz w:val="20"/>
          <w:szCs w:val="20"/>
        </w:rPr>
      </w:pPr>
      <w:r>
        <w:rPr>
          <w:bCs/>
          <w:iCs/>
          <w:sz w:val="20"/>
          <w:szCs w:val="20"/>
        </w:rPr>
        <w:t>14.1.3 The training program will be repeated 2-3 times a year throughout the study period, or will be performed whenever necessary.</w:t>
      </w:r>
    </w:p>
    <w:p w14:paraId="0D5EB68D" w14:textId="77777777" w:rsidR="00555164" w:rsidRDefault="00555164">
      <w:pPr>
        <w:pStyle w:val="ad"/>
        <w:spacing w:beforeLines="50" w:before="120" w:beforeAutospacing="0" w:afterLines="50" w:after="120" w:afterAutospacing="0"/>
        <w:rPr>
          <w:bCs/>
          <w:iCs/>
          <w:sz w:val="20"/>
          <w:szCs w:val="20"/>
        </w:rPr>
      </w:pPr>
    </w:p>
    <w:p w14:paraId="058E012A" w14:textId="77777777" w:rsidR="00555164" w:rsidRDefault="002C73C0">
      <w:pPr>
        <w:pStyle w:val="ad"/>
        <w:spacing w:beforeLines="50" w:before="120" w:beforeAutospacing="0" w:afterLines="50" w:after="120" w:afterAutospacing="0"/>
        <w:rPr>
          <w:rFonts w:eastAsia="等线"/>
          <w:b/>
          <w:i/>
          <w:sz w:val="20"/>
          <w:szCs w:val="20"/>
        </w:rPr>
      </w:pPr>
      <w:r>
        <w:rPr>
          <w:rFonts w:eastAsia="等线"/>
          <w:b/>
          <w:i/>
          <w:sz w:val="20"/>
          <w:szCs w:val="20"/>
        </w:rPr>
        <w:t>14.2 Monitoring of study conduct</w:t>
      </w:r>
    </w:p>
    <w:p w14:paraId="33CF55BE"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 xml:space="preserve">14.2.1 The study will be monitored by the Peking University Clinical Research Institute. </w:t>
      </w:r>
    </w:p>
    <w:p w14:paraId="34191751"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 xml:space="preserve">14.2.2 A project specialist will be designated by the Peking University Clinical Research Institute and will verify that the conduct of the study, the record of data and the analysis are in accord with the study protocol and related regulations. Investigators should cooperate with the project specialist. </w:t>
      </w:r>
    </w:p>
    <w:p w14:paraId="41A0483B"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 xml:space="preserve">14.2.3 Before and during the study period, the project specialist will go to the study centers for initiation inspection, regular inspection, and end of study inspection. The project specialist will schedule the time of inspection but at least one inspection will be performed after recruiting the first three participants, and at least once every 12 weeks for the </w:t>
      </w:r>
      <w:proofErr w:type="gramStart"/>
      <w:r>
        <w:rPr>
          <w:rFonts w:eastAsia="等线"/>
          <w:bCs/>
          <w:iCs/>
          <w:sz w:val="20"/>
          <w:szCs w:val="20"/>
        </w:rPr>
        <w:t>principle</w:t>
      </w:r>
      <w:proofErr w:type="gramEnd"/>
      <w:r>
        <w:rPr>
          <w:rFonts w:eastAsia="等线"/>
          <w:bCs/>
          <w:iCs/>
          <w:sz w:val="20"/>
          <w:szCs w:val="20"/>
        </w:rPr>
        <w:t xml:space="preserve"> study center and every 24 weeks for the participating centers. </w:t>
      </w:r>
    </w:p>
    <w:p w14:paraId="3CFFD60D"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lastRenderedPageBreak/>
        <w:t>14.2.4 The contents of inspection include the following:</w:t>
      </w:r>
    </w:p>
    <w:p w14:paraId="3DC389AA"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14.2.4.1 To verify that investigators are designated and completed the training program.</w:t>
      </w:r>
    </w:p>
    <w:p w14:paraId="1185098A"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 xml:space="preserve">14.2.4.2 To verify the authenticity of participants, and the process to obtain written informed consents. </w:t>
      </w:r>
    </w:p>
    <w:p w14:paraId="37CBB140"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14.2.4.3 To verify the eligibility of participants. For the first three participants recruited in each center, 100% of the original data of will be checked and verified.</w:t>
      </w:r>
    </w:p>
    <w:p w14:paraId="1C5BADFB"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14.2.4.4 To verify the correctness of the randomization procedure.</w:t>
      </w:r>
    </w:p>
    <w:p w14:paraId="042E45D6"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14.2.4.5 To verify that the follow-ups and assessments are performed according to the study protocol.</w:t>
      </w:r>
    </w:p>
    <w:p w14:paraId="7E39D970"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14.2.4.6 Original data will be inspected in at least 5% of the recruited participants. Original data of the primary outcome will be inspected in 100% of the recruited participants.</w:t>
      </w:r>
    </w:p>
    <w:p w14:paraId="0C578E75"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14.2.4.7 To verify that all severe adverse events are reported to the Ethics Committee according to the study protocol. The original data of all severe adverse events will be inspected.</w:t>
      </w:r>
    </w:p>
    <w:p w14:paraId="1600E038"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14.2.4.8 To verify the transport, dissemination and retrieve of study drugs, and the records of storage and return of study drugs.</w:t>
      </w:r>
    </w:p>
    <w:p w14:paraId="3AA68349"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 xml:space="preserve">14.2.4.9 To verify that the blood samples are collected and stored according to the study protocol and the standard operating procedures. </w:t>
      </w:r>
    </w:p>
    <w:p w14:paraId="2107512D"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14.2.4.10 To verify that the revised study protocol, participant-related documents, report of severe adverse events, and annual summary report are submitted to the Ethics Committee timely by the investigators for approval or record.</w:t>
      </w:r>
    </w:p>
    <w:p w14:paraId="30C1F408"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14.2.4.11 To verify the preservation of study-related documents and original data.</w:t>
      </w:r>
    </w:p>
    <w:p w14:paraId="1BBB91BA"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 xml:space="preserve">14.2.4.12 To verify the trial management in the study centers, the progress of participant recruitment and the study conduct, the accomplishment of recruited cases, and the situation of case drop-out.  </w:t>
      </w:r>
    </w:p>
    <w:p w14:paraId="05D2569A"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 xml:space="preserve">14.2.5 A written report will be provided after each inspection. The report should include date, time, name of inspector, and the problems found during inspection. The project specialist will inform the principal investigator about the identified problems and will discuss the approaches to solve these problems. In case of important problems, such as those regarding participant safety, adherence to the study protocol or Good Clinical Practice principles, or delayed progress, the project specialist should report to the management office of the Peking University Clinical Research Program.  </w:t>
      </w:r>
    </w:p>
    <w:p w14:paraId="7151171A" w14:textId="77777777" w:rsidR="00555164" w:rsidRDefault="00555164">
      <w:pPr>
        <w:pStyle w:val="ad"/>
        <w:spacing w:beforeLines="50" w:before="120" w:beforeAutospacing="0" w:afterLines="50" w:after="120" w:afterAutospacing="0"/>
        <w:rPr>
          <w:rFonts w:eastAsia="等线"/>
          <w:bCs/>
          <w:iCs/>
          <w:sz w:val="20"/>
          <w:szCs w:val="20"/>
        </w:rPr>
      </w:pPr>
    </w:p>
    <w:p w14:paraId="4EF03362" w14:textId="77777777" w:rsidR="00555164" w:rsidRDefault="002C73C0">
      <w:pPr>
        <w:pStyle w:val="ad"/>
        <w:spacing w:beforeLines="50" w:before="120" w:beforeAutospacing="0" w:afterLines="50" w:after="120" w:afterAutospacing="0"/>
        <w:rPr>
          <w:rFonts w:eastAsia="等线"/>
          <w:b/>
          <w:bCs/>
          <w:i/>
          <w:iCs/>
          <w:sz w:val="20"/>
          <w:szCs w:val="20"/>
        </w:rPr>
      </w:pPr>
      <w:r>
        <w:rPr>
          <w:rFonts w:eastAsia="等线"/>
          <w:b/>
          <w:bCs/>
          <w:i/>
          <w:iCs/>
          <w:sz w:val="20"/>
          <w:szCs w:val="20"/>
        </w:rPr>
        <w:t>14.3 Inspection of data quality</w:t>
      </w:r>
    </w:p>
    <w:p w14:paraId="6FF02904"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14.3.1 The project specialist will check and verify the completeness and correctness of the data recorded in the case report forms, and will ask investigators to correct or replenish data when necessary.</w:t>
      </w:r>
    </w:p>
    <w:p w14:paraId="6B62664D"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 xml:space="preserve">14.3.2 Data manager from the Peking University Clinical Research Institute will recheck data according to the logical relations and to identify the existence of protocol deviation and out of normal limit. For the drop-out or missing data or data with logical contradictions, query forms will be sent to the investigators. The investigators are responsible to reply queries, and to verify or correct data. </w:t>
      </w:r>
    </w:p>
    <w:p w14:paraId="38FB8EE2"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 xml:space="preserve">14.3.3 All data queries must be solved before the database can be locked for statistical analysis. </w:t>
      </w:r>
    </w:p>
    <w:p w14:paraId="25A55822" w14:textId="77777777" w:rsidR="00555164" w:rsidRDefault="00555164">
      <w:pPr>
        <w:pStyle w:val="ad"/>
        <w:spacing w:beforeLines="50" w:before="120" w:beforeAutospacing="0" w:afterLines="50" w:after="120" w:afterAutospacing="0"/>
        <w:rPr>
          <w:rFonts w:eastAsia="等线"/>
          <w:sz w:val="20"/>
          <w:szCs w:val="20"/>
        </w:rPr>
      </w:pPr>
    </w:p>
    <w:p w14:paraId="5332D6A2" w14:textId="77777777" w:rsidR="00555164" w:rsidRDefault="002C73C0">
      <w:pPr>
        <w:pStyle w:val="ad"/>
        <w:spacing w:beforeLines="50" w:before="120" w:beforeAutospacing="0" w:afterLines="50" w:after="120" w:afterAutospacing="0"/>
        <w:outlineLvl w:val="0"/>
        <w:rPr>
          <w:b/>
          <w:sz w:val="20"/>
          <w:szCs w:val="20"/>
        </w:rPr>
      </w:pPr>
      <w:bookmarkStart w:id="60" w:name="_Toc44796172"/>
      <w:bookmarkStart w:id="61" w:name="_Toc44756126"/>
      <w:bookmarkStart w:id="62" w:name="_Toc44755865"/>
      <w:bookmarkStart w:id="63" w:name="_Toc44756011"/>
      <w:bookmarkStart w:id="64" w:name="_Toc44754964"/>
      <w:r>
        <w:rPr>
          <w:b/>
          <w:sz w:val="20"/>
          <w:szCs w:val="20"/>
        </w:rPr>
        <w:t>15. Ethics requirements</w:t>
      </w:r>
      <w:bookmarkEnd w:id="60"/>
      <w:bookmarkEnd w:id="61"/>
      <w:bookmarkEnd w:id="62"/>
      <w:bookmarkEnd w:id="63"/>
      <w:bookmarkEnd w:id="64"/>
      <w:r>
        <w:rPr>
          <w:b/>
          <w:sz w:val="20"/>
          <w:szCs w:val="20"/>
        </w:rPr>
        <w:t xml:space="preserve"> </w:t>
      </w:r>
    </w:p>
    <w:p w14:paraId="6060ED3A" w14:textId="77777777" w:rsidR="00555164" w:rsidRDefault="00555164">
      <w:pPr>
        <w:pStyle w:val="ad"/>
        <w:spacing w:beforeLines="50" w:before="120" w:beforeAutospacing="0" w:afterLines="50" w:after="120" w:afterAutospacing="0"/>
        <w:rPr>
          <w:sz w:val="20"/>
          <w:szCs w:val="20"/>
        </w:rPr>
      </w:pPr>
    </w:p>
    <w:p w14:paraId="0179A4E3" w14:textId="77777777" w:rsidR="00555164" w:rsidRDefault="002C73C0">
      <w:pPr>
        <w:pStyle w:val="ad"/>
        <w:spacing w:beforeLines="50" w:before="120" w:beforeAutospacing="0" w:afterLines="50" w:after="120" w:afterAutospacing="0"/>
        <w:rPr>
          <w:b/>
          <w:bCs/>
          <w:i/>
          <w:iCs/>
          <w:sz w:val="20"/>
          <w:szCs w:val="20"/>
        </w:rPr>
      </w:pPr>
      <w:r>
        <w:rPr>
          <w:b/>
          <w:bCs/>
          <w:i/>
          <w:iCs/>
          <w:sz w:val="20"/>
          <w:szCs w:val="20"/>
        </w:rPr>
        <w:t>15.1</w:t>
      </w:r>
      <w:r>
        <w:rPr>
          <w:rFonts w:eastAsia="等线"/>
          <w:b/>
          <w:bCs/>
          <w:i/>
          <w:iCs/>
          <w:sz w:val="20"/>
          <w:szCs w:val="20"/>
        </w:rPr>
        <w:t xml:space="preserve"> Ethics Committee</w:t>
      </w:r>
    </w:p>
    <w:p w14:paraId="32B751A3" w14:textId="77777777" w:rsidR="00555164" w:rsidRDefault="002C73C0">
      <w:pPr>
        <w:pStyle w:val="ad"/>
        <w:spacing w:beforeLines="50" w:before="120" w:beforeAutospacing="0" w:afterLines="50" w:after="120" w:afterAutospacing="0"/>
        <w:rPr>
          <w:rFonts w:eastAsia="等线"/>
          <w:sz w:val="20"/>
          <w:szCs w:val="20"/>
        </w:rPr>
      </w:pPr>
      <w:r>
        <w:rPr>
          <w:sz w:val="20"/>
          <w:szCs w:val="20"/>
        </w:rPr>
        <w:t xml:space="preserve">The study protocol must be approved by the Peking University Institutional Review Board before the study can be started. The investigators must strictly follow the Helsinki Declaration and China's relevant clinical trial management regulations. </w:t>
      </w:r>
      <w:r>
        <w:rPr>
          <w:rFonts w:eastAsia="等线"/>
          <w:sz w:val="20"/>
          <w:szCs w:val="20"/>
        </w:rPr>
        <w:t>The principal investigator is responsible to report the status and the progress of the study to the Institutional Review Board.</w:t>
      </w:r>
    </w:p>
    <w:p w14:paraId="3DC3A465" w14:textId="77777777" w:rsidR="00555164" w:rsidRDefault="00555164">
      <w:pPr>
        <w:pStyle w:val="ad"/>
        <w:spacing w:beforeLines="50" w:before="120" w:beforeAutospacing="0" w:afterLines="50" w:after="120" w:afterAutospacing="0"/>
        <w:rPr>
          <w:rFonts w:eastAsia="等线"/>
          <w:sz w:val="20"/>
          <w:szCs w:val="20"/>
        </w:rPr>
      </w:pPr>
    </w:p>
    <w:p w14:paraId="1586954B" w14:textId="77777777" w:rsidR="00555164" w:rsidRDefault="002C73C0">
      <w:pPr>
        <w:pStyle w:val="ad"/>
        <w:spacing w:beforeLines="50" w:before="120" w:beforeAutospacing="0" w:afterLines="50" w:after="120" w:afterAutospacing="0"/>
        <w:rPr>
          <w:b/>
          <w:bCs/>
          <w:i/>
          <w:iCs/>
          <w:sz w:val="20"/>
          <w:szCs w:val="20"/>
        </w:rPr>
      </w:pPr>
      <w:r>
        <w:rPr>
          <w:b/>
          <w:bCs/>
          <w:i/>
          <w:iCs/>
          <w:sz w:val="20"/>
          <w:szCs w:val="20"/>
        </w:rPr>
        <w:t>15.2 Written informed consent</w:t>
      </w:r>
    </w:p>
    <w:p w14:paraId="671A0AE7" w14:textId="77777777" w:rsidR="00555164" w:rsidRDefault="002C73C0">
      <w:pPr>
        <w:pStyle w:val="ad"/>
        <w:spacing w:beforeLines="50" w:before="120" w:beforeAutospacing="0" w:afterLines="50" w:after="120" w:afterAutospacing="0"/>
        <w:rPr>
          <w:sz w:val="20"/>
          <w:szCs w:val="20"/>
        </w:rPr>
      </w:pPr>
      <w:r>
        <w:rPr>
          <w:sz w:val="20"/>
          <w:szCs w:val="20"/>
        </w:rPr>
        <w:lastRenderedPageBreak/>
        <w:t xml:space="preserve">For each potential participant, investigators are responsible to fully explain the purpose, procedures and possible risks of this study in a written form manner. The investigators must let every potential participant know that he/she has the right to withdraw consent from the study at any time. Every potential participant must be given a written informed consent. Every participant or the authorized surrogate of the participant must sign the consent before he/she can be enrolled in the study. The written informed consents will be kept as a part of the clinical trial documents. </w:t>
      </w:r>
    </w:p>
    <w:p w14:paraId="6D2123A5" w14:textId="77777777" w:rsidR="00555164" w:rsidRDefault="00555164">
      <w:pPr>
        <w:pStyle w:val="ad"/>
        <w:spacing w:beforeLines="50" w:before="120" w:beforeAutospacing="0" w:afterLines="50" w:after="120" w:afterAutospacing="0"/>
        <w:rPr>
          <w:sz w:val="20"/>
          <w:szCs w:val="20"/>
        </w:rPr>
      </w:pPr>
    </w:p>
    <w:p w14:paraId="2B616814"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15.3 Privacy and confidentiality </w:t>
      </w:r>
    </w:p>
    <w:p w14:paraId="52E299E9"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 xml:space="preserve">15.3.1 During the study period, the collected data from participants are labelled with special recruitment numbers and acronyms of names. </w:t>
      </w:r>
    </w:p>
    <w:p w14:paraId="5A3766E5" w14:textId="77777777" w:rsidR="00555164" w:rsidRDefault="002C73C0">
      <w:pPr>
        <w:pStyle w:val="ad"/>
        <w:spacing w:beforeLines="50" w:before="120" w:beforeAutospacing="0" w:afterLines="50" w:after="120" w:afterAutospacing="0"/>
        <w:rPr>
          <w:sz w:val="20"/>
          <w:szCs w:val="20"/>
        </w:rPr>
      </w:pPr>
      <w:r>
        <w:rPr>
          <w:sz w:val="20"/>
          <w:szCs w:val="20"/>
        </w:rPr>
        <w:t xml:space="preserve">15.3.2 All personal information of the participants will be kept confidential. The filing cabinets storing the study documents will be locked. Apart from the study investigators, only authorized inspectors from the Peking University Clinical Research Institute or members from the Peking University Institutional Review Board are allowed to access the information after obtaining consents from the participants. </w:t>
      </w:r>
    </w:p>
    <w:p w14:paraId="1A734492"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 xml:space="preserve">15.3.3 Results of the study will be published as scientific articles. But all personal data (including name and age, etc.) are strictly confidential. </w:t>
      </w:r>
    </w:p>
    <w:p w14:paraId="531A65A9" w14:textId="77777777" w:rsidR="00555164" w:rsidRDefault="00555164">
      <w:pPr>
        <w:pStyle w:val="ad"/>
        <w:spacing w:beforeLines="50" w:before="120" w:beforeAutospacing="0" w:afterLines="50" w:after="120" w:afterAutospacing="0"/>
        <w:rPr>
          <w:b/>
          <w:iCs/>
          <w:sz w:val="20"/>
          <w:szCs w:val="20"/>
        </w:rPr>
      </w:pPr>
    </w:p>
    <w:p w14:paraId="36BAEF51" w14:textId="77777777" w:rsidR="00555164" w:rsidRDefault="002C73C0">
      <w:pPr>
        <w:pStyle w:val="ad"/>
        <w:spacing w:beforeLines="50" w:before="120" w:beforeAutospacing="0" w:afterLines="50" w:after="120" w:afterAutospacing="0"/>
        <w:outlineLvl w:val="0"/>
        <w:rPr>
          <w:b/>
          <w:iCs/>
          <w:sz w:val="20"/>
          <w:szCs w:val="20"/>
        </w:rPr>
      </w:pPr>
      <w:bookmarkStart w:id="65" w:name="_Toc44756127"/>
      <w:bookmarkStart w:id="66" w:name="_Toc44796173"/>
      <w:bookmarkStart w:id="67" w:name="_Toc44754965"/>
      <w:bookmarkStart w:id="68" w:name="_Toc44755866"/>
      <w:bookmarkStart w:id="69" w:name="_Toc44756012"/>
      <w:r>
        <w:rPr>
          <w:b/>
          <w:iCs/>
          <w:sz w:val="20"/>
          <w:szCs w:val="20"/>
        </w:rPr>
        <w:t>16. Study termination</w:t>
      </w:r>
      <w:bookmarkEnd w:id="65"/>
      <w:bookmarkEnd w:id="66"/>
      <w:bookmarkEnd w:id="67"/>
      <w:bookmarkEnd w:id="68"/>
      <w:bookmarkEnd w:id="69"/>
      <w:r>
        <w:rPr>
          <w:b/>
          <w:iCs/>
          <w:sz w:val="20"/>
          <w:szCs w:val="20"/>
        </w:rPr>
        <w:t xml:space="preserve"> </w:t>
      </w:r>
    </w:p>
    <w:p w14:paraId="3C7BD7FC" w14:textId="77777777" w:rsidR="00555164" w:rsidRDefault="00555164">
      <w:pPr>
        <w:pStyle w:val="ad"/>
        <w:spacing w:beforeLines="50" w:before="120" w:beforeAutospacing="0" w:afterLines="50" w:after="120" w:afterAutospacing="0"/>
        <w:rPr>
          <w:sz w:val="20"/>
          <w:szCs w:val="20"/>
        </w:rPr>
      </w:pPr>
    </w:p>
    <w:p w14:paraId="7619A50D" w14:textId="77777777" w:rsidR="00555164" w:rsidRDefault="002C73C0">
      <w:pPr>
        <w:pStyle w:val="ad"/>
        <w:spacing w:beforeLines="50" w:before="120" w:beforeAutospacing="0" w:afterLines="50" w:after="120" w:afterAutospacing="0"/>
        <w:rPr>
          <w:sz w:val="20"/>
          <w:szCs w:val="20"/>
        </w:rPr>
      </w:pPr>
      <w:r>
        <w:rPr>
          <w:sz w:val="20"/>
          <w:szCs w:val="20"/>
        </w:rPr>
        <w:t xml:space="preserve">16.1 In case that severe adverse events or serious quality problem occur during the study period, the study will be stopped. A report will be sent to the Ethics Committee. Restart of the study will need an approval from the Ethics Committee. </w:t>
      </w:r>
    </w:p>
    <w:p w14:paraId="50DDE101" w14:textId="77777777" w:rsidR="00555164" w:rsidRDefault="002C73C0">
      <w:pPr>
        <w:pStyle w:val="ad"/>
        <w:spacing w:beforeLines="50" w:before="120" w:beforeAutospacing="0" w:afterLines="50" w:after="120" w:afterAutospacing="0"/>
        <w:rPr>
          <w:sz w:val="20"/>
          <w:szCs w:val="20"/>
        </w:rPr>
      </w:pPr>
      <w:r>
        <w:rPr>
          <w:sz w:val="20"/>
          <w:szCs w:val="20"/>
        </w:rPr>
        <w:t xml:space="preserve">16.2 The study will be terminated after accomplishment of required patient recruitment and data collection. Decision will be made by the principal investigator. </w:t>
      </w:r>
    </w:p>
    <w:p w14:paraId="6B0DB1D0" w14:textId="77777777" w:rsidR="00555164" w:rsidRDefault="00555164">
      <w:pPr>
        <w:pStyle w:val="ad"/>
        <w:spacing w:beforeLines="50" w:before="120" w:beforeAutospacing="0" w:afterLines="50" w:after="120" w:afterAutospacing="0"/>
        <w:rPr>
          <w:sz w:val="20"/>
          <w:szCs w:val="20"/>
        </w:rPr>
      </w:pPr>
    </w:p>
    <w:p w14:paraId="076B5939" w14:textId="77777777" w:rsidR="00555164" w:rsidRDefault="002C73C0">
      <w:pPr>
        <w:pStyle w:val="ad"/>
        <w:spacing w:beforeLines="50" w:before="120" w:beforeAutospacing="0" w:afterLines="50" w:after="120" w:afterAutospacing="0"/>
        <w:outlineLvl w:val="0"/>
        <w:rPr>
          <w:b/>
          <w:sz w:val="20"/>
          <w:szCs w:val="20"/>
        </w:rPr>
      </w:pPr>
      <w:bookmarkStart w:id="70" w:name="_Toc44756128"/>
      <w:bookmarkStart w:id="71" w:name="_Toc44754966"/>
      <w:bookmarkStart w:id="72" w:name="_Toc44755867"/>
      <w:bookmarkStart w:id="73" w:name="_Toc44796174"/>
      <w:bookmarkStart w:id="74" w:name="_Toc44756013"/>
      <w:r>
        <w:rPr>
          <w:b/>
          <w:sz w:val="20"/>
          <w:szCs w:val="20"/>
        </w:rPr>
        <w:t>17. Preservation of documents</w:t>
      </w:r>
      <w:bookmarkEnd w:id="70"/>
      <w:bookmarkEnd w:id="71"/>
      <w:bookmarkEnd w:id="72"/>
      <w:bookmarkEnd w:id="73"/>
      <w:bookmarkEnd w:id="74"/>
      <w:r>
        <w:rPr>
          <w:b/>
          <w:sz w:val="20"/>
          <w:szCs w:val="20"/>
        </w:rPr>
        <w:t xml:space="preserve"> </w:t>
      </w:r>
    </w:p>
    <w:p w14:paraId="3C4A9F79" w14:textId="77777777" w:rsidR="00555164" w:rsidRDefault="00555164">
      <w:pPr>
        <w:pStyle w:val="ad"/>
        <w:spacing w:beforeLines="50" w:before="120" w:beforeAutospacing="0" w:afterLines="50" w:after="120" w:afterAutospacing="0"/>
        <w:rPr>
          <w:sz w:val="20"/>
          <w:szCs w:val="20"/>
        </w:rPr>
      </w:pPr>
    </w:p>
    <w:p w14:paraId="15D4AE8A" w14:textId="77777777" w:rsidR="00555164" w:rsidRDefault="002C73C0">
      <w:pPr>
        <w:pStyle w:val="ad"/>
        <w:spacing w:beforeLines="50" w:before="120" w:beforeAutospacing="0" w:afterLines="50" w:after="120" w:afterAutospacing="0"/>
        <w:rPr>
          <w:sz w:val="20"/>
          <w:szCs w:val="20"/>
        </w:rPr>
      </w:pPr>
      <w:r>
        <w:rPr>
          <w:sz w:val="20"/>
          <w:szCs w:val="20"/>
        </w:rPr>
        <w:t>Investigators will carefully preserve all documents and data of the clinical trial according to the requirements of Good Clinic Practice for a period of 5 years.</w:t>
      </w:r>
    </w:p>
    <w:p w14:paraId="1B38A5D9" w14:textId="77777777" w:rsidR="00555164" w:rsidRDefault="00555164">
      <w:pPr>
        <w:pStyle w:val="ad"/>
        <w:spacing w:beforeLines="50" w:before="120" w:beforeAutospacing="0" w:afterLines="50" w:after="120" w:afterAutospacing="0"/>
        <w:rPr>
          <w:sz w:val="20"/>
          <w:szCs w:val="20"/>
        </w:rPr>
      </w:pPr>
    </w:p>
    <w:p w14:paraId="673F34C5" w14:textId="77777777" w:rsidR="00555164" w:rsidRDefault="002C73C0">
      <w:pPr>
        <w:pStyle w:val="ad"/>
        <w:spacing w:beforeLines="50" w:before="120" w:beforeAutospacing="0" w:afterLines="50" w:after="120" w:afterAutospacing="0"/>
        <w:outlineLvl w:val="0"/>
        <w:rPr>
          <w:b/>
          <w:sz w:val="20"/>
          <w:szCs w:val="20"/>
        </w:rPr>
      </w:pPr>
      <w:bookmarkStart w:id="75" w:name="_Toc44754967"/>
      <w:bookmarkStart w:id="76" w:name="_Toc44755868"/>
      <w:bookmarkStart w:id="77" w:name="_Toc44756129"/>
      <w:bookmarkStart w:id="78" w:name="_Toc44756014"/>
      <w:bookmarkStart w:id="79" w:name="_Toc44796175"/>
      <w:r>
        <w:rPr>
          <w:b/>
          <w:sz w:val="20"/>
          <w:szCs w:val="20"/>
        </w:rPr>
        <w:t>18. Declaration of interests</w:t>
      </w:r>
      <w:bookmarkEnd w:id="75"/>
      <w:bookmarkEnd w:id="76"/>
      <w:bookmarkEnd w:id="77"/>
      <w:bookmarkEnd w:id="78"/>
      <w:bookmarkEnd w:id="79"/>
      <w:r>
        <w:rPr>
          <w:b/>
          <w:sz w:val="20"/>
          <w:szCs w:val="20"/>
        </w:rPr>
        <w:t xml:space="preserve"> </w:t>
      </w:r>
    </w:p>
    <w:p w14:paraId="7ED85995" w14:textId="77777777" w:rsidR="00555164" w:rsidRDefault="00555164">
      <w:pPr>
        <w:pStyle w:val="ad"/>
        <w:spacing w:beforeLines="50" w:before="120" w:beforeAutospacing="0" w:afterLines="50" w:after="120" w:afterAutospacing="0"/>
        <w:rPr>
          <w:sz w:val="20"/>
          <w:szCs w:val="20"/>
        </w:rPr>
      </w:pPr>
    </w:p>
    <w:p w14:paraId="4CF1982C" w14:textId="77777777" w:rsidR="00555164" w:rsidRDefault="002C73C0">
      <w:pPr>
        <w:pStyle w:val="ad"/>
        <w:spacing w:beforeLines="50" w:before="120" w:beforeAutospacing="0" w:afterLines="50" w:after="120" w:afterAutospacing="0"/>
        <w:rPr>
          <w:sz w:val="20"/>
          <w:szCs w:val="20"/>
        </w:rPr>
      </w:pPr>
      <w:r>
        <w:rPr>
          <w:sz w:val="20"/>
          <w:szCs w:val="20"/>
        </w:rPr>
        <w:t xml:space="preserve">This trial is funded by the Peking University Clinical Research Program (PUCRP201101). The investigators declare no conflict of interests. </w:t>
      </w:r>
    </w:p>
    <w:p w14:paraId="6B67B150" w14:textId="77777777" w:rsidR="00555164" w:rsidRDefault="00555164">
      <w:pPr>
        <w:spacing w:beforeLines="50" w:before="120" w:afterLines="50" w:after="120"/>
        <w:rPr>
          <w:b/>
          <w:bCs/>
          <w:sz w:val="20"/>
          <w:szCs w:val="20"/>
        </w:rPr>
      </w:pPr>
    </w:p>
    <w:p w14:paraId="040A4865" w14:textId="77777777" w:rsidR="00555164" w:rsidRDefault="002C73C0">
      <w:pPr>
        <w:widowControl w:val="0"/>
        <w:autoSpaceDE w:val="0"/>
        <w:autoSpaceDN w:val="0"/>
        <w:adjustRightInd w:val="0"/>
        <w:spacing w:before="120" w:after="120"/>
        <w:ind w:left="640" w:hanging="640"/>
        <w:rPr>
          <w:b/>
          <w:bCs/>
          <w:sz w:val="20"/>
          <w:szCs w:val="20"/>
        </w:rPr>
      </w:pPr>
      <w:bookmarkStart w:id="80" w:name="_Toc44754968"/>
      <w:bookmarkStart w:id="81" w:name="_Toc44756015"/>
      <w:bookmarkStart w:id="82" w:name="_Toc44755869"/>
      <w:bookmarkStart w:id="83" w:name="_Toc44756130"/>
      <w:bookmarkStart w:id="84" w:name="_Toc44796176"/>
      <w:r>
        <w:rPr>
          <w:b/>
          <w:bCs/>
          <w:sz w:val="20"/>
          <w:szCs w:val="20"/>
        </w:rPr>
        <w:t>19. References</w:t>
      </w:r>
      <w:bookmarkEnd w:id="80"/>
      <w:bookmarkEnd w:id="81"/>
      <w:bookmarkEnd w:id="82"/>
      <w:bookmarkEnd w:id="83"/>
      <w:bookmarkEnd w:id="84"/>
      <w:r>
        <w:rPr>
          <w:b/>
          <w:bCs/>
          <w:sz w:val="20"/>
          <w:szCs w:val="20"/>
        </w:rPr>
        <w:t xml:space="preserve"> </w:t>
      </w:r>
    </w:p>
    <w:p w14:paraId="198807C3" w14:textId="77777777" w:rsidR="00555164" w:rsidRDefault="00555164">
      <w:pPr>
        <w:widowControl w:val="0"/>
        <w:autoSpaceDE w:val="0"/>
        <w:autoSpaceDN w:val="0"/>
        <w:adjustRightInd w:val="0"/>
        <w:spacing w:before="120" w:after="120"/>
        <w:ind w:left="640" w:hanging="640"/>
        <w:rPr>
          <w:b/>
          <w:bCs/>
          <w:sz w:val="20"/>
          <w:szCs w:val="20"/>
        </w:rPr>
      </w:pPr>
    </w:p>
    <w:p w14:paraId="129E78BE" w14:textId="77777777" w:rsidR="00555164" w:rsidRDefault="002C73C0">
      <w:pPr>
        <w:widowControl w:val="0"/>
        <w:autoSpaceDE w:val="0"/>
        <w:autoSpaceDN w:val="0"/>
        <w:adjustRightInd w:val="0"/>
        <w:spacing w:before="120" w:after="120"/>
        <w:ind w:left="640" w:hanging="640"/>
        <w:rPr>
          <w:sz w:val="20"/>
        </w:rPr>
      </w:pPr>
      <w:r>
        <w:rPr>
          <w:sz w:val="20"/>
          <w:szCs w:val="20"/>
        </w:rPr>
        <w:fldChar w:fldCharType="begin" w:fldLock="1"/>
      </w:r>
      <w:r>
        <w:rPr>
          <w:sz w:val="20"/>
          <w:szCs w:val="20"/>
        </w:rPr>
        <w:instrText xml:space="preserve">ADDIN Mendeley Bibliography CSL_BIBLIOGRAPHY </w:instrText>
      </w:r>
      <w:r>
        <w:rPr>
          <w:sz w:val="20"/>
          <w:szCs w:val="20"/>
        </w:rPr>
        <w:fldChar w:fldCharType="separate"/>
      </w:r>
      <w:r>
        <w:rPr>
          <w:sz w:val="20"/>
        </w:rPr>
        <w:t>1.</w:t>
      </w:r>
      <w:r>
        <w:rPr>
          <w:sz w:val="20"/>
        </w:rPr>
        <w:tab/>
        <w:t>GUZE SB: Diagnostic and Statistical Manual of Mental Disorders, 4th ed. (DSM-IV). Washington, DC, American Psychiatric Association, 1995</w:t>
      </w:r>
    </w:p>
    <w:p w14:paraId="648ACDA3" w14:textId="77777777" w:rsidR="00555164" w:rsidRDefault="002C73C0">
      <w:pPr>
        <w:widowControl w:val="0"/>
        <w:autoSpaceDE w:val="0"/>
        <w:autoSpaceDN w:val="0"/>
        <w:adjustRightInd w:val="0"/>
        <w:spacing w:before="120" w:after="120"/>
        <w:ind w:left="640" w:hanging="640"/>
        <w:rPr>
          <w:sz w:val="20"/>
        </w:rPr>
      </w:pPr>
      <w:r>
        <w:rPr>
          <w:sz w:val="20"/>
        </w:rPr>
        <w:t>2.</w:t>
      </w:r>
      <w:r>
        <w:rPr>
          <w:sz w:val="20"/>
        </w:rPr>
        <w:tab/>
        <w:t>Dyer CB, Ashton CM, Teasdale TA: Postoperative delirium. A review of 80 primary data-collection studies. Arch Intern Med 1995; 155:461–5</w:t>
      </w:r>
    </w:p>
    <w:p w14:paraId="3BFFE465" w14:textId="77777777" w:rsidR="00555164" w:rsidRDefault="002C73C0">
      <w:pPr>
        <w:widowControl w:val="0"/>
        <w:autoSpaceDE w:val="0"/>
        <w:autoSpaceDN w:val="0"/>
        <w:adjustRightInd w:val="0"/>
        <w:spacing w:before="120" w:after="120"/>
        <w:ind w:left="640" w:hanging="640"/>
        <w:rPr>
          <w:sz w:val="20"/>
        </w:rPr>
      </w:pPr>
      <w:r>
        <w:rPr>
          <w:sz w:val="20"/>
        </w:rPr>
        <w:t>3.</w:t>
      </w:r>
      <w:r>
        <w:rPr>
          <w:sz w:val="20"/>
        </w:rPr>
        <w:tab/>
        <w:t>Girard TD, Pandharipande PP, Ely EW: Delirium in the intensive care unit. Crit Care 2008; 12:S3</w:t>
      </w:r>
    </w:p>
    <w:p w14:paraId="62E9CC08" w14:textId="77777777" w:rsidR="00555164" w:rsidRDefault="002C73C0">
      <w:pPr>
        <w:widowControl w:val="0"/>
        <w:autoSpaceDE w:val="0"/>
        <w:autoSpaceDN w:val="0"/>
        <w:adjustRightInd w:val="0"/>
        <w:spacing w:before="120" w:after="120"/>
        <w:ind w:left="640" w:hanging="640"/>
        <w:rPr>
          <w:sz w:val="20"/>
        </w:rPr>
      </w:pPr>
      <w:r>
        <w:rPr>
          <w:sz w:val="20"/>
        </w:rPr>
        <w:t>4.</w:t>
      </w:r>
      <w:r>
        <w:rPr>
          <w:sz w:val="20"/>
        </w:rPr>
        <w:tab/>
        <w:t>Mu DL, Wang DX, Li LH, Shan GJ, Li J, Yu QJ, Shi CX: High serum cortisol level is associated with increased risk of delirium after coronary artery bypass graft surgery: A prospective cohort study. Crit Care 2010; 14:R238</w:t>
      </w:r>
    </w:p>
    <w:p w14:paraId="3E454AD7" w14:textId="77777777" w:rsidR="00555164" w:rsidRDefault="002C73C0">
      <w:pPr>
        <w:widowControl w:val="0"/>
        <w:autoSpaceDE w:val="0"/>
        <w:autoSpaceDN w:val="0"/>
        <w:adjustRightInd w:val="0"/>
        <w:spacing w:before="120" w:after="120"/>
        <w:ind w:left="640" w:hanging="640"/>
        <w:rPr>
          <w:sz w:val="20"/>
        </w:rPr>
      </w:pPr>
      <w:r>
        <w:rPr>
          <w:sz w:val="20"/>
        </w:rPr>
        <w:t>5.</w:t>
      </w:r>
      <w:r>
        <w:rPr>
          <w:sz w:val="20"/>
        </w:rPr>
        <w:tab/>
        <w:t>Shi CM, Wang DX, Chen KS, Gu XE: Incidence and risk factors of delirium in critically ill patients after non-cardiac surgery. Chin Med J (Engl) 2010; 123:993–9</w:t>
      </w:r>
    </w:p>
    <w:p w14:paraId="0354DE38" w14:textId="77777777" w:rsidR="00555164" w:rsidRDefault="002C73C0">
      <w:pPr>
        <w:widowControl w:val="0"/>
        <w:autoSpaceDE w:val="0"/>
        <w:autoSpaceDN w:val="0"/>
        <w:adjustRightInd w:val="0"/>
        <w:spacing w:before="120" w:after="120"/>
        <w:ind w:left="640" w:hanging="640"/>
        <w:rPr>
          <w:sz w:val="20"/>
        </w:rPr>
      </w:pPr>
      <w:r>
        <w:rPr>
          <w:sz w:val="20"/>
        </w:rPr>
        <w:lastRenderedPageBreak/>
        <w:t>6.</w:t>
      </w:r>
      <w:r>
        <w:rPr>
          <w:sz w:val="20"/>
        </w:rPr>
        <w:tab/>
        <w:t>Roberts B, Rickard CM, Rajbhandari D, Turner G, Clarke J, Hill D, Tauschke C, Chaboyer W, Parsons R: Multicentre study of delirium in ICU patients using a simple screening tool. Aust Crit Care 2005; 18:6–16</w:t>
      </w:r>
    </w:p>
    <w:p w14:paraId="69DDC217" w14:textId="77777777" w:rsidR="00555164" w:rsidRDefault="002C73C0">
      <w:pPr>
        <w:widowControl w:val="0"/>
        <w:autoSpaceDE w:val="0"/>
        <w:autoSpaceDN w:val="0"/>
        <w:adjustRightInd w:val="0"/>
        <w:spacing w:before="120" w:after="120"/>
        <w:ind w:left="640" w:hanging="640"/>
        <w:rPr>
          <w:sz w:val="20"/>
        </w:rPr>
      </w:pPr>
      <w:r>
        <w:rPr>
          <w:sz w:val="20"/>
        </w:rPr>
        <w:t>7.</w:t>
      </w:r>
      <w:r>
        <w:rPr>
          <w:sz w:val="20"/>
        </w:rPr>
        <w:tab/>
        <w:t>Balas MC, Happ MB, Yang W, Chelluri L, Richmond T: Outcomes associated with delirium in older patients in surgical ICUs. Chest 2009; 135:18–25</w:t>
      </w:r>
    </w:p>
    <w:p w14:paraId="7B6BCB97" w14:textId="77777777" w:rsidR="00555164" w:rsidRDefault="002C73C0">
      <w:pPr>
        <w:widowControl w:val="0"/>
        <w:autoSpaceDE w:val="0"/>
        <w:autoSpaceDN w:val="0"/>
        <w:adjustRightInd w:val="0"/>
        <w:spacing w:before="120" w:after="120"/>
        <w:ind w:left="640" w:hanging="640"/>
        <w:rPr>
          <w:sz w:val="20"/>
        </w:rPr>
      </w:pPr>
      <w:r>
        <w:rPr>
          <w:sz w:val="20"/>
        </w:rPr>
        <w:t>8.</w:t>
      </w:r>
      <w:r>
        <w:rPr>
          <w:sz w:val="20"/>
        </w:rPr>
        <w:tab/>
        <w:t>Ely E, Gautam S, Margolin R, Francis J, May L, Speroff T, Truman B, Dittus R, Bernard G, Inouye S: The impact of delirium in the intensive care unit on hospital length of stay. Intensive Care Med 2001; 27:1892–900</w:t>
      </w:r>
    </w:p>
    <w:p w14:paraId="716E4B86" w14:textId="77777777" w:rsidR="00555164" w:rsidRDefault="002C73C0">
      <w:pPr>
        <w:widowControl w:val="0"/>
        <w:autoSpaceDE w:val="0"/>
        <w:autoSpaceDN w:val="0"/>
        <w:adjustRightInd w:val="0"/>
        <w:spacing w:before="120" w:after="120"/>
        <w:ind w:left="640" w:hanging="640"/>
        <w:rPr>
          <w:sz w:val="20"/>
        </w:rPr>
      </w:pPr>
      <w:r>
        <w:rPr>
          <w:sz w:val="20"/>
        </w:rPr>
        <w:t>9.</w:t>
      </w:r>
      <w:r>
        <w:rPr>
          <w:sz w:val="20"/>
        </w:rPr>
        <w:tab/>
        <w:t>Ansaloni L, Catena F, Chattat R, Fortuna D, Franceschi C, Mascitti P, Melotti RM: Risk factors and incidence of postoperative delirium in elderly patients after elective and emergency surgery. Br J Surg 2010; 97:273–80</w:t>
      </w:r>
    </w:p>
    <w:p w14:paraId="2F5454A2" w14:textId="77777777" w:rsidR="00555164" w:rsidRDefault="002C73C0">
      <w:pPr>
        <w:widowControl w:val="0"/>
        <w:autoSpaceDE w:val="0"/>
        <w:autoSpaceDN w:val="0"/>
        <w:adjustRightInd w:val="0"/>
        <w:spacing w:before="120" w:after="120"/>
        <w:ind w:left="640" w:hanging="640"/>
        <w:rPr>
          <w:sz w:val="20"/>
        </w:rPr>
      </w:pPr>
      <w:r>
        <w:rPr>
          <w:sz w:val="20"/>
        </w:rPr>
        <w:t>10.</w:t>
      </w:r>
      <w:r>
        <w:rPr>
          <w:sz w:val="20"/>
        </w:rPr>
        <w:tab/>
        <w:t>Ely EW, Shintani A, Truman B, Speroff T, Gordon SM, Harrell FE, Inouye SK, Bernard GR, Dittus RS: Delirium as a Predictor of Mortality in Mechanically Ventilated Patients in the Intensive Care Unit. J Am Med Assoc 2004; 291:1753–62</w:t>
      </w:r>
    </w:p>
    <w:p w14:paraId="513F958E" w14:textId="77777777" w:rsidR="00555164" w:rsidRDefault="002C73C0">
      <w:pPr>
        <w:widowControl w:val="0"/>
        <w:autoSpaceDE w:val="0"/>
        <w:autoSpaceDN w:val="0"/>
        <w:adjustRightInd w:val="0"/>
        <w:spacing w:before="120" w:after="120"/>
        <w:ind w:left="640" w:hanging="640"/>
        <w:rPr>
          <w:sz w:val="20"/>
        </w:rPr>
      </w:pPr>
      <w:r>
        <w:rPr>
          <w:sz w:val="20"/>
        </w:rPr>
        <w:t>11.</w:t>
      </w:r>
      <w:r>
        <w:rPr>
          <w:sz w:val="20"/>
        </w:rPr>
        <w:tab/>
        <w:t>Pisani MA, Kong SYJ, Kasl S V., Murphy TE, Araujo KLB, Ness PH Van: Days of delirium are associated with 1-year mortality in an older intensive care unit population. Am J Respir Crit Care Med 2009; 180:1092–7</w:t>
      </w:r>
    </w:p>
    <w:p w14:paraId="0F59461A" w14:textId="77777777" w:rsidR="00555164" w:rsidRDefault="002C73C0">
      <w:pPr>
        <w:widowControl w:val="0"/>
        <w:autoSpaceDE w:val="0"/>
        <w:autoSpaceDN w:val="0"/>
        <w:adjustRightInd w:val="0"/>
        <w:spacing w:before="120" w:after="120"/>
        <w:ind w:left="640" w:hanging="640"/>
        <w:rPr>
          <w:sz w:val="20"/>
        </w:rPr>
      </w:pPr>
      <w:r>
        <w:rPr>
          <w:sz w:val="20"/>
        </w:rPr>
        <w:t>12.</w:t>
      </w:r>
      <w:r>
        <w:rPr>
          <w:sz w:val="20"/>
        </w:rPr>
        <w:tab/>
        <w:t>Franco K, Litaker D, Locala J, Bronson D: The cost of delirium in the surgical patient. Psychosomatics 2001; 42:68–73</w:t>
      </w:r>
    </w:p>
    <w:p w14:paraId="6EE2FAEE" w14:textId="77777777" w:rsidR="00555164" w:rsidRDefault="002C73C0">
      <w:pPr>
        <w:widowControl w:val="0"/>
        <w:autoSpaceDE w:val="0"/>
        <w:autoSpaceDN w:val="0"/>
        <w:adjustRightInd w:val="0"/>
        <w:spacing w:before="120" w:after="120"/>
        <w:ind w:left="640" w:hanging="640"/>
        <w:rPr>
          <w:sz w:val="20"/>
        </w:rPr>
      </w:pPr>
      <w:r>
        <w:rPr>
          <w:sz w:val="20"/>
        </w:rPr>
        <w:t>13.</w:t>
      </w:r>
      <w:r>
        <w:rPr>
          <w:sz w:val="20"/>
        </w:rPr>
        <w:tab/>
        <w:t>Milbrandt EB, Deppen S, Harrison PL, Shintani AK, Speroff T, Stiles RA, Truman B, Bernard GR, Dittus RS, Ely EW: Costs associated with delirium in mechanically ventilated patients. Crit Care Med 2004; 32:955–62</w:t>
      </w:r>
    </w:p>
    <w:p w14:paraId="14C1721A" w14:textId="77777777" w:rsidR="00555164" w:rsidRDefault="002C73C0">
      <w:pPr>
        <w:widowControl w:val="0"/>
        <w:autoSpaceDE w:val="0"/>
        <w:autoSpaceDN w:val="0"/>
        <w:adjustRightInd w:val="0"/>
        <w:spacing w:before="120" w:after="120"/>
        <w:ind w:left="640" w:hanging="640"/>
        <w:rPr>
          <w:sz w:val="20"/>
        </w:rPr>
      </w:pPr>
      <w:r>
        <w:rPr>
          <w:sz w:val="20"/>
        </w:rPr>
        <w:t>14.</w:t>
      </w:r>
      <w:r>
        <w:rPr>
          <w:sz w:val="20"/>
        </w:rPr>
        <w:tab/>
        <w:t>Bickel H, Gradinger R, Kochs E, Förstl H: High risk of cognitive and functional decline after postoperative delirium: A three-year prospective study. Dement Geriatr Cogn Disord 2008; 26:26–31</w:t>
      </w:r>
    </w:p>
    <w:p w14:paraId="5C4309D0" w14:textId="77777777" w:rsidR="00555164" w:rsidRDefault="002C73C0">
      <w:pPr>
        <w:widowControl w:val="0"/>
        <w:autoSpaceDE w:val="0"/>
        <w:autoSpaceDN w:val="0"/>
        <w:adjustRightInd w:val="0"/>
        <w:spacing w:before="120" w:after="120"/>
        <w:ind w:left="640" w:hanging="640"/>
        <w:rPr>
          <w:sz w:val="20"/>
        </w:rPr>
      </w:pPr>
      <w:r>
        <w:rPr>
          <w:sz w:val="20"/>
        </w:rPr>
        <w:t>15.</w:t>
      </w:r>
      <w:r>
        <w:rPr>
          <w:sz w:val="20"/>
        </w:rPr>
        <w:tab/>
        <w:t>Rompaey B Van, Schuurmans MJ, Shortridge-Baggett LM, Truijen S, Elseviers M, Bossaert L: Long term outcome after delirium in the intensive care unit. J Clin Nurs 2009; 18:3349–57</w:t>
      </w:r>
    </w:p>
    <w:p w14:paraId="12DC5D83" w14:textId="77777777" w:rsidR="00555164" w:rsidRDefault="002C73C0">
      <w:pPr>
        <w:widowControl w:val="0"/>
        <w:autoSpaceDE w:val="0"/>
        <w:autoSpaceDN w:val="0"/>
        <w:adjustRightInd w:val="0"/>
        <w:spacing w:before="120" w:after="120"/>
        <w:ind w:left="640" w:hanging="640"/>
        <w:rPr>
          <w:sz w:val="20"/>
        </w:rPr>
      </w:pPr>
      <w:r>
        <w:rPr>
          <w:sz w:val="20"/>
        </w:rPr>
        <w:t>16.</w:t>
      </w:r>
      <w:r>
        <w:rPr>
          <w:sz w:val="20"/>
        </w:rPr>
        <w:tab/>
        <w:t>Zha L, Wang DX: The impact of early postoperative delirium on long-term survival rate and quality of life in ICU patient after noncardiac surgery</w:t>
      </w:r>
      <w:r>
        <w:rPr>
          <w:sz w:val="20"/>
          <w:szCs w:val="20"/>
        </w:rPr>
        <w:t>(unpublished data)</w:t>
      </w:r>
    </w:p>
    <w:p w14:paraId="2AFC221D" w14:textId="77777777" w:rsidR="00555164" w:rsidRDefault="002C73C0">
      <w:pPr>
        <w:widowControl w:val="0"/>
        <w:autoSpaceDE w:val="0"/>
        <w:autoSpaceDN w:val="0"/>
        <w:adjustRightInd w:val="0"/>
        <w:spacing w:before="120" w:after="120"/>
        <w:ind w:left="640" w:hanging="640"/>
        <w:rPr>
          <w:sz w:val="20"/>
        </w:rPr>
      </w:pPr>
      <w:r>
        <w:rPr>
          <w:sz w:val="20"/>
        </w:rPr>
        <w:t>17.</w:t>
      </w:r>
      <w:r>
        <w:rPr>
          <w:sz w:val="20"/>
        </w:rPr>
        <w:tab/>
        <w:t>Inouye SK: Delirium in older persons. N Engl J Med 2006; 354:1157–65</w:t>
      </w:r>
    </w:p>
    <w:p w14:paraId="25B57CDE" w14:textId="77777777" w:rsidR="00555164" w:rsidRDefault="002C73C0">
      <w:pPr>
        <w:widowControl w:val="0"/>
        <w:autoSpaceDE w:val="0"/>
        <w:autoSpaceDN w:val="0"/>
        <w:adjustRightInd w:val="0"/>
        <w:spacing w:before="120" w:after="120"/>
        <w:ind w:left="640" w:hanging="640"/>
        <w:rPr>
          <w:sz w:val="20"/>
        </w:rPr>
      </w:pPr>
      <w:r>
        <w:rPr>
          <w:sz w:val="20"/>
        </w:rPr>
        <w:t>18.</w:t>
      </w:r>
      <w:r>
        <w:rPr>
          <w:sz w:val="20"/>
        </w:rPr>
        <w:tab/>
        <w:t>Milstein A, Pollack A, Kleinman G, Barak Y: Confusion/delirium following cataract surgery: An incidence study of 1-year duration. Int Psychogeriatrics 2002; 14:301–6</w:t>
      </w:r>
    </w:p>
    <w:p w14:paraId="3E840B51" w14:textId="77777777" w:rsidR="00555164" w:rsidRDefault="002C73C0">
      <w:pPr>
        <w:widowControl w:val="0"/>
        <w:autoSpaceDE w:val="0"/>
        <w:autoSpaceDN w:val="0"/>
        <w:adjustRightInd w:val="0"/>
        <w:spacing w:before="120" w:after="120"/>
        <w:ind w:left="640" w:hanging="640"/>
        <w:rPr>
          <w:sz w:val="20"/>
        </w:rPr>
      </w:pPr>
      <w:r>
        <w:rPr>
          <w:sz w:val="20"/>
        </w:rPr>
        <w:t>19.</w:t>
      </w:r>
      <w:r>
        <w:rPr>
          <w:sz w:val="20"/>
        </w:rPr>
        <w:tab/>
        <w:t>Vaurio LE, Sands LP, Wang Y, Mullen EA, Leung JM: Postoperative delirium: The importance of pain and pain management. Anesth Analg 2006; 102:1267–73</w:t>
      </w:r>
    </w:p>
    <w:p w14:paraId="6AB304E1" w14:textId="77777777" w:rsidR="00555164" w:rsidRDefault="002C73C0">
      <w:pPr>
        <w:widowControl w:val="0"/>
        <w:autoSpaceDE w:val="0"/>
        <w:autoSpaceDN w:val="0"/>
        <w:adjustRightInd w:val="0"/>
        <w:spacing w:before="120" w:after="120"/>
        <w:ind w:left="640" w:hanging="640"/>
        <w:rPr>
          <w:sz w:val="20"/>
        </w:rPr>
      </w:pPr>
      <w:r>
        <w:rPr>
          <w:sz w:val="20"/>
        </w:rPr>
        <w:t>20.</w:t>
      </w:r>
      <w:r>
        <w:rPr>
          <w:sz w:val="20"/>
        </w:rPr>
        <w:tab/>
        <w:t>Halaszynski TM: Pain management in the elderly and cognitively impaired patient: the role of regional anesthesia and analgesia. Curr Opin Anaesthesiol 2009; 22:594–9</w:t>
      </w:r>
    </w:p>
    <w:p w14:paraId="70CF1F80" w14:textId="77777777" w:rsidR="00555164" w:rsidRDefault="002C73C0">
      <w:pPr>
        <w:widowControl w:val="0"/>
        <w:autoSpaceDE w:val="0"/>
        <w:autoSpaceDN w:val="0"/>
        <w:adjustRightInd w:val="0"/>
        <w:spacing w:before="120" w:after="120"/>
        <w:ind w:left="640" w:hanging="640"/>
        <w:rPr>
          <w:sz w:val="20"/>
        </w:rPr>
      </w:pPr>
      <w:r>
        <w:rPr>
          <w:sz w:val="20"/>
        </w:rPr>
        <w:t>21.</w:t>
      </w:r>
      <w:r>
        <w:rPr>
          <w:sz w:val="20"/>
        </w:rPr>
        <w:tab/>
        <w:t>Hudek K: Emergence delirium: a nursing perspective. AORN J 2009; 89:509–20</w:t>
      </w:r>
    </w:p>
    <w:p w14:paraId="54F863B1" w14:textId="77777777" w:rsidR="00555164" w:rsidRDefault="002C73C0">
      <w:pPr>
        <w:widowControl w:val="0"/>
        <w:autoSpaceDE w:val="0"/>
        <w:autoSpaceDN w:val="0"/>
        <w:adjustRightInd w:val="0"/>
        <w:spacing w:before="120" w:after="120"/>
        <w:ind w:left="640" w:hanging="640"/>
        <w:rPr>
          <w:sz w:val="20"/>
        </w:rPr>
      </w:pPr>
      <w:r>
        <w:rPr>
          <w:sz w:val="20"/>
        </w:rPr>
        <w:t>22.</w:t>
      </w:r>
      <w:r>
        <w:rPr>
          <w:sz w:val="20"/>
        </w:rPr>
        <w:tab/>
        <w:t>Rudolph JL, Ramlawi B, Kuchel GA, McElhaney JE, Xie D, Sellke FW, Khabbaz K, Levkoff SE, Marcantonio ER: Chemokines are associated with delirium after cardiac surgery. Journals Gerontol - Ser A Biol Sci Med Sci 2008; 63:184–9</w:t>
      </w:r>
    </w:p>
    <w:p w14:paraId="5815503F" w14:textId="77777777" w:rsidR="00555164" w:rsidRDefault="002C73C0">
      <w:pPr>
        <w:widowControl w:val="0"/>
        <w:autoSpaceDE w:val="0"/>
        <w:autoSpaceDN w:val="0"/>
        <w:adjustRightInd w:val="0"/>
        <w:spacing w:before="120" w:after="120"/>
        <w:ind w:left="640" w:hanging="640"/>
        <w:rPr>
          <w:sz w:val="20"/>
        </w:rPr>
      </w:pPr>
      <w:r>
        <w:rPr>
          <w:sz w:val="20"/>
        </w:rPr>
        <w:t>23.</w:t>
      </w:r>
      <w:r>
        <w:rPr>
          <w:sz w:val="20"/>
        </w:rPr>
        <w:tab/>
        <w:t>Rooij SE de, Munster BC van, Korevaar JC, Levi M: Cytokines and acute phase response in delirium. J Psychosom Res 2007; 62:521–5</w:t>
      </w:r>
    </w:p>
    <w:p w14:paraId="44B45DA6" w14:textId="77777777" w:rsidR="00555164" w:rsidRDefault="002C73C0">
      <w:pPr>
        <w:widowControl w:val="0"/>
        <w:autoSpaceDE w:val="0"/>
        <w:autoSpaceDN w:val="0"/>
        <w:adjustRightInd w:val="0"/>
        <w:spacing w:before="120" w:after="120"/>
        <w:ind w:left="640" w:hanging="640"/>
        <w:rPr>
          <w:sz w:val="20"/>
        </w:rPr>
      </w:pPr>
      <w:r>
        <w:rPr>
          <w:sz w:val="20"/>
        </w:rPr>
        <w:t>24.</w:t>
      </w:r>
      <w:r>
        <w:rPr>
          <w:sz w:val="20"/>
        </w:rPr>
        <w:tab/>
        <w:t>Munster BC Van, Korevaar JC, Zwinderman AH, Levi M, Wiersinga WJ, Rooij SE De: Time-course of cytokines during delirium in elderly patients with hip fractures. J Am Geriatr Soc 2008; 56:1704–9</w:t>
      </w:r>
    </w:p>
    <w:p w14:paraId="56797E33" w14:textId="77777777" w:rsidR="00555164" w:rsidRDefault="002C73C0">
      <w:pPr>
        <w:widowControl w:val="0"/>
        <w:autoSpaceDE w:val="0"/>
        <w:autoSpaceDN w:val="0"/>
        <w:adjustRightInd w:val="0"/>
        <w:spacing w:before="120" w:after="120"/>
        <w:ind w:left="640" w:hanging="640"/>
        <w:rPr>
          <w:sz w:val="20"/>
        </w:rPr>
      </w:pPr>
      <w:r>
        <w:rPr>
          <w:sz w:val="20"/>
        </w:rPr>
        <w:t>25.</w:t>
      </w:r>
      <w:r>
        <w:rPr>
          <w:sz w:val="20"/>
        </w:rPr>
        <w:tab/>
        <w:t>Porreca F, Ossipov MH: Nausea and Vomiting Side Effects with Opioid Analgesics during Treatment of Chronic Pain: Mechanisms, Implications, and Management Options. Pain Med 2009; 10:654–62</w:t>
      </w:r>
    </w:p>
    <w:p w14:paraId="0DEB3CA7" w14:textId="77777777" w:rsidR="00555164" w:rsidRDefault="002C73C0">
      <w:pPr>
        <w:widowControl w:val="0"/>
        <w:autoSpaceDE w:val="0"/>
        <w:autoSpaceDN w:val="0"/>
        <w:adjustRightInd w:val="0"/>
        <w:spacing w:before="120" w:after="120"/>
        <w:ind w:left="640" w:hanging="640"/>
        <w:rPr>
          <w:sz w:val="20"/>
        </w:rPr>
      </w:pPr>
      <w:r>
        <w:rPr>
          <w:sz w:val="20"/>
        </w:rPr>
        <w:t>26.</w:t>
      </w:r>
      <w:r>
        <w:rPr>
          <w:sz w:val="20"/>
        </w:rPr>
        <w:tab/>
        <w:t>Pisani MA, Murphy TE, Araujo KLB, Slattum P, Ness PH Van, Inouye SK: Benzodiazepine and opioid use and the duration of intensive care unit delirium in an older population. Crit Care Med 2009; 37:177–83</w:t>
      </w:r>
    </w:p>
    <w:p w14:paraId="14828925" w14:textId="77777777" w:rsidR="00555164" w:rsidRDefault="002C73C0">
      <w:pPr>
        <w:widowControl w:val="0"/>
        <w:autoSpaceDE w:val="0"/>
        <w:autoSpaceDN w:val="0"/>
        <w:adjustRightInd w:val="0"/>
        <w:spacing w:before="120" w:after="120"/>
        <w:ind w:left="640" w:hanging="640"/>
        <w:rPr>
          <w:sz w:val="20"/>
        </w:rPr>
      </w:pPr>
      <w:r>
        <w:rPr>
          <w:sz w:val="20"/>
        </w:rPr>
        <w:t>27.</w:t>
      </w:r>
      <w:r>
        <w:rPr>
          <w:sz w:val="20"/>
        </w:rPr>
        <w:tab/>
        <w:t xml:space="preserve">Behera B, Puri G, Ghai B: Patient-controlled epidural analgesia with fentanyl and bupivacaine provides </w:t>
      </w:r>
      <w:r>
        <w:rPr>
          <w:sz w:val="20"/>
        </w:rPr>
        <w:lastRenderedPageBreak/>
        <w:t>better analgesia than intravenous morphine patient-controlled analgesia for early thoracotomy pain. J Postgrad Med 2008; 54:86–90</w:t>
      </w:r>
    </w:p>
    <w:p w14:paraId="6ED405F0" w14:textId="77777777" w:rsidR="00555164" w:rsidRDefault="002C73C0">
      <w:pPr>
        <w:widowControl w:val="0"/>
        <w:autoSpaceDE w:val="0"/>
        <w:autoSpaceDN w:val="0"/>
        <w:adjustRightInd w:val="0"/>
        <w:spacing w:before="120" w:after="120"/>
        <w:ind w:left="640" w:hanging="640"/>
        <w:rPr>
          <w:sz w:val="20"/>
        </w:rPr>
      </w:pPr>
      <w:r>
        <w:rPr>
          <w:sz w:val="20"/>
        </w:rPr>
        <w:t>28.</w:t>
      </w:r>
      <w:r>
        <w:rPr>
          <w:sz w:val="20"/>
        </w:rPr>
        <w:tab/>
        <w:t>Saeki H, Ishimura H, Higashi H, Kitagawa D, Tanaka J, Maruyama R, Katoh H, Shimazoe H, Yamauchi K, Ayabe H, Kakeji Y, Morita M, Maehara Y: Postoperative management using intensive patient-controlled epidural analgesia and early rehabilitation after an esophagectomy. Surg Today 2009; 39:476–80</w:t>
      </w:r>
    </w:p>
    <w:p w14:paraId="56F4BC8D" w14:textId="77777777" w:rsidR="00555164" w:rsidRDefault="002C73C0">
      <w:pPr>
        <w:widowControl w:val="0"/>
        <w:autoSpaceDE w:val="0"/>
        <w:autoSpaceDN w:val="0"/>
        <w:adjustRightInd w:val="0"/>
        <w:spacing w:before="120" w:after="120"/>
        <w:ind w:left="640" w:hanging="640"/>
        <w:rPr>
          <w:sz w:val="20"/>
        </w:rPr>
      </w:pPr>
      <w:r>
        <w:rPr>
          <w:sz w:val="20"/>
        </w:rPr>
        <w:t>29.</w:t>
      </w:r>
      <w:r>
        <w:rPr>
          <w:sz w:val="20"/>
        </w:rPr>
        <w:tab/>
        <w:t>Li Y, Zhu S, Yan M: Combined general/epidural anesthesia (ropivacaine 0.375%) versus general anesthesia for upper abdominal surgery. Anesth Analg 2008; 106:1562–5</w:t>
      </w:r>
    </w:p>
    <w:p w14:paraId="05F24A83" w14:textId="77777777" w:rsidR="00555164" w:rsidRDefault="002C73C0">
      <w:pPr>
        <w:widowControl w:val="0"/>
        <w:autoSpaceDE w:val="0"/>
        <w:autoSpaceDN w:val="0"/>
        <w:adjustRightInd w:val="0"/>
        <w:spacing w:before="120" w:after="120"/>
        <w:ind w:left="640" w:hanging="640"/>
        <w:rPr>
          <w:sz w:val="20"/>
        </w:rPr>
      </w:pPr>
      <w:r>
        <w:rPr>
          <w:sz w:val="20"/>
        </w:rPr>
        <w:t>30.</w:t>
      </w:r>
      <w:r>
        <w:rPr>
          <w:sz w:val="20"/>
        </w:rPr>
        <w:tab/>
        <w:t>Ahlers O, Nachtigall I, Lenze J, Goldmann A, Schulte E, Höhne C, Fritz G, Keh D: Intraoperative thoracic epidural anaesthesia attenuates stress-induced immunosuppression in patients undergoing major abdominal surgery. Br J Anaesth 2008; 101:781–7</w:t>
      </w:r>
    </w:p>
    <w:p w14:paraId="3B213C89" w14:textId="77777777" w:rsidR="00555164" w:rsidRDefault="002C73C0">
      <w:pPr>
        <w:widowControl w:val="0"/>
        <w:autoSpaceDE w:val="0"/>
        <w:autoSpaceDN w:val="0"/>
        <w:adjustRightInd w:val="0"/>
        <w:spacing w:before="120" w:after="120"/>
        <w:ind w:left="640" w:hanging="640"/>
        <w:rPr>
          <w:sz w:val="20"/>
        </w:rPr>
      </w:pPr>
      <w:r>
        <w:rPr>
          <w:sz w:val="20"/>
        </w:rPr>
        <w:t>31.</w:t>
      </w:r>
      <w:r>
        <w:rPr>
          <w:sz w:val="20"/>
        </w:rPr>
        <w:tab/>
        <w:t>Hong J, Yang S, Yi J, Kil HK: Epidural ropivacaine and sufentanil and the perioperative stress response after a radical retropubic prostatectomy. Acta Anaesthesiol Scand 2011; 55:282–9</w:t>
      </w:r>
    </w:p>
    <w:p w14:paraId="051C2F69" w14:textId="77777777" w:rsidR="00555164" w:rsidRDefault="002C73C0">
      <w:pPr>
        <w:widowControl w:val="0"/>
        <w:autoSpaceDE w:val="0"/>
        <w:autoSpaceDN w:val="0"/>
        <w:adjustRightInd w:val="0"/>
        <w:spacing w:before="120" w:after="120"/>
        <w:ind w:left="640" w:hanging="640"/>
        <w:rPr>
          <w:sz w:val="20"/>
        </w:rPr>
      </w:pPr>
      <w:r>
        <w:rPr>
          <w:sz w:val="20"/>
        </w:rPr>
        <w:t>32.</w:t>
      </w:r>
      <w:r>
        <w:rPr>
          <w:sz w:val="20"/>
        </w:rPr>
        <w:tab/>
        <w:t>Ballantyne JC, Kupelnick B, McPeek B, Lau J: Does the evidence support the use of spinal and epidural anesthesia for surgery? J Clin Anesth 2005; 17:382–91</w:t>
      </w:r>
    </w:p>
    <w:p w14:paraId="2553883E" w14:textId="77777777" w:rsidR="00555164" w:rsidRDefault="002C73C0">
      <w:pPr>
        <w:widowControl w:val="0"/>
        <w:autoSpaceDE w:val="0"/>
        <w:autoSpaceDN w:val="0"/>
        <w:adjustRightInd w:val="0"/>
        <w:spacing w:before="120" w:after="120"/>
        <w:ind w:left="640" w:hanging="640"/>
        <w:rPr>
          <w:sz w:val="20"/>
        </w:rPr>
      </w:pPr>
      <w:r>
        <w:rPr>
          <w:sz w:val="20"/>
        </w:rPr>
        <w:t>33.</w:t>
      </w:r>
      <w:r>
        <w:rPr>
          <w:sz w:val="20"/>
        </w:rPr>
        <w:tab/>
        <w:t xml:space="preserve">Nishimori M, Ballantyne JC, Low JH: Epidural pain relief versus systemic opioid-based pain relief for abdominal aortic surgery. Cochrane Database Syst Rev 2006:CD005059 </w:t>
      </w:r>
    </w:p>
    <w:p w14:paraId="109E75BD" w14:textId="77777777" w:rsidR="00555164" w:rsidRDefault="002C73C0">
      <w:pPr>
        <w:widowControl w:val="0"/>
        <w:autoSpaceDE w:val="0"/>
        <w:autoSpaceDN w:val="0"/>
        <w:adjustRightInd w:val="0"/>
        <w:spacing w:before="120" w:after="120"/>
        <w:ind w:left="640" w:hanging="640"/>
        <w:rPr>
          <w:sz w:val="20"/>
        </w:rPr>
      </w:pPr>
      <w:r>
        <w:rPr>
          <w:sz w:val="20"/>
        </w:rPr>
        <w:t>34.</w:t>
      </w:r>
      <w:r>
        <w:rPr>
          <w:sz w:val="20"/>
        </w:rPr>
        <w:tab/>
        <w:t>Young Park W, Thompson JS, Lee KK: Effect of epidural anesthesia and analgesia on perioperative outcome: A randomized, controlled veterans affairs cooperative study. Ann Surg 2001; 234:560–71</w:t>
      </w:r>
    </w:p>
    <w:p w14:paraId="2A178484" w14:textId="77777777" w:rsidR="00555164" w:rsidRDefault="002C73C0">
      <w:pPr>
        <w:widowControl w:val="0"/>
        <w:autoSpaceDE w:val="0"/>
        <w:autoSpaceDN w:val="0"/>
        <w:adjustRightInd w:val="0"/>
        <w:spacing w:before="120" w:after="120"/>
        <w:ind w:left="640" w:hanging="640"/>
        <w:rPr>
          <w:sz w:val="20"/>
        </w:rPr>
      </w:pPr>
      <w:r>
        <w:rPr>
          <w:sz w:val="20"/>
        </w:rPr>
        <w:t>35.</w:t>
      </w:r>
      <w:r>
        <w:rPr>
          <w:sz w:val="20"/>
        </w:rPr>
        <w:tab/>
        <w:t>Rodgers A, Walker N, Schug S, McKee A, Kehlet H, Zundert A Van, Sage D, Futter M, Saville G, Clark T, MacMahon S: Reduction of postoperative mortality and morbidity with epidural or spinal anaesthesia: Results from overview of randomised trials. Br Med J 2000; 321:1493–7</w:t>
      </w:r>
    </w:p>
    <w:p w14:paraId="63437FE9" w14:textId="77777777" w:rsidR="00555164" w:rsidRDefault="002C73C0">
      <w:pPr>
        <w:widowControl w:val="0"/>
        <w:autoSpaceDE w:val="0"/>
        <w:autoSpaceDN w:val="0"/>
        <w:adjustRightInd w:val="0"/>
        <w:spacing w:before="120" w:after="120"/>
        <w:ind w:left="640" w:hanging="640"/>
        <w:rPr>
          <w:sz w:val="20"/>
        </w:rPr>
      </w:pPr>
      <w:r>
        <w:rPr>
          <w:sz w:val="20"/>
        </w:rPr>
        <w:t>36.</w:t>
      </w:r>
      <w:r>
        <w:rPr>
          <w:sz w:val="20"/>
        </w:rPr>
        <w:tab/>
        <w:t>Bryson GL, Wyand A: Evidence-based clinical update: General anesthesia and the risk of delirium and postoperative cognitive dysfunction. Can J Anesth 2006; 53:669–77</w:t>
      </w:r>
    </w:p>
    <w:p w14:paraId="2F8F042F" w14:textId="77777777" w:rsidR="00555164" w:rsidRDefault="002C73C0">
      <w:pPr>
        <w:widowControl w:val="0"/>
        <w:autoSpaceDE w:val="0"/>
        <w:autoSpaceDN w:val="0"/>
        <w:adjustRightInd w:val="0"/>
        <w:spacing w:before="120" w:after="120"/>
        <w:ind w:left="640" w:hanging="640"/>
        <w:rPr>
          <w:sz w:val="20"/>
        </w:rPr>
      </w:pPr>
      <w:r>
        <w:rPr>
          <w:sz w:val="20"/>
        </w:rPr>
        <w:t>37.</w:t>
      </w:r>
      <w:r>
        <w:rPr>
          <w:sz w:val="20"/>
        </w:rPr>
        <w:tab/>
        <w:t>Mason SE, Noel-Storr A, Ritchie CW: The impact of general and regional anesthesia on the incidence of post-operative cognitive dysfunction and post-operative delirium: A systematic review with meta-analysis. J Alzheimer’s Dis Edited by Mandal PK, Fodale V. 2010; 22:S67–79</w:t>
      </w:r>
    </w:p>
    <w:p w14:paraId="1CA04030" w14:textId="77777777" w:rsidR="00555164" w:rsidRDefault="002C73C0">
      <w:pPr>
        <w:widowControl w:val="0"/>
        <w:autoSpaceDE w:val="0"/>
        <w:autoSpaceDN w:val="0"/>
        <w:adjustRightInd w:val="0"/>
        <w:spacing w:before="120" w:after="120"/>
        <w:ind w:left="640" w:hanging="640"/>
        <w:rPr>
          <w:sz w:val="20"/>
        </w:rPr>
      </w:pPr>
      <w:r>
        <w:rPr>
          <w:sz w:val="20"/>
        </w:rPr>
        <w:t>38.</w:t>
      </w:r>
      <w:r>
        <w:rPr>
          <w:sz w:val="20"/>
        </w:rPr>
        <w:tab/>
        <w:t>Papaioannou A, Fraidakis O, Michaloudis D, Balalis C, Askitopoulou H: The impact of the type of anaesthesia on cognitive status and delirium during the first postoperative days in elderly patients. Eur J Anaesthesiol 2005; 22:492–9</w:t>
      </w:r>
    </w:p>
    <w:p w14:paraId="4ACB455B" w14:textId="77777777" w:rsidR="00555164" w:rsidRDefault="002C73C0">
      <w:pPr>
        <w:widowControl w:val="0"/>
        <w:autoSpaceDE w:val="0"/>
        <w:autoSpaceDN w:val="0"/>
        <w:adjustRightInd w:val="0"/>
        <w:spacing w:before="120" w:after="120"/>
        <w:ind w:left="640" w:hanging="640"/>
        <w:rPr>
          <w:sz w:val="20"/>
        </w:rPr>
      </w:pPr>
      <w:r>
        <w:rPr>
          <w:sz w:val="20"/>
        </w:rPr>
        <w:t>39.</w:t>
      </w:r>
      <w:r>
        <w:rPr>
          <w:sz w:val="20"/>
        </w:rPr>
        <w:tab/>
        <w:t>Wang W, Li HL, Wang DX, Zhu X, Li SL, Yao GQ, Chen KS, Gu XE, Zhu SN: Haloperidol prophylaxis decreases delirium incidence in elderly patients after noncardiac surgery: A randomized controlled trial*</w:t>
      </w:r>
      <w:r>
        <w:rPr>
          <w:sz w:val="20"/>
          <w:szCs w:val="20"/>
        </w:rPr>
        <w:t>(to be published)</w:t>
      </w:r>
    </w:p>
    <w:p w14:paraId="73309EAE" w14:textId="77777777" w:rsidR="00555164" w:rsidRDefault="002C73C0">
      <w:pPr>
        <w:widowControl w:val="0"/>
        <w:autoSpaceDE w:val="0"/>
        <w:autoSpaceDN w:val="0"/>
        <w:adjustRightInd w:val="0"/>
        <w:spacing w:before="120" w:after="120"/>
        <w:ind w:left="640" w:hanging="640"/>
        <w:rPr>
          <w:sz w:val="20"/>
        </w:rPr>
      </w:pPr>
      <w:r>
        <w:rPr>
          <w:sz w:val="20"/>
        </w:rPr>
        <w:t>40.</w:t>
      </w:r>
      <w:r>
        <w:rPr>
          <w:sz w:val="20"/>
        </w:rPr>
        <w:tab/>
        <w:t>Sessler CN, Gosnell MS, Grap MJ, Brophy GM, O’Neal P V., Keane KA, Tesoro EP, Elswick RK: The Richmond Agitation-Sedation Scale: Validity and reliability in adult intensive care unit patients. Am J Respir Crit Care Med 2002; 166:1338–44</w:t>
      </w:r>
    </w:p>
    <w:p w14:paraId="2B446542" w14:textId="77777777" w:rsidR="00555164" w:rsidRDefault="002C73C0">
      <w:pPr>
        <w:widowControl w:val="0"/>
        <w:autoSpaceDE w:val="0"/>
        <w:autoSpaceDN w:val="0"/>
        <w:adjustRightInd w:val="0"/>
        <w:spacing w:before="120" w:after="120"/>
        <w:ind w:left="640" w:hanging="640"/>
        <w:rPr>
          <w:sz w:val="20"/>
        </w:rPr>
      </w:pPr>
      <w:r>
        <w:rPr>
          <w:sz w:val="20"/>
        </w:rPr>
        <w:t>41.</w:t>
      </w:r>
      <w:r>
        <w:rPr>
          <w:sz w:val="20"/>
        </w:rPr>
        <w:tab/>
        <w:t>Ely EW, Truman B, Shintani A, Thomason JWW, Wheeler AP, Gordon S, Francis J, Speroff T, Gautam S, Margolin R, Sessler CN, Dittus RS, Bernard GR: Monitoring Sedation Status over Time in ICU Patients: Reliability and Validity of the Richmond Agitation-Sedation Scale (RASS). J Am Med Assoc 2003; 289:2983–91</w:t>
      </w:r>
    </w:p>
    <w:p w14:paraId="79ED6C1D" w14:textId="77777777" w:rsidR="00555164" w:rsidRDefault="002C73C0">
      <w:pPr>
        <w:widowControl w:val="0"/>
        <w:autoSpaceDE w:val="0"/>
        <w:autoSpaceDN w:val="0"/>
        <w:adjustRightInd w:val="0"/>
        <w:spacing w:before="120" w:after="120"/>
        <w:ind w:left="640" w:hanging="640"/>
        <w:rPr>
          <w:sz w:val="20"/>
        </w:rPr>
      </w:pPr>
      <w:r>
        <w:rPr>
          <w:sz w:val="20"/>
        </w:rPr>
        <w:t>42.</w:t>
      </w:r>
      <w:r>
        <w:rPr>
          <w:sz w:val="20"/>
        </w:rPr>
        <w:tab/>
        <w:t>Charlson ME, Pompei P, Ales KL, MacKenzie CR: A new method of classifying prognostic comorbidity in longitudinal studies: Development and validation. J Chronic Dis 1987; 40:373–83</w:t>
      </w:r>
    </w:p>
    <w:p w14:paraId="24599E41" w14:textId="77777777" w:rsidR="00555164" w:rsidRDefault="002C73C0">
      <w:pPr>
        <w:widowControl w:val="0"/>
        <w:autoSpaceDE w:val="0"/>
        <w:autoSpaceDN w:val="0"/>
        <w:adjustRightInd w:val="0"/>
        <w:spacing w:before="120" w:after="120"/>
        <w:ind w:left="640" w:hanging="640"/>
        <w:rPr>
          <w:sz w:val="20"/>
        </w:rPr>
      </w:pPr>
      <w:r>
        <w:rPr>
          <w:sz w:val="20"/>
        </w:rPr>
        <w:t>43.</w:t>
      </w:r>
      <w:r>
        <w:rPr>
          <w:sz w:val="20"/>
        </w:rPr>
        <w:tab/>
        <w:t>Quan H, Li B, Couris CM, Fushimi K, Graham P, Hider P, Januel J-M, Sundararajan V: Updating and Validating the Charlson Comorbidity Index and Score for Risk Adjustment in Hospital Discharge Abstracts Using Data From 6 Countries. Am J Epidemiol 2011; 173:676–82</w:t>
      </w:r>
    </w:p>
    <w:p w14:paraId="1D18F80F" w14:textId="77777777" w:rsidR="00555164" w:rsidRDefault="002C73C0">
      <w:pPr>
        <w:widowControl w:val="0"/>
        <w:autoSpaceDE w:val="0"/>
        <w:autoSpaceDN w:val="0"/>
        <w:adjustRightInd w:val="0"/>
        <w:spacing w:before="120" w:after="120"/>
        <w:ind w:left="640" w:hanging="640"/>
        <w:rPr>
          <w:sz w:val="20"/>
        </w:rPr>
      </w:pPr>
      <w:r>
        <w:rPr>
          <w:sz w:val="20"/>
        </w:rPr>
        <w:t>44.</w:t>
      </w:r>
      <w:r>
        <w:rPr>
          <w:sz w:val="20"/>
        </w:rPr>
        <w:tab/>
        <w:t>Collin C, Wade DT, Davies S, Horne V: The barthel ADL index: A reliability study. Disabil Rehabil 1988; 10:61–3</w:t>
      </w:r>
    </w:p>
    <w:p w14:paraId="61F1261F" w14:textId="77777777" w:rsidR="00555164" w:rsidRDefault="002C73C0">
      <w:pPr>
        <w:widowControl w:val="0"/>
        <w:autoSpaceDE w:val="0"/>
        <w:autoSpaceDN w:val="0"/>
        <w:adjustRightInd w:val="0"/>
        <w:spacing w:before="120" w:after="120"/>
        <w:ind w:left="640" w:hanging="640"/>
        <w:rPr>
          <w:sz w:val="20"/>
        </w:rPr>
      </w:pPr>
      <w:r>
        <w:rPr>
          <w:sz w:val="20"/>
        </w:rPr>
        <w:t>45.</w:t>
      </w:r>
      <w:r>
        <w:rPr>
          <w:sz w:val="20"/>
        </w:rPr>
        <w:tab/>
        <w:t>Richards SH, Peters TJ, Coast J, Gunnell DJ, Darlow MA, Pounsford J: Inter-rater reliability of the Barthel ADL Index: How does a researcher compare to a nurse? Clin Rehabil 2000; 14:72–8</w:t>
      </w:r>
    </w:p>
    <w:p w14:paraId="7B5068D2" w14:textId="77777777" w:rsidR="00555164" w:rsidRDefault="002C73C0">
      <w:pPr>
        <w:widowControl w:val="0"/>
        <w:autoSpaceDE w:val="0"/>
        <w:autoSpaceDN w:val="0"/>
        <w:adjustRightInd w:val="0"/>
        <w:spacing w:before="120" w:after="120"/>
        <w:ind w:left="640" w:hanging="640"/>
        <w:rPr>
          <w:sz w:val="20"/>
        </w:rPr>
      </w:pPr>
      <w:r>
        <w:rPr>
          <w:sz w:val="20"/>
        </w:rPr>
        <w:t>46.</w:t>
      </w:r>
      <w:r>
        <w:rPr>
          <w:sz w:val="20"/>
        </w:rPr>
        <w:tab/>
        <w:t xml:space="preserve">Min Yu, Wu Yuanyuan YT: Validity and reliability of the simplified Chinese version of modified </w:t>
      </w:r>
      <w:r>
        <w:rPr>
          <w:sz w:val="20"/>
        </w:rPr>
        <w:lastRenderedPageBreak/>
        <w:t>Barthel index for Chinese stroke patients. Chi J Phys Med Rehabil 2008; 30:185–8</w:t>
      </w:r>
    </w:p>
    <w:p w14:paraId="56D24044" w14:textId="77777777" w:rsidR="00555164" w:rsidRDefault="002C73C0">
      <w:pPr>
        <w:widowControl w:val="0"/>
        <w:autoSpaceDE w:val="0"/>
        <w:autoSpaceDN w:val="0"/>
        <w:adjustRightInd w:val="0"/>
        <w:spacing w:before="120" w:after="120"/>
        <w:ind w:left="640" w:hanging="640"/>
        <w:rPr>
          <w:sz w:val="20"/>
        </w:rPr>
      </w:pPr>
      <w:r>
        <w:rPr>
          <w:sz w:val="20"/>
        </w:rPr>
        <w:t>47.</w:t>
      </w:r>
      <w:r>
        <w:rPr>
          <w:sz w:val="20"/>
        </w:rPr>
        <w:tab/>
        <w:t>Pangman VC, Sloan J, Guse L: An examination of psychometric properties of the Mini-Mental State Examination and the standardized Mini-Mental State Examination: Implications for clinical practice. Appl Nurs Res 2000; 13:209–13</w:t>
      </w:r>
    </w:p>
    <w:p w14:paraId="5AF853D5" w14:textId="77777777" w:rsidR="00555164" w:rsidRDefault="002C73C0">
      <w:pPr>
        <w:widowControl w:val="0"/>
        <w:autoSpaceDE w:val="0"/>
        <w:autoSpaceDN w:val="0"/>
        <w:adjustRightInd w:val="0"/>
        <w:spacing w:before="120" w:after="120"/>
        <w:ind w:left="640" w:hanging="640"/>
        <w:rPr>
          <w:sz w:val="20"/>
        </w:rPr>
      </w:pPr>
      <w:r>
        <w:rPr>
          <w:sz w:val="20"/>
        </w:rPr>
        <w:t>48.</w:t>
      </w:r>
      <w:r>
        <w:rPr>
          <w:sz w:val="20"/>
        </w:rPr>
        <w:tab/>
        <w:t>Katzman R, Zhang M, Ouang-Ya-Qu, Wang Z, Liu WT, Yu E, Wong SC, Salmon DP, Grant I: A Chinese version of the mini-mental state examination; Impact of illiteracy in a Shanghai dementia survey. J Clin Epidemiol 1988; 41:971–8</w:t>
      </w:r>
    </w:p>
    <w:p w14:paraId="03B4F823" w14:textId="77777777" w:rsidR="00555164" w:rsidRDefault="002C73C0">
      <w:pPr>
        <w:widowControl w:val="0"/>
        <w:autoSpaceDE w:val="0"/>
        <w:autoSpaceDN w:val="0"/>
        <w:adjustRightInd w:val="0"/>
        <w:spacing w:before="120" w:after="120"/>
        <w:ind w:left="640" w:hanging="640"/>
        <w:rPr>
          <w:sz w:val="20"/>
        </w:rPr>
      </w:pPr>
      <w:r>
        <w:rPr>
          <w:sz w:val="20"/>
        </w:rPr>
        <w:t>49.</w:t>
      </w:r>
      <w:r>
        <w:rPr>
          <w:sz w:val="20"/>
        </w:rPr>
        <w:tab/>
        <w:t>Zigmond AS, Snaith RP: The Hospital Anxiety and Depression Scale. Acta Psychiatr Scand 1983; 67:361–70</w:t>
      </w:r>
    </w:p>
    <w:p w14:paraId="509FFD74" w14:textId="77777777" w:rsidR="00555164" w:rsidRDefault="002C73C0">
      <w:pPr>
        <w:widowControl w:val="0"/>
        <w:autoSpaceDE w:val="0"/>
        <w:autoSpaceDN w:val="0"/>
        <w:adjustRightInd w:val="0"/>
        <w:spacing w:before="120" w:after="120"/>
        <w:ind w:left="640" w:hanging="640"/>
        <w:rPr>
          <w:sz w:val="20"/>
        </w:rPr>
      </w:pPr>
      <w:r>
        <w:rPr>
          <w:sz w:val="20"/>
        </w:rPr>
        <w:t>50.</w:t>
      </w:r>
      <w:r>
        <w:rPr>
          <w:sz w:val="20"/>
        </w:rPr>
        <w:tab/>
        <w:t>Bjelland I, Dahl AA, Haug TT, Neckelmann D: The validity of the Hospital Anxiety and Depression Scale: An updated literature review. J Psychosom Res 2002; 52:69–77</w:t>
      </w:r>
    </w:p>
    <w:p w14:paraId="24CB2176" w14:textId="77777777" w:rsidR="00555164" w:rsidRDefault="002C73C0">
      <w:pPr>
        <w:widowControl w:val="0"/>
        <w:autoSpaceDE w:val="0"/>
        <w:autoSpaceDN w:val="0"/>
        <w:adjustRightInd w:val="0"/>
        <w:spacing w:before="120" w:after="120"/>
        <w:ind w:left="640" w:hanging="640"/>
        <w:rPr>
          <w:sz w:val="20"/>
        </w:rPr>
      </w:pPr>
      <w:r>
        <w:rPr>
          <w:sz w:val="20"/>
        </w:rPr>
        <w:t>51.</w:t>
      </w:r>
      <w:r>
        <w:rPr>
          <w:sz w:val="20"/>
        </w:rPr>
        <w:tab/>
        <w:t>Leung CM, Ho S, Kan CS, Hung CH, Chen CN: Evaluation of the Chinese version of the Hospital Anxiety and Depression Scale. A cross-cultural perspective. Int J Psychosom 1993; 40:29–34</w:t>
      </w:r>
    </w:p>
    <w:p w14:paraId="1FCF68F0" w14:textId="77777777" w:rsidR="00555164" w:rsidRDefault="002C73C0">
      <w:pPr>
        <w:widowControl w:val="0"/>
        <w:autoSpaceDE w:val="0"/>
        <w:autoSpaceDN w:val="0"/>
        <w:adjustRightInd w:val="0"/>
        <w:spacing w:before="120" w:after="120"/>
        <w:ind w:left="640" w:hanging="640"/>
        <w:rPr>
          <w:sz w:val="20"/>
        </w:rPr>
      </w:pPr>
      <w:r>
        <w:rPr>
          <w:sz w:val="20"/>
        </w:rPr>
        <w:t>52.</w:t>
      </w:r>
      <w:r>
        <w:rPr>
          <w:sz w:val="20"/>
        </w:rPr>
        <w:tab/>
        <w:t>Ely EW, Bernard GR, Speroff T, Gautam S, Dittus R, May L, Truman B, Ely EW, Bernard GR, Gordon S, Margolin R, Inouye SK, Francis J, Hart RP: Delirium in mechanically ventilated patients: Validity and reliability of the Confusion Assessment Method for the intensive care unit (CAM-ICU). J Am Med Assoc 2001; 286:2703–10</w:t>
      </w:r>
    </w:p>
    <w:p w14:paraId="72F97416" w14:textId="77777777" w:rsidR="00555164" w:rsidRDefault="002C73C0">
      <w:pPr>
        <w:widowControl w:val="0"/>
        <w:autoSpaceDE w:val="0"/>
        <w:autoSpaceDN w:val="0"/>
        <w:adjustRightInd w:val="0"/>
        <w:spacing w:before="120" w:after="120"/>
        <w:ind w:left="640" w:hanging="640"/>
        <w:rPr>
          <w:sz w:val="20"/>
        </w:rPr>
      </w:pPr>
      <w:r>
        <w:rPr>
          <w:sz w:val="20"/>
        </w:rPr>
        <w:t>53.</w:t>
      </w:r>
      <w:r>
        <w:rPr>
          <w:sz w:val="20"/>
        </w:rPr>
        <w:tab/>
        <w:t>Chuang WL, Lin CH, Hsu WC, Ting YJ, Lin KC, Ma SC: Evaluation of the reliability and validity of the Chinese version of the confusion assessment method for the intensive care unit. Hu Li Za Zhi 2007; 54:45–52</w:t>
      </w:r>
    </w:p>
    <w:p w14:paraId="66E752F8" w14:textId="77777777" w:rsidR="00555164" w:rsidRDefault="002C73C0">
      <w:pPr>
        <w:widowControl w:val="0"/>
        <w:autoSpaceDE w:val="0"/>
        <w:autoSpaceDN w:val="0"/>
        <w:adjustRightInd w:val="0"/>
        <w:spacing w:before="120" w:after="120"/>
        <w:ind w:left="640" w:hanging="640"/>
        <w:rPr>
          <w:sz w:val="20"/>
        </w:rPr>
      </w:pPr>
      <w:r>
        <w:rPr>
          <w:sz w:val="20"/>
        </w:rPr>
        <w:t>54.</w:t>
      </w:r>
      <w:r>
        <w:rPr>
          <w:sz w:val="20"/>
        </w:rPr>
        <w:tab/>
        <w:t>Peterson JF, Pun BT, Dittus RS, Thomason JWW, Jackson JC, Shintani AK, Ely E: Delirium and its motoric subtypes: A study of 614 critically ill patients. J Am Geriatr Soc 2006; 54:479–84</w:t>
      </w:r>
    </w:p>
    <w:p w14:paraId="5366F259" w14:textId="77777777" w:rsidR="00555164" w:rsidRDefault="002C73C0">
      <w:pPr>
        <w:widowControl w:val="0"/>
        <w:autoSpaceDE w:val="0"/>
        <w:autoSpaceDN w:val="0"/>
        <w:adjustRightInd w:val="0"/>
        <w:spacing w:before="120" w:after="120"/>
        <w:ind w:left="640" w:hanging="640"/>
        <w:rPr>
          <w:sz w:val="20"/>
        </w:rPr>
      </w:pPr>
      <w:r>
        <w:rPr>
          <w:sz w:val="20"/>
        </w:rPr>
        <w:t>55.</w:t>
      </w:r>
      <w:r>
        <w:rPr>
          <w:sz w:val="20"/>
        </w:rPr>
        <w:tab/>
        <w:t>Huang M-C, Lee C-H, Lai Y-C, Kao Y-F, Lin H-Y, Chen C-H: Chinese version of the Delirium Rating Scale-Revised-98: reliability and validity. Compr Psychiatry 2009; 50:81–5</w:t>
      </w:r>
    </w:p>
    <w:p w14:paraId="2F6C1CA5" w14:textId="77777777" w:rsidR="00555164" w:rsidRDefault="002C73C0">
      <w:pPr>
        <w:widowControl w:val="0"/>
        <w:autoSpaceDE w:val="0"/>
        <w:autoSpaceDN w:val="0"/>
        <w:adjustRightInd w:val="0"/>
        <w:spacing w:before="120" w:after="120"/>
        <w:ind w:left="640" w:hanging="640"/>
        <w:rPr>
          <w:sz w:val="20"/>
        </w:rPr>
      </w:pPr>
      <w:r>
        <w:rPr>
          <w:sz w:val="20"/>
        </w:rPr>
        <w:t>56.</w:t>
      </w:r>
      <w:r>
        <w:rPr>
          <w:sz w:val="20"/>
        </w:rPr>
        <w:tab/>
        <w:t>Knaus WA, Draper EA, Wagner DP, Zimmerman JE: APACHE II: A severity of disease classification system. Crit Care Med 1985; 13:818–29</w:t>
      </w:r>
    </w:p>
    <w:p w14:paraId="6193B763" w14:textId="77777777" w:rsidR="00555164" w:rsidRDefault="002C73C0">
      <w:pPr>
        <w:widowControl w:val="0"/>
        <w:autoSpaceDE w:val="0"/>
        <w:autoSpaceDN w:val="0"/>
        <w:adjustRightInd w:val="0"/>
        <w:spacing w:before="120" w:after="120"/>
        <w:ind w:left="640" w:hanging="640"/>
        <w:rPr>
          <w:sz w:val="20"/>
        </w:rPr>
      </w:pPr>
      <w:r>
        <w:rPr>
          <w:sz w:val="20"/>
        </w:rPr>
        <w:t>57.</w:t>
      </w:r>
      <w:r>
        <w:rPr>
          <w:sz w:val="20"/>
        </w:rPr>
        <w:tab/>
        <w:t>Dindo D, Demartines N, Clavien PA: Classification of surgical complications: A new proposal with evaluation in a cohort of 6336 patients and results of a survey. Ann Surg 2004; 240:205–13</w:t>
      </w:r>
    </w:p>
    <w:p w14:paraId="7AEF3BCF" w14:textId="77777777" w:rsidR="00555164" w:rsidRDefault="002C73C0">
      <w:pPr>
        <w:widowControl w:val="0"/>
        <w:autoSpaceDE w:val="0"/>
        <w:autoSpaceDN w:val="0"/>
        <w:adjustRightInd w:val="0"/>
        <w:spacing w:before="120" w:after="120"/>
        <w:ind w:left="640" w:hanging="640"/>
        <w:rPr>
          <w:sz w:val="20"/>
          <w:szCs w:val="20"/>
        </w:rPr>
      </w:pPr>
      <w:r>
        <w:rPr>
          <w:sz w:val="20"/>
          <w:szCs w:val="20"/>
        </w:rPr>
        <w:fldChar w:fldCharType="end"/>
      </w:r>
    </w:p>
    <w:p w14:paraId="46D67527" w14:textId="77777777" w:rsidR="00555164" w:rsidRDefault="00555164">
      <w:pPr>
        <w:widowControl w:val="0"/>
        <w:autoSpaceDE w:val="0"/>
        <w:autoSpaceDN w:val="0"/>
        <w:adjustRightInd w:val="0"/>
        <w:ind w:left="640" w:hanging="640"/>
        <w:rPr>
          <w:b/>
          <w:bCs/>
          <w:sz w:val="20"/>
          <w:szCs w:val="20"/>
        </w:rPr>
      </w:pPr>
    </w:p>
    <w:p w14:paraId="2C5923DF" w14:textId="77777777" w:rsidR="00555164" w:rsidRDefault="002C73C0">
      <w:pPr>
        <w:rPr>
          <w:b/>
          <w:bCs/>
          <w:sz w:val="20"/>
          <w:szCs w:val="20"/>
        </w:rPr>
      </w:pPr>
      <w:r>
        <w:rPr>
          <w:b/>
          <w:bCs/>
          <w:sz w:val="20"/>
          <w:szCs w:val="20"/>
        </w:rPr>
        <w:br w:type="page"/>
      </w:r>
    </w:p>
    <w:p w14:paraId="72C1FF85" w14:textId="77777777" w:rsidR="00555164" w:rsidRDefault="002C73C0">
      <w:pPr>
        <w:pStyle w:val="1"/>
        <w:spacing w:beforeLines="50" w:before="120" w:beforeAutospacing="0" w:afterLines="50" w:after="120" w:afterAutospacing="0"/>
        <w:rPr>
          <w:rFonts w:ascii="Times New Roman" w:eastAsia="等线" w:hAnsi="Times New Roman" w:cs="Times New Roman"/>
          <w:b w:val="0"/>
          <w:sz w:val="24"/>
          <w:szCs w:val="24"/>
        </w:rPr>
      </w:pPr>
      <w:bookmarkStart w:id="85" w:name="_Toc44796177"/>
      <w:r>
        <w:rPr>
          <w:rFonts w:ascii="Times New Roman" w:hAnsi="Times New Roman" w:cs="Times New Roman"/>
          <w:sz w:val="24"/>
          <w:szCs w:val="24"/>
        </w:rPr>
        <w:lastRenderedPageBreak/>
        <w:t>Final study protocol</w:t>
      </w:r>
      <w:bookmarkEnd w:id="85"/>
      <w:r>
        <w:rPr>
          <w:rFonts w:ascii="Times New Roman" w:hAnsi="Times New Roman" w:cs="Times New Roman"/>
          <w:sz w:val="24"/>
          <w:szCs w:val="24"/>
        </w:rPr>
        <w:t xml:space="preserve"> </w:t>
      </w:r>
    </w:p>
    <w:p w14:paraId="17748588" w14:textId="77777777" w:rsidR="00555164" w:rsidRDefault="00555164">
      <w:pPr>
        <w:spacing w:beforeLines="50" w:before="120" w:afterLines="50" w:after="120"/>
        <w:rPr>
          <w:rFonts w:eastAsia="等线"/>
          <w:b/>
          <w:sz w:val="20"/>
          <w:szCs w:val="20"/>
        </w:rPr>
      </w:pPr>
    </w:p>
    <w:p w14:paraId="6C3381C1" w14:textId="77777777" w:rsidR="00555164" w:rsidRDefault="00555164">
      <w:pPr>
        <w:spacing w:beforeLines="50" w:before="120" w:afterLines="50" w:after="120"/>
        <w:rPr>
          <w:b/>
          <w:sz w:val="20"/>
          <w:szCs w:val="20"/>
        </w:rPr>
      </w:pPr>
    </w:p>
    <w:p w14:paraId="0F05B0AB" w14:textId="77777777" w:rsidR="00555164" w:rsidRDefault="00555164">
      <w:pPr>
        <w:spacing w:beforeLines="50" w:before="120" w:afterLines="50" w:after="120"/>
        <w:rPr>
          <w:b/>
          <w:sz w:val="20"/>
          <w:szCs w:val="20"/>
        </w:rPr>
      </w:pPr>
    </w:p>
    <w:p w14:paraId="685744CB" w14:textId="77777777" w:rsidR="00555164" w:rsidRDefault="002C73C0">
      <w:pPr>
        <w:spacing w:beforeLines="50" w:before="120" w:afterLines="50" w:after="120"/>
        <w:jc w:val="both"/>
        <w:rPr>
          <w:b/>
          <w:sz w:val="20"/>
          <w:szCs w:val="20"/>
        </w:rPr>
      </w:pPr>
      <w:r>
        <w:rPr>
          <w:b/>
          <w:sz w:val="20"/>
          <w:szCs w:val="20"/>
        </w:rPr>
        <w:t xml:space="preserve">Effects of two different anesthesia-analgesia methods on incidence of postoperative delirium in elderly patients undergoing major thoracic and abdominal surgery: </w:t>
      </w:r>
      <w:r>
        <w:rPr>
          <w:rFonts w:eastAsia="等线"/>
          <w:b/>
          <w:sz w:val="20"/>
          <w:szCs w:val="20"/>
        </w:rPr>
        <w:t>A</w:t>
      </w:r>
      <w:r>
        <w:rPr>
          <w:b/>
          <w:sz w:val="20"/>
          <w:szCs w:val="20"/>
        </w:rPr>
        <w:t xml:space="preserve"> multicenter randomized controlled trial</w:t>
      </w:r>
    </w:p>
    <w:p w14:paraId="76F7142E" w14:textId="77777777" w:rsidR="00555164" w:rsidRDefault="00555164">
      <w:pPr>
        <w:spacing w:beforeLines="50" w:before="120" w:afterLines="50" w:after="120"/>
        <w:rPr>
          <w:rFonts w:eastAsia="等线"/>
          <w:b/>
          <w:sz w:val="20"/>
          <w:szCs w:val="20"/>
        </w:rPr>
      </w:pPr>
    </w:p>
    <w:p w14:paraId="7FCE3340" w14:textId="77777777" w:rsidR="00555164" w:rsidRDefault="00555164">
      <w:pPr>
        <w:spacing w:beforeLines="50" w:before="120" w:afterLines="50" w:after="120"/>
        <w:rPr>
          <w:rFonts w:eastAsia="等线"/>
          <w:b/>
          <w:sz w:val="20"/>
          <w:szCs w:val="20"/>
        </w:rPr>
      </w:pPr>
    </w:p>
    <w:p w14:paraId="249118E9" w14:textId="77777777" w:rsidR="00555164" w:rsidRDefault="00555164">
      <w:pPr>
        <w:spacing w:beforeLines="50" w:before="120" w:afterLines="50" w:after="120"/>
        <w:rPr>
          <w:rFonts w:eastAsia="等线"/>
          <w:b/>
          <w:sz w:val="20"/>
          <w:szCs w:val="20"/>
        </w:rPr>
      </w:pPr>
    </w:p>
    <w:p w14:paraId="6D756374" w14:textId="77777777" w:rsidR="00555164" w:rsidRDefault="00555164">
      <w:pPr>
        <w:spacing w:beforeLines="50" w:before="120" w:afterLines="50" w:after="120"/>
        <w:rPr>
          <w:rFonts w:eastAsia="等线"/>
          <w:b/>
          <w:sz w:val="20"/>
          <w:szCs w:val="20"/>
        </w:rPr>
      </w:pPr>
    </w:p>
    <w:p w14:paraId="4B755DEA" w14:textId="77777777" w:rsidR="00555164" w:rsidRDefault="00555164">
      <w:pPr>
        <w:spacing w:beforeLines="50" w:before="120" w:afterLines="50" w:after="120"/>
        <w:rPr>
          <w:rFonts w:eastAsia="等线"/>
          <w:b/>
          <w:sz w:val="20"/>
          <w:szCs w:val="20"/>
        </w:rPr>
      </w:pPr>
    </w:p>
    <w:p w14:paraId="70A0AEC0" w14:textId="77777777" w:rsidR="00555164" w:rsidRDefault="00555164">
      <w:pPr>
        <w:spacing w:beforeLines="50" w:before="120" w:afterLines="50" w:after="120"/>
        <w:rPr>
          <w:rFonts w:eastAsia="等线"/>
          <w:b/>
          <w:sz w:val="20"/>
          <w:szCs w:val="20"/>
        </w:rPr>
      </w:pPr>
    </w:p>
    <w:p w14:paraId="5F5CE64C" w14:textId="77777777" w:rsidR="00555164" w:rsidRDefault="00555164">
      <w:pPr>
        <w:spacing w:beforeLines="50" w:before="120" w:afterLines="50" w:after="120"/>
        <w:rPr>
          <w:rFonts w:eastAsia="等线"/>
          <w:b/>
          <w:sz w:val="20"/>
          <w:szCs w:val="20"/>
        </w:rPr>
      </w:pPr>
    </w:p>
    <w:p w14:paraId="09FBD6D7" w14:textId="77777777" w:rsidR="00555164" w:rsidRDefault="00555164">
      <w:pPr>
        <w:spacing w:beforeLines="50" w:before="120" w:afterLines="50" w:after="120"/>
        <w:rPr>
          <w:rFonts w:eastAsia="等线"/>
          <w:b/>
          <w:sz w:val="20"/>
          <w:szCs w:val="20"/>
        </w:rPr>
      </w:pPr>
    </w:p>
    <w:p w14:paraId="1D6DB8CB" w14:textId="77777777" w:rsidR="00555164" w:rsidRDefault="00555164">
      <w:pPr>
        <w:spacing w:beforeLines="50" w:before="120" w:afterLines="50" w:after="120"/>
        <w:rPr>
          <w:rFonts w:eastAsia="等线"/>
          <w:b/>
          <w:sz w:val="20"/>
          <w:szCs w:val="20"/>
        </w:rPr>
      </w:pPr>
    </w:p>
    <w:p w14:paraId="1557108D" w14:textId="77777777" w:rsidR="00555164" w:rsidRDefault="00555164">
      <w:pPr>
        <w:spacing w:beforeLines="50" w:before="120" w:afterLines="50" w:after="120"/>
        <w:rPr>
          <w:rFonts w:eastAsia="等线"/>
          <w:b/>
          <w:sz w:val="20"/>
          <w:szCs w:val="20"/>
        </w:rPr>
      </w:pPr>
    </w:p>
    <w:p w14:paraId="4822ABAB" w14:textId="77777777" w:rsidR="00555164" w:rsidRDefault="00555164">
      <w:pPr>
        <w:spacing w:beforeLines="50" w:before="120" w:afterLines="50" w:after="120"/>
        <w:rPr>
          <w:rFonts w:eastAsia="等线"/>
          <w:b/>
          <w:sz w:val="20"/>
          <w:szCs w:val="20"/>
        </w:rPr>
      </w:pPr>
    </w:p>
    <w:p w14:paraId="75208CAB" w14:textId="77777777" w:rsidR="00555164" w:rsidRDefault="00555164">
      <w:pPr>
        <w:spacing w:beforeLines="50" w:before="120" w:afterLines="50" w:after="120"/>
        <w:rPr>
          <w:rFonts w:eastAsia="等线"/>
          <w:b/>
          <w:sz w:val="20"/>
          <w:szCs w:val="20"/>
        </w:rPr>
      </w:pPr>
    </w:p>
    <w:p w14:paraId="7CC17C3F" w14:textId="77777777" w:rsidR="00555164" w:rsidRDefault="00555164">
      <w:pPr>
        <w:spacing w:beforeLines="50" w:before="120" w:afterLines="50" w:after="120"/>
        <w:rPr>
          <w:rFonts w:eastAsia="等线"/>
          <w:b/>
          <w:sz w:val="20"/>
          <w:szCs w:val="20"/>
        </w:rPr>
      </w:pPr>
    </w:p>
    <w:p w14:paraId="25C86E1B" w14:textId="77777777" w:rsidR="00555164" w:rsidRDefault="00555164">
      <w:pPr>
        <w:spacing w:beforeLines="50" w:before="120" w:afterLines="50" w:after="120"/>
        <w:rPr>
          <w:rFonts w:eastAsia="等线"/>
          <w:b/>
          <w:sz w:val="20"/>
          <w:szCs w:val="20"/>
        </w:rPr>
      </w:pPr>
    </w:p>
    <w:p w14:paraId="1534C6F8" w14:textId="77777777" w:rsidR="00555164" w:rsidRDefault="002C73C0">
      <w:pPr>
        <w:spacing w:beforeLines="50" w:before="120" w:afterLines="50" w:after="120"/>
        <w:rPr>
          <w:sz w:val="20"/>
          <w:szCs w:val="20"/>
        </w:rPr>
      </w:pPr>
      <w:r>
        <w:rPr>
          <w:rFonts w:eastAsia="等线"/>
          <w:b/>
          <w:sz w:val="20"/>
          <w:szCs w:val="20"/>
        </w:rPr>
        <w:t>Principal investigator:</w:t>
      </w:r>
      <w:r>
        <w:rPr>
          <w:rFonts w:eastAsia="等线"/>
          <w:bCs/>
          <w:sz w:val="20"/>
          <w:szCs w:val="20"/>
        </w:rPr>
        <w:t xml:space="preserve"> </w:t>
      </w:r>
      <w:r>
        <w:rPr>
          <w:sz w:val="20"/>
          <w:szCs w:val="20"/>
        </w:rPr>
        <w:t>Prof Dong-Xin Wang, MD, PhD</w:t>
      </w:r>
    </w:p>
    <w:p w14:paraId="24C1E4AC" w14:textId="77777777" w:rsidR="00555164" w:rsidRDefault="00555164">
      <w:pPr>
        <w:spacing w:beforeLines="50" w:before="120" w:afterLines="50" w:after="120"/>
        <w:rPr>
          <w:rFonts w:eastAsia="等线"/>
          <w:b/>
          <w:sz w:val="20"/>
          <w:szCs w:val="20"/>
        </w:rPr>
      </w:pPr>
    </w:p>
    <w:p w14:paraId="3D6E6663" w14:textId="77777777" w:rsidR="00555164" w:rsidRDefault="002C73C0">
      <w:pPr>
        <w:spacing w:beforeLines="50" w:before="120" w:afterLines="50" w:after="120"/>
        <w:jc w:val="both"/>
        <w:rPr>
          <w:rFonts w:eastAsia="等线"/>
          <w:b/>
          <w:sz w:val="20"/>
          <w:szCs w:val="20"/>
        </w:rPr>
      </w:pPr>
      <w:r>
        <w:rPr>
          <w:rFonts w:eastAsia="等线"/>
          <w:b/>
          <w:sz w:val="20"/>
          <w:szCs w:val="20"/>
        </w:rPr>
        <w:t>Name of institute:</w:t>
      </w:r>
      <w:r>
        <w:rPr>
          <w:rFonts w:eastAsia="等线"/>
          <w:bCs/>
          <w:sz w:val="20"/>
          <w:szCs w:val="20"/>
        </w:rPr>
        <w:t xml:space="preserve"> </w:t>
      </w:r>
      <w:r>
        <w:rPr>
          <w:sz w:val="20"/>
          <w:szCs w:val="20"/>
        </w:rPr>
        <w:t>Department of Anesthesiology and Critical Care Medicine, Peking University First Hospital, Beijing 100034, China</w:t>
      </w:r>
      <w:r>
        <w:rPr>
          <w:rFonts w:eastAsia="等线"/>
          <w:b/>
          <w:sz w:val="20"/>
          <w:szCs w:val="20"/>
        </w:rPr>
        <w:t xml:space="preserve"> </w:t>
      </w:r>
    </w:p>
    <w:p w14:paraId="4F5ABDE1" w14:textId="77777777" w:rsidR="00555164" w:rsidRDefault="00555164">
      <w:pPr>
        <w:spacing w:beforeLines="50" w:before="120" w:afterLines="50" w:after="120"/>
        <w:rPr>
          <w:rFonts w:eastAsia="等线"/>
          <w:bCs/>
          <w:sz w:val="20"/>
          <w:szCs w:val="20"/>
        </w:rPr>
      </w:pPr>
    </w:p>
    <w:p w14:paraId="67333960" w14:textId="77777777" w:rsidR="00555164" w:rsidRDefault="002C73C0">
      <w:pPr>
        <w:spacing w:beforeLines="50" w:before="120" w:afterLines="50" w:after="120"/>
        <w:rPr>
          <w:rFonts w:eastAsia="等线"/>
          <w:bCs/>
          <w:sz w:val="20"/>
          <w:szCs w:val="20"/>
        </w:rPr>
      </w:pPr>
      <w:r>
        <w:rPr>
          <w:rFonts w:eastAsia="等线"/>
          <w:b/>
          <w:sz w:val="20"/>
          <w:szCs w:val="20"/>
        </w:rPr>
        <w:t>Date of last revision:</w:t>
      </w:r>
      <w:r>
        <w:rPr>
          <w:rFonts w:eastAsia="等线"/>
          <w:bCs/>
          <w:sz w:val="20"/>
          <w:szCs w:val="20"/>
        </w:rPr>
        <w:t xml:space="preserve"> October 20, 2014</w:t>
      </w:r>
    </w:p>
    <w:p w14:paraId="332D1382" w14:textId="77777777" w:rsidR="00555164" w:rsidRDefault="00555164">
      <w:pPr>
        <w:spacing w:beforeLines="50" w:before="120" w:afterLines="50" w:after="120"/>
        <w:rPr>
          <w:rFonts w:eastAsia="等线"/>
          <w:bCs/>
          <w:sz w:val="20"/>
          <w:szCs w:val="20"/>
        </w:rPr>
      </w:pPr>
    </w:p>
    <w:p w14:paraId="635230D3" w14:textId="77777777" w:rsidR="00555164" w:rsidRDefault="002C73C0">
      <w:pPr>
        <w:spacing w:beforeLines="50" w:before="120" w:afterLines="50" w:after="120"/>
        <w:rPr>
          <w:rFonts w:eastAsia="等线"/>
          <w:bCs/>
          <w:sz w:val="20"/>
          <w:szCs w:val="20"/>
        </w:rPr>
      </w:pPr>
      <w:r>
        <w:rPr>
          <w:rFonts w:eastAsia="等线"/>
          <w:b/>
          <w:sz w:val="20"/>
          <w:szCs w:val="20"/>
        </w:rPr>
        <w:t>Version of protocol:</w:t>
      </w:r>
      <w:r>
        <w:rPr>
          <w:rFonts w:eastAsia="等线"/>
          <w:bCs/>
          <w:sz w:val="20"/>
          <w:szCs w:val="20"/>
        </w:rPr>
        <w:t xml:space="preserve"> V3.5</w:t>
      </w:r>
    </w:p>
    <w:p w14:paraId="6327FD3F" w14:textId="77777777" w:rsidR="00555164" w:rsidRDefault="00555164">
      <w:pPr>
        <w:spacing w:beforeLines="50" w:before="120" w:afterLines="50" w:after="120"/>
        <w:rPr>
          <w:rFonts w:eastAsia="等线"/>
          <w:bCs/>
          <w:sz w:val="20"/>
          <w:szCs w:val="20"/>
        </w:rPr>
      </w:pPr>
    </w:p>
    <w:p w14:paraId="102B37A0" w14:textId="77777777" w:rsidR="00555164" w:rsidRDefault="00555164">
      <w:pPr>
        <w:spacing w:beforeLines="50" w:before="120" w:afterLines="50" w:after="120"/>
        <w:rPr>
          <w:rFonts w:eastAsia="等线"/>
          <w:bCs/>
          <w:sz w:val="20"/>
          <w:szCs w:val="20"/>
        </w:rPr>
      </w:pPr>
    </w:p>
    <w:p w14:paraId="6501B184" w14:textId="77777777" w:rsidR="00555164" w:rsidRDefault="00555164">
      <w:pPr>
        <w:spacing w:beforeLines="50" w:before="120" w:afterLines="50" w:after="120"/>
        <w:rPr>
          <w:rFonts w:eastAsia="等线"/>
          <w:bCs/>
          <w:sz w:val="20"/>
          <w:szCs w:val="20"/>
        </w:rPr>
      </w:pPr>
    </w:p>
    <w:p w14:paraId="0D03FE3B" w14:textId="77777777" w:rsidR="00555164" w:rsidRDefault="002C73C0">
      <w:pPr>
        <w:rPr>
          <w:rFonts w:eastAsia="等线"/>
          <w:b/>
          <w:sz w:val="20"/>
          <w:szCs w:val="20"/>
        </w:rPr>
      </w:pPr>
      <w:r>
        <w:rPr>
          <w:rFonts w:eastAsia="等线"/>
          <w:b/>
          <w:sz w:val="20"/>
          <w:szCs w:val="20"/>
        </w:rPr>
        <w:br w:type="page"/>
      </w:r>
    </w:p>
    <w:p w14:paraId="6D3CD8C6" w14:textId="77777777" w:rsidR="00555164" w:rsidRDefault="00555164">
      <w:pPr>
        <w:pStyle w:val="ad"/>
        <w:spacing w:beforeLines="50" w:before="120" w:beforeAutospacing="0" w:afterLines="50" w:after="120" w:afterAutospacing="0"/>
        <w:rPr>
          <w:bCs/>
          <w:sz w:val="20"/>
          <w:szCs w:val="20"/>
        </w:rPr>
      </w:pPr>
    </w:p>
    <w:p w14:paraId="52551EBD" w14:textId="77777777" w:rsidR="00555164" w:rsidRDefault="002C73C0">
      <w:pPr>
        <w:pStyle w:val="ad"/>
        <w:spacing w:beforeLines="50" w:before="120" w:beforeAutospacing="0" w:afterLines="50" w:after="120" w:afterAutospacing="0"/>
        <w:jc w:val="center"/>
        <w:rPr>
          <w:b/>
          <w:bCs/>
          <w:sz w:val="20"/>
          <w:szCs w:val="20"/>
        </w:rPr>
      </w:pPr>
      <w:r>
        <w:rPr>
          <w:b/>
          <w:bCs/>
          <w:sz w:val="20"/>
          <w:szCs w:val="20"/>
        </w:rPr>
        <w:t>Protocol contents</w:t>
      </w:r>
    </w:p>
    <w:sdt>
      <w:sdtPr>
        <w:rPr>
          <w:rFonts w:ascii="Times New Roman" w:eastAsia="Times New Roman" w:hAnsi="Times New Roman"/>
          <w:color w:val="auto"/>
          <w:sz w:val="20"/>
          <w:szCs w:val="20"/>
        </w:rPr>
        <w:id w:val="-29960358"/>
        <w:docPartObj>
          <w:docPartGallery w:val="Table of Contents"/>
          <w:docPartUnique/>
        </w:docPartObj>
      </w:sdtPr>
      <w:sdtEndPr>
        <w:rPr>
          <w:b/>
          <w:bCs/>
        </w:rPr>
      </w:sdtEndPr>
      <w:sdtContent>
        <w:p w14:paraId="26890769" w14:textId="77777777" w:rsidR="00555164" w:rsidRDefault="002C73C0">
          <w:pPr>
            <w:pStyle w:val="TOC10"/>
            <w:rPr>
              <w:rFonts w:ascii="Times New Roman" w:hAnsi="Times New Roman"/>
              <w:b/>
              <w:bCs/>
              <w:sz w:val="20"/>
              <w:szCs w:val="20"/>
            </w:rPr>
          </w:pPr>
          <w:r>
            <w:rPr>
              <w:rFonts w:ascii="Times New Roman" w:hAnsi="Times New Roman"/>
              <w:sz w:val="20"/>
              <w:szCs w:val="20"/>
            </w:rPr>
            <w:fldChar w:fldCharType="begin"/>
          </w:r>
          <w:r>
            <w:rPr>
              <w:rFonts w:ascii="Times New Roman" w:hAnsi="Times New Roman"/>
              <w:sz w:val="20"/>
              <w:szCs w:val="20"/>
            </w:rPr>
            <w:instrText xml:space="preserve"> TOC \o "1-3" \h \z \u </w:instrText>
          </w:r>
          <w:r>
            <w:rPr>
              <w:rFonts w:ascii="Times New Roman" w:hAnsi="Times New Roman"/>
              <w:sz w:val="20"/>
              <w:szCs w:val="20"/>
            </w:rPr>
            <w:fldChar w:fldCharType="separate"/>
          </w:r>
        </w:p>
        <w:p w14:paraId="71EE1D4F" w14:textId="77777777" w:rsidR="00555164" w:rsidRDefault="003D1D26">
          <w:pPr>
            <w:pStyle w:val="TOC1"/>
            <w:tabs>
              <w:tab w:val="right" w:leader="dot" w:pos="9010"/>
            </w:tabs>
            <w:rPr>
              <w:rFonts w:ascii="Times New Roman" w:eastAsiaTheme="minorEastAsia" w:hAnsi="Times New Roman"/>
              <w:b w:val="0"/>
              <w:bCs w:val="0"/>
            </w:rPr>
          </w:pPr>
          <w:hyperlink w:anchor="_Toc44756132" w:history="1">
            <w:r w:rsidR="002C73C0">
              <w:rPr>
                <w:rStyle w:val="af5"/>
                <w:rFonts w:ascii="Times New Roman" w:hAnsi="Times New Roman"/>
                <w:b w:val="0"/>
              </w:rPr>
              <w:t xml:space="preserve">1. Background </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_Toc44756132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23</w:t>
            </w:r>
            <w:r w:rsidR="002C73C0">
              <w:rPr>
                <w:rFonts w:ascii="Times New Roman" w:hAnsi="Times New Roman"/>
                <w:b w:val="0"/>
              </w:rPr>
              <w:fldChar w:fldCharType="end"/>
            </w:r>
          </w:hyperlink>
        </w:p>
        <w:p w14:paraId="56E75B8E" w14:textId="77777777" w:rsidR="00555164" w:rsidRDefault="003D1D26">
          <w:pPr>
            <w:pStyle w:val="TOC1"/>
            <w:tabs>
              <w:tab w:val="right" w:leader="dot" w:pos="9010"/>
            </w:tabs>
            <w:rPr>
              <w:rFonts w:ascii="Times New Roman" w:eastAsiaTheme="minorEastAsia" w:hAnsi="Times New Roman"/>
              <w:b w:val="0"/>
              <w:bCs w:val="0"/>
            </w:rPr>
          </w:pPr>
          <w:hyperlink w:anchor="_Toc44756133" w:history="1">
            <w:r w:rsidR="002C73C0">
              <w:rPr>
                <w:rStyle w:val="af5"/>
                <w:rFonts w:ascii="Times New Roman" w:hAnsi="Times New Roman"/>
                <w:b w:val="0"/>
              </w:rPr>
              <w:t>2. Purpose of the study</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_Toc44756133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23</w:t>
            </w:r>
            <w:r w:rsidR="002C73C0">
              <w:rPr>
                <w:rFonts w:ascii="Times New Roman" w:hAnsi="Times New Roman"/>
                <w:b w:val="0"/>
              </w:rPr>
              <w:fldChar w:fldCharType="end"/>
            </w:r>
          </w:hyperlink>
        </w:p>
        <w:p w14:paraId="04B03A2B" w14:textId="77777777" w:rsidR="00555164" w:rsidRDefault="003D1D26">
          <w:pPr>
            <w:pStyle w:val="TOC1"/>
            <w:tabs>
              <w:tab w:val="right" w:leader="dot" w:pos="9010"/>
            </w:tabs>
            <w:rPr>
              <w:rFonts w:ascii="Times New Roman" w:eastAsiaTheme="minorEastAsia" w:hAnsi="Times New Roman"/>
              <w:b w:val="0"/>
              <w:bCs w:val="0"/>
            </w:rPr>
          </w:pPr>
          <w:hyperlink w:anchor="_Toc44756134" w:history="1">
            <w:r w:rsidR="002C73C0">
              <w:rPr>
                <w:rStyle w:val="af5"/>
                <w:rFonts w:ascii="Times New Roman" w:hAnsi="Times New Roman"/>
                <w:b w:val="0"/>
              </w:rPr>
              <w:t>3. Study design</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_Toc44756134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24</w:t>
            </w:r>
            <w:r w:rsidR="002C73C0">
              <w:rPr>
                <w:rFonts w:ascii="Times New Roman" w:hAnsi="Times New Roman"/>
                <w:b w:val="0"/>
              </w:rPr>
              <w:fldChar w:fldCharType="end"/>
            </w:r>
          </w:hyperlink>
        </w:p>
        <w:p w14:paraId="77B44674" w14:textId="77777777" w:rsidR="00555164" w:rsidRDefault="003D1D26">
          <w:pPr>
            <w:pStyle w:val="TOC1"/>
            <w:tabs>
              <w:tab w:val="right" w:leader="dot" w:pos="9010"/>
            </w:tabs>
            <w:rPr>
              <w:rFonts w:ascii="Times New Roman" w:eastAsiaTheme="minorEastAsia" w:hAnsi="Times New Roman"/>
              <w:b w:val="0"/>
              <w:bCs w:val="0"/>
            </w:rPr>
          </w:pPr>
          <w:hyperlink w:anchor="_Toc44756135" w:history="1">
            <w:r w:rsidR="002C73C0">
              <w:rPr>
                <w:rStyle w:val="af5"/>
                <w:rFonts w:ascii="Times New Roman" w:hAnsi="Times New Roman"/>
                <w:b w:val="0"/>
              </w:rPr>
              <w:t>4. Study participants</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_Toc44756135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24</w:t>
            </w:r>
            <w:r w:rsidR="002C73C0">
              <w:rPr>
                <w:rFonts w:ascii="Times New Roman" w:hAnsi="Times New Roman"/>
                <w:b w:val="0"/>
              </w:rPr>
              <w:fldChar w:fldCharType="end"/>
            </w:r>
          </w:hyperlink>
        </w:p>
        <w:p w14:paraId="59FFD13E" w14:textId="77777777" w:rsidR="00555164" w:rsidRDefault="003D1D26">
          <w:pPr>
            <w:pStyle w:val="TOC1"/>
            <w:tabs>
              <w:tab w:val="right" w:leader="dot" w:pos="9010"/>
            </w:tabs>
            <w:rPr>
              <w:rFonts w:ascii="Times New Roman" w:eastAsiaTheme="minorEastAsia" w:hAnsi="Times New Roman"/>
              <w:b w:val="0"/>
              <w:bCs w:val="0"/>
            </w:rPr>
          </w:pPr>
          <w:hyperlink w:anchor="_Toc44756136" w:history="1">
            <w:r w:rsidR="002C73C0">
              <w:rPr>
                <w:rStyle w:val="af5"/>
                <w:rFonts w:ascii="Times New Roman" w:hAnsi="Times New Roman"/>
                <w:b w:val="0"/>
              </w:rPr>
              <w:t>5. Randomization and masking</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_Toc44756136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25</w:t>
            </w:r>
            <w:r w:rsidR="002C73C0">
              <w:rPr>
                <w:rFonts w:ascii="Times New Roman" w:hAnsi="Times New Roman"/>
                <w:b w:val="0"/>
              </w:rPr>
              <w:fldChar w:fldCharType="end"/>
            </w:r>
          </w:hyperlink>
        </w:p>
        <w:p w14:paraId="460B102A" w14:textId="77777777" w:rsidR="00555164" w:rsidRDefault="003D1D26">
          <w:pPr>
            <w:pStyle w:val="TOC1"/>
            <w:tabs>
              <w:tab w:val="right" w:leader="dot" w:pos="9010"/>
            </w:tabs>
            <w:rPr>
              <w:rFonts w:ascii="Times New Roman" w:eastAsiaTheme="minorEastAsia" w:hAnsi="Times New Roman"/>
              <w:b w:val="0"/>
              <w:bCs w:val="0"/>
            </w:rPr>
          </w:pPr>
          <w:hyperlink w:anchor="_Toc44756137" w:history="1">
            <w:r w:rsidR="002C73C0">
              <w:rPr>
                <w:rStyle w:val="af5"/>
                <w:rFonts w:ascii="Times New Roman" w:hAnsi="Times New Roman"/>
                <w:b w:val="0"/>
              </w:rPr>
              <w:t>6. Intervention protocol</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_Toc44756137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26</w:t>
            </w:r>
            <w:r w:rsidR="002C73C0">
              <w:rPr>
                <w:rFonts w:ascii="Times New Roman" w:hAnsi="Times New Roman"/>
                <w:b w:val="0"/>
              </w:rPr>
              <w:fldChar w:fldCharType="end"/>
            </w:r>
          </w:hyperlink>
        </w:p>
        <w:p w14:paraId="3177F087" w14:textId="77777777" w:rsidR="00555164" w:rsidRDefault="003D1D26">
          <w:pPr>
            <w:pStyle w:val="TOC1"/>
            <w:tabs>
              <w:tab w:val="right" w:leader="dot" w:pos="9010"/>
            </w:tabs>
            <w:rPr>
              <w:rFonts w:ascii="Times New Roman" w:eastAsiaTheme="minorEastAsia" w:hAnsi="Times New Roman"/>
              <w:b w:val="0"/>
              <w:bCs w:val="0"/>
            </w:rPr>
          </w:pPr>
          <w:hyperlink w:anchor="_Toc44756138" w:history="1">
            <w:r w:rsidR="002C73C0">
              <w:rPr>
                <w:rStyle w:val="af5"/>
                <w:rFonts w:ascii="Times New Roman" w:hAnsi="Times New Roman"/>
                <w:b w:val="0"/>
              </w:rPr>
              <w:t>7. Data collection</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_Toc44756138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28</w:t>
            </w:r>
            <w:r w:rsidR="002C73C0">
              <w:rPr>
                <w:rFonts w:ascii="Times New Roman" w:hAnsi="Times New Roman"/>
                <w:b w:val="0"/>
              </w:rPr>
              <w:fldChar w:fldCharType="end"/>
            </w:r>
          </w:hyperlink>
        </w:p>
        <w:p w14:paraId="615339A4" w14:textId="77777777" w:rsidR="00555164" w:rsidRDefault="003D1D26">
          <w:pPr>
            <w:pStyle w:val="TOC1"/>
            <w:tabs>
              <w:tab w:val="right" w:leader="dot" w:pos="9010"/>
            </w:tabs>
            <w:rPr>
              <w:rFonts w:ascii="Times New Roman" w:eastAsiaTheme="minorEastAsia" w:hAnsi="Times New Roman"/>
              <w:b w:val="0"/>
              <w:bCs w:val="0"/>
            </w:rPr>
          </w:pPr>
          <w:hyperlink w:anchor="_Toc44756139" w:history="1">
            <w:r w:rsidR="002C73C0">
              <w:rPr>
                <w:rStyle w:val="af5"/>
                <w:rFonts w:ascii="Times New Roman" w:hAnsi="Times New Roman"/>
                <w:b w:val="0"/>
              </w:rPr>
              <w:t>8. Outcomes</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_Toc44756139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29</w:t>
            </w:r>
            <w:r w:rsidR="002C73C0">
              <w:rPr>
                <w:rFonts w:ascii="Times New Roman" w:hAnsi="Times New Roman"/>
                <w:b w:val="0"/>
              </w:rPr>
              <w:fldChar w:fldCharType="end"/>
            </w:r>
          </w:hyperlink>
        </w:p>
        <w:p w14:paraId="50D7372C" w14:textId="77777777" w:rsidR="00555164" w:rsidRDefault="003D1D26">
          <w:pPr>
            <w:pStyle w:val="TOC1"/>
            <w:tabs>
              <w:tab w:val="right" w:leader="dot" w:pos="9010"/>
            </w:tabs>
            <w:rPr>
              <w:rFonts w:ascii="Times New Roman" w:eastAsiaTheme="minorEastAsia" w:hAnsi="Times New Roman"/>
              <w:b w:val="0"/>
              <w:bCs w:val="0"/>
            </w:rPr>
          </w:pPr>
          <w:hyperlink w:anchor="_Toc44756140" w:history="1">
            <w:r w:rsidR="002C73C0">
              <w:rPr>
                <w:rStyle w:val="af5"/>
                <w:rFonts w:ascii="Times New Roman" w:hAnsi="Times New Roman"/>
                <w:b w:val="0"/>
              </w:rPr>
              <w:t>9. Adverse events</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_Toc44756140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30</w:t>
            </w:r>
            <w:r w:rsidR="002C73C0">
              <w:rPr>
                <w:rFonts w:ascii="Times New Roman" w:hAnsi="Times New Roman"/>
                <w:b w:val="0"/>
              </w:rPr>
              <w:fldChar w:fldCharType="end"/>
            </w:r>
          </w:hyperlink>
        </w:p>
        <w:p w14:paraId="6B6C70B8" w14:textId="77777777" w:rsidR="00555164" w:rsidRDefault="003D1D26">
          <w:pPr>
            <w:pStyle w:val="TOC1"/>
            <w:tabs>
              <w:tab w:val="right" w:leader="dot" w:pos="9010"/>
            </w:tabs>
            <w:rPr>
              <w:rFonts w:ascii="Times New Roman" w:eastAsiaTheme="minorEastAsia" w:hAnsi="Times New Roman"/>
              <w:b w:val="0"/>
              <w:bCs w:val="0"/>
            </w:rPr>
          </w:pPr>
          <w:hyperlink w:anchor="_Toc44756141" w:history="1">
            <w:r w:rsidR="002C73C0">
              <w:rPr>
                <w:rStyle w:val="af5"/>
                <w:rFonts w:ascii="Times New Roman" w:hAnsi="Times New Roman"/>
                <w:b w:val="0"/>
              </w:rPr>
              <w:t>10. Severe adverse events</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_Toc44756141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30</w:t>
            </w:r>
            <w:r w:rsidR="002C73C0">
              <w:rPr>
                <w:rFonts w:ascii="Times New Roman" w:hAnsi="Times New Roman"/>
                <w:b w:val="0"/>
              </w:rPr>
              <w:fldChar w:fldCharType="end"/>
            </w:r>
          </w:hyperlink>
        </w:p>
        <w:p w14:paraId="3A2D259A" w14:textId="77777777" w:rsidR="00555164" w:rsidRDefault="003D1D26">
          <w:pPr>
            <w:pStyle w:val="TOC1"/>
            <w:tabs>
              <w:tab w:val="right" w:leader="dot" w:pos="9010"/>
            </w:tabs>
            <w:rPr>
              <w:rFonts w:ascii="Times New Roman" w:eastAsiaTheme="minorEastAsia" w:hAnsi="Times New Roman"/>
              <w:b w:val="0"/>
              <w:bCs w:val="0"/>
            </w:rPr>
          </w:pPr>
          <w:hyperlink w:anchor="_Toc44756142" w:history="1">
            <w:r w:rsidR="002C73C0">
              <w:rPr>
                <w:rStyle w:val="af5"/>
                <w:rFonts w:ascii="Times New Roman" w:hAnsi="Times New Roman"/>
                <w:b w:val="0"/>
              </w:rPr>
              <w:t>11. The rule of unmasking</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_Toc44756142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31</w:t>
            </w:r>
            <w:r w:rsidR="002C73C0">
              <w:rPr>
                <w:rFonts w:ascii="Times New Roman" w:hAnsi="Times New Roman"/>
                <w:b w:val="0"/>
              </w:rPr>
              <w:fldChar w:fldCharType="end"/>
            </w:r>
          </w:hyperlink>
        </w:p>
        <w:p w14:paraId="71084801" w14:textId="77777777" w:rsidR="00555164" w:rsidRDefault="003D1D26">
          <w:pPr>
            <w:pStyle w:val="TOC1"/>
            <w:tabs>
              <w:tab w:val="right" w:leader="dot" w:pos="9010"/>
            </w:tabs>
            <w:rPr>
              <w:rFonts w:ascii="Times New Roman" w:eastAsiaTheme="minorEastAsia" w:hAnsi="Times New Roman"/>
              <w:b w:val="0"/>
              <w:bCs w:val="0"/>
            </w:rPr>
          </w:pPr>
          <w:hyperlink w:anchor="_Toc44756143" w:history="1">
            <w:r w:rsidR="002C73C0">
              <w:rPr>
                <w:rStyle w:val="af5"/>
                <w:rFonts w:ascii="Times New Roman" w:hAnsi="Times New Roman"/>
                <w:b w:val="0"/>
              </w:rPr>
              <w:t>12. Data management</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_Toc44756143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31</w:t>
            </w:r>
            <w:r w:rsidR="002C73C0">
              <w:rPr>
                <w:rFonts w:ascii="Times New Roman" w:hAnsi="Times New Roman"/>
                <w:b w:val="0"/>
              </w:rPr>
              <w:fldChar w:fldCharType="end"/>
            </w:r>
          </w:hyperlink>
        </w:p>
        <w:p w14:paraId="65BF3E01" w14:textId="77777777" w:rsidR="00555164" w:rsidRDefault="003D1D26">
          <w:pPr>
            <w:pStyle w:val="TOC1"/>
            <w:tabs>
              <w:tab w:val="right" w:leader="dot" w:pos="9010"/>
            </w:tabs>
            <w:rPr>
              <w:rFonts w:ascii="Times New Roman" w:eastAsiaTheme="minorEastAsia" w:hAnsi="Times New Roman"/>
              <w:b w:val="0"/>
              <w:bCs w:val="0"/>
            </w:rPr>
          </w:pPr>
          <w:hyperlink w:anchor="_Toc44756144" w:history="1">
            <w:r w:rsidR="002C73C0">
              <w:rPr>
                <w:rStyle w:val="af5"/>
                <w:rFonts w:ascii="Times New Roman" w:hAnsi="Times New Roman"/>
                <w:b w:val="0"/>
              </w:rPr>
              <w:t>13 Statistical analysis</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_Toc44756144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31</w:t>
            </w:r>
            <w:r w:rsidR="002C73C0">
              <w:rPr>
                <w:rFonts w:ascii="Times New Roman" w:hAnsi="Times New Roman"/>
                <w:b w:val="0"/>
              </w:rPr>
              <w:fldChar w:fldCharType="end"/>
            </w:r>
          </w:hyperlink>
        </w:p>
        <w:p w14:paraId="74BA9F13" w14:textId="77777777" w:rsidR="00555164" w:rsidRDefault="003D1D26">
          <w:pPr>
            <w:pStyle w:val="TOC1"/>
            <w:tabs>
              <w:tab w:val="right" w:leader="dot" w:pos="9010"/>
            </w:tabs>
            <w:rPr>
              <w:rFonts w:ascii="Times New Roman" w:eastAsiaTheme="minorEastAsia" w:hAnsi="Times New Roman"/>
              <w:b w:val="0"/>
              <w:bCs w:val="0"/>
            </w:rPr>
          </w:pPr>
          <w:hyperlink w:anchor="_Toc44756145" w:history="1">
            <w:r w:rsidR="002C73C0">
              <w:rPr>
                <w:rStyle w:val="af5"/>
                <w:rFonts w:ascii="Times New Roman" w:hAnsi="Times New Roman"/>
                <w:b w:val="0"/>
              </w:rPr>
              <w:t>14. Quality control and quality assurance</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_Toc44756145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33</w:t>
            </w:r>
            <w:r w:rsidR="002C73C0">
              <w:rPr>
                <w:rFonts w:ascii="Times New Roman" w:hAnsi="Times New Roman"/>
                <w:b w:val="0"/>
              </w:rPr>
              <w:fldChar w:fldCharType="end"/>
            </w:r>
          </w:hyperlink>
        </w:p>
        <w:p w14:paraId="36759FA1" w14:textId="77777777" w:rsidR="00555164" w:rsidRDefault="003D1D26">
          <w:pPr>
            <w:pStyle w:val="TOC1"/>
            <w:tabs>
              <w:tab w:val="right" w:leader="dot" w:pos="9010"/>
            </w:tabs>
            <w:rPr>
              <w:rFonts w:ascii="Times New Roman" w:eastAsiaTheme="minorEastAsia" w:hAnsi="Times New Roman"/>
              <w:b w:val="0"/>
              <w:bCs w:val="0"/>
            </w:rPr>
          </w:pPr>
          <w:hyperlink w:anchor="_Toc44756146" w:history="1">
            <w:r w:rsidR="002C73C0">
              <w:rPr>
                <w:rStyle w:val="af5"/>
                <w:rFonts w:ascii="Times New Roman" w:hAnsi="Times New Roman"/>
                <w:b w:val="0"/>
              </w:rPr>
              <w:t>15. Ethics requirements</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_Toc44756146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34</w:t>
            </w:r>
            <w:r w:rsidR="002C73C0">
              <w:rPr>
                <w:rFonts w:ascii="Times New Roman" w:hAnsi="Times New Roman"/>
                <w:b w:val="0"/>
              </w:rPr>
              <w:fldChar w:fldCharType="end"/>
            </w:r>
          </w:hyperlink>
        </w:p>
        <w:p w14:paraId="5979A38D" w14:textId="77777777" w:rsidR="00555164" w:rsidRDefault="003D1D26">
          <w:pPr>
            <w:pStyle w:val="TOC1"/>
            <w:tabs>
              <w:tab w:val="right" w:leader="dot" w:pos="9010"/>
            </w:tabs>
            <w:rPr>
              <w:rFonts w:ascii="Times New Roman" w:eastAsiaTheme="minorEastAsia" w:hAnsi="Times New Roman"/>
              <w:b w:val="0"/>
              <w:bCs w:val="0"/>
            </w:rPr>
          </w:pPr>
          <w:hyperlink w:anchor="_Toc44756147" w:history="1">
            <w:r w:rsidR="002C73C0">
              <w:rPr>
                <w:rStyle w:val="af5"/>
                <w:rFonts w:ascii="Times New Roman" w:hAnsi="Times New Roman"/>
                <w:b w:val="0"/>
                <w:iCs/>
              </w:rPr>
              <w:t>16. Study termination</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_Toc44756147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35</w:t>
            </w:r>
            <w:r w:rsidR="002C73C0">
              <w:rPr>
                <w:rFonts w:ascii="Times New Roman" w:hAnsi="Times New Roman"/>
                <w:b w:val="0"/>
              </w:rPr>
              <w:fldChar w:fldCharType="end"/>
            </w:r>
          </w:hyperlink>
        </w:p>
        <w:p w14:paraId="2A843DAD" w14:textId="77777777" w:rsidR="00555164" w:rsidRDefault="003D1D26">
          <w:pPr>
            <w:pStyle w:val="TOC1"/>
            <w:tabs>
              <w:tab w:val="right" w:leader="dot" w:pos="9010"/>
            </w:tabs>
            <w:rPr>
              <w:rFonts w:ascii="Times New Roman" w:eastAsiaTheme="minorEastAsia" w:hAnsi="Times New Roman"/>
              <w:b w:val="0"/>
              <w:bCs w:val="0"/>
            </w:rPr>
          </w:pPr>
          <w:hyperlink w:anchor="_Toc44756148" w:history="1">
            <w:r w:rsidR="002C73C0">
              <w:rPr>
                <w:rStyle w:val="af5"/>
                <w:rFonts w:ascii="Times New Roman" w:hAnsi="Times New Roman"/>
                <w:b w:val="0"/>
              </w:rPr>
              <w:t>17. Preservation of documents</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_Toc44756148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35</w:t>
            </w:r>
            <w:r w:rsidR="002C73C0">
              <w:rPr>
                <w:rFonts w:ascii="Times New Roman" w:hAnsi="Times New Roman"/>
                <w:b w:val="0"/>
              </w:rPr>
              <w:fldChar w:fldCharType="end"/>
            </w:r>
          </w:hyperlink>
        </w:p>
        <w:p w14:paraId="2E3EED71" w14:textId="77777777" w:rsidR="00555164" w:rsidRDefault="003D1D26">
          <w:pPr>
            <w:pStyle w:val="TOC1"/>
            <w:tabs>
              <w:tab w:val="right" w:leader="dot" w:pos="9010"/>
            </w:tabs>
            <w:rPr>
              <w:rFonts w:ascii="Times New Roman" w:eastAsiaTheme="minorEastAsia" w:hAnsi="Times New Roman"/>
              <w:b w:val="0"/>
              <w:bCs w:val="0"/>
            </w:rPr>
          </w:pPr>
          <w:hyperlink w:anchor="_Toc44756149" w:history="1">
            <w:r w:rsidR="002C73C0">
              <w:rPr>
                <w:rStyle w:val="af5"/>
                <w:rFonts w:ascii="Times New Roman" w:hAnsi="Times New Roman"/>
                <w:b w:val="0"/>
              </w:rPr>
              <w:t>18. Declaration of interests</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_Toc44756149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35</w:t>
            </w:r>
            <w:r w:rsidR="002C73C0">
              <w:rPr>
                <w:rFonts w:ascii="Times New Roman" w:hAnsi="Times New Roman"/>
                <w:b w:val="0"/>
              </w:rPr>
              <w:fldChar w:fldCharType="end"/>
            </w:r>
          </w:hyperlink>
        </w:p>
        <w:p w14:paraId="3F27C87D" w14:textId="77777777" w:rsidR="00555164" w:rsidRDefault="003D1D26">
          <w:pPr>
            <w:pStyle w:val="TOC1"/>
            <w:tabs>
              <w:tab w:val="right" w:leader="dot" w:pos="9010"/>
            </w:tabs>
            <w:rPr>
              <w:rFonts w:ascii="Times New Roman" w:eastAsiaTheme="minorEastAsia" w:hAnsi="Times New Roman"/>
              <w:b w:val="0"/>
              <w:bCs w:val="0"/>
            </w:rPr>
          </w:pPr>
          <w:hyperlink w:anchor="_Toc44756150" w:history="1">
            <w:r w:rsidR="002C73C0">
              <w:rPr>
                <w:rStyle w:val="af5"/>
                <w:rFonts w:ascii="Times New Roman" w:hAnsi="Times New Roman"/>
                <w:b w:val="0"/>
              </w:rPr>
              <w:t xml:space="preserve">19. References </w:t>
            </w:r>
            <w:r w:rsidR="002C73C0">
              <w:rPr>
                <w:rFonts w:ascii="Times New Roman" w:hAnsi="Times New Roman"/>
                <w:b w:val="0"/>
              </w:rPr>
              <w:tab/>
            </w:r>
            <w:r w:rsidR="002C73C0">
              <w:rPr>
                <w:rFonts w:ascii="Times New Roman" w:hAnsi="Times New Roman"/>
                <w:b w:val="0"/>
              </w:rPr>
              <w:fldChar w:fldCharType="begin"/>
            </w:r>
            <w:r w:rsidR="002C73C0">
              <w:rPr>
                <w:rFonts w:ascii="Times New Roman" w:hAnsi="Times New Roman"/>
                <w:b w:val="0"/>
              </w:rPr>
              <w:instrText xml:space="preserve"> PAGEREF _Toc44756150 \h </w:instrText>
            </w:r>
            <w:r w:rsidR="002C73C0">
              <w:rPr>
                <w:rFonts w:ascii="Times New Roman" w:hAnsi="Times New Roman"/>
                <w:b w:val="0"/>
              </w:rPr>
            </w:r>
            <w:r w:rsidR="002C73C0">
              <w:rPr>
                <w:rFonts w:ascii="Times New Roman" w:hAnsi="Times New Roman"/>
                <w:b w:val="0"/>
              </w:rPr>
              <w:fldChar w:fldCharType="separate"/>
            </w:r>
            <w:r w:rsidR="002C73C0">
              <w:rPr>
                <w:rFonts w:ascii="Times New Roman" w:hAnsi="Times New Roman"/>
                <w:b w:val="0"/>
              </w:rPr>
              <w:t>35</w:t>
            </w:r>
            <w:r w:rsidR="002C73C0">
              <w:rPr>
                <w:rFonts w:ascii="Times New Roman" w:hAnsi="Times New Roman"/>
                <w:b w:val="0"/>
              </w:rPr>
              <w:fldChar w:fldCharType="end"/>
            </w:r>
          </w:hyperlink>
        </w:p>
        <w:p w14:paraId="74434557" w14:textId="77777777" w:rsidR="00555164" w:rsidRDefault="002C73C0">
          <w:pPr>
            <w:rPr>
              <w:sz w:val="20"/>
              <w:szCs w:val="20"/>
            </w:rPr>
          </w:pPr>
          <w:r>
            <w:rPr>
              <w:bCs/>
              <w:sz w:val="20"/>
              <w:szCs w:val="20"/>
            </w:rPr>
            <w:fldChar w:fldCharType="end"/>
          </w:r>
        </w:p>
      </w:sdtContent>
    </w:sdt>
    <w:p w14:paraId="53C803F4" w14:textId="77777777" w:rsidR="00555164" w:rsidRDefault="00555164">
      <w:pPr>
        <w:rPr>
          <w:sz w:val="20"/>
          <w:szCs w:val="20"/>
        </w:rPr>
      </w:pPr>
    </w:p>
    <w:p w14:paraId="3B4C9077" w14:textId="77777777" w:rsidR="00555164" w:rsidRDefault="002C73C0">
      <w:pPr>
        <w:rPr>
          <w:b/>
          <w:bCs/>
          <w:sz w:val="20"/>
          <w:szCs w:val="20"/>
        </w:rPr>
      </w:pPr>
      <w:r>
        <w:rPr>
          <w:b/>
          <w:bCs/>
          <w:sz w:val="20"/>
          <w:szCs w:val="20"/>
        </w:rPr>
        <w:br w:type="page"/>
      </w:r>
    </w:p>
    <w:p w14:paraId="034F037F" w14:textId="77777777" w:rsidR="00555164" w:rsidRDefault="002C73C0">
      <w:pPr>
        <w:pStyle w:val="ad"/>
        <w:spacing w:beforeLines="50" w:before="120" w:beforeAutospacing="0" w:afterLines="50" w:after="120" w:afterAutospacing="0"/>
        <w:outlineLvl w:val="0"/>
        <w:rPr>
          <w:b/>
          <w:bCs/>
          <w:sz w:val="20"/>
          <w:szCs w:val="20"/>
        </w:rPr>
      </w:pPr>
      <w:bookmarkStart w:id="86" w:name="_Toc44796178"/>
      <w:bookmarkStart w:id="87" w:name="_Toc44754969"/>
      <w:bookmarkStart w:id="88" w:name="_Toc44756017"/>
      <w:bookmarkStart w:id="89" w:name="_Toc44756132"/>
      <w:bookmarkStart w:id="90" w:name="_Toc44755871"/>
      <w:r>
        <w:rPr>
          <w:b/>
          <w:bCs/>
          <w:sz w:val="20"/>
          <w:szCs w:val="20"/>
        </w:rPr>
        <w:lastRenderedPageBreak/>
        <w:t>1. Background</w:t>
      </w:r>
      <w:bookmarkEnd w:id="86"/>
      <w:r>
        <w:rPr>
          <w:b/>
          <w:bCs/>
          <w:sz w:val="20"/>
          <w:szCs w:val="20"/>
        </w:rPr>
        <w:t xml:space="preserve"> </w:t>
      </w:r>
      <w:bookmarkEnd w:id="87"/>
      <w:bookmarkEnd w:id="88"/>
      <w:bookmarkEnd w:id="89"/>
      <w:bookmarkEnd w:id="90"/>
    </w:p>
    <w:p w14:paraId="0945BF96" w14:textId="77777777" w:rsidR="00555164" w:rsidRDefault="00555164">
      <w:pPr>
        <w:spacing w:before="50" w:after="50"/>
        <w:rPr>
          <w:sz w:val="20"/>
          <w:szCs w:val="20"/>
        </w:rPr>
      </w:pPr>
    </w:p>
    <w:p w14:paraId="53D3838F" w14:textId="77777777" w:rsidR="00555164" w:rsidRDefault="002C73C0">
      <w:pPr>
        <w:spacing w:before="50" w:after="50"/>
        <w:rPr>
          <w:sz w:val="20"/>
          <w:szCs w:val="20"/>
          <w:vertAlign w:val="superscript"/>
        </w:rPr>
      </w:pPr>
      <w:r>
        <w:rPr>
          <w:sz w:val="20"/>
          <w:szCs w:val="20"/>
        </w:rPr>
        <w:t>Delirium is an acutely occurred and transient brain dysfunction caused by multiple factors. According to the 4th edition of Diagnostic and Statistical Manual of Mental Disorders (DSM-IV), delirium is defined as an acute transient mental syndrome characterized by (1) disturbance of consciousness with reduced ability to focus, sustain and shift attention, (2) change in cognition (such as memory deficit, disorientation, or language disturbance) or development of a perceptual disturbance that is not better accounted for by a pre-existing, established or evolving dementia, and (3) disturbance developing over a short period of time (usually hours to days) and tending to fluctuate during the course of the day</w:t>
      </w:r>
      <w:r>
        <w:rPr>
          <w:rFonts w:eastAsia="宋体"/>
          <w:sz w:val="20"/>
          <w:szCs w:val="20"/>
        </w:rPr>
        <w:t>.</w:t>
      </w:r>
      <w:r>
        <w:rPr>
          <w:sz w:val="20"/>
          <w:szCs w:val="20"/>
          <w:vertAlign w:val="superscript"/>
        </w:rPr>
        <w:fldChar w:fldCharType="begin"/>
      </w:r>
      <w:r>
        <w:rPr>
          <w:rFonts w:eastAsia="宋体"/>
          <w:sz w:val="20"/>
          <w:szCs w:val="20"/>
          <w:vertAlign w:val="superscript"/>
        </w:rPr>
        <w:instrText xml:space="preserve"> REF _Ref44759877 \r \h </w:instrText>
      </w:r>
      <w:r>
        <w:rPr>
          <w:sz w:val="20"/>
          <w:szCs w:val="20"/>
          <w:vertAlign w:val="superscript"/>
        </w:rPr>
        <w:instrText xml:space="preserve"> \* MERGEFORMAT </w:instrText>
      </w:r>
      <w:r>
        <w:rPr>
          <w:sz w:val="20"/>
          <w:szCs w:val="20"/>
          <w:vertAlign w:val="superscript"/>
        </w:rPr>
      </w:r>
      <w:r>
        <w:rPr>
          <w:sz w:val="20"/>
          <w:szCs w:val="20"/>
          <w:vertAlign w:val="superscript"/>
        </w:rPr>
        <w:fldChar w:fldCharType="separate"/>
      </w:r>
      <w:r>
        <w:rPr>
          <w:rFonts w:eastAsia="宋体"/>
          <w:sz w:val="20"/>
          <w:szCs w:val="20"/>
          <w:vertAlign w:val="superscript"/>
        </w:rPr>
        <w:t>1</w:t>
      </w:r>
      <w:r>
        <w:rPr>
          <w:sz w:val="20"/>
          <w:szCs w:val="20"/>
          <w:vertAlign w:val="superscript"/>
        </w:rPr>
        <w:fldChar w:fldCharType="end"/>
      </w:r>
    </w:p>
    <w:p w14:paraId="746AD9E8" w14:textId="77777777" w:rsidR="00555164" w:rsidRDefault="00555164">
      <w:pPr>
        <w:spacing w:before="50" w:after="50"/>
        <w:rPr>
          <w:sz w:val="20"/>
          <w:szCs w:val="20"/>
        </w:rPr>
      </w:pPr>
    </w:p>
    <w:p w14:paraId="42368973" w14:textId="77777777" w:rsidR="00555164" w:rsidRDefault="002C73C0">
      <w:pPr>
        <w:spacing w:before="50" w:after="50"/>
        <w:rPr>
          <w:sz w:val="20"/>
          <w:szCs w:val="20"/>
        </w:rPr>
      </w:pPr>
      <w:r>
        <w:rPr>
          <w:sz w:val="20"/>
          <w:szCs w:val="20"/>
        </w:rPr>
        <w:t xml:space="preserve">    Delirium is a common postoperative complication, especially in the elderly patients after major surgery. A meta-analysis showed an overall incidence of postoperative delirium of 36.8% (from 0% to 73.5%)</w:t>
      </w:r>
      <w:r>
        <w:rPr>
          <w:rFonts w:eastAsia="宋体"/>
          <w:sz w:val="20"/>
          <w:szCs w:val="20"/>
        </w:rPr>
        <w:t>.</w:t>
      </w:r>
      <w:r>
        <w:rPr>
          <w:sz w:val="20"/>
          <w:szCs w:val="20"/>
          <w:vertAlign w:val="superscript"/>
        </w:rPr>
        <w:fldChar w:fldCharType="begin"/>
      </w:r>
      <w:r>
        <w:rPr>
          <w:rFonts w:eastAsia="宋体"/>
          <w:sz w:val="20"/>
          <w:szCs w:val="20"/>
          <w:vertAlign w:val="superscript"/>
        </w:rPr>
        <w:instrText xml:space="preserve"> REF _Ref44759890 \r \h </w:instrText>
      </w:r>
      <w:r>
        <w:rPr>
          <w:sz w:val="20"/>
          <w:szCs w:val="20"/>
          <w:vertAlign w:val="superscript"/>
        </w:rPr>
        <w:instrText xml:space="preserve"> \* MERGEFORMAT </w:instrText>
      </w:r>
      <w:r>
        <w:rPr>
          <w:sz w:val="20"/>
          <w:szCs w:val="20"/>
          <w:vertAlign w:val="superscript"/>
        </w:rPr>
      </w:r>
      <w:r>
        <w:rPr>
          <w:sz w:val="20"/>
          <w:szCs w:val="20"/>
          <w:vertAlign w:val="superscript"/>
        </w:rPr>
        <w:fldChar w:fldCharType="separate"/>
      </w:r>
      <w:r>
        <w:rPr>
          <w:rFonts w:eastAsia="宋体"/>
          <w:sz w:val="20"/>
          <w:szCs w:val="20"/>
          <w:vertAlign w:val="superscript"/>
        </w:rPr>
        <w:t>2</w:t>
      </w:r>
      <w:r>
        <w:rPr>
          <w:sz w:val="20"/>
          <w:szCs w:val="20"/>
          <w:vertAlign w:val="superscript"/>
        </w:rPr>
        <w:fldChar w:fldCharType="end"/>
      </w:r>
      <w:r>
        <w:rPr>
          <w:sz w:val="20"/>
          <w:szCs w:val="20"/>
        </w:rPr>
        <w:t xml:space="preserve"> The incidence can be up to 80% in the critically ill patients in the intensive care unit (ICU)</w:t>
      </w:r>
      <w:r>
        <w:rPr>
          <w:rFonts w:eastAsia="宋体"/>
          <w:sz w:val="20"/>
          <w:szCs w:val="20"/>
        </w:rPr>
        <w:t>.</w:t>
      </w:r>
      <w:r>
        <w:rPr>
          <w:sz w:val="20"/>
          <w:szCs w:val="20"/>
          <w:vertAlign w:val="superscript"/>
        </w:rPr>
        <w:fldChar w:fldCharType="begin"/>
      </w:r>
      <w:r>
        <w:rPr>
          <w:rFonts w:eastAsia="宋体"/>
          <w:sz w:val="20"/>
          <w:szCs w:val="20"/>
          <w:vertAlign w:val="superscript"/>
        </w:rPr>
        <w:instrText xml:space="preserve"> REF _Ref44759910 \r \h </w:instrText>
      </w:r>
      <w:r>
        <w:rPr>
          <w:sz w:val="20"/>
          <w:szCs w:val="20"/>
          <w:vertAlign w:val="superscript"/>
        </w:rPr>
        <w:instrText xml:space="preserve"> \* MERGEFORMAT </w:instrText>
      </w:r>
      <w:r>
        <w:rPr>
          <w:sz w:val="20"/>
          <w:szCs w:val="20"/>
          <w:vertAlign w:val="superscript"/>
        </w:rPr>
      </w:r>
      <w:r>
        <w:rPr>
          <w:sz w:val="20"/>
          <w:szCs w:val="20"/>
          <w:vertAlign w:val="superscript"/>
        </w:rPr>
        <w:fldChar w:fldCharType="separate"/>
      </w:r>
      <w:r>
        <w:rPr>
          <w:rFonts w:eastAsia="宋体"/>
          <w:sz w:val="20"/>
          <w:szCs w:val="20"/>
          <w:vertAlign w:val="superscript"/>
        </w:rPr>
        <w:t>3</w:t>
      </w:r>
      <w:r>
        <w:rPr>
          <w:sz w:val="20"/>
          <w:szCs w:val="20"/>
          <w:vertAlign w:val="superscript"/>
        </w:rPr>
        <w:fldChar w:fldCharType="end"/>
      </w:r>
      <w:r>
        <w:rPr>
          <w:rFonts w:eastAsia="宋体"/>
          <w:sz w:val="20"/>
          <w:szCs w:val="20"/>
        </w:rPr>
        <w:t xml:space="preserve"> </w:t>
      </w:r>
      <w:r>
        <w:rPr>
          <w:sz w:val="20"/>
          <w:szCs w:val="20"/>
        </w:rPr>
        <w:t>In our previous studies, delirium occurred in 51% of patients after cardiac surgery and in 44.5% of patients after non-cardiac surgery</w:t>
      </w:r>
      <w:r>
        <w:rPr>
          <w:rFonts w:eastAsia="宋体"/>
          <w:sz w:val="20"/>
          <w:szCs w:val="20"/>
        </w:rPr>
        <w:t>.</w:t>
      </w:r>
      <w:r>
        <w:rPr>
          <w:sz w:val="20"/>
          <w:szCs w:val="20"/>
          <w:vertAlign w:val="superscript"/>
        </w:rPr>
        <w:fldChar w:fldCharType="begin"/>
      </w:r>
      <w:r>
        <w:rPr>
          <w:rFonts w:eastAsia="宋体"/>
          <w:sz w:val="20"/>
          <w:szCs w:val="20"/>
          <w:vertAlign w:val="superscript"/>
        </w:rPr>
        <w:instrText xml:space="preserve"> REF _Ref44759921 \r \h </w:instrText>
      </w:r>
      <w:r>
        <w:rPr>
          <w:sz w:val="20"/>
          <w:szCs w:val="20"/>
          <w:vertAlign w:val="superscript"/>
        </w:rPr>
        <w:instrText xml:space="preserve"> \* MERGEFORMAT </w:instrText>
      </w:r>
      <w:r>
        <w:rPr>
          <w:sz w:val="20"/>
          <w:szCs w:val="20"/>
          <w:vertAlign w:val="superscript"/>
        </w:rPr>
      </w:r>
      <w:r>
        <w:rPr>
          <w:sz w:val="20"/>
          <w:szCs w:val="20"/>
          <w:vertAlign w:val="superscript"/>
        </w:rPr>
        <w:fldChar w:fldCharType="separate"/>
      </w:r>
      <w:r>
        <w:rPr>
          <w:rFonts w:eastAsia="宋体"/>
          <w:sz w:val="20"/>
          <w:szCs w:val="20"/>
          <w:vertAlign w:val="superscript"/>
        </w:rPr>
        <w:t>4</w:t>
      </w:r>
      <w:r>
        <w:rPr>
          <w:sz w:val="20"/>
          <w:szCs w:val="20"/>
          <w:vertAlign w:val="superscript"/>
        </w:rPr>
        <w:fldChar w:fldCharType="end"/>
      </w:r>
      <w:r>
        <w:rPr>
          <w:sz w:val="20"/>
          <w:szCs w:val="20"/>
          <w:vertAlign w:val="superscript"/>
        </w:rPr>
        <w:t>,</w:t>
      </w:r>
      <w:r>
        <w:rPr>
          <w:sz w:val="20"/>
          <w:szCs w:val="20"/>
          <w:vertAlign w:val="superscript"/>
        </w:rPr>
        <w:fldChar w:fldCharType="begin"/>
      </w:r>
      <w:r>
        <w:rPr>
          <w:sz w:val="20"/>
          <w:szCs w:val="20"/>
          <w:vertAlign w:val="superscript"/>
        </w:rPr>
        <w:instrText xml:space="preserve"> REF _Ref44759929 \r \h  \* MERGEFORMAT </w:instrText>
      </w:r>
      <w:r>
        <w:rPr>
          <w:sz w:val="20"/>
          <w:szCs w:val="20"/>
          <w:vertAlign w:val="superscript"/>
        </w:rPr>
      </w:r>
      <w:r>
        <w:rPr>
          <w:sz w:val="20"/>
          <w:szCs w:val="20"/>
          <w:vertAlign w:val="superscript"/>
        </w:rPr>
        <w:fldChar w:fldCharType="separate"/>
      </w:r>
      <w:r>
        <w:rPr>
          <w:sz w:val="20"/>
          <w:szCs w:val="20"/>
          <w:vertAlign w:val="superscript"/>
        </w:rPr>
        <w:t>5</w:t>
      </w:r>
      <w:r>
        <w:rPr>
          <w:sz w:val="20"/>
          <w:szCs w:val="20"/>
          <w:vertAlign w:val="superscript"/>
        </w:rPr>
        <w:fldChar w:fldCharType="end"/>
      </w:r>
      <w:r>
        <w:rPr>
          <w:sz w:val="20"/>
          <w:szCs w:val="20"/>
        </w:rPr>
        <w:t xml:space="preserve"> The occurrence of delirium is associated with worse outcomes, including prolonged length of ICU stay,</w:t>
      </w:r>
      <w:r>
        <w:rPr>
          <w:sz w:val="20"/>
          <w:szCs w:val="20"/>
          <w:vertAlign w:val="superscript"/>
        </w:rPr>
        <w:fldChar w:fldCharType="begin"/>
      </w:r>
      <w:r>
        <w:rPr>
          <w:sz w:val="20"/>
          <w:szCs w:val="20"/>
          <w:vertAlign w:val="superscript"/>
        </w:rPr>
        <w:instrText xml:space="preserve"> REF _Ref44759954 \r \h  \* MERGEFORMAT </w:instrText>
      </w:r>
      <w:r>
        <w:rPr>
          <w:sz w:val="20"/>
          <w:szCs w:val="20"/>
          <w:vertAlign w:val="superscript"/>
        </w:rPr>
      </w:r>
      <w:r>
        <w:rPr>
          <w:sz w:val="20"/>
          <w:szCs w:val="20"/>
          <w:vertAlign w:val="superscript"/>
        </w:rPr>
        <w:fldChar w:fldCharType="separate"/>
      </w:r>
      <w:r>
        <w:rPr>
          <w:sz w:val="20"/>
          <w:szCs w:val="20"/>
          <w:vertAlign w:val="superscript"/>
        </w:rPr>
        <w:t>6</w:t>
      </w:r>
      <w:r>
        <w:rPr>
          <w:sz w:val="20"/>
          <w:szCs w:val="20"/>
          <w:vertAlign w:val="superscript"/>
        </w:rPr>
        <w:fldChar w:fldCharType="end"/>
      </w:r>
      <w:r>
        <w:rPr>
          <w:sz w:val="20"/>
          <w:szCs w:val="20"/>
          <w:vertAlign w:val="superscript"/>
        </w:rPr>
        <w:t xml:space="preserve"> </w:t>
      </w:r>
      <w:r>
        <w:rPr>
          <w:sz w:val="20"/>
          <w:szCs w:val="20"/>
        </w:rPr>
        <w:t>higher risk of postoperative complications</w:t>
      </w:r>
      <w:r>
        <w:rPr>
          <w:rFonts w:eastAsia="宋体"/>
          <w:sz w:val="20"/>
          <w:szCs w:val="20"/>
        </w:rPr>
        <w:t>,</w:t>
      </w:r>
      <w:r>
        <w:rPr>
          <w:sz w:val="20"/>
          <w:szCs w:val="20"/>
          <w:vertAlign w:val="superscript"/>
        </w:rPr>
        <w:fldChar w:fldCharType="begin"/>
      </w:r>
      <w:r>
        <w:rPr>
          <w:rFonts w:eastAsia="宋体"/>
          <w:sz w:val="20"/>
          <w:szCs w:val="20"/>
          <w:vertAlign w:val="superscript"/>
        </w:rPr>
        <w:instrText xml:space="preserve"> REF _Ref44759964 \r \h </w:instrText>
      </w:r>
      <w:r>
        <w:rPr>
          <w:sz w:val="20"/>
          <w:szCs w:val="20"/>
          <w:vertAlign w:val="superscript"/>
        </w:rPr>
        <w:instrText xml:space="preserve"> \* MERGEFORMAT </w:instrText>
      </w:r>
      <w:r>
        <w:rPr>
          <w:sz w:val="20"/>
          <w:szCs w:val="20"/>
          <w:vertAlign w:val="superscript"/>
        </w:rPr>
      </w:r>
      <w:r>
        <w:rPr>
          <w:sz w:val="20"/>
          <w:szCs w:val="20"/>
          <w:vertAlign w:val="superscript"/>
        </w:rPr>
        <w:fldChar w:fldCharType="separate"/>
      </w:r>
      <w:r>
        <w:rPr>
          <w:rFonts w:eastAsia="宋体"/>
          <w:sz w:val="20"/>
          <w:szCs w:val="20"/>
          <w:vertAlign w:val="superscript"/>
        </w:rPr>
        <w:t>7</w:t>
      </w:r>
      <w:r>
        <w:rPr>
          <w:sz w:val="20"/>
          <w:szCs w:val="20"/>
          <w:vertAlign w:val="superscript"/>
        </w:rPr>
        <w:fldChar w:fldCharType="end"/>
      </w:r>
      <w:r>
        <w:rPr>
          <w:sz w:val="20"/>
          <w:szCs w:val="20"/>
        </w:rPr>
        <w:t xml:space="preserve"> prolonged length of hospital stay,</w:t>
      </w:r>
      <w:r>
        <w:rPr>
          <w:sz w:val="20"/>
          <w:szCs w:val="20"/>
          <w:vertAlign w:val="superscript"/>
        </w:rPr>
        <w:fldChar w:fldCharType="begin"/>
      </w:r>
      <w:r>
        <w:rPr>
          <w:sz w:val="20"/>
          <w:szCs w:val="20"/>
          <w:vertAlign w:val="superscript"/>
        </w:rPr>
        <w:instrText xml:space="preserve"> REF _Ref44759977 \r \h  \* MERGEFORMAT </w:instrText>
      </w:r>
      <w:r>
        <w:rPr>
          <w:sz w:val="20"/>
          <w:szCs w:val="20"/>
          <w:vertAlign w:val="superscript"/>
        </w:rPr>
      </w:r>
      <w:r>
        <w:rPr>
          <w:sz w:val="20"/>
          <w:szCs w:val="20"/>
          <w:vertAlign w:val="superscript"/>
        </w:rPr>
        <w:fldChar w:fldCharType="separate"/>
      </w:r>
      <w:r>
        <w:rPr>
          <w:sz w:val="20"/>
          <w:szCs w:val="20"/>
          <w:vertAlign w:val="superscript"/>
        </w:rPr>
        <w:t>8</w:t>
      </w:r>
      <w:r>
        <w:rPr>
          <w:sz w:val="20"/>
          <w:szCs w:val="20"/>
          <w:vertAlign w:val="superscript"/>
        </w:rPr>
        <w:fldChar w:fldCharType="end"/>
      </w:r>
      <w:r>
        <w:rPr>
          <w:sz w:val="20"/>
          <w:szCs w:val="20"/>
        </w:rPr>
        <w:t xml:space="preserve"> increased mortality,</w:t>
      </w:r>
      <w:r>
        <w:rPr>
          <w:sz w:val="20"/>
          <w:szCs w:val="20"/>
          <w:vertAlign w:val="superscript"/>
        </w:rPr>
        <w:fldChar w:fldCharType="begin"/>
      </w:r>
      <w:r>
        <w:rPr>
          <w:sz w:val="20"/>
          <w:szCs w:val="20"/>
          <w:vertAlign w:val="superscript"/>
        </w:rPr>
        <w:instrText xml:space="preserve"> REF _Ref44759991 \r \h  \* MERGEFORMAT </w:instrText>
      </w:r>
      <w:r>
        <w:rPr>
          <w:sz w:val="20"/>
          <w:szCs w:val="20"/>
          <w:vertAlign w:val="superscript"/>
        </w:rPr>
      </w:r>
      <w:r>
        <w:rPr>
          <w:sz w:val="20"/>
          <w:szCs w:val="20"/>
          <w:vertAlign w:val="superscript"/>
        </w:rPr>
        <w:fldChar w:fldCharType="separate"/>
      </w:r>
      <w:r>
        <w:rPr>
          <w:sz w:val="20"/>
          <w:szCs w:val="20"/>
          <w:vertAlign w:val="superscript"/>
        </w:rPr>
        <w:t>9</w:t>
      </w:r>
      <w:r>
        <w:rPr>
          <w:sz w:val="20"/>
          <w:szCs w:val="20"/>
          <w:vertAlign w:val="superscript"/>
        </w:rPr>
        <w:fldChar w:fldCharType="end"/>
      </w:r>
      <w:r>
        <w:rPr>
          <w:sz w:val="20"/>
          <w:szCs w:val="20"/>
          <w:vertAlign w:val="superscript"/>
        </w:rPr>
        <w:t>,</w:t>
      </w:r>
      <w:r>
        <w:rPr>
          <w:sz w:val="20"/>
          <w:szCs w:val="20"/>
          <w:vertAlign w:val="superscript"/>
        </w:rPr>
        <w:fldChar w:fldCharType="begin"/>
      </w:r>
      <w:r>
        <w:rPr>
          <w:sz w:val="20"/>
          <w:szCs w:val="20"/>
          <w:vertAlign w:val="superscript"/>
        </w:rPr>
        <w:instrText xml:space="preserve"> REF _Ref44760002 \r \h  \* MERGEFORMAT </w:instrText>
      </w:r>
      <w:r>
        <w:rPr>
          <w:sz w:val="20"/>
          <w:szCs w:val="20"/>
          <w:vertAlign w:val="superscript"/>
        </w:rPr>
      </w:r>
      <w:r>
        <w:rPr>
          <w:sz w:val="20"/>
          <w:szCs w:val="20"/>
          <w:vertAlign w:val="superscript"/>
        </w:rPr>
        <w:fldChar w:fldCharType="separate"/>
      </w:r>
      <w:r>
        <w:rPr>
          <w:sz w:val="20"/>
          <w:szCs w:val="20"/>
          <w:vertAlign w:val="superscript"/>
        </w:rPr>
        <w:t>10</w:t>
      </w:r>
      <w:r>
        <w:rPr>
          <w:sz w:val="20"/>
          <w:szCs w:val="20"/>
          <w:vertAlign w:val="superscript"/>
        </w:rPr>
        <w:fldChar w:fldCharType="end"/>
      </w:r>
      <w:r>
        <w:rPr>
          <w:sz w:val="20"/>
          <w:szCs w:val="20"/>
          <w:vertAlign w:val="superscript"/>
        </w:rPr>
        <w:t>,</w:t>
      </w:r>
      <w:r>
        <w:rPr>
          <w:sz w:val="20"/>
          <w:szCs w:val="20"/>
          <w:vertAlign w:val="superscript"/>
        </w:rPr>
        <w:fldChar w:fldCharType="begin"/>
      </w:r>
      <w:r>
        <w:rPr>
          <w:sz w:val="20"/>
          <w:szCs w:val="20"/>
          <w:vertAlign w:val="superscript"/>
        </w:rPr>
        <w:instrText xml:space="preserve"> REF _Ref44760011 \r \h  \* MERGEFORMAT </w:instrText>
      </w:r>
      <w:r>
        <w:rPr>
          <w:sz w:val="20"/>
          <w:szCs w:val="20"/>
          <w:vertAlign w:val="superscript"/>
        </w:rPr>
      </w:r>
      <w:r>
        <w:rPr>
          <w:sz w:val="20"/>
          <w:szCs w:val="20"/>
          <w:vertAlign w:val="superscript"/>
        </w:rPr>
        <w:fldChar w:fldCharType="separate"/>
      </w:r>
      <w:r>
        <w:rPr>
          <w:sz w:val="20"/>
          <w:szCs w:val="20"/>
          <w:vertAlign w:val="superscript"/>
        </w:rPr>
        <w:t>11</w:t>
      </w:r>
      <w:r>
        <w:rPr>
          <w:sz w:val="20"/>
          <w:szCs w:val="20"/>
          <w:vertAlign w:val="superscript"/>
        </w:rPr>
        <w:fldChar w:fldCharType="end"/>
      </w:r>
      <w:r>
        <w:rPr>
          <w:sz w:val="20"/>
          <w:szCs w:val="20"/>
        </w:rPr>
        <w:t xml:space="preserve"> and elevated medical care costs;</w:t>
      </w:r>
      <w:r>
        <w:rPr>
          <w:sz w:val="20"/>
          <w:szCs w:val="20"/>
          <w:vertAlign w:val="superscript"/>
        </w:rPr>
        <w:fldChar w:fldCharType="begin"/>
      </w:r>
      <w:r>
        <w:rPr>
          <w:sz w:val="20"/>
          <w:szCs w:val="20"/>
          <w:vertAlign w:val="superscript"/>
        </w:rPr>
        <w:instrText xml:space="preserve"> REF _Ref44760021 \r \h  \* MERGEFORMAT </w:instrText>
      </w:r>
      <w:r>
        <w:rPr>
          <w:sz w:val="20"/>
          <w:szCs w:val="20"/>
          <w:vertAlign w:val="superscript"/>
        </w:rPr>
      </w:r>
      <w:r>
        <w:rPr>
          <w:sz w:val="20"/>
          <w:szCs w:val="20"/>
          <w:vertAlign w:val="superscript"/>
        </w:rPr>
        <w:fldChar w:fldCharType="separate"/>
      </w:r>
      <w:r>
        <w:rPr>
          <w:sz w:val="20"/>
          <w:szCs w:val="20"/>
          <w:vertAlign w:val="superscript"/>
        </w:rPr>
        <w:t>12</w:t>
      </w:r>
      <w:r>
        <w:rPr>
          <w:sz w:val="20"/>
          <w:szCs w:val="20"/>
          <w:vertAlign w:val="superscript"/>
        </w:rPr>
        <w:fldChar w:fldCharType="end"/>
      </w:r>
      <w:r>
        <w:rPr>
          <w:sz w:val="20"/>
          <w:szCs w:val="20"/>
          <w:vertAlign w:val="superscript"/>
        </w:rPr>
        <w:t>,</w:t>
      </w:r>
      <w:r>
        <w:rPr>
          <w:sz w:val="20"/>
          <w:szCs w:val="20"/>
          <w:vertAlign w:val="superscript"/>
        </w:rPr>
        <w:fldChar w:fldCharType="begin"/>
      </w:r>
      <w:r>
        <w:rPr>
          <w:sz w:val="20"/>
          <w:szCs w:val="20"/>
          <w:vertAlign w:val="superscript"/>
        </w:rPr>
        <w:instrText xml:space="preserve"> REF _Ref44760030 \r \h  \* MERGEFORMAT </w:instrText>
      </w:r>
      <w:r>
        <w:rPr>
          <w:sz w:val="20"/>
          <w:szCs w:val="20"/>
          <w:vertAlign w:val="superscript"/>
        </w:rPr>
      </w:r>
      <w:r>
        <w:rPr>
          <w:sz w:val="20"/>
          <w:szCs w:val="20"/>
          <w:vertAlign w:val="superscript"/>
        </w:rPr>
        <w:fldChar w:fldCharType="separate"/>
      </w:r>
      <w:r>
        <w:rPr>
          <w:sz w:val="20"/>
          <w:szCs w:val="20"/>
          <w:vertAlign w:val="superscript"/>
        </w:rPr>
        <w:t>13</w:t>
      </w:r>
      <w:r>
        <w:rPr>
          <w:sz w:val="20"/>
          <w:szCs w:val="20"/>
          <w:vertAlign w:val="superscript"/>
        </w:rPr>
        <w:fldChar w:fldCharType="end"/>
      </w:r>
      <w:r>
        <w:rPr>
          <w:sz w:val="20"/>
          <w:szCs w:val="20"/>
        </w:rPr>
        <w:t xml:space="preserve"> it is also associated with cognitive decline and lowered quality of life in long-term survivors.</w:t>
      </w:r>
      <w:r>
        <w:rPr>
          <w:sz w:val="20"/>
          <w:szCs w:val="20"/>
          <w:vertAlign w:val="superscript"/>
        </w:rPr>
        <w:fldChar w:fldCharType="begin"/>
      </w:r>
      <w:r>
        <w:rPr>
          <w:sz w:val="20"/>
          <w:szCs w:val="20"/>
          <w:vertAlign w:val="superscript"/>
        </w:rPr>
        <w:instrText xml:space="preserve"> REF _Ref44760043 \r \h  \* MERGEFORMAT </w:instrText>
      </w:r>
      <w:r>
        <w:rPr>
          <w:sz w:val="20"/>
          <w:szCs w:val="20"/>
          <w:vertAlign w:val="superscript"/>
        </w:rPr>
      </w:r>
      <w:r>
        <w:rPr>
          <w:sz w:val="20"/>
          <w:szCs w:val="20"/>
          <w:vertAlign w:val="superscript"/>
        </w:rPr>
        <w:fldChar w:fldCharType="separate"/>
      </w:r>
      <w:r>
        <w:rPr>
          <w:sz w:val="20"/>
          <w:szCs w:val="20"/>
          <w:vertAlign w:val="superscript"/>
        </w:rPr>
        <w:t>14</w:t>
      </w:r>
      <w:r>
        <w:rPr>
          <w:sz w:val="20"/>
          <w:szCs w:val="20"/>
          <w:vertAlign w:val="superscript"/>
        </w:rPr>
        <w:fldChar w:fldCharType="end"/>
      </w:r>
      <w:r>
        <w:rPr>
          <w:sz w:val="20"/>
          <w:szCs w:val="20"/>
          <w:vertAlign w:val="superscript"/>
        </w:rPr>
        <w:t>,</w:t>
      </w:r>
      <w:r>
        <w:rPr>
          <w:sz w:val="20"/>
          <w:szCs w:val="20"/>
          <w:vertAlign w:val="superscript"/>
        </w:rPr>
        <w:fldChar w:fldCharType="begin"/>
      </w:r>
      <w:r>
        <w:rPr>
          <w:sz w:val="20"/>
          <w:szCs w:val="20"/>
          <w:vertAlign w:val="superscript"/>
        </w:rPr>
        <w:instrText xml:space="preserve"> REF _Ref44760051 \r \h  \* MERGEFORMAT </w:instrText>
      </w:r>
      <w:r>
        <w:rPr>
          <w:sz w:val="20"/>
          <w:szCs w:val="20"/>
          <w:vertAlign w:val="superscript"/>
        </w:rPr>
      </w:r>
      <w:r>
        <w:rPr>
          <w:sz w:val="20"/>
          <w:szCs w:val="20"/>
          <w:vertAlign w:val="superscript"/>
        </w:rPr>
        <w:fldChar w:fldCharType="separate"/>
      </w:r>
      <w:r>
        <w:rPr>
          <w:sz w:val="20"/>
          <w:szCs w:val="20"/>
          <w:vertAlign w:val="superscript"/>
        </w:rPr>
        <w:t>15</w:t>
      </w:r>
      <w:r>
        <w:rPr>
          <w:sz w:val="20"/>
          <w:szCs w:val="20"/>
          <w:vertAlign w:val="superscript"/>
        </w:rPr>
        <w:fldChar w:fldCharType="end"/>
      </w:r>
      <w:r>
        <w:rPr>
          <w:sz w:val="20"/>
          <w:szCs w:val="20"/>
        </w:rPr>
        <w:t xml:space="preserve"> A 2-year follow-up study of our group showed that occurrence of delirium was an independent predictor of shortened survival even after correction for confounding factors.</w:t>
      </w:r>
      <w:r>
        <w:rPr>
          <w:sz w:val="20"/>
          <w:szCs w:val="20"/>
          <w:vertAlign w:val="superscript"/>
        </w:rPr>
        <w:fldChar w:fldCharType="begin"/>
      </w:r>
      <w:r>
        <w:rPr>
          <w:sz w:val="20"/>
          <w:szCs w:val="20"/>
          <w:vertAlign w:val="superscript"/>
        </w:rPr>
        <w:instrText xml:space="preserve"> REF _Ref44760058 \r \h  \* MERGEFORMAT </w:instrText>
      </w:r>
      <w:r>
        <w:rPr>
          <w:sz w:val="20"/>
          <w:szCs w:val="20"/>
          <w:vertAlign w:val="superscript"/>
        </w:rPr>
      </w:r>
      <w:r>
        <w:rPr>
          <w:sz w:val="20"/>
          <w:szCs w:val="20"/>
          <w:vertAlign w:val="superscript"/>
        </w:rPr>
        <w:fldChar w:fldCharType="separate"/>
      </w:r>
      <w:r>
        <w:rPr>
          <w:sz w:val="20"/>
          <w:szCs w:val="20"/>
          <w:vertAlign w:val="superscript"/>
        </w:rPr>
        <w:t>16</w:t>
      </w:r>
      <w:r>
        <w:rPr>
          <w:sz w:val="20"/>
          <w:szCs w:val="20"/>
          <w:vertAlign w:val="superscript"/>
        </w:rPr>
        <w:fldChar w:fldCharType="end"/>
      </w:r>
    </w:p>
    <w:p w14:paraId="4143D778" w14:textId="77777777" w:rsidR="00555164" w:rsidRDefault="00555164">
      <w:pPr>
        <w:spacing w:before="50" w:after="50"/>
        <w:rPr>
          <w:sz w:val="20"/>
          <w:szCs w:val="20"/>
        </w:rPr>
      </w:pPr>
    </w:p>
    <w:p w14:paraId="62ADF680" w14:textId="77777777" w:rsidR="00555164" w:rsidRDefault="002C73C0">
      <w:pPr>
        <w:spacing w:before="50" w:after="50"/>
        <w:rPr>
          <w:sz w:val="20"/>
          <w:szCs w:val="20"/>
          <w:vertAlign w:val="superscript"/>
        </w:rPr>
      </w:pPr>
      <w:r>
        <w:rPr>
          <w:sz w:val="20"/>
          <w:szCs w:val="20"/>
        </w:rPr>
        <w:t xml:space="preserve">    The pathogenesis of delirium remains unclear.</w:t>
      </w:r>
      <w:r>
        <w:rPr>
          <w:sz w:val="20"/>
          <w:szCs w:val="20"/>
          <w:vertAlign w:val="superscript"/>
        </w:rPr>
        <w:fldChar w:fldCharType="begin"/>
      </w:r>
      <w:r>
        <w:rPr>
          <w:sz w:val="20"/>
          <w:szCs w:val="20"/>
          <w:vertAlign w:val="superscript"/>
        </w:rPr>
        <w:instrText xml:space="preserve"> REF _Ref44760193 \r \h  \* MERGEFORMAT </w:instrText>
      </w:r>
      <w:r>
        <w:rPr>
          <w:sz w:val="20"/>
          <w:szCs w:val="20"/>
          <w:vertAlign w:val="superscript"/>
        </w:rPr>
      </w:r>
      <w:r>
        <w:rPr>
          <w:sz w:val="20"/>
          <w:szCs w:val="20"/>
          <w:vertAlign w:val="superscript"/>
        </w:rPr>
        <w:fldChar w:fldCharType="separate"/>
      </w:r>
      <w:r>
        <w:rPr>
          <w:sz w:val="20"/>
          <w:szCs w:val="20"/>
          <w:vertAlign w:val="superscript"/>
        </w:rPr>
        <w:t>17</w:t>
      </w:r>
      <w:r>
        <w:rPr>
          <w:sz w:val="20"/>
          <w:szCs w:val="20"/>
          <w:vertAlign w:val="superscript"/>
        </w:rPr>
        <w:fldChar w:fldCharType="end"/>
      </w:r>
      <w:r>
        <w:rPr>
          <w:sz w:val="20"/>
          <w:szCs w:val="20"/>
        </w:rPr>
        <w:t xml:space="preserve"> Regarding postoperative delirium, it is common in the elderly, indicating that aged brain might be the pathophysiological basis of delirium.</w:t>
      </w:r>
      <w:r>
        <w:rPr>
          <w:sz w:val="20"/>
          <w:szCs w:val="20"/>
          <w:vertAlign w:val="superscript"/>
        </w:rPr>
        <w:fldChar w:fldCharType="begin"/>
      </w:r>
      <w:r>
        <w:rPr>
          <w:sz w:val="20"/>
          <w:szCs w:val="20"/>
          <w:vertAlign w:val="superscript"/>
        </w:rPr>
        <w:instrText xml:space="preserve"> REF _Ref44759890 \r \h  \* MERGEFORMAT </w:instrText>
      </w:r>
      <w:r>
        <w:rPr>
          <w:sz w:val="20"/>
          <w:szCs w:val="20"/>
          <w:vertAlign w:val="superscript"/>
        </w:rPr>
      </w:r>
      <w:r>
        <w:rPr>
          <w:sz w:val="20"/>
          <w:szCs w:val="20"/>
          <w:vertAlign w:val="superscript"/>
        </w:rPr>
        <w:fldChar w:fldCharType="separate"/>
      </w:r>
      <w:r>
        <w:rPr>
          <w:sz w:val="20"/>
          <w:szCs w:val="20"/>
          <w:vertAlign w:val="superscript"/>
        </w:rPr>
        <w:t>2</w:t>
      </w:r>
      <w:r>
        <w:rPr>
          <w:sz w:val="20"/>
          <w:szCs w:val="20"/>
          <w:vertAlign w:val="superscript"/>
        </w:rPr>
        <w:fldChar w:fldCharType="end"/>
      </w:r>
      <w:r>
        <w:rPr>
          <w:sz w:val="20"/>
          <w:szCs w:val="20"/>
        </w:rPr>
        <w:t xml:space="preserve"> Another phenomenon is that delirium frequently occurs after major surgery but is rare after minor surgery (such as cataract surgery).</w:t>
      </w:r>
      <w:r>
        <w:rPr>
          <w:sz w:val="20"/>
          <w:szCs w:val="20"/>
          <w:vertAlign w:val="superscript"/>
        </w:rPr>
        <w:fldChar w:fldCharType="begin"/>
      </w:r>
      <w:r>
        <w:rPr>
          <w:sz w:val="20"/>
          <w:szCs w:val="20"/>
          <w:vertAlign w:val="superscript"/>
        </w:rPr>
        <w:instrText xml:space="preserve"> REF _Ref44760219 \r \h  \* MERGEFORMAT </w:instrText>
      </w:r>
      <w:r>
        <w:rPr>
          <w:sz w:val="20"/>
          <w:szCs w:val="20"/>
          <w:vertAlign w:val="superscript"/>
        </w:rPr>
      </w:r>
      <w:r>
        <w:rPr>
          <w:sz w:val="20"/>
          <w:szCs w:val="20"/>
          <w:vertAlign w:val="superscript"/>
        </w:rPr>
        <w:fldChar w:fldCharType="separate"/>
      </w:r>
      <w:r>
        <w:rPr>
          <w:sz w:val="20"/>
          <w:szCs w:val="20"/>
          <w:vertAlign w:val="superscript"/>
        </w:rPr>
        <w:t>18</w:t>
      </w:r>
      <w:r>
        <w:rPr>
          <w:sz w:val="20"/>
          <w:szCs w:val="20"/>
          <w:vertAlign w:val="superscript"/>
        </w:rPr>
        <w:fldChar w:fldCharType="end"/>
      </w:r>
      <w:r>
        <w:rPr>
          <w:sz w:val="20"/>
          <w:szCs w:val="20"/>
        </w:rPr>
        <w:t xml:space="preserve"> This indicates that the surgery related stress response is an important precipitating factor. Indeed, previous studies found that severe pain is an independent risk factor,</w:t>
      </w:r>
      <w:r>
        <w:rPr>
          <w:sz w:val="20"/>
          <w:szCs w:val="20"/>
          <w:vertAlign w:val="superscript"/>
        </w:rPr>
        <w:fldChar w:fldCharType="begin"/>
      </w:r>
      <w:r>
        <w:rPr>
          <w:sz w:val="20"/>
          <w:szCs w:val="20"/>
          <w:vertAlign w:val="superscript"/>
        </w:rPr>
        <w:instrText xml:space="preserve"> REF _Ref44760230 \r \h  \* MERGEFORMAT </w:instrText>
      </w:r>
      <w:r>
        <w:rPr>
          <w:sz w:val="20"/>
          <w:szCs w:val="20"/>
          <w:vertAlign w:val="superscript"/>
        </w:rPr>
      </w:r>
      <w:r>
        <w:rPr>
          <w:sz w:val="20"/>
          <w:szCs w:val="20"/>
          <w:vertAlign w:val="superscript"/>
        </w:rPr>
        <w:fldChar w:fldCharType="separate"/>
      </w:r>
      <w:r>
        <w:rPr>
          <w:sz w:val="20"/>
          <w:szCs w:val="20"/>
          <w:vertAlign w:val="superscript"/>
        </w:rPr>
        <w:t>19</w:t>
      </w:r>
      <w:r>
        <w:rPr>
          <w:sz w:val="20"/>
          <w:szCs w:val="20"/>
          <w:vertAlign w:val="superscript"/>
        </w:rPr>
        <w:fldChar w:fldCharType="end"/>
      </w:r>
      <w:r>
        <w:rPr>
          <w:sz w:val="20"/>
          <w:szCs w:val="20"/>
        </w:rPr>
        <w:t xml:space="preserve"> whereas effective pain relief may reduce delirium.</w:t>
      </w:r>
      <w:r>
        <w:rPr>
          <w:sz w:val="20"/>
          <w:szCs w:val="20"/>
          <w:vertAlign w:val="superscript"/>
        </w:rPr>
        <w:fldChar w:fldCharType="begin"/>
      </w:r>
      <w:r>
        <w:rPr>
          <w:sz w:val="20"/>
          <w:szCs w:val="20"/>
          <w:vertAlign w:val="superscript"/>
        </w:rPr>
        <w:instrText xml:space="preserve"> REF _Ref44760245 \r \h  \* MERGEFORMAT </w:instrText>
      </w:r>
      <w:r>
        <w:rPr>
          <w:sz w:val="20"/>
          <w:szCs w:val="20"/>
          <w:vertAlign w:val="superscript"/>
        </w:rPr>
      </w:r>
      <w:r>
        <w:rPr>
          <w:sz w:val="20"/>
          <w:szCs w:val="20"/>
          <w:vertAlign w:val="superscript"/>
        </w:rPr>
        <w:fldChar w:fldCharType="separate"/>
      </w:r>
      <w:r>
        <w:rPr>
          <w:sz w:val="20"/>
          <w:szCs w:val="20"/>
          <w:vertAlign w:val="superscript"/>
        </w:rPr>
        <w:t>20</w:t>
      </w:r>
      <w:r>
        <w:rPr>
          <w:sz w:val="20"/>
          <w:szCs w:val="20"/>
          <w:vertAlign w:val="superscript"/>
        </w:rPr>
        <w:fldChar w:fldCharType="end"/>
      </w:r>
      <w:r>
        <w:rPr>
          <w:sz w:val="20"/>
          <w:szCs w:val="20"/>
          <w:vertAlign w:val="superscript"/>
        </w:rPr>
        <w:t>,</w:t>
      </w:r>
      <w:r>
        <w:rPr>
          <w:sz w:val="20"/>
          <w:szCs w:val="20"/>
          <w:vertAlign w:val="superscript"/>
        </w:rPr>
        <w:fldChar w:fldCharType="begin"/>
      </w:r>
      <w:r>
        <w:rPr>
          <w:sz w:val="20"/>
          <w:szCs w:val="20"/>
          <w:vertAlign w:val="superscript"/>
        </w:rPr>
        <w:instrText xml:space="preserve"> REF _Ref44760256 \r \h  \* MERGEFORMAT </w:instrText>
      </w:r>
      <w:r>
        <w:rPr>
          <w:sz w:val="20"/>
          <w:szCs w:val="20"/>
          <w:vertAlign w:val="superscript"/>
        </w:rPr>
      </w:r>
      <w:r>
        <w:rPr>
          <w:sz w:val="20"/>
          <w:szCs w:val="20"/>
          <w:vertAlign w:val="superscript"/>
        </w:rPr>
        <w:fldChar w:fldCharType="separate"/>
      </w:r>
      <w:r>
        <w:rPr>
          <w:sz w:val="20"/>
          <w:szCs w:val="20"/>
          <w:vertAlign w:val="superscript"/>
        </w:rPr>
        <w:t>21</w:t>
      </w:r>
      <w:r>
        <w:rPr>
          <w:sz w:val="20"/>
          <w:szCs w:val="20"/>
          <w:vertAlign w:val="superscript"/>
        </w:rPr>
        <w:fldChar w:fldCharType="end"/>
      </w:r>
      <w:r>
        <w:rPr>
          <w:sz w:val="20"/>
          <w:szCs w:val="20"/>
        </w:rPr>
        <w:t xml:space="preserve"> Our results showed that high cortisol level predicted the occurrence of delirium after either cardiac and non-cardiac surgeries.</w:t>
      </w:r>
      <w:r>
        <w:rPr>
          <w:sz w:val="20"/>
          <w:szCs w:val="20"/>
          <w:vertAlign w:val="superscript"/>
        </w:rPr>
        <w:fldChar w:fldCharType="begin"/>
      </w:r>
      <w:r>
        <w:rPr>
          <w:sz w:val="20"/>
          <w:szCs w:val="20"/>
          <w:vertAlign w:val="superscript"/>
        </w:rPr>
        <w:instrText xml:space="preserve"> REF _Ref44759921 \r \h  \* MERGEFORMAT </w:instrText>
      </w:r>
      <w:r>
        <w:rPr>
          <w:sz w:val="20"/>
          <w:szCs w:val="20"/>
          <w:vertAlign w:val="superscript"/>
        </w:rPr>
      </w:r>
      <w:r>
        <w:rPr>
          <w:sz w:val="20"/>
          <w:szCs w:val="20"/>
          <w:vertAlign w:val="superscript"/>
        </w:rPr>
        <w:fldChar w:fldCharType="separate"/>
      </w:r>
      <w:r>
        <w:rPr>
          <w:sz w:val="20"/>
          <w:szCs w:val="20"/>
          <w:vertAlign w:val="superscript"/>
        </w:rPr>
        <w:t>4</w:t>
      </w:r>
      <w:r>
        <w:rPr>
          <w:sz w:val="20"/>
          <w:szCs w:val="20"/>
          <w:vertAlign w:val="superscript"/>
        </w:rPr>
        <w:fldChar w:fldCharType="end"/>
      </w:r>
      <w:r>
        <w:rPr>
          <w:sz w:val="20"/>
          <w:szCs w:val="20"/>
          <w:vertAlign w:val="superscript"/>
        </w:rPr>
        <w:t>,</w:t>
      </w:r>
      <w:r>
        <w:rPr>
          <w:sz w:val="20"/>
          <w:szCs w:val="20"/>
          <w:vertAlign w:val="superscript"/>
        </w:rPr>
        <w:fldChar w:fldCharType="begin"/>
      </w:r>
      <w:r>
        <w:rPr>
          <w:sz w:val="20"/>
          <w:szCs w:val="20"/>
          <w:vertAlign w:val="superscript"/>
        </w:rPr>
        <w:instrText xml:space="preserve"> REF _Ref44759929 \r \h  \* MERGEFORMAT </w:instrText>
      </w:r>
      <w:r>
        <w:rPr>
          <w:sz w:val="20"/>
          <w:szCs w:val="20"/>
          <w:vertAlign w:val="superscript"/>
        </w:rPr>
      </w:r>
      <w:r>
        <w:rPr>
          <w:sz w:val="20"/>
          <w:szCs w:val="20"/>
          <w:vertAlign w:val="superscript"/>
        </w:rPr>
        <w:fldChar w:fldCharType="separate"/>
      </w:r>
      <w:r>
        <w:rPr>
          <w:sz w:val="20"/>
          <w:szCs w:val="20"/>
          <w:vertAlign w:val="superscript"/>
        </w:rPr>
        <w:t>5</w:t>
      </w:r>
      <w:r>
        <w:rPr>
          <w:sz w:val="20"/>
          <w:szCs w:val="20"/>
          <w:vertAlign w:val="superscript"/>
        </w:rPr>
        <w:fldChar w:fldCharType="end"/>
      </w:r>
      <w:r>
        <w:rPr>
          <w:sz w:val="20"/>
          <w:szCs w:val="20"/>
        </w:rPr>
        <w:t xml:space="preserve"> In other studies, serum level of inflammatory cytokines (interleukin [IL]-6 and IL-8) were significantly higher in patients who developed delirium.</w:t>
      </w:r>
      <w:r>
        <w:rPr>
          <w:sz w:val="20"/>
          <w:szCs w:val="20"/>
          <w:vertAlign w:val="superscript"/>
        </w:rPr>
        <w:fldChar w:fldCharType="begin"/>
      </w:r>
      <w:r>
        <w:rPr>
          <w:sz w:val="20"/>
          <w:szCs w:val="20"/>
          <w:vertAlign w:val="superscript"/>
        </w:rPr>
        <w:instrText xml:space="preserve"> REF _Ref44760291 \r \h  \* MERGEFORMAT </w:instrText>
      </w:r>
      <w:r>
        <w:rPr>
          <w:sz w:val="20"/>
          <w:szCs w:val="20"/>
          <w:vertAlign w:val="superscript"/>
        </w:rPr>
      </w:r>
      <w:r>
        <w:rPr>
          <w:sz w:val="20"/>
          <w:szCs w:val="20"/>
          <w:vertAlign w:val="superscript"/>
        </w:rPr>
        <w:fldChar w:fldCharType="separate"/>
      </w:r>
      <w:r>
        <w:rPr>
          <w:sz w:val="20"/>
          <w:szCs w:val="20"/>
          <w:vertAlign w:val="superscript"/>
        </w:rPr>
        <w:t>22</w:t>
      </w:r>
      <w:r>
        <w:rPr>
          <w:sz w:val="20"/>
          <w:szCs w:val="20"/>
          <w:vertAlign w:val="superscript"/>
        </w:rPr>
        <w:fldChar w:fldCharType="end"/>
      </w:r>
      <w:r>
        <w:rPr>
          <w:sz w:val="20"/>
          <w:szCs w:val="20"/>
          <w:vertAlign w:val="superscript"/>
        </w:rPr>
        <w:t>,</w:t>
      </w:r>
      <w:r>
        <w:rPr>
          <w:sz w:val="20"/>
          <w:szCs w:val="20"/>
          <w:vertAlign w:val="superscript"/>
        </w:rPr>
        <w:fldChar w:fldCharType="begin"/>
      </w:r>
      <w:r>
        <w:rPr>
          <w:sz w:val="20"/>
          <w:szCs w:val="20"/>
          <w:vertAlign w:val="superscript"/>
        </w:rPr>
        <w:instrText xml:space="preserve"> REF _Ref44760300 \r \h  \* MERGEFORMAT </w:instrText>
      </w:r>
      <w:r>
        <w:rPr>
          <w:sz w:val="20"/>
          <w:szCs w:val="20"/>
          <w:vertAlign w:val="superscript"/>
        </w:rPr>
      </w:r>
      <w:r>
        <w:rPr>
          <w:sz w:val="20"/>
          <w:szCs w:val="20"/>
          <w:vertAlign w:val="superscript"/>
        </w:rPr>
        <w:fldChar w:fldCharType="separate"/>
      </w:r>
      <w:r>
        <w:rPr>
          <w:sz w:val="20"/>
          <w:szCs w:val="20"/>
          <w:vertAlign w:val="superscript"/>
        </w:rPr>
        <w:t>23</w:t>
      </w:r>
      <w:r>
        <w:rPr>
          <w:sz w:val="20"/>
          <w:szCs w:val="20"/>
          <w:vertAlign w:val="superscript"/>
        </w:rPr>
        <w:fldChar w:fldCharType="end"/>
      </w:r>
      <w:r>
        <w:rPr>
          <w:sz w:val="20"/>
          <w:szCs w:val="20"/>
          <w:vertAlign w:val="superscript"/>
        </w:rPr>
        <w:t>,</w:t>
      </w:r>
      <w:r>
        <w:rPr>
          <w:sz w:val="20"/>
          <w:szCs w:val="20"/>
          <w:vertAlign w:val="superscript"/>
        </w:rPr>
        <w:fldChar w:fldCharType="begin"/>
      </w:r>
      <w:r>
        <w:rPr>
          <w:sz w:val="20"/>
          <w:szCs w:val="20"/>
          <w:vertAlign w:val="superscript"/>
        </w:rPr>
        <w:instrText xml:space="preserve"> REF _Ref44760310 \r \h  \* MERGEFORMAT </w:instrText>
      </w:r>
      <w:r>
        <w:rPr>
          <w:sz w:val="20"/>
          <w:szCs w:val="20"/>
          <w:vertAlign w:val="superscript"/>
        </w:rPr>
      </w:r>
      <w:r>
        <w:rPr>
          <w:sz w:val="20"/>
          <w:szCs w:val="20"/>
          <w:vertAlign w:val="superscript"/>
        </w:rPr>
        <w:fldChar w:fldCharType="separate"/>
      </w:r>
      <w:r>
        <w:rPr>
          <w:sz w:val="20"/>
          <w:szCs w:val="20"/>
          <w:vertAlign w:val="superscript"/>
        </w:rPr>
        <w:t>24</w:t>
      </w:r>
      <w:r>
        <w:rPr>
          <w:sz w:val="20"/>
          <w:szCs w:val="20"/>
          <w:vertAlign w:val="superscript"/>
        </w:rPr>
        <w:fldChar w:fldCharType="end"/>
      </w:r>
    </w:p>
    <w:p w14:paraId="46D67985" w14:textId="77777777" w:rsidR="00555164" w:rsidRDefault="00555164">
      <w:pPr>
        <w:spacing w:before="50" w:after="50"/>
        <w:rPr>
          <w:sz w:val="20"/>
          <w:szCs w:val="20"/>
        </w:rPr>
      </w:pPr>
    </w:p>
    <w:p w14:paraId="2D00C82C" w14:textId="5A9EBACA" w:rsidR="00555164" w:rsidRDefault="002C73C0">
      <w:pPr>
        <w:spacing w:before="50" w:after="50"/>
        <w:rPr>
          <w:sz w:val="20"/>
          <w:szCs w:val="20"/>
        </w:rPr>
      </w:pPr>
      <w:r>
        <w:rPr>
          <w:sz w:val="20"/>
          <w:szCs w:val="20"/>
        </w:rPr>
        <w:t xml:space="preserve">    Opioid is the mainstay of perioperative analgesia. However, high-dose opioids increase not only nausea and vomiting</w:t>
      </w:r>
      <w:r>
        <w:rPr>
          <w:sz w:val="20"/>
          <w:szCs w:val="20"/>
          <w:vertAlign w:val="superscript"/>
        </w:rPr>
        <w:fldChar w:fldCharType="begin"/>
      </w:r>
      <w:r>
        <w:rPr>
          <w:sz w:val="20"/>
          <w:szCs w:val="20"/>
          <w:vertAlign w:val="superscript"/>
        </w:rPr>
        <w:instrText xml:space="preserve"> REF _Ref44760320 \r \h  \* MERGEFORMAT </w:instrText>
      </w:r>
      <w:r>
        <w:rPr>
          <w:sz w:val="20"/>
          <w:szCs w:val="20"/>
          <w:vertAlign w:val="superscript"/>
        </w:rPr>
      </w:r>
      <w:r>
        <w:rPr>
          <w:sz w:val="20"/>
          <w:szCs w:val="20"/>
          <w:vertAlign w:val="superscript"/>
        </w:rPr>
        <w:fldChar w:fldCharType="separate"/>
      </w:r>
      <w:r>
        <w:rPr>
          <w:sz w:val="20"/>
          <w:szCs w:val="20"/>
          <w:vertAlign w:val="superscript"/>
        </w:rPr>
        <w:t>25</w:t>
      </w:r>
      <w:r>
        <w:rPr>
          <w:sz w:val="20"/>
          <w:szCs w:val="20"/>
          <w:vertAlign w:val="superscript"/>
        </w:rPr>
        <w:fldChar w:fldCharType="end"/>
      </w:r>
      <w:r>
        <w:rPr>
          <w:sz w:val="20"/>
          <w:szCs w:val="20"/>
        </w:rPr>
        <w:t xml:space="preserve"> but also delirium occurrence.</w:t>
      </w:r>
      <w:r>
        <w:rPr>
          <w:sz w:val="20"/>
          <w:szCs w:val="20"/>
          <w:vertAlign w:val="superscript"/>
        </w:rPr>
        <w:fldChar w:fldCharType="begin"/>
      </w:r>
      <w:r>
        <w:rPr>
          <w:sz w:val="20"/>
          <w:szCs w:val="20"/>
          <w:vertAlign w:val="superscript"/>
        </w:rPr>
        <w:instrText xml:space="preserve"> REF _Ref44760328 \r \h  \* MERGEFORMAT </w:instrText>
      </w:r>
      <w:r>
        <w:rPr>
          <w:sz w:val="20"/>
          <w:szCs w:val="20"/>
          <w:vertAlign w:val="superscript"/>
        </w:rPr>
      </w:r>
      <w:r>
        <w:rPr>
          <w:sz w:val="20"/>
          <w:szCs w:val="20"/>
          <w:vertAlign w:val="superscript"/>
        </w:rPr>
        <w:fldChar w:fldCharType="separate"/>
      </w:r>
      <w:r>
        <w:rPr>
          <w:sz w:val="20"/>
          <w:szCs w:val="20"/>
          <w:vertAlign w:val="superscript"/>
        </w:rPr>
        <w:t>26</w:t>
      </w:r>
      <w:r>
        <w:rPr>
          <w:sz w:val="20"/>
          <w:szCs w:val="20"/>
          <w:vertAlign w:val="superscript"/>
        </w:rPr>
        <w:fldChar w:fldCharType="end"/>
      </w:r>
      <w:r>
        <w:rPr>
          <w:sz w:val="20"/>
          <w:szCs w:val="20"/>
        </w:rPr>
        <w:t xml:space="preserve"> On the other hand, epidural block provides better pain relief when compared with intravenous opioids.</w:t>
      </w:r>
      <w:r>
        <w:rPr>
          <w:sz w:val="20"/>
          <w:szCs w:val="20"/>
          <w:vertAlign w:val="superscript"/>
        </w:rPr>
        <w:fldChar w:fldCharType="begin"/>
      </w:r>
      <w:r>
        <w:rPr>
          <w:sz w:val="20"/>
          <w:szCs w:val="20"/>
          <w:vertAlign w:val="superscript"/>
        </w:rPr>
        <w:instrText xml:space="preserve"> REF _Ref44760336 \r \h  \* MERGEFORMAT </w:instrText>
      </w:r>
      <w:r>
        <w:rPr>
          <w:sz w:val="20"/>
          <w:szCs w:val="20"/>
          <w:vertAlign w:val="superscript"/>
        </w:rPr>
      </w:r>
      <w:r>
        <w:rPr>
          <w:sz w:val="20"/>
          <w:szCs w:val="20"/>
          <w:vertAlign w:val="superscript"/>
        </w:rPr>
        <w:fldChar w:fldCharType="separate"/>
      </w:r>
      <w:r>
        <w:rPr>
          <w:sz w:val="20"/>
          <w:szCs w:val="20"/>
          <w:vertAlign w:val="superscript"/>
        </w:rPr>
        <w:t>27</w:t>
      </w:r>
      <w:r>
        <w:rPr>
          <w:sz w:val="20"/>
          <w:szCs w:val="20"/>
          <w:vertAlign w:val="superscript"/>
        </w:rPr>
        <w:fldChar w:fldCharType="end"/>
      </w:r>
      <w:r>
        <w:rPr>
          <w:sz w:val="20"/>
          <w:szCs w:val="20"/>
          <w:vertAlign w:val="superscript"/>
        </w:rPr>
        <w:t>,</w:t>
      </w:r>
      <w:r>
        <w:rPr>
          <w:sz w:val="20"/>
          <w:szCs w:val="20"/>
          <w:vertAlign w:val="superscript"/>
        </w:rPr>
        <w:fldChar w:fldCharType="begin"/>
      </w:r>
      <w:r>
        <w:rPr>
          <w:sz w:val="20"/>
          <w:szCs w:val="20"/>
          <w:vertAlign w:val="superscript"/>
        </w:rPr>
        <w:instrText xml:space="preserve"> REF _Ref44760351 \r \h  \* MERGEFORMAT </w:instrText>
      </w:r>
      <w:r>
        <w:rPr>
          <w:sz w:val="20"/>
          <w:szCs w:val="20"/>
          <w:vertAlign w:val="superscript"/>
        </w:rPr>
      </w:r>
      <w:r>
        <w:rPr>
          <w:sz w:val="20"/>
          <w:szCs w:val="20"/>
          <w:vertAlign w:val="superscript"/>
        </w:rPr>
        <w:fldChar w:fldCharType="separate"/>
      </w:r>
      <w:r>
        <w:rPr>
          <w:sz w:val="20"/>
          <w:szCs w:val="20"/>
          <w:vertAlign w:val="superscript"/>
        </w:rPr>
        <w:t>28</w:t>
      </w:r>
      <w:r>
        <w:rPr>
          <w:sz w:val="20"/>
          <w:szCs w:val="20"/>
          <w:vertAlign w:val="superscript"/>
        </w:rPr>
        <w:fldChar w:fldCharType="end"/>
      </w:r>
      <w:r>
        <w:rPr>
          <w:sz w:val="20"/>
          <w:szCs w:val="20"/>
        </w:rPr>
        <w:t xml:space="preserve"> Furthermore, epidural anesthesia can effectively blunt surgery-induced cortisol hypersecretion</w:t>
      </w:r>
      <w:r>
        <w:rPr>
          <w:sz w:val="20"/>
          <w:szCs w:val="20"/>
          <w:vertAlign w:val="superscript"/>
        </w:rPr>
        <w:fldChar w:fldCharType="begin"/>
      </w:r>
      <w:r>
        <w:rPr>
          <w:sz w:val="20"/>
          <w:szCs w:val="20"/>
          <w:vertAlign w:val="superscript"/>
        </w:rPr>
        <w:instrText xml:space="preserve"> REF _Ref44760363 \r \h  \* MERGEFORMAT </w:instrText>
      </w:r>
      <w:r>
        <w:rPr>
          <w:sz w:val="20"/>
          <w:szCs w:val="20"/>
          <w:vertAlign w:val="superscript"/>
        </w:rPr>
      </w:r>
      <w:r>
        <w:rPr>
          <w:sz w:val="20"/>
          <w:szCs w:val="20"/>
          <w:vertAlign w:val="superscript"/>
        </w:rPr>
        <w:fldChar w:fldCharType="separate"/>
      </w:r>
      <w:r>
        <w:rPr>
          <w:sz w:val="20"/>
          <w:szCs w:val="20"/>
          <w:vertAlign w:val="superscript"/>
        </w:rPr>
        <w:t>29</w:t>
      </w:r>
      <w:r>
        <w:rPr>
          <w:sz w:val="20"/>
          <w:szCs w:val="20"/>
          <w:vertAlign w:val="superscript"/>
        </w:rPr>
        <w:fldChar w:fldCharType="end"/>
      </w:r>
      <w:r>
        <w:rPr>
          <w:sz w:val="20"/>
          <w:szCs w:val="20"/>
          <w:vertAlign w:val="superscript"/>
        </w:rPr>
        <w:t>,</w:t>
      </w:r>
      <w:r>
        <w:rPr>
          <w:sz w:val="20"/>
          <w:szCs w:val="20"/>
          <w:vertAlign w:val="superscript"/>
        </w:rPr>
        <w:fldChar w:fldCharType="begin"/>
      </w:r>
      <w:r>
        <w:rPr>
          <w:sz w:val="20"/>
          <w:szCs w:val="20"/>
          <w:vertAlign w:val="superscript"/>
        </w:rPr>
        <w:instrText xml:space="preserve"> REF _Ref44760371 \r \h  \* MERGEFORMAT </w:instrText>
      </w:r>
      <w:r>
        <w:rPr>
          <w:sz w:val="20"/>
          <w:szCs w:val="20"/>
          <w:vertAlign w:val="superscript"/>
        </w:rPr>
      </w:r>
      <w:r>
        <w:rPr>
          <w:sz w:val="20"/>
          <w:szCs w:val="20"/>
          <w:vertAlign w:val="superscript"/>
        </w:rPr>
        <w:fldChar w:fldCharType="separate"/>
      </w:r>
      <w:r>
        <w:rPr>
          <w:sz w:val="20"/>
          <w:szCs w:val="20"/>
          <w:vertAlign w:val="superscript"/>
        </w:rPr>
        <w:t>30</w:t>
      </w:r>
      <w:r>
        <w:rPr>
          <w:sz w:val="20"/>
          <w:szCs w:val="20"/>
          <w:vertAlign w:val="superscript"/>
        </w:rPr>
        <w:fldChar w:fldCharType="end"/>
      </w:r>
      <w:r>
        <w:rPr>
          <w:sz w:val="20"/>
          <w:szCs w:val="20"/>
        </w:rPr>
        <w:t xml:space="preserve"> and inflammatory response</w:t>
      </w:r>
      <w:r>
        <w:rPr>
          <w:sz w:val="20"/>
          <w:szCs w:val="20"/>
          <w:vertAlign w:val="superscript"/>
        </w:rPr>
        <w:fldChar w:fldCharType="begin"/>
      </w:r>
      <w:r>
        <w:rPr>
          <w:sz w:val="20"/>
          <w:szCs w:val="20"/>
          <w:vertAlign w:val="superscript"/>
        </w:rPr>
        <w:instrText xml:space="preserve"> REF _Ref44760379 \r \h  \* MERGEFORMAT </w:instrText>
      </w:r>
      <w:r>
        <w:rPr>
          <w:sz w:val="20"/>
          <w:szCs w:val="20"/>
          <w:vertAlign w:val="superscript"/>
        </w:rPr>
      </w:r>
      <w:r>
        <w:rPr>
          <w:sz w:val="20"/>
          <w:szCs w:val="20"/>
          <w:vertAlign w:val="superscript"/>
        </w:rPr>
        <w:fldChar w:fldCharType="separate"/>
      </w:r>
      <w:r>
        <w:rPr>
          <w:sz w:val="20"/>
          <w:szCs w:val="20"/>
          <w:vertAlign w:val="superscript"/>
        </w:rPr>
        <w:t>31</w:t>
      </w:r>
      <w:r>
        <w:rPr>
          <w:sz w:val="20"/>
          <w:szCs w:val="20"/>
          <w:vertAlign w:val="superscript"/>
        </w:rPr>
        <w:fldChar w:fldCharType="end"/>
      </w:r>
      <w:r>
        <w:rPr>
          <w:sz w:val="20"/>
          <w:szCs w:val="20"/>
          <w:vertAlign w:val="superscript"/>
        </w:rPr>
        <w:t>,</w:t>
      </w:r>
      <w:r>
        <w:rPr>
          <w:sz w:val="20"/>
          <w:szCs w:val="20"/>
          <w:vertAlign w:val="superscript"/>
        </w:rPr>
        <w:fldChar w:fldCharType="begin"/>
      </w:r>
      <w:r>
        <w:rPr>
          <w:sz w:val="20"/>
          <w:szCs w:val="20"/>
          <w:vertAlign w:val="superscript"/>
        </w:rPr>
        <w:instrText xml:space="preserve"> REF _Ref44760388 \r \h  \* MERGEFORMAT </w:instrText>
      </w:r>
      <w:r>
        <w:rPr>
          <w:sz w:val="20"/>
          <w:szCs w:val="20"/>
          <w:vertAlign w:val="superscript"/>
        </w:rPr>
      </w:r>
      <w:r>
        <w:rPr>
          <w:sz w:val="20"/>
          <w:szCs w:val="20"/>
          <w:vertAlign w:val="superscript"/>
        </w:rPr>
        <w:fldChar w:fldCharType="separate"/>
      </w:r>
      <w:r>
        <w:rPr>
          <w:sz w:val="20"/>
          <w:szCs w:val="20"/>
          <w:vertAlign w:val="superscript"/>
        </w:rPr>
        <w:t>32</w:t>
      </w:r>
      <w:r>
        <w:rPr>
          <w:sz w:val="20"/>
          <w:szCs w:val="20"/>
          <w:vertAlign w:val="superscript"/>
        </w:rPr>
        <w:fldChar w:fldCharType="end"/>
      </w:r>
      <w:r>
        <w:rPr>
          <w:sz w:val="20"/>
          <w:szCs w:val="20"/>
        </w:rPr>
        <w:t xml:space="preserve"> by blocking afferent noxious stimuli. In previous studies, patients with neuraxial anesthesia had lower incidence of postoperative complications, earlier recovery of gastrointestinal function and shorter duration of hospital stay when compared with general anesthesia;</w:t>
      </w:r>
      <w:r>
        <w:rPr>
          <w:sz w:val="20"/>
          <w:szCs w:val="20"/>
          <w:vertAlign w:val="superscript"/>
        </w:rPr>
        <w:fldChar w:fldCharType="begin"/>
      </w:r>
      <w:r>
        <w:rPr>
          <w:sz w:val="20"/>
          <w:szCs w:val="20"/>
          <w:vertAlign w:val="superscript"/>
        </w:rPr>
        <w:instrText xml:space="preserve"> REF _Ref44760399 \r \h  \* MERGEFORMAT </w:instrText>
      </w:r>
      <w:r>
        <w:rPr>
          <w:sz w:val="20"/>
          <w:szCs w:val="20"/>
          <w:vertAlign w:val="superscript"/>
        </w:rPr>
      </w:r>
      <w:r>
        <w:rPr>
          <w:sz w:val="20"/>
          <w:szCs w:val="20"/>
          <w:vertAlign w:val="superscript"/>
        </w:rPr>
        <w:fldChar w:fldCharType="separate"/>
      </w:r>
      <w:r>
        <w:rPr>
          <w:sz w:val="20"/>
          <w:szCs w:val="20"/>
          <w:vertAlign w:val="superscript"/>
        </w:rPr>
        <w:t>33</w:t>
      </w:r>
      <w:r>
        <w:rPr>
          <w:sz w:val="20"/>
          <w:szCs w:val="20"/>
          <w:vertAlign w:val="superscript"/>
        </w:rPr>
        <w:fldChar w:fldCharType="end"/>
      </w:r>
      <w:r>
        <w:rPr>
          <w:sz w:val="20"/>
          <w:szCs w:val="20"/>
          <w:vertAlign w:val="superscript"/>
        </w:rPr>
        <w:t>,</w:t>
      </w:r>
      <w:r>
        <w:rPr>
          <w:sz w:val="20"/>
          <w:szCs w:val="20"/>
          <w:vertAlign w:val="superscript"/>
        </w:rPr>
        <w:fldChar w:fldCharType="begin"/>
      </w:r>
      <w:r>
        <w:rPr>
          <w:sz w:val="20"/>
          <w:szCs w:val="20"/>
          <w:vertAlign w:val="superscript"/>
        </w:rPr>
        <w:instrText xml:space="preserve"> REF _Ref44760407 \r \h  \* MERGEFORMAT </w:instrText>
      </w:r>
      <w:r>
        <w:rPr>
          <w:sz w:val="20"/>
          <w:szCs w:val="20"/>
          <w:vertAlign w:val="superscript"/>
        </w:rPr>
      </w:r>
      <w:r>
        <w:rPr>
          <w:sz w:val="20"/>
          <w:szCs w:val="20"/>
          <w:vertAlign w:val="superscript"/>
        </w:rPr>
        <w:fldChar w:fldCharType="separate"/>
      </w:r>
      <w:r>
        <w:rPr>
          <w:sz w:val="20"/>
          <w:szCs w:val="20"/>
          <w:vertAlign w:val="superscript"/>
        </w:rPr>
        <w:t>34</w:t>
      </w:r>
      <w:r>
        <w:rPr>
          <w:sz w:val="20"/>
          <w:szCs w:val="20"/>
          <w:vertAlign w:val="superscript"/>
        </w:rPr>
        <w:fldChar w:fldCharType="end"/>
      </w:r>
      <w:r>
        <w:rPr>
          <w:sz w:val="20"/>
          <w:szCs w:val="20"/>
          <w:vertAlign w:val="superscript"/>
        </w:rPr>
        <w:t>,</w:t>
      </w:r>
      <w:r>
        <w:rPr>
          <w:sz w:val="20"/>
          <w:szCs w:val="20"/>
          <w:vertAlign w:val="superscript"/>
        </w:rPr>
        <w:fldChar w:fldCharType="begin"/>
      </w:r>
      <w:r>
        <w:rPr>
          <w:sz w:val="20"/>
          <w:szCs w:val="20"/>
          <w:vertAlign w:val="superscript"/>
        </w:rPr>
        <w:instrText xml:space="preserve"> REF _Ref44760416 \r \h  \* MERGEFORMAT </w:instrText>
      </w:r>
      <w:r>
        <w:rPr>
          <w:sz w:val="20"/>
          <w:szCs w:val="20"/>
          <w:vertAlign w:val="superscript"/>
        </w:rPr>
      </w:r>
      <w:r>
        <w:rPr>
          <w:sz w:val="20"/>
          <w:szCs w:val="20"/>
          <w:vertAlign w:val="superscript"/>
        </w:rPr>
        <w:fldChar w:fldCharType="separate"/>
      </w:r>
      <w:r>
        <w:rPr>
          <w:sz w:val="20"/>
          <w:szCs w:val="20"/>
          <w:vertAlign w:val="superscript"/>
        </w:rPr>
        <w:t>35</w:t>
      </w:r>
      <w:r>
        <w:rPr>
          <w:sz w:val="20"/>
          <w:szCs w:val="20"/>
          <w:vertAlign w:val="superscript"/>
        </w:rPr>
        <w:fldChar w:fldCharType="end"/>
      </w:r>
      <w:r>
        <w:rPr>
          <w:sz w:val="20"/>
          <w:szCs w:val="20"/>
        </w:rPr>
        <w:t xml:space="preserve"> they even had lower postoperative mortality.</w:t>
      </w:r>
      <w:r>
        <w:rPr>
          <w:sz w:val="20"/>
          <w:szCs w:val="20"/>
          <w:vertAlign w:val="superscript"/>
        </w:rPr>
        <w:fldChar w:fldCharType="begin"/>
      </w:r>
      <w:r>
        <w:rPr>
          <w:sz w:val="20"/>
          <w:szCs w:val="20"/>
          <w:vertAlign w:val="superscript"/>
        </w:rPr>
        <w:instrText xml:space="preserve"> REF _Ref44760426 \r \h  \* MERGEFORMAT </w:instrText>
      </w:r>
      <w:r>
        <w:rPr>
          <w:sz w:val="20"/>
          <w:szCs w:val="20"/>
          <w:vertAlign w:val="superscript"/>
        </w:rPr>
      </w:r>
      <w:r>
        <w:rPr>
          <w:sz w:val="20"/>
          <w:szCs w:val="20"/>
          <w:vertAlign w:val="superscript"/>
        </w:rPr>
        <w:fldChar w:fldCharType="separate"/>
      </w:r>
      <w:r>
        <w:rPr>
          <w:sz w:val="20"/>
          <w:szCs w:val="20"/>
          <w:vertAlign w:val="superscript"/>
        </w:rPr>
        <w:t>36</w:t>
      </w:r>
      <w:r>
        <w:rPr>
          <w:sz w:val="20"/>
          <w:szCs w:val="20"/>
          <w:vertAlign w:val="superscript"/>
        </w:rPr>
        <w:fldChar w:fldCharType="end"/>
      </w:r>
    </w:p>
    <w:p w14:paraId="120C0632" w14:textId="77777777" w:rsidR="00555164" w:rsidRDefault="00555164">
      <w:pPr>
        <w:spacing w:before="50" w:after="50"/>
        <w:rPr>
          <w:rFonts w:eastAsia="等线"/>
          <w:sz w:val="20"/>
          <w:szCs w:val="20"/>
        </w:rPr>
      </w:pPr>
    </w:p>
    <w:p w14:paraId="72566734" w14:textId="77777777" w:rsidR="00555164" w:rsidRDefault="002C73C0">
      <w:pPr>
        <w:spacing w:before="50" w:after="50"/>
        <w:rPr>
          <w:sz w:val="20"/>
          <w:szCs w:val="20"/>
        </w:rPr>
      </w:pPr>
      <w:r>
        <w:rPr>
          <w:sz w:val="20"/>
          <w:szCs w:val="20"/>
        </w:rPr>
        <w:t xml:space="preserve">    The beneficial effects of neuraxial anesthesia may help to reduce postoperative delirium. However, available studies comparing general anesthesia vs. neuraxial block did not find significant difference</w:t>
      </w:r>
      <w:r>
        <w:rPr>
          <w:rFonts w:eastAsia="宋体"/>
          <w:sz w:val="20"/>
          <w:szCs w:val="20"/>
        </w:rPr>
        <w:t>,</w:t>
      </w:r>
      <w:r>
        <w:rPr>
          <w:sz w:val="20"/>
          <w:szCs w:val="20"/>
          <w:vertAlign w:val="superscript"/>
        </w:rPr>
        <w:fldChar w:fldCharType="begin"/>
      </w:r>
      <w:r>
        <w:rPr>
          <w:rFonts w:eastAsia="宋体"/>
          <w:sz w:val="20"/>
          <w:szCs w:val="20"/>
          <w:vertAlign w:val="superscript"/>
        </w:rPr>
        <w:instrText xml:space="preserve"> REF _Ref44760439 \r \h </w:instrText>
      </w:r>
      <w:r>
        <w:rPr>
          <w:sz w:val="20"/>
          <w:szCs w:val="20"/>
          <w:vertAlign w:val="superscript"/>
        </w:rPr>
        <w:instrText xml:space="preserve"> \* MERGEFORMAT </w:instrText>
      </w:r>
      <w:r>
        <w:rPr>
          <w:sz w:val="20"/>
          <w:szCs w:val="20"/>
          <w:vertAlign w:val="superscript"/>
        </w:rPr>
      </w:r>
      <w:r>
        <w:rPr>
          <w:sz w:val="20"/>
          <w:szCs w:val="20"/>
          <w:vertAlign w:val="superscript"/>
        </w:rPr>
        <w:fldChar w:fldCharType="separate"/>
      </w:r>
      <w:r>
        <w:rPr>
          <w:rFonts w:eastAsia="宋体"/>
          <w:sz w:val="20"/>
          <w:szCs w:val="20"/>
          <w:vertAlign w:val="superscript"/>
        </w:rPr>
        <w:t>37</w:t>
      </w:r>
      <w:r>
        <w:rPr>
          <w:sz w:val="20"/>
          <w:szCs w:val="20"/>
          <w:vertAlign w:val="superscript"/>
        </w:rPr>
        <w:fldChar w:fldCharType="end"/>
      </w:r>
      <w:r>
        <w:rPr>
          <w:sz w:val="20"/>
          <w:szCs w:val="20"/>
          <w:vertAlign w:val="superscript"/>
        </w:rPr>
        <w:t>,</w:t>
      </w:r>
      <w:r>
        <w:rPr>
          <w:sz w:val="20"/>
          <w:szCs w:val="20"/>
          <w:vertAlign w:val="superscript"/>
        </w:rPr>
        <w:fldChar w:fldCharType="begin"/>
      </w:r>
      <w:r>
        <w:rPr>
          <w:sz w:val="20"/>
          <w:szCs w:val="20"/>
          <w:vertAlign w:val="superscript"/>
        </w:rPr>
        <w:instrText xml:space="preserve"> REF _Ref44760447 \r \h  \* MERGEFORMAT </w:instrText>
      </w:r>
      <w:r>
        <w:rPr>
          <w:sz w:val="20"/>
          <w:szCs w:val="20"/>
          <w:vertAlign w:val="superscript"/>
        </w:rPr>
      </w:r>
      <w:r>
        <w:rPr>
          <w:sz w:val="20"/>
          <w:szCs w:val="20"/>
          <w:vertAlign w:val="superscript"/>
        </w:rPr>
        <w:fldChar w:fldCharType="separate"/>
      </w:r>
      <w:r>
        <w:rPr>
          <w:sz w:val="20"/>
          <w:szCs w:val="20"/>
          <w:vertAlign w:val="superscript"/>
        </w:rPr>
        <w:t>38</w:t>
      </w:r>
      <w:r>
        <w:rPr>
          <w:sz w:val="20"/>
          <w:szCs w:val="20"/>
          <w:vertAlign w:val="superscript"/>
        </w:rPr>
        <w:fldChar w:fldCharType="end"/>
      </w:r>
      <w:r>
        <w:rPr>
          <w:sz w:val="20"/>
          <w:szCs w:val="20"/>
          <w:vertAlign w:val="superscript"/>
        </w:rPr>
        <w:t>,</w:t>
      </w:r>
      <w:r>
        <w:rPr>
          <w:sz w:val="20"/>
          <w:szCs w:val="20"/>
          <w:vertAlign w:val="superscript"/>
        </w:rPr>
        <w:fldChar w:fldCharType="begin"/>
      </w:r>
      <w:r>
        <w:rPr>
          <w:sz w:val="20"/>
          <w:szCs w:val="20"/>
          <w:vertAlign w:val="superscript"/>
        </w:rPr>
        <w:instrText xml:space="preserve"> REF _Ref44760468 \r \h  \* MERGEFORMAT </w:instrText>
      </w:r>
      <w:r>
        <w:rPr>
          <w:sz w:val="20"/>
          <w:szCs w:val="20"/>
          <w:vertAlign w:val="superscript"/>
        </w:rPr>
      </w:r>
      <w:r>
        <w:rPr>
          <w:sz w:val="20"/>
          <w:szCs w:val="20"/>
          <w:vertAlign w:val="superscript"/>
        </w:rPr>
        <w:fldChar w:fldCharType="separate"/>
      </w:r>
      <w:r>
        <w:rPr>
          <w:sz w:val="20"/>
          <w:szCs w:val="20"/>
          <w:vertAlign w:val="superscript"/>
        </w:rPr>
        <w:t>39</w:t>
      </w:r>
      <w:r>
        <w:rPr>
          <w:sz w:val="20"/>
          <w:szCs w:val="20"/>
          <w:vertAlign w:val="superscript"/>
        </w:rPr>
        <w:fldChar w:fldCharType="end"/>
      </w:r>
      <w:r>
        <w:rPr>
          <w:sz w:val="20"/>
          <w:szCs w:val="20"/>
          <w:vertAlign w:val="superscript"/>
        </w:rPr>
        <w:t xml:space="preserve"> </w:t>
      </w:r>
      <w:r>
        <w:rPr>
          <w:sz w:val="20"/>
          <w:szCs w:val="20"/>
        </w:rPr>
        <w:t>possibly due to insufficient sample size. Major thoracic and abdominal surgeries are usually performed under either general anesthesia or combined epidural-general anesthesia. Moreover, no studies compared the effect of general anesthesia vs. combined epidural-general anesthesia on the incidence of postoperative delirium.</w:t>
      </w:r>
    </w:p>
    <w:p w14:paraId="77C23B2F" w14:textId="77777777" w:rsidR="00555164" w:rsidRDefault="00555164">
      <w:pPr>
        <w:spacing w:before="50" w:after="50"/>
        <w:rPr>
          <w:sz w:val="20"/>
          <w:szCs w:val="20"/>
        </w:rPr>
      </w:pPr>
    </w:p>
    <w:p w14:paraId="71657FAB" w14:textId="77777777" w:rsidR="00555164" w:rsidRDefault="002C73C0">
      <w:pPr>
        <w:spacing w:before="50" w:after="50"/>
        <w:rPr>
          <w:sz w:val="20"/>
          <w:szCs w:val="20"/>
        </w:rPr>
      </w:pPr>
      <w:r>
        <w:rPr>
          <w:sz w:val="20"/>
          <w:szCs w:val="20"/>
        </w:rPr>
        <w:t xml:space="preserve">    We hypothesize that, in elderly patients undergoing major thoracic and abdominal surgery, combined epidural-general anesthesia plus epidural analgesia may be superior to general anesthesia plus intravenous analgesia in preventing postoperative delirium, possibly by decreasing anesthetic consumption, improving analgesia, and relieving surgical stress response. </w:t>
      </w:r>
    </w:p>
    <w:p w14:paraId="5DDFBE3A" w14:textId="77777777" w:rsidR="00555164" w:rsidRDefault="00555164">
      <w:pPr>
        <w:spacing w:before="50" w:after="50"/>
        <w:rPr>
          <w:sz w:val="20"/>
          <w:szCs w:val="20"/>
        </w:rPr>
      </w:pPr>
    </w:p>
    <w:p w14:paraId="6B91A1B1" w14:textId="77777777" w:rsidR="00555164" w:rsidRDefault="002C73C0">
      <w:pPr>
        <w:pStyle w:val="ad"/>
        <w:spacing w:beforeLines="50" w:before="120" w:beforeAutospacing="0" w:afterLines="50" w:after="120" w:afterAutospacing="0"/>
        <w:outlineLvl w:val="0"/>
        <w:rPr>
          <w:b/>
          <w:sz w:val="20"/>
          <w:szCs w:val="20"/>
        </w:rPr>
      </w:pPr>
      <w:bookmarkStart w:id="91" w:name="_Toc44754970"/>
      <w:bookmarkStart w:id="92" w:name="_Toc44755872"/>
      <w:bookmarkStart w:id="93" w:name="_Toc44756018"/>
      <w:bookmarkStart w:id="94" w:name="_Toc44756133"/>
      <w:bookmarkStart w:id="95" w:name="_Toc44796179"/>
      <w:r>
        <w:rPr>
          <w:b/>
          <w:bCs/>
          <w:sz w:val="20"/>
          <w:szCs w:val="20"/>
        </w:rPr>
        <w:t>2</w:t>
      </w:r>
      <w:r>
        <w:rPr>
          <w:b/>
          <w:sz w:val="20"/>
          <w:szCs w:val="20"/>
        </w:rPr>
        <w:t>. Purpose of the study</w:t>
      </w:r>
      <w:bookmarkEnd w:id="91"/>
      <w:bookmarkEnd w:id="92"/>
      <w:bookmarkEnd w:id="93"/>
      <w:bookmarkEnd w:id="94"/>
      <w:bookmarkEnd w:id="95"/>
    </w:p>
    <w:p w14:paraId="4CF4EF59" w14:textId="77777777" w:rsidR="00555164" w:rsidRDefault="00555164">
      <w:pPr>
        <w:pStyle w:val="ad"/>
        <w:spacing w:beforeLines="50" w:before="120" w:beforeAutospacing="0" w:afterLines="50" w:after="120" w:afterAutospacing="0"/>
        <w:rPr>
          <w:b/>
          <w:sz w:val="20"/>
          <w:szCs w:val="20"/>
        </w:rPr>
      </w:pPr>
    </w:p>
    <w:p w14:paraId="6B8F0079" w14:textId="77777777" w:rsidR="00555164" w:rsidRDefault="002C73C0">
      <w:pPr>
        <w:pStyle w:val="ad"/>
        <w:spacing w:beforeLines="50" w:before="120" w:beforeAutospacing="0" w:afterLines="50" w:after="120" w:afterAutospacing="0"/>
        <w:rPr>
          <w:sz w:val="20"/>
          <w:szCs w:val="20"/>
        </w:rPr>
      </w:pPr>
      <w:r>
        <w:rPr>
          <w:sz w:val="20"/>
          <w:szCs w:val="20"/>
        </w:rPr>
        <w:t xml:space="preserve">To investigate whether combined epidural-general anesthesia plus postoperative epidural analgesia compared with general anesthesia plus postoperative intravenous analgesia can decrease the incidence of delirium in elderly patients after major thoracic and abdominal surgery. </w:t>
      </w:r>
    </w:p>
    <w:p w14:paraId="6812054F" w14:textId="77777777" w:rsidR="00555164" w:rsidRDefault="00555164">
      <w:pPr>
        <w:pStyle w:val="ad"/>
        <w:spacing w:beforeLines="50" w:before="120" w:beforeAutospacing="0" w:afterLines="50" w:after="120" w:afterAutospacing="0"/>
        <w:rPr>
          <w:b/>
          <w:sz w:val="20"/>
          <w:szCs w:val="20"/>
        </w:rPr>
      </w:pPr>
    </w:p>
    <w:p w14:paraId="1662A282" w14:textId="77777777" w:rsidR="00555164" w:rsidRDefault="002C73C0">
      <w:pPr>
        <w:pStyle w:val="ad"/>
        <w:spacing w:beforeLines="50" w:before="120" w:beforeAutospacing="0" w:afterLines="50" w:after="120" w:afterAutospacing="0"/>
        <w:outlineLvl w:val="0"/>
        <w:rPr>
          <w:b/>
          <w:bCs/>
          <w:sz w:val="20"/>
          <w:szCs w:val="20"/>
        </w:rPr>
      </w:pPr>
      <w:bookmarkStart w:id="96" w:name="_Toc44755873"/>
      <w:bookmarkStart w:id="97" w:name="_Toc44754971"/>
      <w:bookmarkStart w:id="98" w:name="_Toc44756134"/>
      <w:bookmarkStart w:id="99" w:name="_Toc44796180"/>
      <w:bookmarkStart w:id="100" w:name="_Toc44756019"/>
      <w:r>
        <w:rPr>
          <w:b/>
          <w:bCs/>
          <w:sz w:val="20"/>
          <w:szCs w:val="20"/>
        </w:rPr>
        <w:lastRenderedPageBreak/>
        <w:t>3. Study design</w:t>
      </w:r>
      <w:bookmarkEnd w:id="96"/>
      <w:bookmarkEnd w:id="97"/>
      <w:bookmarkEnd w:id="98"/>
      <w:bookmarkEnd w:id="99"/>
      <w:bookmarkEnd w:id="100"/>
      <w:r>
        <w:rPr>
          <w:b/>
          <w:bCs/>
          <w:sz w:val="20"/>
          <w:szCs w:val="20"/>
        </w:rPr>
        <w:t xml:space="preserve"> </w:t>
      </w:r>
    </w:p>
    <w:p w14:paraId="610123E6" w14:textId="77777777" w:rsidR="00555164" w:rsidRDefault="00555164">
      <w:pPr>
        <w:pStyle w:val="ad"/>
        <w:spacing w:beforeLines="50" w:before="120" w:beforeAutospacing="0" w:afterLines="50" w:after="120" w:afterAutospacing="0"/>
        <w:rPr>
          <w:b/>
          <w:sz w:val="20"/>
          <w:szCs w:val="20"/>
        </w:rPr>
      </w:pPr>
    </w:p>
    <w:p w14:paraId="03CB241F" w14:textId="77777777" w:rsidR="00555164" w:rsidRDefault="002C73C0">
      <w:pPr>
        <w:pStyle w:val="ad"/>
        <w:spacing w:beforeLines="50" w:before="120" w:beforeAutospacing="0" w:afterLines="50" w:after="120" w:afterAutospacing="0"/>
        <w:rPr>
          <w:b/>
          <w:i/>
          <w:sz w:val="20"/>
          <w:szCs w:val="20"/>
        </w:rPr>
      </w:pPr>
      <w:r>
        <w:rPr>
          <w:b/>
          <w:bCs/>
          <w:i/>
          <w:iCs/>
          <w:sz w:val="20"/>
          <w:szCs w:val="20"/>
        </w:rPr>
        <w:t xml:space="preserve">3.1 Type of the study </w:t>
      </w:r>
    </w:p>
    <w:p w14:paraId="23356C84" w14:textId="77777777" w:rsidR="00555164" w:rsidRDefault="002C73C0">
      <w:pPr>
        <w:pStyle w:val="ad"/>
        <w:spacing w:beforeLines="50" w:before="120" w:beforeAutospacing="0" w:afterLines="50" w:after="120" w:afterAutospacing="0"/>
        <w:rPr>
          <w:sz w:val="20"/>
          <w:szCs w:val="20"/>
        </w:rPr>
      </w:pPr>
      <w:r>
        <w:rPr>
          <w:sz w:val="20"/>
          <w:szCs w:val="20"/>
        </w:rPr>
        <w:t xml:space="preserve">This is a multicenter, randomized controlled trial with two parallel arms. </w:t>
      </w:r>
    </w:p>
    <w:p w14:paraId="5390C0B8" w14:textId="77777777" w:rsidR="00555164" w:rsidRDefault="00555164">
      <w:pPr>
        <w:pStyle w:val="ad"/>
        <w:spacing w:beforeLines="50" w:before="120" w:beforeAutospacing="0" w:afterLines="50" w:after="120" w:afterAutospacing="0"/>
        <w:rPr>
          <w:sz w:val="20"/>
          <w:szCs w:val="20"/>
        </w:rPr>
      </w:pPr>
    </w:p>
    <w:p w14:paraId="733E3898"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3.2 Sample size calculation </w:t>
      </w:r>
    </w:p>
    <w:p w14:paraId="350E12AF" w14:textId="77777777" w:rsidR="00555164" w:rsidRDefault="002C73C0">
      <w:pPr>
        <w:pStyle w:val="ad"/>
        <w:spacing w:beforeLines="50" w:before="120" w:beforeAutospacing="0" w:afterLines="50" w:after="120" w:afterAutospacing="0"/>
        <w:rPr>
          <w:sz w:val="20"/>
          <w:szCs w:val="20"/>
        </w:rPr>
      </w:pPr>
      <w:r>
        <w:rPr>
          <w:sz w:val="20"/>
          <w:szCs w:val="20"/>
        </w:rPr>
        <w:t>In a recent cohort study of our own, the incidence of postoperative delirium in elderly patients after major abdominal surgery (performed under general anesthesia followed by intravenous analgesia) was 13.1%. In our previous study, the incidence of delirium was reduced by roughly one-third when the intervention (haloperidol prophylaxis) was administered in elderly patients after noncardiac surgery</w:t>
      </w:r>
      <w:r>
        <w:rPr>
          <w:rFonts w:eastAsia="宋体"/>
          <w:sz w:val="20"/>
          <w:szCs w:val="20"/>
        </w:rPr>
        <w:t>.</w:t>
      </w:r>
      <w:r>
        <w:rPr>
          <w:sz w:val="20"/>
          <w:szCs w:val="20"/>
          <w:vertAlign w:val="superscript"/>
        </w:rPr>
        <w:fldChar w:fldCharType="begin"/>
      </w:r>
      <w:r>
        <w:rPr>
          <w:rFonts w:eastAsia="宋体"/>
          <w:sz w:val="20"/>
          <w:szCs w:val="20"/>
          <w:vertAlign w:val="superscript"/>
        </w:rPr>
        <w:instrText xml:space="preserve"> REF _Ref44760636 \r \h </w:instrText>
      </w:r>
      <w:r>
        <w:rPr>
          <w:sz w:val="20"/>
          <w:szCs w:val="20"/>
          <w:vertAlign w:val="superscript"/>
        </w:rPr>
        <w:instrText xml:space="preserve"> \* MERGEFORMAT </w:instrText>
      </w:r>
      <w:r>
        <w:rPr>
          <w:sz w:val="20"/>
          <w:szCs w:val="20"/>
          <w:vertAlign w:val="superscript"/>
        </w:rPr>
      </w:r>
      <w:r>
        <w:rPr>
          <w:sz w:val="20"/>
          <w:szCs w:val="20"/>
          <w:vertAlign w:val="superscript"/>
        </w:rPr>
        <w:fldChar w:fldCharType="separate"/>
      </w:r>
      <w:r>
        <w:rPr>
          <w:rFonts w:eastAsia="宋体"/>
          <w:sz w:val="20"/>
          <w:szCs w:val="20"/>
          <w:vertAlign w:val="superscript"/>
        </w:rPr>
        <w:t>40</w:t>
      </w:r>
      <w:r>
        <w:rPr>
          <w:sz w:val="20"/>
          <w:szCs w:val="20"/>
          <w:vertAlign w:val="superscript"/>
        </w:rPr>
        <w:fldChar w:fldCharType="end"/>
      </w:r>
      <w:r>
        <w:rPr>
          <w:sz w:val="20"/>
          <w:szCs w:val="20"/>
          <w:vertAlign w:val="superscript"/>
        </w:rPr>
        <w:t xml:space="preserve"> </w:t>
      </w:r>
      <w:r>
        <w:rPr>
          <w:sz w:val="20"/>
          <w:szCs w:val="20"/>
        </w:rPr>
        <w:t xml:space="preserve">Assuming that the general anesthesia group (general anesthesia plus postoperative intravenous analgesia) in the present study will have a similar delirium incidence as in our previous study, a total of 1664 subjects (832 subjects in each group) are required to detect a one-third reduction in the incidence of postoperative delirium at an 80% power with a two-sided significance level of 0.05. Considering a dropout rate of about 7.5 %, we plan to enroll 1800 patients. </w:t>
      </w:r>
    </w:p>
    <w:p w14:paraId="77EF99F7" w14:textId="77777777" w:rsidR="00555164" w:rsidRDefault="00555164">
      <w:pPr>
        <w:pStyle w:val="ad"/>
        <w:spacing w:beforeLines="50" w:before="120" w:beforeAutospacing="0" w:afterLines="50" w:after="120" w:afterAutospacing="0"/>
        <w:rPr>
          <w:sz w:val="20"/>
          <w:szCs w:val="20"/>
        </w:rPr>
      </w:pPr>
    </w:p>
    <w:p w14:paraId="3DF28321" w14:textId="77777777" w:rsidR="00555164" w:rsidRDefault="002C73C0">
      <w:pPr>
        <w:pStyle w:val="ad"/>
        <w:spacing w:beforeLines="50" w:before="120" w:beforeAutospacing="0" w:afterLines="50" w:after="120" w:afterAutospacing="0"/>
        <w:rPr>
          <w:rFonts w:eastAsia="等线"/>
          <w:b/>
          <w:bCs/>
          <w:i/>
          <w:iCs/>
          <w:sz w:val="20"/>
          <w:szCs w:val="20"/>
        </w:rPr>
      </w:pPr>
      <w:r>
        <w:rPr>
          <w:rFonts w:eastAsia="等线"/>
          <w:b/>
          <w:bCs/>
          <w:i/>
          <w:iCs/>
          <w:sz w:val="20"/>
          <w:szCs w:val="20"/>
        </w:rPr>
        <w:t>3.3 Participating centers</w:t>
      </w:r>
    </w:p>
    <w:p w14:paraId="1B9D6022" w14:textId="77777777" w:rsidR="00555164" w:rsidRDefault="002C73C0">
      <w:pPr>
        <w:spacing w:beforeLines="50" w:before="120" w:afterLines="50" w:after="120"/>
        <w:rPr>
          <w:sz w:val="20"/>
          <w:szCs w:val="20"/>
        </w:rPr>
      </w:pPr>
      <w:r>
        <w:rPr>
          <w:sz w:val="20"/>
          <w:szCs w:val="20"/>
        </w:rPr>
        <w:t xml:space="preserve">3.3.1 This multicenter trial is conducted in five tertiary care hospitals affiliated with Peking University in Beijing, China. The five participating centers include Peking University First Hospital, Peking University People’s Hospital, Peking University Third Hospital, Beijing Hospital, and Beijing </w:t>
      </w:r>
      <w:proofErr w:type="spellStart"/>
      <w:r>
        <w:rPr>
          <w:sz w:val="20"/>
          <w:szCs w:val="20"/>
        </w:rPr>
        <w:t>Shijitan</w:t>
      </w:r>
      <w:proofErr w:type="spellEnd"/>
      <w:r>
        <w:rPr>
          <w:sz w:val="20"/>
          <w:szCs w:val="20"/>
        </w:rPr>
        <w:t xml:space="preserve"> Hospital. </w:t>
      </w:r>
    </w:p>
    <w:p w14:paraId="7F7DB557" w14:textId="77777777" w:rsidR="00555164" w:rsidRDefault="002C73C0">
      <w:pPr>
        <w:spacing w:beforeLines="50" w:before="120" w:afterLines="50" w:after="120"/>
        <w:rPr>
          <w:sz w:val="20"/>
          <w:szCs w:val="20"/>
        </w:rPr>
      </w:pPr>
      <w:r>
        <w:rPr>
          <w:sz w:val="20"/>
          <w:szCs w:val="20"/>
        </w:rPr>
        <w:t xml:space="preserve">3.3.2 The study is coordinated by the Department of Anesthesiology and Critical Care Medicine of Peking University First Hospital; and the Peking University Clinical Research Institute is responsible for the study monitoring, data management and data analysis. </w:t>
      </w:r>
    </w:p>
    <w:p w14:paraId="14A2C544" w14:textId="77777777" w:rsidR="00555164" w:rsidRDefault="00555164">
      <w:pPr>
        <w:pStyle w:val="ad"/>
        <w:spacing w:beforeLines="50" w:before="120" w:beforeAutospacing="0" w:afterLines="50" w:after="120" w:afterAutospacing="0"/>
        <w:rPr>
          <w:rFonts w:eastAsia="等线"/>
          <w:sz w:val="20"/>
          <w:szCs w:val="20"/>
        </w:rPr>
      </w:pPr>
    </w:p>
    <w:p w14:paraId="43768284" w14:textId="77777777" w:rsidR="00555164" w:rsidRDefault="002C73C0">
      <w:pPr>
        <w:pStyle w:val="ad"/>
        <w:spacing w:beforeLines="50" w:before="120" w:beforeAutospacing="0" w:afterLines="50" w:after="120" w:afterAutospacing="0"/>
        <w:outlineLvl w:val="0"/>
        <w:rPr>
          <w:b/>
          <w:bCs/>
          <w:sz w:val="20"/>
          <w:szCs w:val="20"/>
        </w:rPr>
      </w:pPr>
      <w:bookmarkStart w:id="101" w:name="_Toc44756135"/>
      <w:bookmarkStart w:id="102" w:name="_Toc44755874"/>
      <w:bookmarkStart w:id="103" w:name="_Toc44756020"/>
      <w:bookmarkStart w:id="104" w:name="_Toc44796181"/>
      <w:bookmarkStart w:id="105" w:name="_Toc44754972"/>
      <w:r>
        <w:rPr>
          <w:b/>
          <w:bCs/>
          <w:sz w:val="20"/>
          <w:szCs w:val="20"/>
        </w:rPr>
        <w:t>4. Study participants</w:t>
      </w:r>
      <w:bookmarkEnd w:id="101"/>
      <w:bookmarkEnd w:id="102"/>
      <w:bookmarkEnd w:id="103"/>
      <w:bookmarkEnd w:id="104"/>
      <w:bookmarkEnd w:id="105"/>
      <w:r>
        <w:rPr>
          <w:b/>
          <w:bCs/>
          <w:sz w:val="20"/>
          <w:szCs w:val="20"/>
        </w:rPr>
        <w:t xml:space="preserve"> </w:t>
      </w:r>
    </w:p>
    <w:p w14:paraId="3479E05D" w14:textId="77777777" w:rsidR="00555164" w:rsidRDefault="00555164">
      <w:pPr>
        <w:pStyle w:val="ad"/>
        <w:spacing w:beforeLines="50" w:before="120" w:beforeAutospacing="0" w:afterLines="50" w:after="120" w:afterAutospacing="0"/>
        <w:rPr>
          <w:b/>
          <w:bCs/>
          <w:sz w:val="20"/>
          <w:szCs w:val="20"/>
        </w:rPr>
      </w:pPr>
    </w:p>
    <w:p w14:paraId="42A12487" w14:textId="77777777" w:rsidR="00555164" w:rsidRDefault="002C73C0">
      <w:pPr>
        <w:pStyle w:val="ad"/>
        <w:spacing w:beforeLines="50" w:before="120" w:beforeAutospacing="0" w:afterLines="50" w:after="120" w:afterAutospacing="0"/>
        <w:rPr>
          <w:sz w:val="20"/>
          <w:szCs w:val="20"/>
        </w:rPr>
      </w:pPr>
      <w:r>
        <w:rPr>
          <w:sz w:val="20"/>
          <w:szCs w:val="20"/>
        </w:rPr>
        <w:t>Potential participants will be screened before surgery by the qualified investigators.</w:t>
      </w:r>
    </w:p>
    <w:p w14:paraId="3B033997" w14:textId="77777777" w:rsidR="00555164" w:rsidRDefault="002C73C0">
      <w:pPr>
        <w:pStyle w:val="ad"/>
        <w:spacing w:beforeLines="50" w:before="120" w:beforeAutospacing="0" w:afterLines="50" w:after="120" w:afterAutospacing="0"/>
        <w:rPr>
          <w:b/>
          <w:i/>
          <w:sz w:val="20"/>
          <w:szCs w:val="20"/>
        </w:rPr>
      </w:pPr>
      <w:r>
        <w:rPr>
          <w:b/>
          <w:bCs/>
          <w:i/>
          <w:iCs/>
          <w:sz w:val="20"/>
          <w:szCs w:val="20"/>
        </w:rPr>
        <w:t xml:space="preserve">4.1 Inclusion criteria </w:t>
      </w:r>
    </w:p>
    <w:p w14:paraId="05C53AF0" w14:textId="77777777" w:rsidR="00555164" w:rsidRDefault="002C73C0">
      <w:pPr>
        <w:pStyle w:val="ad"/>
        <w:spacing w:beforeLines="50" w:before="120" w:beforeAutospacing="0" w:afterLines="50" w:after="120" w:afterAutospacing="0"/>
        <w:rPr>
          <w:sz w:val="20"/>
          <w:szCs w:val="20"/>
        </w:rPr>
      </w:pPr>
      <w:r>
        <w:rPr>
          <w:sz w:val="20"/>
          <w:szCs w:val="20"/>
        </w:rPr>
        <w:t>4.1.1 Age range 60–90 years.</w:t>
      </w:r>
    </w:p>
    <w:p w14:paraId="7A72BDEF" w14:textId="77777777" w:rsidR="00555164" w:rsidRDefault="002C73C0">
      <w:pPr>
        <w:pStyle w:val="ad"/>
        <w:spacing w:beforeLines="50" w:before="120" w:beforeAutospacing="0" w:afterLines="50" w:after="120" w:afterAutospacing="0"/>
        <w:rPr>
          <w:sz w:val="20"/>
          <w:szCs w:val="20"/>
        </w:rPr>
      </w:pPr>
      <w:r>
        <w:rPr>
          <w:sz w:val="20"/>
          <w:szCs w:val="20"/>
        </w:rPr>
        <w:t>4.1.2 Planning to undergo noncardiac thoracic or abdominal surgery with an expected duration of 2 hours or longer. For those who undergo thoracoscopic or laparoscopic surgery, the expected length of incision must be 5 centimeters or more.</w:t>
      </w:r>
    </w:p>
    <w:p w14:paraId="1EED753C" w14:textId="77777777" w:rsidR="00555164" w:rsidRDefault="002C73C0">
      <w:pPr>
        <w:pStyle w:val="ad"/>
        <w:spacing w:beforeLines="50" w:before="120" w:beforeAutospacing="0" w:afterLines="50" w:after="120" w:afterAutospacing="0"/>
        <w:rPr>
          <w:sz w:val="20"/>
          <w:szCs w:val="20"/>
        </w:rPr>
      </w:pPr>
      <w:r>
        <w:rPr>
          <w:sz w:val="20"/>
          <w:szCs w:val="20"/>
        </w:rPr>
        <w:t xml:space="preserve">4.1.3 Agree to receive patient-controlled analgesia after surgery. </w:t>
      </w:r>
    </w:p>
    <w:p w14:paraId="16B73892" w14:textId="77777777" w:rsidR="00555164" w:rsidRDefault="00555164">
      <w:pPr>
        <w:pStyle w:val="ad"/>
        <w:spacing w:beforeLines="50" w:before="120" w:beforeAutospacing="0" w:afterLines="50" w:after="120" w:afterAutospacing="0"/>
        <w:rPr>
          <w:sz w:val="20"/>
          <w:szCs w:val="20"/>
        </w:rPr>
      </w:pPr>
    </w:p>
    <w:p w14:paraId="0E01EE3E" w14:textId="77777777" w:rsidR="00555164" w:rsidRDefault="002C73C0">
      <w:pPr>
        <w:pStyle w:val="ad"/>
        <w:spacing w:beforeLines="50" w:before="120" w:beforeAutospacing="0" w:afterLines="50" w:after="120" w:afterAutospacing="0"/>
        <w:rPr>
          <w:b/>
          <w:i/>
          <w:sz w:val="20"/>
          <w:szCs w:val="20"/>
        </w:rPr>
      </w:pPr>
      <w:r>
        <w:rPr>
          <w:b/>
          <w:bCs/>
          <w:i/>
          <w:iCs/>
          <w:sz w:val="20"/>
          <w:szCs w:val="20"/>
        </w:rPr>
        <w:t xml:space="preserve">4.2 Exclusion criteria </w:t>
      </w:r>
    </w:p>
    <w:p w14:paraId="7B1D72A6" w14:textId="77777777" w:rsidR="00555164" w:rsidRDefault="002C73C0">
      <w:pPr>
        <w:pStyle w:val="ad"/>
        <w:spacing w:beforeLines="50" w:before="120" w:beforeAutospacing="0" w:afterLines="50" w:after="120" w:afterAutospacing="0"/>
        <w:rPr>
          <w:sz w:val="20"/>
          <w:szCs w:val="20"/>
        </w:rPr>
      </w:pPr>
      <w:r>
        <w:rPr>
          <w:sz w:val="20"/>
          <w:szCs w:val="20"/>
        </w:rPr>
        <w:t>Patients will be excluded if they meet any of the following criteria:</w:t>
      </w:r>
    </w:p>
    <w:p w14:paraId="33C43800" w14:textId="77777777" w:rsidR="00555164" w:rsidRDefault="002C73C0">
      <w:pPr>
        <w:pStyle w:val="ad"/>
        <w:spacing w:beforeLines="50" w:before="120" w:beforeAutospacing="0" w:afterLines="50" w:after="120" w:afterAutospacing="0"/>
        <w:rPr>
          <w:sz w:val="20"/>
          <w:szCs w:val="20"/>
        </w:rPr>
      </w:pPr>
      <w:r>
        <w:rPr>
          <w:sz w:val="20"/>
          <w:szCs w:val="20"/>
        </w:rPr>
        <w:t>4.2.1 Previous history of schizophrenia, epilepsy or Parkinson disease, or unable to complete preoperative assessment due to severe dementia, language barrier, or end-stage disease.</w:t>
      </w:r>
    </w:p>
    <w:p w14:paraId="09A52ED8" w14:textId="77777777" w:rsidR="00555164" w:rsidRDefault="002C73C0">
      <w:pPr>
        <w:pStyle w:val="ad"/>
        <w:spacing w:beforeLines="50" w:before="120" w:beforeAutospacing="0" w:afterLines="50" w:after="120" w:afterAutospacing="0"/>
        <w:rPr>
          <w:sz w:val="20"/>
          <w:szCs w:val="20"/>
        </w:rPr>
      </w:pPr>
      <w:r>
        <w:rPr>
          <w:sz w:val="20"/>
          <w:szCs w:val="20"/>
        </w:rPr>
        <w:t>4.2.2 History of myocardial infarction or stroke within 3 months before surgery.</w:t>
      </w:r>
    </w:p>
    <w:p w14:paraId="2102DBF4" w14:textId="77777777" w:rsidR="00555164" w:rsidRDefault="002C73C0">
      <w:pPr>
        <w:pStyle w:val="ad"/>
        <w:spacing w:beforeLines="50" w:before="120" w:beforeAutospacing="0" w:afterLines="50" w:after="120" w:afterAutospacing="0"/>
        <w:rPr>
          <w:sz w:val="20"/>
          <w:szCs w:val="20"/>
        </w:rPr>
      </w:pPr>
      <w:r>
        <w:rPr>
          <w:sz w:val="20"/>
          <w:szCs w:val="20"/>
        </w:rPr>
        <w:t>4.2.3 Any contraindication to epidural anesthesia and analgesia, including abnormal vertebral anatomy, previous spinal trauma or surgery, severe chronic back pain, coagulation disorder (prothrombin time or activated partial prothrombin time longer than 1.5 times of the upper normal limit, or platelet count of less than 80 × 10</w:t>
      </w:r>
      <w:r>
        <w:rPr>
          <w:sz w:val="20"/>
          <w:szCs w:val="20"/>
          <w:vertAlign w:val="superscript"/>
        </w:rPr>
        <w:t>9</w:t>
      </w:r>
      <w:r>
        <w:rPr>
          <w:sz w:val="20"/>
          <w:szCs w:val="20"/>
        </w:rPr>
        <w:t>/L), local infection near the site of puncture, and severe sepsis.</w:t>
      </w:r>
    </w:p>
    <w:p w14:paraId="05BCDE0F" w14:textId="77777777" w:rsidR="00555164" w:rsidRDefault="002C73C0">
      <w:pPr>
        <w:pStyle w:val="ad"/>
        <w:spacing w:beforeLines="50" w:before="120" w:beforeAutospacing="0" w:afterLines="50" w:after="120" w:afterAutospacing="0"/>
        <w:rPr>
          <w:sz w:val="20"/>
          <w:szCs w:val="20"/>
        </w:rPr>
      </w:pPr>
      <w:r>
        <w:rPr>
          <w:sz w:val="20"/>
          <w:szCs w:val="20"/>
        </w:rPr>
        <w:t xml:space="preserve">4.2.4 Severe heart dysfunction (New York Heart Association functional classification 3 or above), hepatic insufficiency (Child-Pugh grades C), or renal insufficiency (serum creatinine of 442 </w:t>
      </w:r>
      <w:proofErr w:type="spellStart"/>
      <w:r>
        <w:rPr>
          <w:sz w:val="20"/>
          <w:szCs w:val="20"/>
        </w:rPr>
        <w:t>μmol</w:t>
      </w:r>
      <w:proofErr w:type="spellEnd"/>
      <w:r>
        <w:rPr>
          <w:sz w:val="20"/>
          <w:szCs w:val="20"/>
        </w:rPr>
        <w:t>/L or above, with or without serum potassium of 6.5 mmol/L or above, or requirement of renal replacement therapy).</w:t>
      </w:r>
    </w:p>
    <w:p w14:paraId="399FA4B0" w14:textId="77777777" w:rsidR="00555164" w:rsidRDefault="002C73C0">
      <w:pPr>
        <w:pStyle w:val="ad"/>
        <w:spacing w:beforeLines="50" w:before="120" w:beforeAutospacing="0" w:afterLines="50" w:after="120" w:afterAutospacing="0"/>
        <w:rPr>
          <w:sz w:val="20"/>
          <w:szCs w:val="20"/>
        </w:rPr>
      </w:pPr>
      <w:r>
        <w:rPr>
          <w:sz w:val="20"/>
          <w:szCs w:val="20"/>
        </w:rPr>
        <w:t xml:space="preserve">4.2.5 Any other conditions that are considered unsuitable for study participation. </w:t>
      </w:r>
    </w:p>
    <w:p w14:paraId="3C7DD977" w14:textId="77777777" w:rsidR="00555164" w:rsidRDefault="00555164">
      <w:pPr>
        <w:pStyle w:val="ad"/>
        <w:spacing w:beforeLines="50" w:before="120" w:beforeAutospacing="0" w:afterLines="50" w:after="120" w:afterAutospacing="0"/>
        <w:rPr>
          <w:sz w:val="20"/>
          <w:szCs w:val="20"/>
        </w:rPr>
      </w:pPr>
    </w:p>
    <w:p w14:paraId="430C88CA" w14:textId="77777777" w:rsidR="00555164" w:rsidRDefault="002C73C0">
      <w:pPr>
        <w:pStyle w:val="ad"/>
        <w:spacing w:beforeLines="50" w:before="120" w:beforeAutospacing="0" w:afterLines="50" w:after="120" w:afterAutospacing="0"/>
        <w:rPr>
          <w:b/>
          <w:i/>
          <w:sz w:val="20"/>
          <w:szCs w:val="20"/>
        </w:rPr>
      </w:pPr>
      <w:r>
        <w:rPr>
          <w:b/>
          <w:i/>
          <w:sz w:val="20"/>
          <w:szCs w:val="20"/>
        </w:rPr>
        <w:t>4.3 Criteria of drop-out</w:t>
      </w:r>
    </w:p>
    <w:p w14:paraId="52E89010" w14:textId="77777777" w:rsidR="00555164" w:rsidRDefault="002C73C0">
      <w:pPr>
        <w:pStyle w:val="ad"/>
        <w:spacing w:beforeLines="50" w:before="120" w:beforeAutospacing="0" w:afterLines="50" w:after="120" w:afterAutospacing="0"/>
        <w:rPr>
          <w:sz w:val="20"/>
          <w:szCs w:val="20"/>
        </w:rPr>
      </w:pPr>
      <w:r>
        <w:rPr>
          <w:sz w:val="20"/>
          <w:szCs w:val="20"/>
        </w:rPr>
        <w:t>4.3.1 Study intervention is not administered (due to failed epidural puncture, failed epidural catheterization, epidural catheter obstruction, blood appear in epidural catheter, inadequate epidural analgesia, etc.).</w:t>
      </w:r>
    </w:p>
    <w:p w14:paraId="3EEB981E" w14:textId="77777777" w:rsidR="00555164" w:rsidRDefault="002C73C0">
      <w:pPr>
        <w:pStyle w:val="ad"/>
        <w:spacing w:beforeLines="50" w:before="120" w:beforeAutospacing="0" w:afterLines="50" w:after="120" w:afterAutospacing="0"/>
        <w:rPr>
          <w:sz w:val="20"/>
          <w:szCs w:val="20"/>
        </w:rPr>
      </w:pPr>
      <w:r>
        <w:rPr>
          <w:sz w:val="20"/>
          <w:szCs w:val="20"/>
        </w:rPr>
        <w:t xml:space="preserve">4.3.2 Intervention interrupted by the </w:t>
      </w:r>
      <w:r>
        <w:rPr>
          <w:rFonts w:eastAsia="等线"/>
          <w:sz w:val="20"/>
          <w:szCs w:val="20"/>
        </w:rPr>
        <w:t>investigators</w:t>
      </w:r>
      <w:r>
        <w:rPr>
          <w:sz w:val="20"/>
          <w:szCs w:val="20"/>
        </w:rPr>
        <w:t>/anesthesiologists (due to adverse events).</w:t>
      </w:r>
    </w:p>
    <w:p w14:paraId="6F379CB9" w14:textId="77777777" w:rsidR="00555164" w:rsidRDefault="002C73C0">
      <w:pPr>
        <w:pStyle w:val="ad"/>
        <w:spacing w:beforeLines="50" w:before="120" w:beforeAutospacing="0" w:afterLines="50" w:after="120" w:afterAutospacing="0"/>
        <w:rPr>
          <w:sz w:val="20"/>
          <w:szCs w:val="20"/>
        </w:rPr>
      </w:pPr>
      <w:r>
        <w:rPr>
          <w:sz w:val="20"/>
          <w:szCs w:val="20"/>
        </w:rPr>
        <w:t>4.3.3 Use of a prohibited drugs.</w:t>
      </w:r>
    </w:p>
    <w:p w14:paraId="43845FA4" w14:textId="77777777" w:rsidR="00555164" w:rsidRDefault="002C73C0">
      <w:pPr>
        <w:pStyle w:val="ad"/>
        <w:spacing w:beforeLines="50" w:before="120" w:beforeAutospacing="0" w:afterLines="50" w:after="120" w:afterAutospacing="0"/>
        <w:rPr>
          <w:sz w:val="20"/>
          <w:szCs w:val="20"/>
        </w:rPr>
      </w:pPr>
      <w:r>
        <w:rPr>
          <w:sz w:val="20"/>
          <w:szCs w:val="20"/>
        </w:rPr>
        <w:t>The causes of protocol deviation should be recorded and corrected when possible. The cases will be followed up according to the study protocol and included in the intention-to-treat analysis.</w:t>
      </w:r>
    </w:p>
    <w:p w14:paraId="4855E8ED" w14:textId="77777777" w:rsidR="00555164" w:rsidRDefault="002C73C0">
      <w:pPr>
        <w:pStyle w:val="ad"/>
        <w:spacing w:beforeLines="50" w:before="120" w:beforeAutospacing="0" w:afterLines="50" w:after="120" w:afterAutospacing="0"/>
        <w:rPr>
          <w:sz w:val="20"/>
          <w:szCs w:val="20"/>
        </w:rPr>
      </w:pPr>
      <w:r>
        <w:rPr>
          <w:sz w:val="20"/>
          <w:szCs w:val="20"/>
        </w:rPr>
        <w:t>4.3.4 Withdraw consent after intervention started.</w:t>
      </w:r>
    </w:p>
    <w:p w14:paraId="22D5977A" w14:textId="77777777" w:rsidR="00555164" w:rsidRDefault="002C73C0">
      <w:pPr>
        <w:pStyle w:val="ad"/>
        <w:spacing w:beforeLines="50" w:before="120" w:beforeAutospacing="0" w:afterLines="50" w:after="120" w:afterAutospacing="0"/>
        <w:rPr>
          <w:sz w:val="20"/>
          <w:szCs w:val="20"/>
        </w:rPr>
      </w:pPr>
      <w:r>
        <w:rPr>
          <w:sz w:val="20"/>
          <w:szCs w:val="20"/>
        </w:rPr>
        <w:t>The situation should be recorded. The primary therapeutic effects recorded in the last time will be regarded as the final results. The cases will be included in the intention-to-treat analysis.</w:t>
      </w:r>
    </w:p>
    <w:p w14:paraId="7720F2D1" w14:textId="77777777" w:rsidR="00555164" w:rsidRDefault="00555164">
      <w:pPr>
        <w:pStyle w:val="ad"/>
        <w:spacing w:beforeLines="50" w:before="120" w:beforeAutospacing="0" w:afterLines="50" w:after="120" w:afterAutospacing="0"/>
        <w:rPr>
          <w:sz w:val="20"/>
          <w:szCs w:val="20"/>
        </w:rPr>
      </w:pPr>
    </w:p>
    <w:p w14:paraId="4610316A"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4.4 Criteria of </w:t>
      </w:r>
      <w:r>
        <w:rPr>
          <w:rFonts w:eastAsia="等线"/>
          <w:b/>
          <w:i/>
          <w:sz w:val="20"/>
          <w:szCs w:val="20"/>
        </w:rPr>
        <w:t>e</w:t>
      </w:r>
      <w:r>
        <w:rPr>
          <w:b/>
          <w:i/>
          <w:sz w:val="20"/>
          <w:szCs w:val="20"/>
        </w:rPr>
        <w:t xml:space="preserve">limination </w:t>
      </w:r>
    </w:p>
    <w:p w14:paraId="76448227" w14:textId="77777777" w:rsidR="00555164" w:rsidRDefault="002C73C0">
      <w:pPr>
        <w:pStyle w:val="ad"/>
        <w:spacing w:beforeLines="50" w:before="120" w:beforeAutospacing="0" w:afterLines="50" w:after="120" w:afterAutospacing="0"/>
        <w:rPr>
          <w:sz w:val="20"/>
          <w:szCs w:val="20"/>
        </w:rPr>
      </w:pPr>
      <w:r>
        <w:rPr>
          <w:sz w:val="20"/>
          <w:szCs w:val="20"/>
        </w:rPr>
        <w:t>Included patients will be excluded if they meet any of the following criteria:</w:t>
      </w:r>
    </w:p>
    <w:p w14:paraId="3D41F96B" w14:textId="77777777" w:rsidR="00555164" w:rsidRDefault="002C73C0">
      <w:pPr>
        <w:pStyle w:val="ad"/>
        <w:spacing w:beforeLines="50" w:before="120" w:beforeAutospacing="0" w:afterLines="50" w:after="120" w:afterAutospacing="0"/>
        <w:rPr>
          <w:sz w:val="20"/>
          <w:szCs w:val="20"/>
        </w:rPr>
      </w:pPr>
      <w:r>
        <w:rPr>
          <w:sz w:val="20"/>
          <w:szCs w:val="20"/>
        </w:rPr>
        <w:t>4.4.1 Withdraw consents before intervention.</w:t>
      </w:r>
    </w:p>
    <w:p w14:paraId="270A6367" w14:textId="77777777" w:rsidR="00555164" w:rsidRDefault="002C73C0">
      <w:pPr>
        <w:pStyle w:val="ad"/>
        <w:spacing w:beforeLines="50" w:before="120" w:beforeAutospacing="0" w:afterLines="50" w:after="120" w:afterAutospacing="0"/>
        <w:rPr>
          <w:sz w:val="20"/>
          <w:szCs w:val="20"/>
        </w:rPr>
      </w:pPr>
      <w:r>
        <w:rPr>
          <w:sz w:val="20"/>
          <w:szCs w:val="20"/>
        </w:rPr>
        <w:t>4.4.2 Surgery cancelled.</w:t>
      </w:r>
    </w:p>
    <w:p w14:paraId="54941E9D" w14:textId="77777777" w:rsidR="00555164" w:rsidRDefault="002C73C0">
      <w:pPr>
        <w:pStyle w:val="ad"/>
        <w:spacing w:beforeLines="50" w:before="120" w:beforeAutospacing="0" w:afterLines="50" w:after="120" w:afterAutospacing="0"/>
        <w:rPr>
          <w:sz w:val="20"/>
          <w:szCs w:val="20"/>
        </w:rPr>
      </w:pPr>
      <w:r>
        <w:rPr>
          <w:sz w:val="20"/>
          <w:szCs w:val="20"/>
        </w:rPr>
        <w:t>4.4.3 No assessment result of the primary outcome.</w:t>
      </w:r>
    </w:p>
    <w:p w14:paraId="51674FB7" w14:textId="77777777" w:rsidR="00555164" w:rsidRDefault="002C73C0">
      <w:pPr>
        <w:pStyle w:val="ad"/>
        <w:spacing w:beforeLines="50" w:before="120" w:beforeAutospacing="0" w:afterLines="50" w:after="120" w:afterAutospacing="0"/>
        <w:rPr>
          <w:sz w:val="20"/>
          <w:szCs w:val="20"/>
        </w:rPr>
      </w:pPr>
      <w:r>
        <w:rPr>
          <w:sz w:val="20"/>
          <w:szCs w:val="20"/>
        </w:rPr>
        <w:t>The causes of elimination should be explained. The case will be excluded from the intention-to-treat analysis. The case report forms will be preserved for reference.</w:t>
      </w:r>
    </w:p>
    <w:p w14:paraId="036A01CA" w14:textId="77777777" w:rsidR="00555164" w:rsidRDefault="00555164">
      <w:pPr>
        <w:pStyle w:val="ad"/>
        <w:spacing w:beforeLines="50" w:before="120" w:beforeAutospacing="0" w:afterLines="50" w:after="120" w:afterAutospacing="0"/>
        <w:rPr>
          <w:sz w:val="20"/>
          <w:szCs w:val="20"/>
        </w:rPr>
      </w:pPr>
    </w:p>
    <w:p w14:paraId="14D361DA"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4.5 Criteria of </w:t>
      </w:r>
      <w:r>
        <w:rPr>
          <w:rFonts w:eastAsia="等线"/>
          <w:b/>
          <w:i/>
          <w:sz w:val="20"/>
          <w:szCs w:val="20"/>
        </w:rPr>
        <w:t>s</w:t>
      </w:r>
      <w:r>
        <w:rPr>
          <w:b/>
          <w:i/>
          <w:sz w:val="20"/>
          <w:szCs w:val="20"/>
        </w:rPr>
        <w:t xml:space="preserve">tudy interruption </w:t>
      </w:r>
    </w:p>
    <w:p w14:paraId="0C5D95E8" w14:textId="77777777" w:rsidR="00555164" w:rsidRDefault="002C73C0">
      <w:pPr>
        <w:pStyle w:val="ad"/>
        <w:spacing w:beforeLines="50" w:before="120" w:beforeAutospacing="0" w:afterLines="50" w:after="120" w:afterAutospacing="0"/>
        <w:rPr>
          <w:sz w:val="20"/>
          <w:szCs w:val="20"/>
        </w:rPr>
      </w:pPr>
      <w:r>
        <w:rPr>
          <w:sz w:val="20"/>
          <w:szCs w:val="20"/>
        </w:rPr>
        <w:t xml:space="preserve">Study will be interrupted in the following situations: </w:t>
      </w:r>
    </w:p>
    <w:p w14:paraId="7D4C911C" w14:textId="77777777" w:rsidR="00555164" w:rsidRDefault="002C73C0">
      <w:pPr>
        <w:pStyle w:val="ad"/>
        <w:spacing w:beforeLines="50" w:before="120" w:beforeAutospacing="0" w:afterLines="50" w:after="120" w:afterAutospacing="0"/>
        <w:rPr>
          <w:sz w:val="20"/>
          <w:szCs w:val="20"/>
        </w:rPr>
      </w:pPr>
      <w:r>
        <w:rPr>
          <w:sz w:val="20"/>
          <w:szCs w:val="20"/>
        </w:rPr>
        <w:t>4.5.1 Severe safety problem occurred during the study.</w:t>
      </w:r>
    </w:p>
    <w:p w14:paraId="7D67E956" w14:textId="77777777" w:rsidR="00555164" w:rsidRDefault="002C73C0">
      <w:pPr>
        <w:pStyle w:val="ad"/>
        <w:spacing w:beforeLines="50" w:before="120" w:beforeAutospacing="0" w:afterLines="50" w:after="120" w:afterAutospacing="0"/>
        <w:rPr>
          <w:sz w:val="20"/>
          <w:szCs w:val="20"/>
        </w:rPr>
      </w:pPr>
      <w:r>
        <w:rPr>
          <w:sz w:val="20"/>
          <w:szCs w:val="20"/>
        </w:rPr>
        <w:t>4.5.2 Serious mistake found in the protocol.</w:t>
      </w:r>
    </w:p>
    <w:p w14:paraId="166F8659" w14:textId="77777777" w:rsidR="00555164" w:rsidRDefault="002C73C0">
      <w:pPr>
        <w:pStyle w:val="ad"/>
        <w:spacing w:beforeLines="50" w:before="120" w:beforeAutospacing="0" w:afterLines="50" w:after="120" w:afterAutospacing="0"/>
        <w:rPr>
          <w:sz w:val="20"/>
          <w:szCs w:val="20"/>
        </w:rPr>
      </w:pPr>
      <w:r>
        <w:rPr>
          <w:sz w:val="20"/>
          <w:szCs w:val="20"/>
        </w:rPr>
        <w:t>4.5.3 Fund or management problem of the investigators.</w:t>
      </w:r>
    </w:p>
    <w:p w14:paraId="4F81D2C8" w14:textId="77777777" w:rsidR="00555164" w:rsidRDefault="002C73C0">
      <w:pPr>
        <w:pStyle w:val="ad"/>
        <w:spacing w:beforeLines="50" w:before="120" w:beforeAutospacing="0" w:afterLines="50" w:after="120" w:afterAutospacing="0"/>
        <w:rPr>
          <w:sz w:val="20"/>
          <w:szCs w:val="20"/>
        </w:rPr>
      </w:pPr>
      <w:r>
        <w:rPr>
          <w:sz w:val="20"/>
          <w:szCs w:val="20"/>
        </w:rPr>
        <w:t xml:space="preserve">4.5.4 Study cancelled by the administrative authority. </w:t>
      </w:r>
    </w:p>
    <w:p w14:paraId="42802350" w14:textId="77777777" w:rsidR="00555164" w:rsidRDefault="002C73C0">
      <w:pPr>
        <w:pStyle w:val="ad"/>
        <w:spacing w:beforeLines="50" w:before="120" w:beforeAutospacing="0" w:afterLines="50" w:after="120" w:afterAutospacing="0"/>
        <w:rPr>
          <w:sz w:val="20"/>
          <w:szCs w:val="20"/>
        </w:rPr>
      </w:pPr>
      <w:r>
        <w:rPr>
          <w:sz w:val="20"/>
          <w:szCs w:val="20"/>
        </w:rPr>
        <w:t xml:space="preserve">Study interruption may be transient or permanent. All recorded case report forms will be preserved for reference in case of study interruption. </w:t>
      </w:r>
    </w:p>
    <w:p w14:paraId="48D79A0A" w14:textId="77777777" w:rsidR="00555164" w:rsidRDefault="00555164">
      <w:pPr>
        <w:pStyle w:val="ad"/>
        <w:spacing w:beforeLines="50" w:before="120" w:beforeAutospacing="0" w:afterLines="50" w:after="120" w:afterAutospacing="0"/>
        <w:rPr>
          <w:bCs/>
          <w:sz w:val="20"/>
          <w:szCs w:val="20"/>
        </w:rPr>
      </w:pPr>
    </w:p>
    <w:p w14:paraId="123D53A4" w14:textId="77777777" w:rsidR="00555164" w:rsidRDefault="002C73C0">
      <w:pPr>
        <w:pStyle w:val="1"/>
        <w:spacing w:before="50" w:beforeAutospacing="0" w:after="50" w:afterAutospacing="0"/>
        <w:rPr>
          <w:rFonts w:ascii="Times New Roman" w:hAnsi="Times New Roman" w:cs="Times New Roman"/>
          <w:b w:val="0"/>
          <w:bCs w:val="0"/>
          <w:sz w:val="20"/>
          <w:szCs w:val="20"/>
        </w:rPr>
      </w:pPr>
      <w:bookmarkStart w:id="106" w:name="_Toc44756021"/>
      <w:bookmarkStart w:id="107" w:name="_Toc44754973"/>
      <w:bookmarkStart w:id="108" w:name="_Toc44755875"/>
      <w:bookmarkStart w:id="109" w:name="_Toc44796182"/>
      <w:bookmarkStart w:id="110" w:name="_Toc44756136"/>
      <w:r>
        <w:rPr>
          <w:rFonts w:ascii="Times New Roman" w:hAnsi="Times New Roman" w:cs="Times New Roman"/>
          <w:sz w:val="20"/>
          <w:szCs w:val="20"/>
        </w:rPr>
        <w:t>5. Randomization and masking</w:t>
      </w:r>
      <w:bookmarkEnd w:id="106"/>
      <w:bookmarkEnd w:id="107"/>
      <w:bookmarkEnd w:id="108"/>
      <w:bookmarkEnd w:id="109"/>
      <w:bookmarkEnd w:id="110"/>
    </w:p>
    <w:p w14:paraId="55BE8488" w14:textId="77777777" w:rsidR="00555164" w:rsidRDefault="00555164">
      <w:pPr>
        <w:spacing w:beforeLines="50" w:before="120" w:afterLines="50" w:after="120"/>
        <w:rPr>
          <w:b/>
          <w:sz w:val="20"/>
          <w:szCs w:val="20"/>
        </w:rPr>
      </w:pPr>
    </w:p>
    <w:p w14:paraId="08EF39F7" w14:textId="77777777" w:rsidR="00555164" w:rsidRDefault="002C73C0">
      <w:pPr>
        <w:spacing w:beforeLines="50" w:before="120" w:afterLines="50" w:after="120"/>
        <w:rPr>
          <w:b/>
          <w:bCs/>
          <w:i/>
          <w:iCs/>
          <w:sz w:val="20"/>
          <w:szCs w:val="20"/>
        </w:rPr>
      </w:pPr>
      <w:r>
        <w:rPr>
          <w:b/>
          <w:bCs/>
          <w:i/>
          <w:iCs/>
          <w:sz w:val="20"/>
          <w:szCs w:val="20"/>
        </w:rPr>
        <w:t xml:space="preserve">5.1 Randomization </w:t>
      </w:r>
    </w:p>
    <w:p w14:paraId="5C8F6310" w14:textId="77777777" w:rsidR="00555164" w:rsidRDefault="002C73C0">
      <w:pPr>
        <w:spacing w:beforeLines="50" w:before="120" w:afterLines="50" w:after="120"/>
        <w:rPr>
          <w:sz w:val="20"/>
          <w:szCs w:val="20"/>
        </w:rPr>
      </w:pPr>
      <w:r>
        <w:rPr>
          <w:sz w:val="20"/>
          <w:szCs w:val="20"/>
        </w:rPr>
        <w:t xml:space="preserve">5.1.1 The randomization will be performed (in a 1:1 ratio) centrally at Peking University Clinical Research Institute through a 24-hour interactive web response system (IWRS, </w:t>
      </w:r>
      <w:proofErr w:type="spellStart"/>
      <w:r>
        <w:rPr>
          <w:sz w:val="20"/>
          <w:szCs w:val="20"/>
        </w:rPr>
        <w:t>Brightech</w:t>
      </w:r>
      <w:proofErr w:type="spellEnd"/>
      <w:r>
        <w:rPr>
          <w:sz w:val="20"/>
          <w:szCs w:val="20"/>
        </w:rPr>
        <w:t xml:space="preserve"> Clinical Information Management System) before the surgery. The randomization is stratified by </w:t>
      </w:r>
      <w:r>
        <w:rPr>
          <w:rFonts w:eastAsia="等线"/>
          <w:sz w:val="20"/>
          <w:szCs w:val="20"/>
        </w:rPr>
        <w:t>study center</w:t>
      </w:r>
      <w:r>
        <w:rPr>
          <w:sz w:val="20"/>
          <w:szCs w:val="20"/>
        </w:rPr>
        <w:t xml:space="preserve"> and type of surgery (thoracic or abdominal surgery) with a block size of four. Allocation is concealed until shortly before anesthesia induction or epidural puncture.</w:t>
      </w:r>
    </w:p>
    <w:p w14:paraId="03D84EB5" w14:textId="77777777" w:rsidR="00555164" w:rsidRDefault="002C73C0">
      <w:pPr>
        <w:spacing w:beforeLines="50" w:before="120" w:afterLines="50" w:after="120"/>
        <w:rPr>
          <w:sz w:val="20"/>
          <w:szCs w:val="20"/>
        </w:rPr>
      </w:pPr>
      <w:r>
        <w:rPr>
          <w:sz w:val="20"/>
          <w:szCs w:val="20"/>
        </w:rPr>
        <w:t>5.1.2 For each recruited patient, a study coordinator will be designated to distribute the randomization result to the anesthesiologists according to the sequence of recruited patients, and to coordinate between investigators.</w:t>
      </w:r>
    </w:p>
    <w:p w14:paraId="1C502CD4" w14:textId="77777777" w:rsidR="00555164" w:rsidRDefault="002C73C0">
      <w:pPr>
        <w:spacing w:beforeLines="50" w:before="120" w:afterLines="50" w:after="120"/>
        <w:rPr>
          <w:sz w:val="20"/>
          <w:szCs w:val="20"/>
        </w:rPr>
      </w:pPr>
      <w:bookmarkStart w:id="111" w:name="_Hlk45985638"/>
      <w:r>
        <w:rPr>
          <w:sz w:val="20"/>
          <w:szCs w:val="20"/>
        </w:rPr>
        <w:t xml:space="preserve">5.1.3 For each recruited patient, an anesthesiologist will be designated for anesthesia and postoperative pain management (and data collection) according to the result of randomization. </w:t>
      </w:r>
    </w:p>
    <w:p w14:paraId="4AD487E6" w14:textId="77777777" w:rsidR="00555164" w:rsidRDefault="002C73C0">
      <w:pPr>
        <w:spacing w:beforeLines="50" w:before="120" w:afterLines="50" w:after="120"/>
        <w:rPr>
          <w:sz w:val="20"/>
          <w:szCs w:val="20"/>
        </w:rPr>
      </w:pPr>
      <w:r>
        <w:rPr>
          <w:sz w:val="20"/>
          <w:szCs w:val="20"/>
        </w:rPr>
        <w:t>5.1.4 Study intervention (combined epidural-general anesthesia plus postoperative epidural analgesia or general anesthesia plus postoperative intravenous analgesia) will be provided according to the randomization results by anesthesiologists who do not participate in the outcome assessments.</w:t>
      </w:r>
    </w:p>
    <w:p w14:paraId="566E55F3" w14:textId="77777777" w:rsidR="00555164" w:rsidRDefault="002C73C0">
      <w:pPr>
        <w:spacing w:beforeLines="50" w:before="120" w:afterLines="50" w:after="120"/>
        <w:rPr>
          <w:sz w:val="20"/>
          <w:szCs w:val="20"/>
        </w:rPr>
      </w:pPr>
      <w:r>
        <w:rPr>
          <w:sz w:val="20"/>
          <w:szCs w:val="20"/>
        </w:rPr>
        <w:lastRenderedPageBreak/>
        <w:t xml:space="preserve">5.1.5 The results of randomization will be concealed and stored at the interactive web response system (IWRS, </w:t>
      </w:r>
      <w:proofErr w:type="spellStart"/>
      <w:r>
        <w:rPr>
          <w:sz w:val="20"/>
          <w:szCs w:val="20"/>
        </w:rPr>
        <w:t>Brightech</w:t>
      </w:r>
      <w:proofErr w:type="spellEnd"/>
      <w:r>
        <w:rPr>
          <w:sz w:val="20"/>
          <w:szCs w:val="20"/>
        </w:rPr>
        <w:t xml:space="preserve"> Clinical Information Management System) and monitored by Peking University Clinical Research Institute. </w:t>
      </w:r>
    </w:p>
    <w:bookmarkEnd w:id="111"/>
    <w:p w14:paraId="61E42B7C" w14:textId="77777777" w:rsidR="00555164" w:rsidRDefault="00555164">
      <w:pPr>
        <w:spacing w:beforeLines="50" w:before="120" w:afterLines="50" w:after="120"/>
        <w:rPr>
          <w:sz w:val="20"/>
          <w:szCs w:val="20"/>
        </w:rPr>
      </w:pPr>
    </w:p>
    <w:p w14:paraId="09651695" w14:textId="77777777" w:rsidR="00555164" w:rsidRDefault="002C73C0">
      <w:pPr>
        <w:spacing w:beforeLines="50" w:before="120" w:afterLines="50" w:after="120"/>
        <w:rPr>
          <w:sz w:val="20"/>
          <w:szCs w:val="20"/>
        </w:rPr>
      </w:pPr>
      <w:r>
        <w:rPr>
          <w:b/>
          <w:bCs/>
          <w:i/>
          <w:iCs/>
          <w:sz w:val="20"/>
          <w:szCs w:val="20"/>
        </w:rPr>
        <w:t xml:space="preserve">5.2 </w:t>
      </w:r>
      <w:r>
        <w:rPr>
          <w:rFonts w:eastAsia="等线"/>
          <w:b/>
          <w:bCs/>
          <w:i/>
          <w:iCs/>
          <w:sz w:val="20"/>
          <w:szCs w:val="20"/>
        </w:rPr>
        <w:t>Masking</w:t>
      </w:r>
    </w:p>
    <w:p w14:paraId="06200024" w14:textId="77777777" w:rsidR="00555164" w:rsidRDefault="002C73C0">
      <w:pPr>
        <w:pStyle w:val="ad"/>
        <w:spacing w:beforeLines="50" w:before="120" w:beforeAutospacing="0" w:afterLines="50" w:after="120" w:afterAutospacing="0"/>
        <w:rPr>
          <w:sz w:val="20"/>
          <w:szCs w:val="20"/>
        </w:rPr>
      </w:pPr>
      <w:r>
        <w:rPr>
          <w:sz w:val="20"/>
          <w:szCs w:val="20"/>
        </w:rPr>
        <w:t>5.2.1 Because of the apparent difference between the two anesthesia-analgesia methods, patients, anesthesiologists and other health-care team members are aware of study group assignment.</w:t>
      </w:r>
    </w:p>
    <w:p w14:paraId="14B2066D"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 xml:space="preserve">5.2.2 Investigators who are responsible for patient recruitment do not participate in the anesthesia and perioperative care of the recruited patients. </w:t>
      </w:r>
    </w:p>
    <w:p w14:paraId="0CAD308F" w14:textId="77777777" w:rsidR="00555164" w:rsidRDefault="002C73C0">
      <w:pPr>
        <w:pStyle w:val="ad"/>
        <w:spacing w:beforeLines="50" w:before="120" w:beforeAutospacing="0" w:afterLines="50" w:after="120" w:afterAutospacing="0"/>
        <w:rPr>
          <w:sz w:val="20"/>
          <w:szCs w:val="20"/>
        </w:rPr>
      </w:pPr>
      <w:r>
        <w:rPr>
          <w:sz w:val="20"/>
          <w:szCs w:val="20"/>
        </w:rPr>
        <w:t xml:space="preserve">5.2.3 Investigators who are responsible for postoperative follow‐up and outcome assessments are not involved in anesthesia and perioperative management and have no knowledge of study group assignment. They have been trained prior to the study to follow the study protocol and to do delirium assessment. They are not allowed to communicate with neither patients nor other health-care team members regarding study group assignment. </w:t>
      </w:r>
    </w:p>
    <w:p w14:paraId="6B2C90D3" w14:textId="77777777" w:rsidR="00555164" w:rsidRDefault="002C73C0">
      <w:pPr>
        <w:pStyle w:val="ad"/>
        <w:spacing w:beforeLines="50" w:before="120" w:beforeAutospacing="0" w:afterLines="50" w:after="120" w:afterAutospacing="0"/>
        <w:rPr>
          <w:sz w:val="20"/>
          <w:szCs w:val="20"/>
        </w:rPr>
      </w:pPr>
      <w:r>
        <w:rPr>
          <w:sz w:val="20"/>
          <w:szCs w:val="20"/>
        </w:rPr>
        <w:t xml:space="preserve">5.2.4 Statistical analysis will be performed independently by Peking University Clinical Research Institute. </w:t>
      </w:r>
    </w:p>
    <w:p w14:paraId="27BCD54E" w14:textId="77777777" w:rsidR="00555164" w:rsidRDefault="00555164">
      <w:pPr>
        <w:pStyle w:val="ad"/>
        <w:spacing w:beforeLines="50" w:before="120" w:beforeAutospacing="0" w:afterLines="50" w:after="120" w:afterAutospacing="0"/>
        <w:rPr>
          <w:sz w:val="20"/>
          <w:szCs w:val="20"/>
        </w:rPr>
      </w:pPr>
    </w:p>
    <w:p w14:paraId="124FE57C" w14:textId="77777777" w:rsidR="00555164" w:rsidRDefault="002C73C0">
      <w:pPr>
        <w:pStyle w:val="1"/>
        <w:spacing w:before="50" w:beforeAutospacing="0" w:after="50" w:afterAutospacing="0"/>
        <w:rPr>
          <w:rFonts w:ascii="Times New Roman" w:hAnsi="Times New Roman" w:cs="Times New Roman"/>
          <w:b w:val="0"/>
          <w:bCs w:val="0"/>
          <w:sz w:val="20"/>
          <w:szCs w:val="20"/>
        </w:rPr>
      </w:pPr>
      <w:bookmarkStart w:id="112" w:name="_Toc44756022"/>
      <w:bookmarkStart w:id="113" w:name="_Toc44754974"/>
      <w:bookmarkStart w:id="114" w:name="_Toc44755876"/>
      <w:bookmarkStart w:id="115" w:name="_Toc44796183"/>
      <w:bookmarkStart w:id="116" w:name="_Toc44756137"/>
      <w:r>
        <w:rPr>
          <w:rFonts w:ascii="Times New Roman" w:hAnsi="Times New Roman" w:cs="Times New Roman"/>
          <w:sz w:val="20"/>
          <w:szCs w:val="20"/>
        </w:rPr>
        <w:t>6. Intervention protocol</w:t>
      </w:r>
      <w:bookmarkEnd w:id="112"/>
      <w:bookmarkEnd w:id="113"/>
      <w:bookmarkEnd w:id="114"/>
      <w:bookmarkEnd w:id="115"/>
      <w:bookmarkEnd w:id="116"/>
      <w:r>
        <w:rPr>
          <w:rFonts w:ascii="Times New Roman" w:hAnsi="Times New Roman" w:cs="Times New Roman"/>
          <w:sz w:val="20"/>
          <w:szCs w:val="20"/>
        </w:rPr>
        <w:t xml:space="preserve"> </w:t>
      </w:r>
    </w:p>
    <w:p w14:paraId="1E2378DA" w14:textId="77777777" w:rsidR="00555164" w:rsidRDefault="00555164">
      <w:pPr>
        <w:spacing w:beforeLines="50" w:before="120" w:afterLines="50" w:after="120"/>
        <w:rPr>
          <w:b/>
          <w:sz w:val="20"/>
          <w:szCs w:val="20"/>
        </w:rPr>
      </w:pPr>
    </w:p>
    <w:p w14:paraId="51DFFC84" w14:textId="77777777" w:rsidR="00555164" w:rsidRDefault="002C73C0">
      <w:pPr>
        <w:pStyle w:val="ad"/>
        <w:spacing w:beforeLines="50" w:before="120" w:beforeAutospacing="0" w:afterLines="50" w:after="120" w:afterAutospacing="0"/>
        <w:rPr>
          <w:rFonts w:eastAsia="等线"/>
          <w:b/>
          <w:i/>
          <w:sz w:val="20"/>
          <w:szCs w:val="20"/>
        </w:rPr>
      </w:pPr>
      <w:r>
        <w:rPr>
          <w:rFonts w:eastAsia="等线"/>
          <w:b/>
          <w:i/>
          <w:sz w:val="20"/>
          <w:szCs w:val="20"/>
        </w:rPr>
        <w:t>6.1 Anesthesia and analgesia</w:t>
      </w:r>
    </w:p>
    <w:p w14:paraId="18E72C12"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6.1.1 Intraoperative monitoring includes electrocardiogram, non-invasive blood pressure, pulse oxygen saturation, end-tidal concentrations of inhalational anesthetics and carbon dioxide, nasopharyngeal temperature, and urine output. Intra-arterial pressure and central venous pressure are monitored when necessary.</w:t>
      </w:r>
    </w:p>
    <w:p w14:paraId="77927964" w14:textId="77777777" w:rsidR="00555164" w:rsidRDefault="002C73C0">
      <w:pPr>
        <w:pStyle w:val="ad"/>
        <w:spacing w:beforeLines="50" w:before="120" w:beforeAutospacing="0" w:afterLines="50" w:after="120" w:afterAutospacing="0"/>
        <w:rPr>
          <w:sz w:val="20"/>
          <w:szCs w:val="20"/>
        </w:rPr>
      </w:pPr>
      <w:r>
        <w:rPr>
          <w:sz w:val="20"/>
          <w:szCs w:val="20"/>
        </w:rPr>
        <w:t xml:space="preserve">6.1.2 For patients assigned to receive combined epidural-general anesthesia plus postoperative epidural analgesia (EGA Group), epidural catheterization will be performed first. </w:t>
      </w:r>
    </w:p>
    <w:p w14:paraId="4947DCC6" w14:textId="77777777" w:rsidR="00555164" w:rsidRDefault="002C73C0">
      <w:pPr>
        <w:pStyle w:val="ad"/>
        <w:spacing w:beforeLines="50" w:before="120" w:beforeAutospacing="0" w:afterLines="50" w:after="120" w:afterAutospacing="0"/>
        <w:rPr>
          <w:sz w:val="20"/>
          <w:szCs w:val="20"/>
        </w:rPr>
      </w:pPr>
      <w:r>
        <w:rPr>
          <w:sz w:val="20"/>
          <w:szCs w:val="20"/>
        </w:rPr>
        <w:t xml:space="preserve">6.1.2.1 The intervertebral space for epidural puncture will be selected by the attending anesthesiologists according to the site of planned incision. An epidural catheter will be inserted using a standard technique. After negative aspiration of blood and cerebrospinal fluid, a test dose of 3–4 mL of 2 % lidocaine will be administered to confirm the position of the catheter and the effect of neuraxial block. </w:t>
      </w:r>
    </w:p>
    <w:p w14:paraId="64ED840D"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 xml:space="preserve">6.1.2.2 Failed epidural puncture/catheterization includes the following conditions: (1) failed attempts of more than 5 times by senior anesthesiologists; (2) patients refuse further epidural puncture attempts; (3) no dermatomes with sensory block appear after testing dose of epidural lidocaine (usually 10-20 min are required), and judged as failed epidural catheterization by the attending anesthesiologists. </w:t>
      </w:r>
    </w:p>
    <w:p w14:paraId="06EFC4B0" w14:textId="77777777" w:rsidR="00555164" w:rsidRDefault="002C73C0">
      <w:pPr>
        <w:pStyle w:val="ad"/>
        <w:spacing w:beforeLines="50" w:before="120" w:beforeAutospacing="0" w:afterLines="50" w:after="120" w:afterAutospacing="0"/>
        <w:rPr>
          <w:sz w:val="20"/>
          <w:szCs w:val="20"/>
        </w:rPr>
      </w:pPr>
      <w:r>
        <w:rPr>
          <w:sz w:val="20"/>
          <w:szCs w:val="20"/>
        </w:rPr>
        <w:t>6.1.2.3 General anesthesia will be induced with midazolam (0.02-0.03 mg/kg), propofol, sufentanil and rocuronium. For patients with expected difficult airway, endotracheal intubation may be facilitated by succinylcholine or awake intubation may be performed. Anesthesia will be maintained with intravenous (propofol), inhalational (sevoflurane with or without nitrous oxide), or combined intravenous-inhalational anesthetics, together with 0.375%-0.5% ropivacaine administered as bolus and/or continuously through the epidural catheter. Additional opioids (remifentanil</w:t>
      </w:r>
      <w:r>
        <w:rPr>
          <w:rFonts w:eastAsia="宋体"/>
          <w:sz w:val="20"/>
          <w:szCs w:val="20"/>
        </w:rPr>
        <w:t xml:space="preserve">, </w:t>
      </w:r>
      <w:r>
        <w:rPr>
          <w:sz w:val="20"/>
          <w:szCs w:val="20"/>
        </w:rPr>
        <w:t xml:space="preserve">sufentanil, fentanyl, or morphine) and muscle relaxant (rocuronium, atracurium, or cisatracurium) will be administered when deemed necessary. </w:t>
      </w:r>
      <w:r>
        <w:rPr>
          <w:rFonts w:eastAsia="等线"/>
          <w:sz w:val="20"/>
          <w:szCs w:val="20"/>
        </w:rPr>
        <w:t>For patients whose epidural local anesthetics has to be decreased or stopped, the reasons, the administered dose and subsequent management should be recorded.</w:t>
      </w:r>
    </w:p>
    <w:p w14:paraId="37593EDF" w14:textId="77777777" w:rsidR="00555164" w:rsidRDefault="002C73C0">
      <w:pPr>
        <w:pStyle w:val="ad"/>
        <w:spacing w:beforeLines="50" w:before="120" w:beforeAutospacing="0" w:afterLines="50" w:after="120" w:afterAutospacing="0"/>
        <w:rPr>
          <w:sz w:val="20"/>
          <w:szCs w:val="20"/>
        </w:rPr>
      </w:pPr>
      <w:r>
        <w:rPr>
          <w:sz w:val="20"/>
          <w:szCs w:val="20"/>
        </w:rPr>
        <w:t xml:space="preserve">6.1.2.4 Patient-controlled epidural analgesia will be provided after surgery. This is established with 0.12 % ropivacaine and 0.5 </w:t>
      </w:r>
      <w:proofErr w:type="spellStart"/>
      <w:r>
        <w:rPr>
          <w:sz w:val="20"/>
          <w:szCs w:val="20"/>
        </w:rPr>
        <w:t>μg</w:t>
      </w:r>
      <w:proofErr w:type="spellEnd"/>
      <w:r>
        <w:rPr>
          <w:sz w:val="20"/>
          <w:szCs w:val="20"/>
        </w:rPr>
        <w:t xml:space="preserve">/mL sufentanil in 250 mL normal saline, programmed to deliver 2-mL boluses with a 20-minute lockout interval and a background infusion of 4 mL/h. For patients with low body weight or poor general condition, doses can be decreased and upper dose limit can be set for the patient-controlled pump. </w:t>
      </w:r>
    </w:p>
    <w:p w14:paraId="75CDCDEB"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 xml:space="preserve">6.1.2.5 For patients whose epidural analgesia pump has to be decreased or stopped, the reasons, the administered dose and subsequent management should be recorded. </w:t>
      </w:r>
    </w:p>
    <w:p w14:paraId="7361B990" w14:textId="77777777" w:rsidR="00555164" w:rsidRDefault="002C73C0">
      <w:pPr>
        <w:pStyle w:val="ad"/>
        <w:spacing w:beforeLines="50" w:before="120" w:beforeAutospacing="0" w:afterLines="50" w:after="120" w:afterAutospacing="0"/>
        <w:rPr>
          <w:sz w:val="20"/>
          <w:szCs w:val="20"/>
        </w:rPr>
      </w:pPr>
      <w:r>
        <w:rPr>
          <w:sz w:val="20"/>
          <w:szCs w:val="20"/>
        </w:rPr>
        <w:t>6.1.3 For patients assigned to receive general anesthesia plus postoperative intravenous analgesia (GA Group), epidural catheterization will not be performed.</w:t>
      </w:r>
    </w:p>
    <w:p w14:paraId="0718B9A2" w14:textId="77777777" w:rsidR="00555164" w:rsidRDefault="002C73C0">
      <w:pPr>
        <w:pStyle w:val="ad"/>
        <w:spacing w:beforeLines="50" w:before="120" w:beforeAutospacing="0" w:afterLines="50" w:after="120" w:afterAutospacing="0"/>
        <w:rPr>
          <w:sz w:val="20"/>
          <w:szCs w:val="20"/>
        </w:rPr>
      </w:pPr>
      <w:r>
        <w:rPr>
          <w:sz w:val="20"/>
          <w:szCs w:val="20"/>
        </w:rPr>
        <w:t>6.1.3.1 General anesthesia will be induced with midazolam (0.02-0.03 mg/kg), propofol, sufentanil</w:t>
      </w:r>
      <w:r>
        <w:rPr>
          <w:rFonts w:eastAsia="宋体"/>
          <w:sz w:val="20"/>
          <w:szCs w:val="20"/>
        </w:rPr>
        <w:t>,</w:t>
      </w:r>
      <w:r>
        <w:rPr>
          <w:sz w:val="20"/>
          <w:szCs w:val="20"/>
        </w:rPr>
        <w:t xml:space="preserve"> and rocuronium. For patients with expected difficult airway, endotracheal intubation may be facilitated by </w:t>
      </w:r>
      <w:r>
        <w:rPr>
          <w:sz w:val="20"/>
          <w:szCs w:val="20"/>
        </w:rPr>
        <w:lastRenderedPageBreak/>
        <w:t xml:space="preserve">succinylcholine or awake intubation may be performed. Anesthesia will be maintained with either intravenous (propofol), inhalational (sevoflurane with or without nitrous oxide), or combined intravenous-inhalational anesthetics. Additional opioids (remifentanil, sufentanil, fentanyl, or morphine) and muscle relaxant (rocuronium, atracurium, or cisatracurium) will be administered when deemed necessary. </w:t>
      </w:r>
    </w:p>
    <w:p w14:paraId="5A963A1E" w14:textId="77777777" w:rsidR="00555164" w:rsidRDefault="002C73C0">
      <w:pPr>
        <w:pStyle w:val="ad"/>
        <w:spacing w:beforeLines="50" w:before="120" w:beforeAutospacing="0" w:afterLines="50" w:after="120" w:afterAutospacing="0"/>
        <w:rPr>
          <w:sz w:val="20"/>
          <w:szCs w:val="20"/>
        </w:rPr>
      </w:pPr>
      <w:r>
        <w:rPr>
          <w:sz w:val="20"/>
          <w:szCs w:val="20"/>
        </w:rPr>
        <w:t>6.1.3.2 Patient-controlled intravenous analgesia will be provided after surgery. This is established with 0.5 mg</w:t>
      </w:r>
      <w:r>
        <w:rPr>
          <w:rFonts w:eastAsia="宋体"/>
          <w:sz w:val="20"/>
          <w:szCs w:val="20"/>
        </w:rPr>
        <w:t>/mL</w:t>
      </w:r>
      <w:r>
        <w:rPr>
          <w:sz w:val="20"/>
          <w:szCs w:val="20"/>
        </w:rPr>
        <w:t xml:space="preserve"> morphine in 100 mL normal saline, programmed to deliver 2-mL boluses with a 6 to 10-minute lockout interval and a 1 mL/h background infusion. For patients with low body weight or poor general condition, doses can be decreased and upper dose limit can be set for the patient-controlled pump. </w:t>
      </w:r>
    </w:p>
    <w:p w14:paraId="50406890"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6.1.3.3 For patients whose intravenous analgesia pump has to be decreased or stopped, the reasons, the administered dose and subsequent management should be recorded.</w:t>
      </w:r>
    </w:p>
    <w:p w14:paraId="51F84A15" w14:textId="77777777" w:rsidR="00555164" w:rsidRDefault="00555164">
      <w:pPr>
        <w:pStyle w:val="ad"/>
        <w:spacing w:beforeLines="50" w:before="120" w:beforeAutospacing="0" w:afterLines="50" w:after="120" w:afterAutospacing="0"/>
        <w:rPr>
          <w:sz w:val="20"/>
          <w:szCs w:val="20"/>
        </w:rPr>
      </w:pPr>
    </w:p>
    <w:p w14:paraId="3D3EE571" w14:textId="77777777" w:rsidR="00555164" w:rsidRDefault="002C73C0">
      <w:pPr>
        <w:spacing w:beforeLines="50" w:before="120" w:afterLines="50" w:after="120"/>
        <w:rPr>
          <w:rFonts w:eastAsia="等线"/>
          <w:b/>
          <w:i/>
          <w:sz w:val="20"/>
          <w:szCs w:val="20"/>
        </w:rPr>
      </w:pPr>
      <w:r>
        <w:rPr>
          <w:rFonts w:eastAsia="等线"/>
          <w:b/>
          <w:i/>
          <w:sz w:val="20"/>
          <w:szCs w:val="20"/>
        </w:rPr>
        <w:t>6.2 Remedial measures</w:t>
      </w:r>
    </w:p>
    <w:p w14:paraId="30F4E36A" w14:textId="77777777" w:rsidR="00555164" w:rsidRDefault="002C73C0">
      <w:pPr>
        <w:spacing w:beforeLines="50" w:before="120" w:afterLines="50" w:after="120"/>
        <w:rPr>
          <w:rFonts w:eastAsia="等线"/>
          <w:sz w:val="20"/>
          <w:szCs w:val="20"/>
        </w:rPr>
      </w:pPr>
      <w:r>
        <w:rPr>
          <w:rFonts w:eastAsia="等线"/>
          <w:sz w:val="20"/>
          <w:szCs w:val="20"/>
        </w:rPr>
        <w:t xml:space="preserve">6.2.1 For patients in the combined epidural-general anesthesia group but with failed epidural catheterization, anesthesia and postoperative analgesia will be performed as those in the general anesthesia plus postoperative intravenous analgesia group. </w:t>
      </w:r>
    </w:p>
    <w:p w14:paraId="3DC5184C" w14:textId="77777777" w:rsidR="00555164" w:rsidRDefault="002C73C0">
      <w:pPr>
        <w:spacing w:beforeLines="50" w:before="120" w:afterLines="50" w:after="120"/>
        <w:rPr>
          <w:rFonts w:eastAsia="等线"/>
          <w:sz w:val="20"/>
          <w:szCs w:val="20"/>
        </w:rPr>
      </w:pPr>
      <w:r>
        <w:rPr>
          <w:rFonts w:eastAsia="等线"/>
          <w:sz w:val="20"/>
          <w:szCs w:val="20"/>
        </w:rPr>
        <w:t xml:space="preserve">6.2.2 For patients in the combined epidural-general anesthesia group, inadequate anesthesia is managed with additional local anesthetics administered through the epidural catheter, and/or increasing intravenous and/or inhalational anesthetics. For patients in the general anesthesia group, inadequate anesthesia is managed with increasing intravenous and/or inhalational anesthetics. </w:t>
      </w:r>
    </w:p>
    <w:p w14:paraId="4D41FDB1" w14:textId="77777777" w:rsidR="00555164" w:rsidRDefault="002C73C0">
      <w:pPr>
        <w:spacing w:beforeLines="50" w:before="120" w:afterLines="50" w:after="120"/>
        <w:rPr>
          <w:sz w:val="20"/>
          <w:szCs w:val="20"/>
        </w:rPr>
      </w:pPr>
      <w:r>
        <w:rPr>
          <w:sz w:val="20"/>
          <w:szCs w:val="20"/>
        </w:rPr>
        <w:t xml:space="preserve">6.2.3 For patients in the combined epidural-general anesthesia group with unsatisfied postoperative analgesia, pump setting will be adjusted (increased), supplemental analgesics (such as opioids, non-steroidal anti-inflammatory drugs, and others) will be administered, or an intravenous analgesia pump will be provided. For patients in the general anesthesia group with unsatisfied postoperative analgesia, pump setting will be adjusted (increased) and/or supplemental analgesics (such as opioids, non-steroidal anti-inflammatory drugs, and others) will be administered. The above measures will be recorded. </w:t>
      </w:r>
    </w:p>
    <w:p w14:paraId="77AE4038" w14:textId="77777777" w:rsidR="00555164" w:rsidRDefault="00555164">
      <w:pPr>
        <w:spacing w:beforeLines="50" w:before="120" w:afterLines="50" w:after="120"/>
        <w:rPr>
          <w:sz w:val="20"/>
          <w:szCs w:val="20"/>
        </w:rPr>
      </w:pPr>
    </w:p>
    <w:p w14:paraId="72E2AB23" w14:textId="77777777" w:rsidR="00555164" w:rsidRDefault="002C73C0">
      <w:pPr>
        <w:spacing w:beforeLines="50" w:before="120" w:afterLines="50" w:after="120"/>
        <w:rPr>
          <w:b/>
          <w:i/>
          <w:sz w:val="20"/>
          <w:szCs w:val="20"/>
        </w:rPr>
      </w:pPr>
      <w:r>
        <w:rPr>
          <w:b/>
          <w:i/>
          <w:sz w:val="20"/>
          <w:szCs w:val="20"/>
        </w:rPr>
        <w:t>6.3 Allowed and prohibited medications</w:t>
      </w:r>
    </w:p>
    <w:p w14:paraId="7CCC5539" w14:textId="77777777" w:rsidR="00555164" w:rsidRDefault="002C73C0">
      <w:pPr>
        <w:spacing w:beforeLines="50" w:before="120" w:afterLines="50" w:after="120"/>
        <w:rPr>
          <w:sz w:val="20"/>
          <w:szCs w:val="20"/>
        </w:rPr>
      </w:pPr>
      <w:r>
        <w:rPr>
          <w:sz w:val="20"/>
          <w:szCs w:val="20"/>
        </w:rPr>
        <w:t xml:space="preserve">6.3.1 For patients of both groups, no premedication (usually include anticholinergics and sedatives) is administered. Dexmedetomidine is not allowed. Anticholinergics are prohibited unless being used for the treatment of bradycardia, in which case atropine will be administered. Patients enrolled in Peking University First Hospital are prohibited to use etomidate. </w:t>
      </w:r>
    </w:p>
    <w:p w14:paraId="45EE611F" w14:textId="77777777" w:rsidR="00555164" w:rsidRDefault="002C73C0">
      <w:pPr>
        <w:spacing w:beforeLines="50" w:before="120" w:afterLines="50" w:after="120"/>
        <w:rPr>
          <w:rFonts w:eastAsia="等线"/>
          <w:sz w:val="20"/>
          <w:szCs w:val="20"/>
        </w:rPr>
      </w:pPr>
      <w:r>
        <w:rPr>
          <w:rFonts w:eastAsia="等线"/>
          <w:sz w:val="20"/>
          <w:szCs w:val="20"/>
        </w:rPr>
        <w:t xml:space="preserve">6.3.2 During anesthesia, vasopressors (such as ephedrine, phenylephrine, dopamine, adrenaline and norepinephrine), antihypertensives (such as urapidil and nicardipine), atropine and esmolol can be used to maintain hemodynamic stable; glucocorticoids and 5-hydroxytryptamine 3 (5-HT3) receptor antagonists can be used to prevent postoperative nausea and vomiting. </w:t>
      </w:r>
    </w:p>
    <w:p w14:paraId="6510AE03" w14:textId="77777777" w:rsidR="00555164" w:rsidRDefault="002C73C0">
      <w:pPr>
        <w:spacing w:beforeLines="50" w:before="120" w:afterLines="50" w:after="120"/>
        <w:rPr>
          <w:rFonts w:eastAsia="等线"/>
          <w:sz w:val="20"/>
          <w:szCs w:val="20"/>
        </w:rPr>
      </w:pPr>
      <w:r>
        <w:rPr>
          <w:rFonts w:eastAsia="等线"/>
          <w:sz w:val="20"/>
          <w:szCs w:val="20"/>
        </w:rPr>
        <w:t>6.3.3 For patients admitted to the ICU with endotracheal intubation, propofol and/or midazolam can be administered for sedation; the target is to maintain the Richmond Agitation-Sedation Scale (RASS, score ranges from –5 [unarousable] to +4 [combative] and 0 indicates alert and calm)</w:t>
      </w:r>
      <w:r>
        <w:rPr>
          <w:rFonts w:eastAsia="等线"/>
          <w:sz w:val="20"/>
          <w:szCs w:val="20"/>
          <w:vertAlign w:val="superscript"/>
        </w:rPr>
        <w:fldChar w:fldCharType="begin"/>
      </w:r>
      <w:r>
        <w:rPr>
          <w:rFonts w:eastAsia="等线"/>
          <w:sz w:val="20"/>
          <w:szCs w:val="20"/>
          <w:vertAlign w:val="superscript"/>
        </w:rPr>
        <w:instrText xml:space="preserve"> REF _Ref44760670 \r \h  \* MERGEFORMAT </w:instrText>
      </w:r>
      <w:r>
        <w:rPr>
          <w:rFonts w:eastAsia="等线"/>
          <w:sz w:val="20"/>
          <w:szCs w:val="20"/>
          <w:vertAlign w:val="superscript"/>
        </w:rPr>
      </w:r>
      <w:r>
        <w:rPr>
          <w:rFonts w:eastAsia="等线"/>
          <w:sz w:val="20"/>
          <w:szCs w:val="20"/>
          <w:vertAlign w:val="superscript"/>
        </w:rPr>
        <w:fldChar w:fldCharType="separate"/>
      </w:r>
      <w:r>
        <w:rPr>
          <w:rFonts w:eastAsia="等线"/>
          <w:sz w:val="20"/>
          <w:szCs w:val="20"/>
          <w:vertAlign w:val="superscript"/>
        </w:rPr>
        <w:t>41</w:t>
      </w:r>
      <w:r>
        <w:rPr>
          <w:rFonts w:eastAsia="等线"/>
          <w:sz w:val="20"/>
          <w:szCs w:val="20"/>
          <w:vertAlign w:val="superscript"/>
        </w:rPr>
        <w:fldChar w:fldCharType="end"/>
      </w:r>
      <w:r>
        <w:rPr>
          <w:rFonts w:eastAsia="等线"/>
          <w:sz w:val="20"/>
          <w:szCs w:val="20"/>
          <w:vertAlign w:val="superscript"/>
        </w:rPr>
        <w:t>,</w:t>
      </w:r>
      <w:r>
        <w:rPr>
          <w:rFonts w:eastAsia="等线"/>
          <w:sz w:val="20"/>
          <w:szCs w:val="20"/>
          <w:vertAlign w:val="superscript"/>
        </w:rPr>
        <w:fldChar w:fldCharType="begin"/>
      </w:r>
      <w:r>
        <w:rPr>
          <w:rFonts w:eastAsia="等线"/>
          <w:sz w:val="20"/>
          <w:szCs w:val="20"/>
          <w:vertAlign w:val="superscript"/>
        </w:rPr>
        <w:instrText xml:space="preserve"> REF _Ref44760680 \r \h  \* MERGEFORMAT </w:instrText>
      </w:r>
      <w:r>
        <w:rPr>
          <w:rFonts w:eastAsia="等线"/>
          <w:sz w:val="20"/>
          <w:szCs w:val="20"/>
          <w:vertAlign w:val="superscript"/>
        </w:rPr>
      </w:r>
      <w:r>
        <w:rPr>
          <w:rFonts w:eastAsia="等线"/>
          <w:sz w:val="20"/>
          <w:szCs w:val="20"/>
          <w:vertAlign w:val="superscript"/>
        </w:rPr>
        <w:fldChar w:fldCharType="separate"/>
      </w:r>
      <w:r>
        <w:rPr>
          <w:rFonts w:eastAsia="等线"/>
          <w:sz w:val="20"/>
          <w:szCs w:val="20"/>
          <w:vertAlign w:val="superscript"/>
        </w:rPr>
        <w:t>42</w:t>
      </w:r>
      <w:r>
        <w:rPr>
          <w:rFonts w:eastAsia="等线"/>
          <w:sz w:val="20"/>
          <w:szCs w:val="20"/>
          <w:vertAlign w:val="superscript"/>
        </w:rPr>
        <w:fldChar w:fldCharType="end"/>
      </w:r>
      <w:r>
        <w:rPr>
          <w:rFonts w:eastAsia="等线"/>
          <w:sz w:val="20"/>
          <w:szCs w:val="20"/>
        </w:rPr>
        <w:t xml:space="preserve"> from -2 to +1. For patients admitted to the ICU without endotracheal intubation, sedatives should not be administered unless otherwise needed. Other sedatives are not allowed. </w:t>
      </w:r>
    </w:p>
    <w:p w14:paraId="4BF09B6E" w14:textId="77777777" w:rsidR="00555164" w:rsidRDefault="002C73C0">
      <w:pPr>
        <w:spacing w:beforeLines="50" w:before="120" w:afterLines="50" w:after="120"/>
        <w:rPr>
          <w:rFonts w:eastAsia="等线"/>
          <w:sz w:val="20"/>
          <w:szCs w:val="20"/>
        </w:rPr>
      </w:pPr>
      <w:r>
        <w:rPr>
          <w:rFonts w:eastAsia="等线"/>
          <w:sz w:val="20"/>
          <w:szCs w:val="20"/>
        </w:rPr>
        <w:t xml:space="preserve">6.3.4 Other perioperative management are provided according to routine practice.  </w:t>
      </w:r>
    </w:p>
    <w:p w14:paraId="6887ABD7" w14:textId="77777777" w:rsidR="00555164" w:rsidRDefault="00555164">
      <w:pPr>
        <w:spacing w:beforeLines="50" w:before="120" w:afterLines="50" w:after="120"/>
        <w:rPr>
          <w:rFonts w:eastAsia="等线"/>
          <w:sz w:val="20"/>
          <w:szCs w:val="20"/>
        </w:rPr>
      </w:pPr>
    </w:p>
    <w:p w14:paraId="37D851FD" w14:textId="77777777" w:rsidR="00555164" w:rsidRDefault="002C73C0">
      <w:pPr>
        <w:spacing w:beforeLines="50" w:before="120" w:afterLines="50" w:after="120"/>
        <w:rPr>
          <w:b/>
          <w:i/>
          <w:sz w:val="20"/>
          <w:szCs w:val="20"/>
        </w:rPr>
      </w:pPr>
      <w:r>
        <w:rPr>
          <w:b/>
          <w:i/>
          <w:sz w:val="20"/>
          <w:szCs w:val="20"/>
        </w:rPr>
        <w:t xml:space="preserve">6.4 Management of delirium </w:t>
      </w:r>
    </w:p>
    <w:p w14:paraId="00CE2C8F" w14:textId="77777777" w:rsidR="00555164" w:rsidRDefault="002C73C0">
      <w:pPr>
        <w:spacing w:beforeLines="50" w:before="120" w:afterLines="50" w:after="120"/>
        <w:rPr>
          <w:sz w:val="20"/>
          <w:szCs w:val="20"/>
        </w:rPr>
      </w:pPr>
      <w:r>
        <w:rPr>
          <w:sz w:val="20"/>
          <w:szCs w:val="20"/>
        </w:rPr>
        <w:t xml:space="preserve">6.4.1 Precipitating factors should be identified and managed. Usually there are more than one precipitating factors (underlying diseases). </w:t>
      </w:r>
    </w:p>
    <w:p w14:paraId="00900EAB" w14:textId="77777777" w:rsidR="00555164" w:rsidRDefault="002C73C0">
      <w:pPr>
        <w:spacing w:beforeLines="50" w:before="120" w:afterLines="50" w:after="120"/>
        <w:rPr>
          <w:sz w:val="20"/>
          <w:szCs w:val="20"/>
        </w:rPr>
      </w:pPr>
      <w:r>
        <w:rPr>
          <w:sz w:val="20"/>
          <w:szCs w:val="20"/>
        </w:rPr>
        <w:t xml:space="preserve">6.4.2 Supportive therapies should be provided. These include reorientation, cognitive stimulation, early mobilization, hearing or vision aids, sleep promotion, and nutritional supply. A safe environment should be guaranteed for both patients and medical staff. Family members of patients should be included in the supportive therapy. </w:t>
      </w:r>
    </w:p>
    <w:p w14:paraId="318F69C0" w14:textId="77777777" w:rsidR="00555164" w:rsidRDefault="002C73C0">
      <w:pPr>
        <w:spacing w:beforeLines="50" w:before="120" w:afterLines="50" w:after="120"/>
        <w:rPr>
          <w:sz w:val="20"/>
          <w:szCs w:val="20"/>
        </w:rPr>
      </w:pPr>
      <w:r>
        <w:rPr>
          <w:sz w:val="20"/>
          <w:szCs w:val="20"/>
        </w:rPr>
        <w:t xml:space="preserve">6.4.3 Pharmacological therapy is administered only when the delirium symptoms endanger the safety of patients themselves or others, or affect the normal medical work such as mechanical ventilation and central venous </w:t>
      </w:r>
      <w:r>
        <w:rPr>
          <w:sz w:val="20"/>
          <w:szCs w:val="20"/>
        </w:rPr>
        <w:lastRenderedPageBreak/>
        <w:t>catheterization. Haloperidol (0.5-2 mg) will be administered intravenously, repeated when necessary every 15-20 minutes until control of symptoms. For maintenance treatment, half of the loading dose can be given intravenously every 4 to 6 hours, lasting for several days. Oral antipsychotic drugs will be administered under the guidance of psychiatrists when necessary.</w:t>
      </w:r>
    </w:p>
    <w:p w14:paraId="65D8AF7E" w14:textId="77777777" w:rsidR="00555164" w:rsidRDefault="00555164">
      <w:pPr>
        <w:spacing w:beforeLines="50" w:before="120" w:afterLines="50" w:after="120"/>
        <w:rPr>
          <w:sz w:val="20"/>
          <w:szCs w:val="20"/>
        </w:rPr>
      </w:pPr>
    </w:p>
    <w:p w14:paraId="44D163EE" w14:textId="77777777" w:rsidR="00555164" w:rsidRDefault="002C73C0">
      <w:pPr>
        <w:pStyle w:val="1"/>
        <w:spacing w:before="50" w:beforeAutospacing="0" w:after="50" w:afterAutospacing="0"/>
        <w:rPr>
          <w:rFonts w:ascii="Times New Roman" w:hAnsi="Times New Roman" w:cs="Times New Roman"/>
          <w:b w:val="0"/>
          <w:sz w:val="20"/>
          <w:szCs w:val="20"/>
        </w:rPr>
      </w:pPr>
      <w:bookmarkStart w:id="117" w:name="_Toc44756138"/>
      <w:bookmarkStart w:id="118" w:name="_Toc44756023"/>
      <w:bookmarkStart w:id="119" w:name="_Toc44754975"/>
      <w:bookmarkStart w:id="120" w:name="_Toc44796184"/>
      <w:bookmarkStart w:id="121" w:name="_Toc44755877"/>
      <w:r>
        <w:rPr>
          <w:rFonts w:ascii="Times New Roman" w:hAnsi="Times New Roman" w:cs="Times New Roman"/>
          <w:sz w:val="20"/>
          <w:szCs w:val="20"/>
        </w:rPr>
        <w:t>7. Data collection</w:t>
      </w:r>
      <w:bookmarkEnd w:id="117"/>
      <w:bookmarkEnd w:id="118"/>
      <w:bookmarkEnd w:id="119"/>
      <w:bookmarkEnd w:id="120"/>
      <w:bookmarkEnd w:id="121"/>
      <w:r>
        <w:rPr>
          <w:rFonts w:ascii="Times New Roman" w:hAnsi="Times New Roman" w:cs="Times New Roman"/>
          <w:sz w:val="20"/>
          <w:szCs w:val="20"/>
        </w:rPr>
        <w:t xml:space="preserve"> </w:t>
      </w:r>
    </w:p>
    <w:p w14:paraId="2FF379E1" w14:textId="77777777" w:rsidR="00555164" w:rsidRDefault="00555164">
      <w:pPr>
        <w:spacing w:beforeLines="50" w:before="120" w:afterLines="50" w:after="120"/>
        <w:rPr>
          <w:b/>
          <w:sz w:val="20"/>
          <w:szCs w:val="20"/>
        </w:rPr>
      </w:pPr>
    </w:p>
    <w:p w14:paraId="2A976D1A" w14:textId="77777777" w:rsidR="00555164" w:rsidRDefault="002C73C0">
      <w:pPr>
        <w:spacing w:beforeLines="50" w:before="120" w:afterLines="50" w:after="120"/>
        <w:rPr>
          <w:b/>
          <w:i/>
          <w:sz w:val="20"/>
          <w:szCs w:val="20"/>
        </w:rPr>
      </w:pPr>
      <w:r>
        <w:rPr>
          <w:b/>
          <w:i/>
          <w:sz w:val="20"/>
          <w:szCs w:val="20"/>
        </w:rPr>
        <w:t xml:space="preserve">7.1 Baseline data </w:t>
      </w:r>
    </w:p>
    <w:p w14:paraId="0E415969" w14:textId="77777777" w:rsidR="00555164" w:rsidRDefault="002C73C0">
      <w:pPr>
        <w:spacing w:beforeLines="50" w:before="120" w:afterLines="50" w:after="120"/>
        <w:rPr>
          <w:sz w:val="20"/>
          <w:szCs w:val="20"/>
        </w:rPr>
      </w:pPr>
      <w:r>
        <w:rPr>
          <w:sz w:val="20"/>
          <w:szCs w:val="20"/>
        </w:rPr>
        <w:t>7.1.1 Demographic data, including age, sex, body mass index, and education level.</w:t>
      </w:r>
    </w:p>
    <w:p w14:paraId="7C0FD840" w14:textId="77777777" w:rsidR="00555164" w:rsidRDefault="002C73C0">
      <w:pPr>
        <w:spacing w:beforeLines="50" w:before="120" w:afterLines="50" w:after="120"/>
        <w:rPr>
          <w:sz w:val="20"/>
          <w:szCs w:val="20"/>
        </w:rPr>
      </w:pPr>
      <w:r>
        <w:rPr>
          <w:sz w:val="20"/>
          <w:szCs w:val="20"/>
        </w:rPr>
        <w:t xml:space="preserve">7.1.2 Diagnosis and medical history, including surgical diagnosis, </w:t>
      </w:r>
      <w:r>
        <w:rPr>
          <w:rFonts w:eastAsia="等线"/>
          <w:sz w:val="20"/>
          <w:szCs w:val="20"/>
        </w:rPr>
        <w:t>co</w:t>
      </w:r>
      <w:r>
        <w:rPr>
          <w:sz w:val="20"/>
          <w:szCs w:val="20"/>
        </w:rPr>
        <w:t>morbidities, medical therapy, drinking and smoking history, food and drug allergy, and previous history of surgery and anesthesia.</w:t>
      </w:r>
    </w:p>
    <w:p w14:paraId="06E7F78E" w14:textId="77777777" w:rsidR="00555164" w:rsidRDefault="002C73C0">
      <w:pPr>
        <w:spacing w:beforeLines="50" w:before="120" w:afterLines="50" w:after="120"/>
        <w:rPr>
          <w:sz w:val="20"/>
          <w:szCs w:val="20"/>
        </w:rPr>
      </w:pPr>
      <w:r>
        <w:rPr>
          <w:sz w:val="20"/>
          <w:szCs w:val="20"/>
        </w:rPr>
        <w:t>7.1.3 Results of main laboratory tests and instrumental examinations.</w:t>
      </w:r>
    </w:p>
    <w:p w14:paraId="0C10B012" w14:textId="77777777" w:rsidR="00555164" w:rsidRDefault="002C73C0">
      <w:pPr>
        <w:spacing w:beforeLines="50" w:before="120" w:afterLines="50" w:after="120"/>
        <w:rPr>
          <w:sz w:val="20"/>
          <w:szCs w:val="20"/>
        </w:rPr>
      </w:pPr>
      <w:r>
        <w:rPr>
          <w:sz w:val="20"/>
          <w:szCs w:val="20"/>
        </w:rPr>
        <w:t>7.1.4 General status, including Charlson Comorbidity Index</w:t>
      </w:r>
      <w:r>
        <w:rPr>
          <w:rFonts w:eastAsia="宋体"/>
          <w:sz w:val="20"/>
          <w:szCs w:val="20"/>
        </w:rPr>
        <w:t>,</w:t>
      </w:r>
      <w:r>
        <w:rPr>
          <w:sz w:val="20"/>
          <w:szCs w:val="20"/>
          <w:vertAlign w:val="superscript"/>
        </w:rPr>
        <w:fldChar w:fldCharType="begin"/>
      </w:r>
      <w:r>
        <w:rPr>
          <w:rFonts w:eastAsia="宋体"/>
          <w:sz w:val="20"/>
          <w:szCs w:val="20"/>
          <w:vertAlign w:val="superscript"/>
        </w:rPr>
        <w:instrText xml:space="preserve"> REF _Ref44760700 \r \h </w:instrText>
      </w:r>
      <w:r>
        <w:rPr>
          <w:sz w:val="20"/>
          <w:szCs w:val="20"/>
          <w:vertAlign w:val="superscript"/>
        </w:rPr>
        <w:instrText xml:space="preserve"> \* MERGEFORMAT </w:instrText>
      </w:r>
      <w:r>
        <w:rPr>
          <w:sz w:val="20"/>
          <w:szCs w:val="20"/>
          <w:vertAlign w:val="superscript"/>
        </w:rPr>
      </w:r>
      <w:r>
        <w:rPr>
          <w:sz w:val="20"/>
          <w:szCs w:val="20"/>
          <w:vertAlign w:val="superscript"/>
        </w:rPr>
        <w:fldChar w:fldCharType="separate"/>
      </w:r>
      <w:r>
        <w:rPr>
          <w:rFonts w:eastAsia="宋体"/>
          <w:sz w:val="20"/>
          <w:szCs w:val="20"/>
          <w:vertAlign w:val="superscript"/>
        </w:rPr>
        <w:t>43</w:t>
      </w:r>
      <w:r>
        <w:rPr>
          <w:sz w:val="20"/>
          <w:szCs w:val="20"/>
          <w:vertAlign w:val="superscript"/>
        </w:rPr>
        <w:fldChar w:fldCharType="end"/>
      </w:r>
      <w:r>
        <w:rPr>
          <w:sz w:val="20"/>
          <w:szCs w:val="20"/>
          <w:vertAlign w:val="superscript"/>
        </w:rPr>
        <w:t>,</w:t>
      </w:r>
      <w:r>
        <w:rPr>
          <w:sz w:val="20"/>
          <w:szCs w:val="20"/>
          <w:vertAlign w:val="superscript"/>
        </w:rPr>
        <w:fldChar w:fldCharType="begin"/>
      </w:r>
      <w:r>
        <w:rPr>
          <w:sz w:val="20"/>
          <w:szCs w:val="20"/>
          <w:vertAlign w:val="superscript"/>
        </w:rPr>
        <w:instrText xml:space="preserve"> REF _Ref44760707 \r \h  \* MERGEFORMAT </w:instrText>
      </w:r>
      <w:r>
        <w:rPr>
          <w:sz w:val="20"/>
          <w:szCs w:val="20"/>
          <w:vertAlign w:val="superscript"/>
        </w:rPr>
      </w:r>
      <w:r>
        <w:rPr>
          <w:sz w:val="20"/>
          <w:szCs w:val="20"/>
          <w:vertAlign w:val="superscript"/>
        </w:rPr>
        <w:fldChar w:fldCharType="separate"/>
      </w:r>
      <w:r>
        <w:rPr>
          <w:sz w:val="20"/>
          <w:szCs w:val="20"/>
          <w:vertAlign w:val="superscript"/>
        </w:rPr>
        <w:t>44</w:t>
      </w:r>
      <w:r>
        <w:rPr>
          <w:sz w:val="20"/>
          <w:szCs w:val="20"/>
          <w:vertAlign w:val="superscript"/>
        </w:rPr>
        <w:fldChar w:fldCharType="end"/>
      </w:r>
      <w:r>
        <w:rPr>
          <w:sz w:val="20"/>
          <w:szCs w:val="20"/>
        </w:rPr>
        <w:t xml:space="preserve"> American Society of Anesthesiologists classification, and New York Heart Association classification.</w:t>
      </w:r>
    </w:p>
    <w:p w14:paraId="773F5FD4" w14:textId="77777777" w:rsidR="00555164" w:rsidRDefault="002C73C0">
      <w:pPr>
        <w:spacing w:beforeLines="50" w:before="120" w:afterLines="50" w:after="120"/>
        <w:rPr>
          <w:sz w:val="20"/>
          <w:szCs w:val="20"/>
        </w:rPr>
      </w:pPr>
      <w:r>
        <w:rPr>
          <w:sz w:val="20"/>
          <w:szCs w:val="20"/>
        </w:rPr>
        <w:t xml:space="preserve">7.1.5 Activities of daily living is assessed with the Barthel Index (score ranges from 0 to 100, with higher score indicating better function). </w:t>
      </w:r>
      <w:r>
        <w:rPr>
          <w:sz w:val="20"/>
          <w:szCs w:val="20"/>
          <w:vertAlign w:val="superscript"/>
        </w:rPr>
        <w:fldChar w:fldCharType="begin"/>
      </w:r>
      <w:r>
        <w:rPr>
          <w:sz w:val="20"/>
          <w:szCs w:val="20"/>
          <w:vertAlign w:val="superscript"/>
        </w:rPr>
        <w:instrText xml:space="preserve"> REF _Ref44760723 \r \h  \* MERGEFORMAT </w:instrText>
      </w:r>
      <w:r>
        <w:rPr>
          <w:sz w:val="20"/>
          <w:szCs w:val="20"/>
          <w:vertAlign w:val="superscript"/>
        </w:rPr>
      </w:r>
      <w:r>
        <w:rPr>
          <w:sz w:val="20"/>
          <w:szCs w:val="20"/>
          <w:vertAlign w:val="superscript"/>
        </w:rPr>
        <w:fldChar w:fldCharType="separate"/>
      </w:r>
      <w:r>
        <w:rPr>
          <w:sz w:val="20"/>
          <w:szCs w:val="20"/>
          <w:vertAlign w:val="superscript"/>
        </w:rPr>
        <w:t>45</w:t>
      </w:r>
      <w:r>
        <w:rPr>
          <w:sz w:val="20"/>
          <w:szCs w:val="20"/>
          <w:vertAlign w:val="superscript"/>
        </w:rPr>
        <w:fldChar w:fldCharType="end"/>
      </w:r>
      <w:r>
        <w:rPr>
          <w:sz w:val="20"/>
          <w:szCs w:val="20"/>
          <w:vertAlign w:val="superscript"/>
        </w:rPr>
        <w:t>,</w:t>
      </w:r>
      <w:r>
        <w:rPr>
          <w:sz w:val="20"/>
          <w:szCs w:val="20"/>
          <w:vertAlign w:val="superscript"/>
        </w:rPr>
        <w:fldChar w:fldCharType="begin"/>
      </w:r>
      <w:r>
        <w:rPr>
          <w:sz w:val="20"/>
          <w:szCs w:val="20"/>
          <w:vertAlign w:val="superscript"/>
        </w:rPr>
        <w:instrText xml:space="preserve"> REF _Ref44760732 \r \h  \* MERGEFORMAT </w:instrText>
      </w:r>
      <w:r>
        <w:rPr>
          <w:sz w:val="20"/>
          <w:szCs w:val="20"/>
          <w:vertAlign w:val="superscript"/>
        </w:rPr>
      </w:r>
      <w:r>
        <w:rPr>
          <w:sz w:val="20"/>
          <w:szCs w:val="20"/>
          <w:vertAlign w:val="superscript"/>
        </w:rPr>
        <w:fldChar w:fldCharType="separate"/>
      </w:r>
      <w:r>
        <w:rPr>
          <w:sz w:val="20"/>
          <w:szCs w:val="20"/>
          <w:vertAlign w:val="superscript"/>
        </w:rPr>
        <w:t>46</w:t>
      </w:r>
      <w:r>
        <w:rPr>
          <w:sz w:val="20"/>
          <w:szCs w:val="20"/>
          <w:vertAlign w:val="superscript"/>
        </w:rPr>
        <w:fldChar w:fldCharType="end"/>
      </w:r>
      <w:r>
        <w:rPr>
          <w:sz w:val="20"/>
          <w:szCs w:val="20"/>
          <w:vertAlign w:val="superscript"/>
        </w:rPr>
        <w:t>,</w:t>
      </w:r>
      <w:r>
        <w:rPr>
          <w:sz w:val="20"/>
          <w:szCs w:val="20"/>
          <w:vertAlign w:val="superscript"/>
        </w:rPr>
        <w:fldChar w:fldCharType="begin"/>
      </w:r>
      <w:r>
        <w:rPr>
          <w:sz w:val="20"/>
          <w:szCs w:val="20"/>
          <w:vertAlign w:val="superscript"/>
        </w:rPr>
        <w:instrText xml:space="preserve"> REF _Ref44760740 \r \h  \* MERGEFORMAT </w:instrText>
      </w:r>
      <w:r>
        <w:rPr>
          <w:sz w:val="20"/>
          <w:szCs w:val="20"/>
          <w:vertAlign w:val="superscript"/>
        </w:rPr>
      </w:r>
      <w:r>
        <w:rPr>
          <w:sz w:val="20"/>
          <w:szCs w:val="20"/>
          <w:vertAlign w:val="superscript"/>
        </w:rPr>
        <w:fldChar w:fldCharType="separate"/>
      </w:r>
      <w:r>
        <w:rPr>
          <w:sz w:val="20"/>
          <w:szCs w:val="20"/>
          <w:vertAlign w:val="superscript"/>
        </w:rPr>
        <w:t>47</w:t>
      </w:r>
      <w:r>
        <w:rPr>
          <w:sz w:val="20"/>
          <w:szCs w:val="20"/>
          <w:vertAlign w:val="superscript"/>
        </w:rPr>
        <w:fldChar w:fldCharType="end"/>
      </w:r>
    </w:p>
    <w:p w14:paraId="554C382F" w14:textId="77777777" w:rsidR="00555164" w:rsidRDefault="002C73C0">
      <w:pPr>
        <w:spacing w:beforeLines="50" w:before="120" w:afterLines="50" w:after="120"/>
        <w:rPr>
          <w:sz w:val="20"/>
          <w:szCs w:val="20"/>
        </w:rPr>
      </w:pPr>
      <w:r>
        <w:rPr>
          <w:sz w:val="20"/>
          <w:szCs w:val="20"/>
        </w:rPr>
        <w:t>7.1.6 Cognitive function is assessed with the Mini-Mental State Examination (score ranges from 0 to 30, with higher score indicating better function).</w:t>
      </w:r>
      <w:r>
        <w:rPr>
          <w:sz w:val="20"/>
          <w:szCs w:val="20"/>
          <w:vertAlign w:val="superscript"/>
        </w:rPr>
        <w:fldChar w:fldCharType="begin"/>
      </w:r>
      <w:r>
        <w:rPr>
          <w:sz w:val="20"/>
          <w:szCs w:val="20"/>
          <w:vertAlign w:val="superscript"/>
        </w:rPr>
        <w:instrText xml:space="preserve"> REF _Ref44760749 \r \h  \* MERGEFORMAT </w:instrText>
      </w:r>
      <w:r>
        <w:rPr>
          <w:sz w:val="20"/>
          <w:szCs w:val="20"/>
          <w:vertAlign w:val="superscript"/>
        </w:rPr>
      </w:r>
      <w:r>
        <w:rPr>
          <w:sz w:val="20"/>
          <w:szCs w:val="20"/>
          <w:vertAlign w:val="superscript"/>
        </w:rPr>
        <w:fldChar w:fldCharType="separate"/>
      </w:r>
      <w:r>
        <w:rPr>
          <w:sz w:val="20"/>
          <w:szCs w:val="20"/>
          <w:vertAlign w:val="superscript"/>
        </w:rPr>
        <w:t>48</w:t>
      </w:r>
      <w:r>
        <w:rPr>
          <w:sz w:val="20"/>
          <w:szCs w:val="20"/>
          <w:vertAlign w:val="superscript"/>
        </w:rPr>
        <w:fldChar w:fldCharType="end"/>
      </w:r>
      <w:r>
        <w:rPr>
          <w:sz w:val="20"/>
          <w:szCs w:val="20"/>
          <w:vertAlign w:val="superscript"/>
        </w:rPr>
        <w:t>,</w:t>
      </w:r>
      <w:r>
        <w:rPr>
          <w:sz w:val="20"/>
          <w:szCs w:val="20"/>
          <w:vertAlign w:val="superscript"/>
        </w:rPr>
        <w:fldChar w:fldCharType="begin"/>
      </w:r>
      <w:r>
        <w:rPr>
          <w:sz w:val="20"/>
          <w:szCs w:val="20"/>
          <w:vertAlign w:val="superscript"/>
        </w:rPr>
        <w:instrText xml:space="preserve"> REF _Ref44760755 \r \h  \* MERGEFORMAT </w:instrText>
      </w:r>
      <w:r>
        <w:rPr>
          <w:sz w:val="20"/>
          <w:szCs w:val="20"/>
          <w:vertAlign w:val="superscript"/>
        </w:rPr>
      </w:r>
      <w:r>
        <w:rPr>
          <w:sz w:val="20"/>
          <w:szCs w:val="20"/>
          <w:vertAlign w:val="superscript"/>
        </w:rPr>
        <w:fldChar w:fldCharType="separate"/>
      </w:r>
      <w:r>
        <w:rPr>
          <w:sz w:val="20"/>
          <w:szCs w:val="20"/>
          <w:vertAlign w:val="superscript"/>
        </w:rPr>
        <w:t>49</w:t>
      </w:r>
      <w:r>
        <w:rPr>
          <w:sz w:val="20"/>
          <w:szCs w:val="20"/>
          <w:vertAlign w:val="superscript"/>
        </w:rPr>
        <w:fldChar w:fldCharType="end"/>
      </w:r>
    </w:p>
    <w:p w14:paraId="681439C4" w14:textId="77777777" w:rsidR="00555164" w:rsidRDefault="002C73C0">
      <w:pPr>
        <w:spacing w:beforeLines="50" w:before="120" w:afterLines="50" w:after="120"/>
        <w:rPr>
          <w:sz w:val="20"/>
          <w:szCs w:val="20"/>
        </w:rPr>
      </w:pPr>
      <w:r>
        <w:rPr>
          <w:sz w:val="20"/>
          <w:szCs w:val="20"/>
        </w:rPr>
        <w:t>7.1.7 Anxiety and depression are assessed with the Hospital Anxiety and Depression Scale (score ranges from 0 to 21 for either depression or anxiety, with higher score indicating more severe symptoms. A score &gt;7 is adopted as the borderline abnormal).</w:t>
      </w:r>
      <w:r>
        <w:rPr>
          <w:sz w:val="20"/>
          <w:szCs w:val="20"/>
          <w:vertAlign w:val="superscript"/>
        </w:rPr>
        <w:fldChar w:fldCharType="begin"/>
      </w:r>
      <w:r>
        <w:rPr>
          <w:sz w:val="20"/>
          <w:szCs w:val="20"/>
          <w:vertAlign w:val="superscript"/>
        </w:rPr>
        <w:instrText xml:space="preserve"> REF _Ref44760764 \r \h  \* MERGEFORMAT </w:instrText>
      </w:r>
      <w:r>
        <w:rPr>
          <w:sz w:val="20"/>
          <w:szCs w:val="20"/>
          <w:vertAlign w:val="superscript"/>
        </w:rPr>
      </w:r>
      <w:r>
        <w:rPr>
          <w:sz w:val="20"/>
          <w:szCs w:val="20"/>
          <w:vertAlign w:val="superscript"/>
        </w:rPr>
        <w:fldChar w:fldCharType="separate"/>
      </w:r>
      <w:r>
        <w:rPr>
          <w:sz w:val="20"/>
          <w:szCs w:val="20"/>
          <w:vertAlign w:val="superscript"/>
        </w:rPr>
        <w:t>50</w:t>
      </w:r>
      <w:r>
        <w:rPr>
          <w:sz w:val="20"/>
          <w:szCs w:val="20"/>
          <w:vertAlign w:val="superscript"/>
        </w:rPr>
        <w:fldChar w:fldCharType="end"/>
      </w:r>
      <w:r>
        <w:rPr>
          <w:sz w:val="20"/>
          <w:szCs w:val="20"/>
          <w:vertAlign w:val="superscript"/>
        </w:rPr>
        <w:t>,</w:t>
      </w:r>
      <w:r>
        <w:rPr>
          <w:sz w:val="20"/>
          <w:szCs w:val="20"/>
          <w:vertAlign w:val="superscript"/>
        </w:rPr>
        <w:fldChar w:fldCharType="begin"/>
      </w:r>
      <w:r>
        <w:rPr>
          <w:sz w:val="20"/>
          <w:szCs w:val="20"/>
          <w:vertAlign w:val="superscript"/>
        </w:rPr>
        <w:instrText xml:space="preserve"> REF _Ref44760772 \r \h  \* MERGEFORMAT </w:instrText>
      </w:r>
      <w:r>
        <w:rPr>
          <w:sz w:val="20"/>
          <w:szCs w:val="20"/>
          <w:vertAlign w:val="superscript"/>
        </w:rPr>
      </w:r>
      <w:r>
        <w:rPr>
          <w:sz w:val="20"/>
          <w:szCs w:val="20"/>
          <w:vertAlign w:val="superscript"/>
        </w:rPr>
        <w:fldChar w:fldCharType="separate"/>
      </w:r>
      <w:r>
        <w:rPr>
          <w:sz w:val="20"/>
          <w:szCs w:val="20"/>
          <w:vertAlign w:val="superscript"/>
        </w:rPr>
        <w:t>51</w:t>
      </w:r>
      <w:r>
        <w:rPr>
          <w:sz w:val="20"/>
          <w:szCs w:val="20"/>
          <w:vertAlign w:val="superscript"/>
        </w:rPr>
        <w:fldChar w:fldCharType="end"/>
      </w:r>
      <w:r>
        <w:rPr>
          <w:sz w:val="20"/>
          <w:szCs w:val="20"/>
          <w:vertAlign w:val="superscript"/>
        </w:rPr>
        <w:t>,</w:t>
      </w:r>
      <w:r>
        <w:rPr>
          <w:sz w:val="20"/>
          <w:szCs w:val="20"/>
          <w:vertAlign w:val="superscript"/>
        </w:rPr>
        <w:fldChar w:fldCharType="begin"/>
      </w:r>
      <w:r>
        <w:rPr>
          <w:sz w:val="20"/>
          <w:szCs w:val="20"/>
          <w:vertAlign w:val="superscript"/>
        </w:rPr>
        <w:instrText xml:space="preserve"> REF _Ref44760779 \r \h  \* MERGEFORMAT </w:instrText>
      </w:r>
      <w:r>
        <w:rPr>
          <w:sz w:val="20"/>
          <w:szCs w:val="20"/>
          <w:vertAlign w:val="superscript"/>
        </w:rPr>
      </w:r>
      <w:r>
        <w:rPr>
          <w:sz w:val="20"/>
          <w:szCs w:val="20"/>
          <w:vertAlign w:val="superscript"/>
        </w:rPr>
        <w:fldChar w:fldCharType="separate"/>
      </w:r>
      <w:r>
        <w:rPr>
          <w:sz w:val="20"/>
          <w:szCs w:val="20"/>
          <w:vertAlign w:val="superscript"/>
        </w:rPr>
        <w:t>52</w:t>
      </w:r>
      <w:r>
        <w:rPr>
          <w:sz w:val="20"/>
          <w:szCs w:val="20"/>
          <w:vertAlign w:val="superscript"/>
        </w:rPr>
        <w:fldChar w:fldCharType="end"/>
      </w:r>
    </w:p>
    <w:p w14:paraId="6AF8F41C" w14:textId="77777777" w:rsidR="00555164" w:rsidRDefault="002C73C0">
      <w:pPr>
        <w:spacing w:beforeLines="50" w:before="120" w:afterLines="50" w:after="120"/>
        <w:rPr>
          <w:sz w:val="20"/>
          <w:szCs w:val="20"/>
          <w:vertAlign w:val="superscript"/>
        </w:rPr>
      </w:pPr>
      <w:r>
        <w:rPr>
          <w:sz w:val="20"/>
          <w:szCs w:val="20"/>
        </w:rPr>
        <w:t>7.1.8 Delirium is assessed with the Confusion Assessment Method for the Intensive Care Unit (CAM-ICU).</w:t>
      </w:r>
      <w:r>
        <w:rPr>
          <w:sz w:val="20"/>
          <w:szCs w:val="20"/>
          <w:vertAlign w:val="superscript"/>
        </w:rPr>
        <w:fldChar w:fldCharType="begin"/>
      </w:r>
      <w:r>
        <w:rPr>
          <w:sz w:val="20"/>
          <w:szCs w:val="20"/>
          <w:vertAlign w:val="superscript"/>
        </w:rPr>
        <w:instrText xml:space="preserve"> REF _Ref44760788 \r \h  \* MERGEFORMAT </w:instrText>
      </w:r>
      <w:r>
        <w:rPr>
          <w:sz w:val="20"/>
          <w:szCs w:val="20"/>
          <w:vertAlign w:val="superscript"/>
        </w:rPr>
      </w:r>
      <w:r>
        <w:rPr>
          <w:sz w:val="20"/>
          <w:szCs w:val="20"/>
          <w:vertAlign w:val="superscript"/>
        </w:rPr>
        <w:fldChar w:fldCharType="separate"/>
      </w:r>
      <w:r>
        <w:rPr>
          <w:sz w:val="20"/>
          <w:szCs w:val="20"/>
          <w:vertAlign w:val="superscript"/>
        </w:rPr>
        <w:t>53</w:t>
      </w:r>
      <w:r>
        <w:rPr>
          <w:sz w:val="20"/>
          <w:szCs w:val="20"/>
          <w:vertAlign w:val="superscript"/>
        </w:rPr>
        <w:fldChar w:fldCharType="end"/>
      </w:r>
      <w:r>
        <w:rPr>
          <w:sz w:val="20"/>
          <w:szCs w:val="20"/>
          <w:vertAlign w:val="superscript"/>
        </w:rPr>
        <w:t>,</w:t>
      </w:r>
      <w:r>
        <w:rPr>
          <w:sz w:val="20"/>
          <w:szCs w:val="20"/>
          <w:vertAlign w:val="superscript"/>
        </w:rPr>
        <w:fldChar w:fldCharType="begin"/>
      </w:r>
      <w:r>
        <w:rPr>
          <w:sz w:val="20"/>
          <w:szCs w:val="20"/>
          <w:vertAlign w:val="superscript"/>
        </w:rPr>
        <w:instrText xml:space="preserve"> REF _Ref44760796 \r \h  \* MERGEFORMAT </w:instrText>
      </w:r>
      <w:r>
        <w:rPr>
          <w:sz w:val="20"/>
          <w:szCs w:val="20"/>
          <w:vertAlign w:val="superscript"/>
        </w:rPr>
      </w:r>
      <w:r>
        <w:rPr>
          <w:sz w:val="20"/>
          <w:szCs w:val="20"/>
          <w:vertAlign w:val="superscript"/>
        </w:rPr>
        <w:fldChar w:fldCharType="separate"/>
      </w:r>
      <w:r>
        <w:rPr>
          <w:sz w:val="20"/>
          <w:szCs w:val="20"/>
          <w:vertAlign w:val="superscript"/>
        </w:rPr>
        <w:t>54</w:t>
      </w:r>
      <w:r>
        <w:rPr>
          <w:sz w:val="20"/>
          <w:szCs w:val="20"/>
          <w:vertAlign w:val="superscript"/>
        </w:rPr>
        <w:fldChar w:fldCharType="end"/>
      </w:r>
      <w:r>
        <w:rPr>
          <w:sz w:val="20"/>
          <w:szCs w:val="20"/>
          <w:vertAlign w:val="superscript"/>
        </w:rPr>
        <w:t>,</w:t>
      </w:r>
      <w:r>
        <w:rPr>
          <w:sz w:val="20"/>
          <w:szCs w:val="20"/>
          <w:vertAlign w:val="superscript"/>
        </w:rPr>
        <w:fldChar w:fldCharType="begin"/>
      </w:r>
      <w:r>
        <w:rPr>
          <w:sz w:val="20"/>
          <w:szCs w:val="20"/>
          <w:vertAlign w:val="superscript"/>
        </w:rPr>
        <w:instrText xml:space="preserve"> REF _Ref44760803 \r \h  \* MERGEFORMAT </w:instrText>
      </w:r>
      <w:r>
        <w:rPr>
          <w:sz w:val="20"/>
          <w:szCs w:val="20"/>
          <w:vertAlign w:val="superscript"/>
        </w:rPr>
      </w:r>
      <w:r>
        <w:rPr>
          <w:sz w:val="20"/>
          <w:szCs w:val="20"/>
          <w:vertAlign w:val="superscript"/>
        </w:rPr>
        <w:fldChar w:fldCharType="separate"/>
      </w:r>
      <w:r>
        <w:rPr>
          <w:sz w:val="20"/>
          <w:szCs w:val="20"/>
          <w:vertAlign w:val="superscript"/>
        </w:rPr>
        <w:t>55</w:t>
      </w:r>
      <w:r>
        <w:rPr>
          <w:sz w:val="20"/>
          <w:szCs w:val="20"/>
          <w:vertAlign w:val="superscript"/>
        </w:rPr>
        <w:fldChar w:fldCharType="end"/>
      </w:r>
    </w:p>
    <w:p w14:paraId="6BB9C331" w14:textId="77777777" w:rsidR="00555164" w:rsidRDefault="00555164">
      <w:pPr>
        <w:spacing w:beforeLines="50" w:before="120" w:afterLines="50" w:after="120"/>
        <w:rPr>
          <w:sz w:val="20"/>
          <w:szCs w:val="20"/>
        </w:rPr>
      </w:pPr>
    </w:p>
    <w:p w14:paraId="508213BA" w14:textId="77777777" w:rsidR="00555164" w:rsidRDefault="002C73C0">
      <w:pPr>
        <w:spacing w:beforeLines="50" w:before="120" w:afterLines="50" w:after="120"/>
        <w:rPr>
          <w:b/>
          <w:i/>
          <w:sz w:val="20"/>
          <w:szCs w:val="20"/>
        </w:rPr>
      </w:pPr>
      <w:r>
        <w:rPr>
          <w:b/>
          <w:i/>
          <w:sz w:val="20"/>
          <w:szCs w:val="20"/>
        </w:rPr>
        <w:t xml:space="preserve">7.2 Intraoperative data </w:t>
      </w:r>
    </w:p>
    <w:p w14:paraId="293BBA30" w14:textId="77777777" w:rsidR="00555164" w:rsidRDefault="002C73C0">
      <w:pPr>
        <w:spacing w:beforeLines="50" w:before="120" w:afterLines="50" w:after="120"/>
        <w:rPr>
          <w:sz w:val="20"/>
          <w:szCs w:val="20"/>
        </w:rPr>
      </w:pPr>
      <w:r>
        <w:rPr>
          <w:sz w:val="20"/>
          <w:szCs w:val="20"/>
        </w:rPr>
        <w:t>7.2.1 Anesthesia method, type and dose of anesthetics and other medications used during anesthesia, duration of anesthesia.</w:t>
      </w:r>
    </w:p>
    <w:p w14:paraId="73628153" w14:textId="77777777" w:rsidR="00555164" w:rsidRDefault="002C73C0">
      <w:pPr>
        <w:spacing w:beforeLines="50" w:before="120" w:afterLines="50" w:after="120"/>
        <w:rPr>
          <w:sz w:val="20"/>
          <w:szCs w:val="20"/>
        </w:rPr>
      </w:pPr>
      <w:r>
        <w:rPr>
          <w:sz w:val="20"/>
          <w:szCs w:val="20"/>
        </w:rPr>
        <w:t>7.2.2 Fluid balance (including fluid infusion, estimated blood loss, and urine output) and transfusion of blood products.</w:t>
      </w:r>
    </w:p>
    <w:p w14:paraId="25084EB5" w14:textId="77777777" w:rsidR="00555164" w:rsidRDefault="002C73C0">
      <w:pPr>
        <w:spacing w:beforeLines="50" w:before="120" w:afterLines="50" w:after="120"/>
        <w:rPr>
          <w:sz w:val="20"/>
          <w:szCs w:val="20"/>
        </w:rPr>
      </w:pPr>
      <w:r>
        <w:rPr>
          <w:sz w:val="20"/>
          <w:szCs w:val="20"/>
        </w:rPr>
        <w:t>7.2.3 Location, type, name and duration of the surgery.</w:t>
      </w:r>
    </w:p>
    <w:p w14:paraId="4AC02B7A" w14:textId="77777777" w:rsidR="00555164" w:rsidRDefault="002C73C0">
      <w:pPr>
        <w:spacing w:beforeLines="50" w:before="120" w:afterLines="50" w:after="120"/>
        <w:rPr>
          <w:rFonts w:eastAsia="等线"/>
          <w:sz w:val="20"/>
          <w:szCs w:val="20"/>
        </w:rPr>
      </w:pPr>
      <w:r>
        <w:rPr>
          <w:rFonts w:eastAsia="等线"/>
          <w:sz w:val="20"/>
          <w:szCs w:val="20"/>
        </w:rPr>
        <w:t>7.2.4 Data of vital signs and arterial blood gas result (if available).</w:t>
      </w:r>
    </w:p>
    <w:p w14:paraId="4950CA3A" w14:textId="77777777" w:rsidR="00555164" w:rsidRDefault="002C73C0">
      <w:pPr>
        <w:spacing w:beforeLines="50" w:before="120" w:afterLines="50" w:after="120"/>
        <w:rPr>
          <w:rFonts w:eastAsia="等线"/>
          <w:sz w:val="20"/>
          <w:szCs w:val="20"/>
        </w:rPr>
      </w:pPr>
      <w:r>
        <w:rPr>
          <w:rFonts w:eastAsia="等线"/>
          <w:sz w:val="20"/>
          <w:szCs w:val="20"/>
        </w:rPr>
        <w:t>7.2.5 For patients recruited in Peking University First Hospital, blood samples (4 mL) will be collected before surgery with their agreement. The serum will be separated within 1 hour and stored in the -80</w:t>
      </w:r>
      <w:r>
        <w:rPr>
          <w:rFonts w:eastAsia="等线"/>
          <w:sz w:val="20"/>
          <w:szCs w:val="20"/>
        </w:rPr>
        <w:sym w:font="Symbol" w:char="F0B0"/>
      </w:r>
      <w:r>
        <w:rPr>
          <w:rFonts w:eastAsia="等线"/>
          <w:sz w:val="20"/>
          <w:szCs w:val="20"/>
        </w:rPr>
        <w:t xml:space="preserve">C freezer until measurement of serum cortisol, interleukin (IL)-6 and IL-8 concentration. </w:t>
      </w:r>
    </w:p>
    <w:p w14:paraId="3B6AE3EB" w14:textId="77777777" w:rsidR="00555164" w:rsidRDefault="00555164">
      <w:pPr>
        <w:spacing w:beforeLines="50" w:before="120" w:afterLines="50" w:after="120"/>
        <w:rPr>
          <w:rFonts w:eastAsia="等线"/>
          <w:sz w:val="20"/>
          <w:szCs w:val="20"/>
        </w:rPr>
      </w:pPr>
    </w:p>
    <w:p w14:paraId="0EB687D7" w14:textId="77777777" w:rsidR="00555164" w:rsidRDefault="002C73C0">
      <w:pPr>
        <w:spacing w:beforeLines="50" w:before="120" w:afterLines="50" w:after="120"/>
        <w:rPr>
          <w:b/>
          <w:i/>
          <w:sz w:val="20"/>
          <w:szCs w:val="20"/>
        </w:rPr>
      </w:pPr>
      <w:r>
        <w:rPr>
          <w:b/>
          <w:i/>
          <w:sz w:val="20"/>
          <w:szCs w:val="20"/>
        </w:rPr>
        <w:t xml:space="preserve">7.3 Postoperative data </w:t>
      </w:r>
    </w:p>
    <w:p w14:paraId="0B85F1F0" w14:textId="77777777" w:rsidR="00555164" w:rsidRDefault="002C73C0">
      <w:pPr>
        <w:spacing w:beforeLines="50" w:before="120" w:afterLines="50" w:after="120"/>
        <w:rPr>
          <w:sz w:val="20"/>
          <w:szCs w:val="20"/>
        </w:rPr>
      </w:pPr>
      <w:r>
        <w:rPr>
          <w:sz w:val="20"/>
          <w:szCs w:val="20"/>
        </w:rPr>
        <w:t>7.3.1 Patients will be visited twice daily during the first seven</w:t>
      </w:r>
      <w:r>
        <w:rPr>
          <w:rFonts w:eastAsia="等线"/>
          <w:sz w:val="20"/>
          <w:szCs w:val="20"/>
        </w:rPr>
        <w:t xml:space="preserve"> </w:t>
      </w:r>
      <w:r>
        <w:rPr>
          <w:sz w:val="20"/>
          <w:szCs w:val="20"/>
        </w:rPr>
        <w:t>days after surgery; they will then be</w:t>
      </w:r>
      <w:r>
        <w:rPr>
          <w:rFonts w:eastAsia="等线"/>
          <w:sz w:val="20"/>
          <w:szCs w:val="20"/>
        </w:rPr>
        <w:t xml:space="preserve"> </w:t>
      </w:r>
      <w:r>
        <w:rPr>
          <w:sz w:val="20"/>
          <w:szCs w:val="20"/>
        </w:rPr>
        <w:t>followed up weekly until 30 days after surgery. Information from the Electronic Anesthesia Information System and the Electronic Medical Record System will be achieved. Discharged patients will be contacted by telephone.</w:t>
      </w:r>
    </w:p>
    <w:p w14:paraId="2C9F4BD2" w14:textId="77777777" w:rsidR="00555164" w:rsidRDefault="002C73C0">
      <w:pPr>
        <w:spacing w:beforeLines="50" w:before="120" w:afterLines="50" w:after="120"/>
        <w:rPr>
          <w:sz w:val="20"/>
          <w:szCs w:val="20"/>
        </w:rPr>
      </w:pPr>
      <w:r>
        <w:rPr>
          <w:sz w:val="20"/>
          <w:szCs w:val="20"/>
        </w:rPr>
        <w:t>7.3.2 Occurrence of delirium during the first seven postoperative days will be assessed with the CAM‐ICU twice daily (8-10 AM and 6-8 PM). Immediately before assessing delirium, sedation or agitation will be assessed using the RASS.</w:t>
      </w:r>
      <w:r>
        <w:rPr>
          <w:color w:val="000000"/>
          <w:sz w:val="20"/>
          <w:szCs w:val="20"/>
        </w:rPr>
        <w:t xml:space="preserve"> </w:t>
      </w:r>
      <w:r>
        <w:rPr>
          <w:sz w:val="20"/>
          <w:szCs w:val="20"/>
        </w:rPr>
        <w:t>For deeply sedated or unarousable patients (RASS –4 or –5), delirium is not assessed and the patient is recorded as comatose. For patients with a RASS from -3 to +4, delirium is assessed with the CAM-ICU. Delirium episodes are classified into three motoric subtypes, i.e., hyperactive (RASS is consistently positive, from +1 to +4), hypoactive (RASS is consistently neutral or negative, from –3 to 0</w:t>
      </w:r>
      <w:r>
        <w:rPr>
          <w:color w:val="000000"/>
          <w:sz w:val="20"/>
          <w:szCs w:val="20"/>
        </w:rPr>
        <w:t xml:space="preserve">), and </w:t>
      </w:r>
      <w:r>
        <w:rPr>
          <w:sz w:val="20"/>
          <w:szCs w:val="20"/>
        </w:rPr>
        <w:t>mixed.</w:t>
      </w:r>
      <w:r>
        <w:rPr>
          <w:sz w:val="20"/>
          <w:szCs w:val="20"/>
          <w:vertAlign w:val="superscript"/>
        </w:rPr>
        <w:fldChar w:fldCharType="begin"/>
      </w:r>
      <w:r>
        <w:rPr>
          <w:sz w:val="20"/>
          <w:szCs w:val="20"/>
          <w:vertAlign w:val="superscript"/>
        </w:rPr>
        <w:instrText xml:space="preserve"> REF _Ref44760836 \r \h  \* MERGEFORMAT </w:instrText>
      </w:r>
      <w:r>
        <w:rPr>
          <w:sz w:val="20"/>
          <w:szCs w:val="20"/>
          <w:vertAlign w:val="superscript"/>
        </w:rPr>
      </w:r>
      <w:r>
        <w:rPr>
          <w:sz w:val="20"/>
          <w:szCs w:val="20"/>
          <w:vertAlign w:val="superscript"/>
        </w:rPr>
        <w:fldChar w:fldCharType="separate"/>
      </w:r>
      <w:r>
        <w:rPr>
          <w:sz w:val="20"/>
          <w:szCs w:val="20"/>
          <w:vertAlign w:val="superscript"/>
        </w:rPr>
        <w:t>56</w:t>
      </w:r>
      <w:r>
        <w:rPr>
          <w:sz w:val="20"/>
          <w:szCs w:val="20"/>
          <w:vertAlign w:val="superscript"/>
        </w:rPr>
        <w:fldChar w:fldCharType="end"/>
      </w:r>
      <w:r>
        <w:rPr>
          <w:sz w:val="20"/>
          <w:szCs w:val="20"/>
        </w:rPr>
        <w:t xml:space="preserve"> Investigators for postoperative delirium assessment will be trained by psychiatrists to use the CAM‐ICU before the trial is commenced.  </w:t>
      </w:r>
    </w:p>
    <w:p w14:paraId="762C83A3" w14:textId="77777777" w:rsidR="00555164" w:rsidRDefault="002C73C0">
      <w:pPr>
        <w:pStyle w:val="ad"/>
        <w:spacing w:beforeLines="50" w:before="120" w:beforeAutospacing="0" w:afterLines="50" w:after="120" w:afterAutospacing="0"/>
        <w:rPr>
          <w:sz w:val="20"/>
          <w:szCs w:val="20"/>
        </w:rPr>
      </w:pPr>
      <w:r>
        <w:rPr>
          <w:sz w:val="20"/>
          <w:szCs w:val="20"/>
        </w:rPr>
        <w:lastRenderedPageBreak/>
        <w:t xml:space="preserve">7.3.3 The intensity of postoperative pain both at rest and with coughing during the first three postoperative days will be evaluated twice daily at the same time of delirium assessment (8-10 AM and 6-8 PM) with the numeric rating scale (NRS, a 11-point scale where 0 indicates no pain and 10 indicates the worst pain). For patients who are deeply sedated or unarousable (−4 or −5 on the RASS), pain evaluation will be stopped and repeated later. </w:t>
      </w:r>
    </w:p>
    <w:p w14:paraId="24C307F1" w14:textId="77777777" w:rsidR="00555164" w:rsidRDefault="002C73C0">
      <w:pPr>
        <w:pStyle w:val="ad"/>
        <w:spacing w:beforeLines="50" w:before="120" w:beforeAutospacing="0" w:afterLines="50" w:after="120" w:afterAutospacing="0"/>
        <w:rPr>
          <w:sz w:val="20"/>
          <w:szCs w:val="20"/>
        </w:rPr>
      </w:pPr>
      <w:r>
        <w:rPr>
          <w:sz w:val="20"/>
          <w:szCs w:val="20"/>
        </w:rPr>
        <w:t>7.3.4 The use of analgesics and other medications during the first 7 days after surgery will be recorded.</w:t>
      </w:r>
    </w:p>
    <w:p w14:paraId="6914689D" w14:textId="77777777" w:rsidR="00555164" w:rsidRDefault="002C73C0">
      <w:pPr>
        <w:pStyle w:val="ad"/>
        <w:spacing w:beforeLines="50" w:before="120" w:beforeAutospacing="0" w:afterLines="50" w:after="120" w:afterAutospacing="0"/>
        <w:rPr>
          <w:sz w:val="20"/>
          <w:szCs w:val="20"/>
        </w:rPr>
      </w:pPr>
      <w:r>
        <w:rPr>
          <w:sz w:val="20"/>
          <w:szCs w:val="20"/>
        </w:rPr>
        <w:t>7.3.5 For patients who are admitted to the ICU after surgery, the worst Acute Physiology and Chronic Health Evaluation II (APACHE II, score ranges from 0 to 71, with higher score indicating more severe disease)</w:t>
      </w:r>
      <w:r>
        <w:rPr>
          <w:sz w:val="20"/>
          <w:szCs w:val="20"/>
          <w:vertAlign w:val="superscript"/>
        </w:rPr>
        <w:fldChar w:fldCharType="begin"/>
      </w:r>
      <w:r>
        <w:rPr>
          <w:sz w:val="20"/>
          <w:szCs w:val="20"/>
          <w:vertAlign w:val="superscript"/>
        </w:rPr>
        <w:instrText xml:space="preserve"> REF _Ref44760869 \r \h  \* MERGEFORMAT </w:instrText>
      </w:r>
      <w:r>
        <w:rPr>
          <w:sz w:val="20"/>
          <w:szCs w:val="20"/>
          <w:vertAlign w:val="superscript"/>
        </w:rPr>
      </w:r>
      <w:r>
        <w:rPr>
          <w:sz w:val="20"/>
          <w:szCs w:val="20"/>
          <w:vertAlign w:val="superscript"/>
        </w:rPr>
        <w:fldChar w:fldCharType="separate"/>
      </w:r>
      <w:r>
        <w:rPr>
          <w:sz w:val="20"/>
          <w:szCs w:val="20"/>
          <w:vertAlign w:val="superscript"/>
        </w:rPr>
        <w:t>57</w:t>
      </w:r>
      <w:r>
        <w:rPr>
          <w:sz w:val="20"/>
          <w:szCs w:val="20"/>
          <w:vertAlign w:val="superscript"/>
        </w:rPr>
        <w:fldChar w:fldCharType="end"/>
      </w:r>
      <w:r>
        <w:rPr>
          <w:sz w:val="20"/>
          <w:szCs w:val="20"/>
        </w:rPr>
        <w:t xml:space="preserve"> score during the first 24 hours after surgery, the duration of mechanical ventilation (for those with endotracheal tubes), the use of sedatives, and the length of ICU stay will be recorded.</w:t>
      </w:r>
    </w:p>
    <w:p w14:paraId="4EFE347D" w14:textId="77777777" w:rsidR="00555164" w:rsidRDefault="002C73C0">
      <w:pPr>
        <w:spacing w:beforeLines="50" w:before="120" w:afterLines="50" w:after="120"/>
        <w:rPr>
          <w:sz w:val="20"/>
          <w:szCs w:val="20"/>
        </w:rPr>
      </w:pPr>
      <w:r>
        <w:rPr>
          <w:sz w:val="20"/>
          <w:szCs w:val="20"/>
        </w:rPr>
        <w:t>7.3.6 For patients recruited in Peking University First Hospital, blood samples</w:t>
      </w:r>
      <w:r>
        <w:rPr>
          <w:rFonts w:eastAsia="宋体"/>
          <w:sz w:val="20"/>
          <w:szCs w:val="20"/>
        </w:rPr>
        <w:t xml:space="preserve"> (4 mL)</w:t>
      </w:r>
      <w:r>
        <w:rPr>
          <w:sz w:val="20"/>
          <w:szCs w:val="20"/>
        </w:rPr>
        <w:t xml:space="preserve"> </w:t>
      </w:r>
      <w:r>
        <w:rPr>
          <w:rFonts w:eastAsia="宋体"/>
          <w:sz w:val="20"/>
          <w:szCs w:val="20"/>
        </w:rPr>
        <w:t>will be</w:t>
      </w:r>
      <w:r>
        <w:rPr>
          <w:sz w:val="20"/>
          <w:szCs w:val="20"/>
        </w:rPr>
        <w:t xml:space="preserve"> collected on the 1</w:t>
      </w:r>
      <w:r>
        <w:rPr>
          <w:sz w:val="20"/>
          <w:szCs w:val="20"/>
          <w:vertAlign w:val="superscript"/>
        </w:rPr>
        <w:t>st</w:t>
      </w:r>
      <w:r>
        <w:rPr>
          <w:sz w:val="20"/>
          <w:szCs w:val="20"/>
        </w:rPr>
        <w:t xml:space="preserve"> and 3</w:t>
      </w:r>
      <w:r>
        <w:rPr>
          <w:sz w:val="20"/>
          <w:szCs w:val="20"/>
          <w:vertAlign w:val="superscript"/>
        </w:rPr>
        <w:t>rd</w:t>
      </w:r>
      <w:r>
        <w:rPr>
          <w:sz w:val="20"/>
          <w:szCs w:val="20"/>
        </w:rPr>
        <w:t xml:space="preserve"> morning</w:t>
      </w:r>
      <w:r>
        <w:rPr>
          <w:rFonts w:eastAsia="宋体"/>
          <w:sz w:val="20"/>
          <w:szCs w:val="20"/>
        </w:rPr>
        <w:t xml:space="preserve"> </w:t>
      </w:r>
      <w:r>
        <w:rPr>
          <w:sz w:val="20"/>
          <w:szCs w:val="20"/>
        </w:rPr>
        <w:t xml:space="preserve">(6-8 </w:t>
      </w:r>
      <w:r>
        <w:rPr>
          <w:rFonts w:eastAsia="宋体"/>
          <w:sz w:val="20"/>
          <w:szCs w:val="20"/>
        </w:rPr>
        <w:t>A</w:t>
      </w:r>
      <w:r>
        <w:rPr>
          <w:sz w:val="20"/>
          <w:szCs w:val="20"/>
        </w:rPr>
        <w:t xml:space="preserve">M) after surgery </w:t>
      </w:r>
      <w:r>
        <w:rPr>
          <w:rFonts w:eastAsia="宋体"/>
          <w:sz w:val="20"/>
          <w:szCs w:val="20"/>
        </w:rPr>
        <w:t>with their agreements</w:t>
      </w:r>
      <w:r>
        <w:rPr>
          <w:sz w:val="20"/>
          <w:szCs w:val="20"/>
        </w:rPr>
        <w:t xml:space="preserve">. </w:t>
      </w:r>
      <w:r>
        <w:rPr>
          <w:rFonts w:eastAsia="宋体"/>
          <w:sz w:val="20"/>
          <w:szCs w:val="20"/>
        </w:rPr>
        <w:t>T</w:t>
      </w:r>
      <w:r>
        <w:rPr>
          <w:sz w:val="20"/>
          <w:szCs w:val="20"/>
        </w:rPr>
        <w:t>he serum</w:t>
      </w:r>
      <w:r>
        <w:rPr>
          <w:rFonts w:eastAsia="宋体"/>
          <w:sz w:val="20"/>
          <w:szCs w:val="20"/>
        </w:rPr>
        <w:t xml:space="preserve"> will be</w:t>
      </w:r>
      <w:r>
        <w:rPr>
          <w:sz w:val="20"/>
          <w:szCs w:val="20"/>
        </w:rPr>
        <w:t xml:space="preserve"> separated within 1 hour and stored in the -80</w:t>
      </w:r>
      <w:r>
        <w:rPr>
          <w:sz w:val="20"/>
          <w:szCs w:val="20"/>
        </w:rPr>
        <w:sym w:font="Symbol" w:char="F0B0"/>
      </w:r>
      <w:r>
        <w:rPr>
          <w:rFonts w:eastAsia="等线"/>
          <w:sz w:val="20"/>
          <w:szCs w:val="20"/>
        </w:rPr>
        <w:t>C</w:t>
      </w:r>
      <w:r>
        <w:rPr>
          <w:sz w:val="20"/>
          <w:szCs w:val="20"/>
        </w:rPr>
        <w:t xml:space="preserve"> freezer</w:t>
      </w:r>
      <w:r>
        <w:rPr>
          <w:rFonts w:eastAsia="宋体"/>
          <w:sz w:val="20"/>
          <w:szCs w:val="20"/>
        </w:rPr>
        <w:t xml:space="preserve"> </w:t>
      </w:r>
      <w:r>
        <w:rPr>
          <w:sz w:val="20"/>
          <w:szCs w:val="20"/>
        </w:rPr>
        <w:t>until measurement of serum cortisol, IL-6 and IL-8 concentration. According to the study budget, blood samples</w:t>
      </w:r>
      <w:r>
        <w:rPr>
          <w:rFonts w:eastAsia="宋体"/>
          <w:sz w:val="20"/>
          <w:szCs w:val="20"/>
        </w:rPr>
        <w:t xml:space="preserve"> from about 300 patients</w:t>
      </w:r>
      <w:r>
        <w:rPr>
          <w:sz w:val="20"/>
          <w:szCs w:val="20"/>
        </w:rPr>
        <w:t xml:space="preserve"> will be tested. </w:t>
      </w:r>
      <w:r>
        <w:rPr>
          <w:rFonts w:eastAsia="宋体"/>
          <w:sz w:val="20"/>
          <w:szCs w:val="20"/>
        </w:rPr>
        <w:t>C</w:t>
      </w:r>
      <w:r>
        <w:rPr>
          <w:sz w:val="20"/>
          <w:szCs w:val="20"/>
        </w:rPr>
        <w:t>onvenient sampling</w:t>
      </w:r>
      <w:r>
        <w:rPr>
          <w:rFonts w:eastAsia="宋体"/>
          <w:sz w:val="20"/>
          <w:szCs w:val="20"/>
        </w:rPr>
        <w:t xml:space="preserve"> will be used in selecting patients from</w:t>
      </w:r>
      <w:r>
        <w:rPr>
          <w:sz w:val="20"/>
          <w:szCs w:val="20"/>
        </w:rPr>
        <w:t xml:space="preserve"> the two groups in a 1:1 ratio. </w:t>
      </w:r>
    </w:p>
    <w:p w14:paraId="09307701" w14:textId="77777777" w:rsidR="00555164" w:rsidRDefault="002C73C0">
      <w:pPr>
        <w:pStyle w:val="ad"/>
        <w:spacing w:beforeLines="50" w:before="120" w:beforeAutospacing="0" w:afterLines="50" w:after="120" w:afterAutospacing="0"/>
        <w:rPr>
          <w:sz w:val="20"/>
          <w:szCs w:val="20"/>
        </w:rPr>
      </w:pPr>
      <w:r>
        <w:rPr>
          <w:sz w:val="20"/>
          <w:szCs w:val="20"/>
        </w:rPr>
        <w:t>7.3.7 Occurrence of non‐delirium complications during the first 30 days after surgery will be recorded. Non-delirium complications are defined as newly occurred medical conditions other than delirium that are harmful to patients’ recovery and required therapeutic intervention, i.e., grade II or higher on the Clavien-Dindo classification.</w:t>
      </w:r>
      <w:r>
        <w:rPr>
          <w:sz w:val="20"/>
          <w:szCs w:val="20"/>
          <w:vertAlign w:val="superscript"/>
        </w:rPr>
        <w:fldChar w:fldCharType="begin"/>
      </w:r>
      <w:r>
        <w:rPr>
          <w:sz w:val="20"/>
          <w:szCs w:val="20"/>
          <w:vertAlign w:val="superscript"/>
        </w:rPr>
        <w:instrText xml:space="preserve"> REF _Ref44760885 \r \h  \* MERGEFORMAT </w:instrText>
      </w:r>
      <w:r>
        <w:rPr>
          <w:sz w:val="20"/>
          <w:szCs w:val="20"/>
          <w:vertAlign w:val="superscript"/>
        </w:rPr>
      </w:r>
      <w:r>
        <w:rPr>
          <w:sz w:val="20"/>
          <w:szCs w:val="20"/>
          <w:vertAlign w:val="superscript"/>
        </w:rPr>
        <w:fldChar w:fldCharType="separate"/>
      </w:r>
      <w:r>
        <w:rPr>
          <w:sz w:val="20"/>
          <w:szCs w:val="20"/>
          <w:vertAlign w:val="superscript"/>
        </w:rPr>
        <w:t>58</w:t>
      </w:r>
      <w:r>
        <w:rPr>
          <w:sz w:val="20"/>
          <w:szCs w:val="20"/>
          <w:vertAlign w:val="superscript"/>
        </w:rPr>
        <w:fldChar w:fldCharType="end"/>
      </w:r>
    </w:p>
    <w:p w14:paraId="235221CE" w14:textId="77777777" w:rsidR="00555164" w:rsidRDefault="002C73C0">
      <w:pPr>
        <w:pStyle w:val="ad"/>
        <w:spacing w:beforeLines="50" w:before="120" w:beforeAutospacing="0" w:afterLines="50" w:after="120" w:afterAutospacing="0"/>
        <w:rPr>
          <w:sz w:val="20"/>
          <w:szCs w:val="20"/>
        </w:rPr>
      </w:pPr>
      <w:r>
        <w:rPr>
          <w:sz w:val="20"/>
          <w:szCs w:val="20"/>
        </w:rPr>
        <w:t>7.3.8 Time to resume fluid and food intake.</w:t>
      </w:r>
    </w:p>
    <w:p w14:paraId="20E79768" w14:textId="77777777" w:rsidR="00555164" w:rsidRDefault="002C73C0">
      <w:pPr>
        <w:pStyle w:val="ad"/>
        <w:spacing w:beforeLines="50" w:before="120" w:beforeAutospacing="0" w:afterLines="50" w:after="120" w:afterAutospacing="0"/>
        <w:rPr>
          <w:sz w:val="20"/>
          <w:szCs w:val="20"/>
        </w:rPr>
      </w:pPr>
      <w:r>
        <w:rPr>
          <w:sz w:val="20"/>
          <w:szCs w:val="20"/>
        </w:rPr>
        <w:t>7.3.9 Length of hospital stay after surgery.</w:t>
      </w:r>
    </w:p>
    <w:p w14:paraId="6FA833C4" w14:textId="77777777" w:rsidR="00555164" w:rsidRDefault="002C73C0">
      <w:pPr>
        <w:pStyle w:val="ad"/>
        <w:spacing w:beforeLines="50" w:before="120" w:beforeAutospacing="0" w:afterLines="50" w:after="120" w:afterAutospacing="0"/>
        <w:rPr>
          <w:sz w:val="20"/>
          <w:szCs w:val="20"/>
        </w:rPr>
      </w:pPr>
      <w:r>
        <w:rPr>
          <w:sz w:val="20"/>
          <w:szCs w:val="20"/>
        </w:rPr>
        <w:t xml:space="preserve">7.3.10 All‐cause 30‐day mortality after surgery. </w:t>
      </w:r>
    </w:p>
    <w:p w14:paraId="22D6CEE1" w14:textId="77777777" w:rsidR="00555164" w:rsidRDefault="00555164">
      <w:pPr>
        <w:spacing w:beforeLines="50" w:before="120" w:afterLines="50" w:after="120"/>
        <w:rPr>
          <w:sz w:val="20"/>
          <w:szCs w:val="20"/>
        </w:rPr>
      </w:pPr>
    </w:p>
    <w:p w14:paraId="25CB5E23" w14:textId="77777777" w:rsidR="00555164" w:rsidRDefault="002C73C0">
      <w:pPr>
        <w:pStyle w:val="ad"/>
        <w:spacing w:beforeLines="50" w:before="120" w:beforeAutospacing="0" w:afterLines="50" w:after="120" w:afterAutospacing="0"/>
        <w:outlineLvl w:val="0"/>
        <w:rPr>
          <w:b/>
          <w:sz w:val="20"/>
          <w:szCs w:val="20"/>
        </w:rPr>
      </w:pPr>
      <w:bookmarkStart w:id="122" w:name="_Toc44754976"/>
      <w:bookmarkStart w:id="123" w:name="_Toc44756139"/>
      <w:bookmarkStart w:id="124" w:name="_Toc44755878"/>
      <w:bookmarkStart w:id="125" w:name="_Toc44796185"/>
      <w:bookmarkStart w:id="126" w:name="_Toc44756024"/>
      <w:r>
        <w:rPr>
          <w:b/>
          <w:sz w:val="20"/>
          <w:szCs w:val="20"/>
        </w:rPr>
        <w:t>8. Outcomes</w:t>
      </w:r>
      <w:bookmarkEnd w:id="122"/>
      <w:bookmarkEnd w:id="123"/>
      <w:bookmarkEnd w:id="124"/>
      <w:bookmarkEnd w:id="125"/>
      <w:bookmarkEnd w:id="126"/>
      <w:r>
        <w:rPr>
          <w:b/>
          <w:sz w:val="20"/>
          <w:szCs w:val="20"/>
        </w:rPr>
        <w:t xml:space="preserve"> </w:t>
      </w:r>
    </w:p>
    <w:p w14:paraId="05E73ABD" w14:textId="77777777" w:rsidR="00555164" w:rsidRDefault="00555164">
      <w:pPr>
        <w:pStyle w:val="ad"/>
        <w:spacing w:beforeLines="50" w:before="120" w:beforeAutospacing="0" w:afterLines="50" w:after="120" w:afterAutospacing="0"/>
        <w:rPr>
          <w:b/>
          <w:sz w:val="20"/>
          <w:szCs w:val="20"/>
        </w:rPr>
      </w:pPr>
    </w:p>
    <w:p w14:paraId="12C505DB"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8.1 Primary outcome </w:t>
      </w:r>
    </w:p>
    <w:p w14:paraId="2B7E67F2" w14:textId="77777777" w:rsidR="00555164" w:rsidRDefault="002C73C0">
      <w:pPr>
        <w:pStyle w:val="ad"/>
        <w:spacing w:beforeLines="50" w:before="120" w:beforeAutospacing="0" w:afterLines="50" w:after="120" w:afterAutospacing="0"/>
        <w:rPr>
          <w:sz w:val="20"/>
          <w:szCs w:val="20"/>
        </w:rPr>
      </w:pPr>
      <w:r>
        <w:rPr>
          <w:sz w:val="20"/>
          <w:szCs w:val="20"/>
        </w:rPr>
        <w:t xml:space="preserve">Incidence of delirium within 7 days after surgery. </w:t>
      </w:r>
    </w:p>
    <w:p w14:paraId="2B666A09" w14:textId="77777777" w:rsidR="00555164" w:rsidRDefault="00555164">
      <w:pPr>
        <w:pStyle w:val="ad"/>
        <w:spacing w:beforeLines="50" w:before="120" w:beforeAutospacing="0" w:afterLines="50" w:after="120" w:afterAutospacing="0"/>
        <w:rPr>
          <w:sz w:val="20"/>
          <w:szCs w:val="20"/>
        </w:rPr>
      </w:pPr>
    </w:p>
    <w:p w14:paraId="12FE9AD0"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8.2 Secondary outcomes </w:t>
      </w:r>
    </w:p>
    <w:p w14:paraId="4C85D23D" w14:textId="77777777" w:rsidR="00555164" w:rsidRDefault="002C73C0">
      <w:pPr>
        <w:pStyle w:val="ad"/>
        <w:spacing w:beforeLines="50" w:before="120" w:beforeAutospacing="0" w:afterLines="50" w:after="120" w:afterAutospacing="0"/>
        <w:rPr>
          <w:sz w:val="20"/>
          <w:szCs w:val="20"/>
        </w:rPr>
      </w:pPr>
      <w:r>
        <w:rPr>
          <w:sz w:val="20"/>
          <w:szCs w:val="20"/>
        </w:rPr>
        <w:t>8.2.1 The percentage of intensive care unit (ICU) admission after surgery.</w:t>
      </w:r>
    </w:p>
    <w:p w14:paraId="44DF3C3C" w14:textId="77777777" w:rsidR="00555164" w:rsidRDefault="002C73C0">
      <w:pPr>
        <w:pStyle w:val="ad"/>
        <w:spacing w:beforeLines="50" w:before="120" w:beforeAutospacing="0" w:afterLines="50" w:after="120" w:afterAutospacing="0"/>
        <w:rPr>
          <w:sz w:val="20"/>
          <w:szCs w:val="20"/>
        </w:rPr>
      </w:pPr>
      <w:r>
        <w:rPr>
          <w:sz w:val="20"/>
          <w:szCs w:val="20"/>
        </w:rPr>
        <w:t>8.2.1.1 The worst APACHE II score within 24 hours of ICU admission.</w:t>
      </w:r>
    </w:p>
    <w:p w14:paraId="4316ADFA" w14:textId="77777777" w:rsidR="00555164" w:rsidRDefault="002C73C0">
      <w:pPr>
        <w:pStyle w:val="ad"/>
        <w:spacing w:beforeLines="50" w:before="120" w:beforeAutospacing="0" w:afterLines="50" w:after="120" w:afterAutospacing="0"/>
        <w:rPr>
          <w:sz w:val="20"/>
          <w:szCs w:val="20"/>
        </w:rPr>
      </w:pPr>
      <w:r>
        <w:rPr>
          <w:sz w:val="20"/>
          <w:szCs w:val="20"/>
        </w:rPr>
        <w:t>8.2.1.2 The percentage of ICU admission with endotracheal intubation.</w:t>
      </w:r>
    </w:p>
    <w:p w14:paraId="581D240A" w14:textId="77777777" w:rsidR="00555164" w:rsidRDefault="002C73C0">
      <w:pPr>
        <w:pStyle w:val="ad"/>
        <w:spacing w:beforeLines="50" w:before="120" w:beforeAutospacing="0" w:afterLines="50" w:after="120" w:afterAutospacing="0"/>
        <w:rPr>
          <w:sz w:val="20"/>
          <w:szCs w:val="20"/>
        </w:rPr>
      </w:pPr>
      <w:r>
        <w:rPr>
          <w:sz w:val="20"/>
          <w:szCs w:val="20"/>
        </w:rPr>
        <w:t>8.2.1.3 The duration of mechanical ventilation in ICU.</w:t>
      </w:r>
    </w:p>
    <w:p w14:paraId="70FC73C3" w14:textId="77777777" w:rsidR="00555164" w:rsidRDefault="002C73C0">
      <w:pPr>
        <w:pStyle w:val="ad"/>
        <w:spacing w:beforeLines="50" w:before="120" w:beforeAutospacing="0" w:afterLines="50" w:after="120" w:afterAutospacing="0"/>
        <w:rPr>
          <w:sz w:val="20"/>
          <w:szCs w:val="20"/>
        </w:rPr>
      </w:pPr>
      <w:r>
        <w:rPr>
          <w:sz w:val="20"/>
          <w:szCs w:val="20"/>
        </w:rPr>
        <w:t>8.2.1.4 The length of stay in ICU after surgery.</w:t>
      </w:r>
    </w:p>
    <w:p w14:paraId="1FF201C5" w14:textId="77777777" w:rsidR="00555164" w:rsidRDefault="002C73C0">
      <w:pPr>
        <w:pStyle w:val="ad"/>
        <w:spacing w:beforeLines="50" w:before="120" w:beforeAutospacing="0" w:afterLines="50" w:after="120" w:afterAutospacing="0"/>
        <w:rPr>
          <w:sz w:val="20"/>
          <w:szCs w:val="20"/>
        </w:rPr>
      </w:pPr>
      <w:r>
        <w:rPr>
          <w:sz w:val="20"/>
          <w:szCs w:val="20"/>
        </w:rPr>
        <w:t>8.2.2 The intensity of pain during the first three days after surgery.</w:t>
      </w:r>
    </w:p>
    <w:p w14:paraId="223A94D8" w14:textId="77777777" w:rsidR="00555164" w:rsidRDefault="002C73C0">
      <w:pPr>
        <w:pStyle w:val="ad"/>
        <w:spacing w:beforeLines="50" w:before="120" w:beforeAutospacing="0" w:afterLines="50" w:after="120" w:afterAutospacing="0"/>
        <w:rPr>
          <w:rFonts w:eastAsiaTheme="minorEastAsia"/>
          <w:sz w:val="20"/>
          <w:szCs w:val="20"/>
        </w:rPr>
      </w:pPr>
      <w:r>
        <w:rPr>
          <w:rFonts w:eastAsiaTheme="minorEastAsia"/>
          <w:sz w:val="20"/>
          <w:szCs w:val="20"/>
        </w:rPr>
        <w:t>8.2.3 Time to onset of delirium.</w:t>
      </w:r>
    </w:p>
    <w:p w14:paraId="3C6CF7BD" w14:textId="77777777" w:rsidR="00555164" w:rsidRDefault="002C73C0">
      <w:pPr>
        <w:pStyle w:val="ad"/>
        <w:spacing w:beforeLines="50" w:before="120" w:beforeAutospacing="0" w:afterLines="50" w:after="120" w:afterAutospacing="0"/>
        <w:rPr>
          <w:sz w:val="20"/>
          <w:szCs w:val="20"/>
        </w:rPr>
      </w:pPr>
      <w:r>
        <w:rPr>
          <w:sz w:val="20"/>
          <w:szCs w:val="20"/>
        </w:rPr>
        <w:t>8.2.4 Time to resume fluid/food intake.</w:t>
      </w:r>
    </w:p>
    <w:p w14:paraId="3B68DC43" w14:textId="77777777" w:rsidR="00555164" w:rsidRDefault="002C73C0">
      <w:pPr>
        <w:pStyle w:val="ad"/>
        <w:spacing w:beforeLines="50" w:before="120" w:beforeAutospacing="0" w:afterLines="50" w:after="120" w:afterAutospacing="0"/>
        <w:rPr>
          <w:sz w:val="20"/>
          <w:szCs w:val="20"/>
        </w:rPr>
      </w:pPr>
      <w:r>
        <w:rPr>
          <w:sz w:val="20"/>
          <w:szCs w:val="20"/>
        </w:rPr>
        <w:t>8.2.5 The length of stay in hospital after surgery.</w:t>
      </w:r>
    </w:p>
    <w:p w14:paraId="40D6BE92" w14:textId="77777777" w:rsidR="00555164" w:rsidRDefault="002C73C0">
      <w:pPr>
        <w:pStyle w:val="ad"/>
        <w:spacing w:beforeLines="50" w:before="120" w:beforeAutospacing="0" w:afterLines="50" w:after="120" w:afterAutospacing="0"/>
        <w:rPr>
          <w:sz w:val="20"/>
          <w:szCs w:val="20"/>
        </w:rPr>
      </w:pPr>
      <w:r>
        <w:rPr>
          <w:sz w:val="20"/>
          <w:szCs w:val="20"/>
        </w:rPr>
        <w:t>8.2.6 The incidence of non-delirium major complications within 30 days after surgery.</w:t>
      </w:r>
    </w:p>
    <w:p w14:paraId="0959C4C7" w14:textId="77777777" w:rsidR="00555164" w:rsidRDefault="002C73C0">
      <w:pPr>
        <w:pStyle w:val="ad"/>
        <w:spacing w:beforeLines="50" w:before="120" w:beforeAutospacing="0" w:afterLines="50" w:after="120" w:afterAutospacing="0"/>
        <w:rPr>
          <w:sz w:val="20"/>
          <w:szCs w:val="20"/>
        </w:rPr>
      </w:pPr>
      <w:r>
        <w:rPr>
          <w:sz w:val="20"/>
          <w:szCs w:val="20"/>
        </w:rPr>
        <w:t>8.2.7 The 30-day all-cause mortality.</w:t>
      </w:r>
    </w:p>
    <w:p w14:paraId="53DEC2AF" w14:textId="77777777" w:rsidR="00555164" w:rsidRDefault="00555164">
      <w:pPr>
        <w:pStyle w:val="ad"/>
        <w:spacing w:beforeLines="50" w:before="120" w:beforeAutospacing="0" w:afterLines="50" w:after="120" w:afterAutospacing="0"/>
        <w:rPr>
          <w:rFonts w:eastAsia="宋体"/>
          <w:sz w:val="20"/>
          <w:szCs w:val="20"/>
        </w:rPr>
      </w:pPr>
    </w:p>
    <w:p w14:paraId="23DF9CDA" w14:textId="77777777" w:rsidR="00555164" w:rsidRDefault="002C73C0">
      <w:pPr>
        <w:pStyle w:val="ad"/>
        <w:spacing w:beforeLines="50" w:before="120" w:beforeAutospacing="0" w:afterLines="50" w:after="120" w:afterAutospacing="0"/>
        <w:rPr>
          <w:b/>
          <w:i/>
          <w:sz w:val="20"/>
          <w:szCs w:val="20"/>
        </w:rPr>
      </w:pPr>
      <w:r>
        <w:rPr>
          <w:b/>
          <w:i/>
          <w:sz w:val="20"/>
          <w:szCs w:val="20"/>
        </w:rPr>
        <w:t>8.3 Other pre-specified outcomes</w:t>
      </w:r>
    </w:p>
    <w:p w14:paraId="5491128A" w14:textId="77777777" w:rsidR="00555164" w:rsidRDefault="002C73C0">
      <w:pPr>
        <w:pStyle w:val="ad"/>
        <w:spacing w:beforeLines="50" w:before="120" w:beforeAutospacing="0" w:afterLines="50" w:after="120" w:afterAutospacing="0"/>
        <w:rPr>
          <w:sz w:val="20"/>
          <w:szCs w:val="20"/>
        </w:rPr>
      </w:pPr>
      <w:r>
        <w:rPr>
          <w:sz w:val="20"/>
          <w:szCs w:val="20"/>
        </w:rPr>
        <w:t>8.3.1 Serum cortisol concentration after surgery (selected patients).</w:t>
      </w:r>
    </w:p>
    <w:p w14:paraId="5C810C93" w14:textId="77777777" w:rsidR="00555164" w:rsidRDefault="002C73C0">
      <w:pPr>
        <w:pStyle w:val="ad"/>
        <w:spacing w:beforeLines="50" w:before="120" w:beforeAutospacing="0" w:afterLines="50" w:after="120" w:afterAutospacing="0"/>
        <w:rPr>
          <w:sz w:val="20"/>
          <w:szCs w:val="20"/>
        </w:rPr>
      </w:pPr>
      <w:r>
        <w:rPr>
          <w:sz w:val="20"/>
          <w:szCs w:val="20"/>
        </w:rPr>
        <w:t>8.3.2 Serum IL-6 concentration after surgery (selected patients).</w:t>
      </w:r>
    </w:p>
    <w:p w14:paraId="5DCC5870" w14:textId="77777777" w:rsidR="00555164" w:rsidRDefault="002C73C0">
      <w:pPr>
        <w:pStyle w:val="ad"/>
        <w:spacing w:beforeLines="50" w:before="120" w:beforeAutospacing="0" w:afterLines="50" w:after="120" w:afterAutospacing="0"/>
        <w:rPr>
          <w:sz w:val="20"/>
          <w:szCs w:val="20"/>
        </w:rPr>
      </w:pPr>
      <w:r>
        <w:rPr>
          <w:sz w:val="20"/>
          <w:szCs w:val="20"/>
        </w:rPr>
        <w:t>8.3.3 Serum IL-8 concentration after surgery (selected patients).</w:t>
      </w:r>
    </w:p>
    <w:p w14:paraId="0369B641" w14:textId="77777777" w:rsidR="00555164" w:rsidRDefault="00555164">
      <w:pPr>
        <w:pStyle w:val="ad"/>
        <w:spacing w:beforeLines="50" w:before="120" w:beforeAutospacing="0" w:afterLines="50" w:after="120" w:afterAutospacing="0"/>
        <w:rPr>
          <w:sz w:val="20"/>
          <w:szCs w:val="20"/>
        </w:rPr>
      </w:pPr>
    </w:p>
    <w:p w14:paraId="09818EDE" w14:textId="77777777" w:rsidR="00555164" w:rsidRDefault="002C73C0">
      <w:pPr>
        <w:pStyle w:val="ad"/>
        <w:spacing w:beforeLines="50" w:before="120" w:beforeAutospacing="0" w:afterLines="50" w:after="120" w:afterAutospacing="0"/>
        <w:outlineLvl w:val="0"/>
        <w:rPr>
          <w:b/>
          <w:sz w:val="20"/>
          <w:szCs w:val="20"/>
        </w:rPr>
      </w:pPr>
      <w:bookmarkStart w:id="127" w:name="_Toc44754977"/>
      <w:bookmarkStart w:id="128" w:name="_Toc44755879"/>
      <w:bookmarkStart w:id="129" w:name="_Toc44756025"/>
      <w:bookmarkStart w:id="130" w:name="_Toc44756140"/>
      <w:bookmarkStart w:id="131" w:name="_Toc44796186"/>
      <w:r>
        <w:rPr>
          <w:b/>
          <w:sz w:val="20"/>
          <w:szCs w:val="20"/>
        </w:rPr>
        <w:t>9. Adverse events</w:t>
      </w:r>
      <w:bookmarkEnd w:id="127"/>
      <w:bookmarkEnd w:id="128"/>
      <w:bookmarkEnd w:id="129"/>
      <w:bookmarkEnd w:id="130"/>
      <w:bookmarkEnd w:id="131"/>
      <w:r>
        <w:rPr>
          <w:b/>
          <w:sz w:val="20"/>
          <w:szCs w:val="20"/>
        </w:rPr>
        <w:t xml:space="preserve"> </w:t>
      </w:r>
    </w:p>
    <w:p w14:paraId="4A52976A" w14:textId="77777777" w:rsidR="00555164" w:rsidRDefault="00555164">
      <w:pPr>
        <w:pStyle w:val="ad"/>
        <w:spacing w:beforeLines="50" w:before="120" w:beforeAutospacing="0" w:afterLines="50" w:after="120" w:afterAutospacing="0"/>
        <w:rPr>
          <w:b/>
          <w:sz w:val="20"/>
          <w:szCs w:val="20"/>
        </w:rPr>
      </w:pPr>
    </w:p>
    <w:p w14:paraId="5D87A342"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9.1 Definition </w:t>
      </w:r>
    </w:p>
    <w:p w14:paraId="378F0E71" w14:textId="77777777" w:rsidR="00555164" w:rsidRDefault="002C73C0">
      <w:pPr>
        <w:pStyle w:val="ad"/>
        <w:spacing w:beforeLines="50" w:before="120" w:beforeAutospacing="0" w:afterLines="50" w:after="120" w:afterAutospacing="0"/>
        <w:rPr>
          <w:sz w:val="20"/>
          <w:szCs w:val="20"/>
        </w:rPr>
      </w:pPr>
      <w:r>
        <w:rPr>
          <w:sz w:val="20"/>
          <w:szCs w:val="20"/>
        </w:rPr>
        <w:t>An adverse event indicates any unpredictable, unfavorable medical event that is associated with any medical intervention and occurs during the study period. It can be related to the study intervention or otherwise. It can manifest as any uncomfortable signs (including abnormal laboratory findings), symptoms or transient morbidity.</w:t>
      </w:r>
    </w:p>
    <w:p w14:paraId="0629DB5F" w14:textId="77777777" w:rsidR="00555164" w:rsidRDefault="00555164">
      <w:pPr>
        <w:pStyle w:val="ad"/>
        <w:spacing w:beforeLines="50" w:before="120" w:beforeAutospacing="0" w:afterLines="50" w:after="120" w:afterAutospacing="0"/>
        <w:rPr>
          <w:sz w:val="20"/>
          <w:szCs w:val="20"/>
        </w:rPr>
      </w:pPr>
    </w:p>
    <w:p w14:paraId="0ED18895" w14:textId="77777777" w:rsidR="00555164" w:rsidRDefault="002C73C0">
      <w:pPr>
        <w:pStyle w:val="ad"/>
        <w:spacing w:beforeLines="50" w:before="120" w:beforeAutospacing="0" w:afterLines="50" w:after="120" w:afterAutospacing="0"/>
        <w:rPr>
          <w:rFonts w:eastAsia="等线"/>
          <w:sz w:val="20"/>
          <w:szCs w:val="20"/>
        </w:rPr>
      </w:pPr>
      <w:r>
        <w:rPr>
          <w:b/>
          <w:bCs/>
          <w:i/>
          <w:iCs/>
          <w:sz w:val="20"/>
          <w:szCs w:val="20"/>
        </w:rPr>
        <w:t>9.2 Predicted adverse events in this study</w:t>
      </w:r>
    </w:p>
    <w:p w14:paraId="17717108"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9.2.1 Intraoperative adverse events</w:t>
      </w:r>
    </w:p>
    <w:p w14:paraId="7609FC85" w14:textId="77777777" w:rsidR="00555164" w:rsidRDefault="002C73C0">
      <w:pPr>
        <w:pStyle w:val="ad"/>
        <w:spacing w:beforeLines="50" w:before="120" w:beforeAutospacing="0" w:afterLines="50" w:after="120" w:afterAutospacing="0"/>
        <w:rPr>
          <w:sz w:val="20"/>
          <w:szCs w:val="20"/>
        </w:rPr>
      </w:pPr>
      <w:r>
        <w:rPr>
          <w:sz w:val="20"/>
          <w:szCs w:val="20"/>
        </w:rPr>
        <w:t>9.2.1.1 Adverse events related to epidural puncture/catheterization include accidental dural puncture, nerve injury, failed epidural puncture/catheterization, epidural catheter obstruction, blood appear in epidural catheter, epidural catheter dislodgement, local/epidural hematoma, local/nerve injury, etc.</w:t>
      </w:r>
    </w:p>
    <w:p w14:paraId="7829787E" w14:textId="77777777" w:rsidR="00555164" w:rsidRDefault="002C73C0">
      <w:pPr>
        <w:pStyle w:val="ad"/>
        <w:spacing w:beforeLines="50" w:before="120" w:beforeAutospacing="0" w:afterLines="50" w:after="120" w:afterAutospacing="0"/>
        <w:rPr>
          <w:sz w:val="20"/>
          <w:szCs w:val="20"/>
        </w:rPr>
      </w:pPr>
      <w:r>
        <w:rPr>
          <w:sz w:val="20"/>
          <w:szCs w:val="20"/>
        </w:rPr>
        <w:t>9.2.1.2 Adverse events related to epidural and/or general anesthesia include local anesthetic intoxation, total spinal anesthesia, intraoperative hypotension (systolic blood pressure &lt;80 mmHg), intraoperative hypertension (systolic blood pressure &gt;180 mmHg), intraoperative bradycardia (heart rate &lt;40 bpm), intraoperative tachycardia (heart rate &gt;100 bpm), teeth injury, laryngeal spasm, prophylaxis, arrhythmia, cardiac events, atelectasis, etc.</w:t>
      </w:r>
    </w:p>
    <w:p w14:paraId="6A00757A" w14:textId="77777777" w:rsidR="00555164" w:rsidRDefault="002C73C0">
      <w:pPr>
        <w:pStyle w:val="ad"/>
        <w:spacing w:beforeLines="50" w:before="120" w:beforeAutospacing="0" w:afterLines="50" w:after="120" w:afterAutospacing="0"/>
        <w:rPr>
          <w:sz w:val="20"/>
          <w:szCs w:val="20"/>
        </w:rPr>
      </w:pPr>
      <w:r>
        <w:rPr>
          <w:sz w:val="20"/>
          <w:szCs w:val="20"/>
        </w:rPr>
        <w:t>9.2.2 Postoperative adverse events</w:t>
      </w:r>
    </w:p>
    <w:p w14:paraId="2EA7C554" w14:textId="77777777" w:rsidR="00555164" w:rsidRDefault="002C73C0">
      <w:pPr>
        <w:pStyle w:val="ad"/>
        <w:spacing w:beforeLines="50" w:before="120" w:beforeAutospacing="0" w:afterLines="50" w:after="120" w:afterAutospacing="0"/>
        <w:rPr>
          <w:sz w:val="20"/>
          <w:szCs w:val="20"/>
        </w:rPr>
      </w:pPr>
      <w:r>
        <w:rPr>
          <w:sz w:val="20"/>
          <w:szCs w:val="20"/>
        </w:rPr>
        <w:t>9.2.2.1 Adverse events related to epidural analgesia include epidural catheter obstruction, inadequate epidural analgesia, epidural catheter dislodgement, epidural hematoma, epidural abscess, sequelae of nerve injury, post dural puncture headache, pruritus, leg weakness, etc.</w:t>
      </w:r>
    </w:p>
    <w:p w14:paraId="7549F297" w14:textId="77777777" w:rsidR="00555164" w:rsidRDefault="002C73C0">
      <w:pPr>
        <w:pStyle w:val="ad"/>
        <w:spacing w:beforeLines="50" w:before="120" w:beforeAutospacing="0" w:afterLines="50" w:after="120" w:afterAutospacing="0"/>
        <w:rPr>
          <w:sz w:val="20"/>
          <w:szCs w:val="20"/>
        </w:rPr>
      </w:pPr>
      <w:r>
        <w:rPr>
          <w:sz w:val="20"/>
          <w:szCs w:val="20"/>
        </w:rPr>
        <w:t>9.2.2.2 Other adverse events include nausea, vomiting, postoperative hypotension (systolic blood pressure &lt;90 mmHg), postoperative hypertension (systolic blood pressure &gt;160 mmHg), postoperative bradycardia (heart rate &lt;50 bpm), postoperative tachycardia (heart rate &gt;100 bpm), inadequate analgesia, etc.</w:t>
      </w:r>
    </w:p>
    <w:p w14:paraId="30EC8B35" w14:textId="77777777" w:rsidR="00555164" w:rsidRDefault="002C73C0">
      <w:pPr>
        <w:pStyle w:val="ad"/>
        <w:spacing w:beforeLines="50" w:before="120" w:beforeAutospacing="0" w:afterLines="50" w:after="120" w:afterAutospacing="0"/>
        <w:rPr>
          <w:sz w:val="20"/>
          <w:szCs w:val="20"/>
        </w:rPr>
      </w:pPr>
      <w:r>
        <w:rPr>
          <w:sz w:val="20"/>
          <w:szCs w:val="20"/>
        </w:rPr>
        <w:t>9.2.3 In the present study, adverse events will be monitored from the beginning of anesthesia (epidural puncture or induction of general anesthesia) until 72 hours after surgery, i.e., end of patient-controlled analgesia.</w:t>
      </w:r>
    </w:p>
    <w:p w14:paraId="7DA54FEF" w14:textId="77777777" w:rsidR="00555164" w:rsidRDefault="00555164">
      <w:pPr>
        <w:pStyle w:val="ad"/>
        <w:spacing w:beforeLines="50" w:before="120" w:beforeAutospacing="0" w:afterLines="50" w:after="120" w:afterAutospacing="0"/>
        <w:rPr>
          <w:sz w:val="20"/>
          <w:szCs w:val="20"/>
        </w:rPr>
      </w:pPr>
    </w:p>
    <w:p w14:paraId="49F8824E"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9.3 Management </w:t>
      </w:r>
    </w:p>
    <w:p w14:paraId="5DABB530" w14:textId="77777777" w:rsidR="00555164" w:rsidRDefault="002C73C0">
      <w:pPr>
        <w:pStyle w:val="ad"/>
        <w:spacing w:beforeLines="50" w:before="120" w:beforeAutospacing="0" w:afterLines="50" w:after="120" w:afterAutospacing="0"/>
        <w:rPr>
          <w:sz w:val="20"/>
          <w:szCs w:val="20"/>
        </w:rPr>
      </w:pPr>
      <w:r>
        <w:rPr>
          <w:sz w:val="20"/>
          <w:szCs w:val="20"/>
        </w:rPr>
        <w:t>9.3.1 Therapies will be provided according to patients’ condition and routine practice. Generally, hypotension is managed with lighting anesthesia, intravenous fluid and vasopressors; hypertension is managed with deepening anesthesia and antihypertensive drugs; bradycardia is managed with lighting anesthesia and atropine; tachycardia is managed with deepening anesthesia, intravenous fluid and esmolol when necessary.</w:t>
      </w:r>
    </w:p>
    <w:p w14:paraId="1F52DDE3" w14:textId="77777777" w:rsidR="00555164" w:rsidRDefault="002C73C0">
      <w:pPr>
        <w:pStyle w:val="ad"/>
        <w:spacing w:beforeLines="50" w:before="120" w:beforeAutospacing="0" w:afterLines="50" w:after="120" w:afterAutospacing="0"/>
        <w:rPr>
          <w:sz w:val="20"/>
          <w:szCs w:val="20"/>
        </w:rPr>
      </w:pPr>
      <w:r>
        <w:rPr>
          <w:sz w:val="20"/>
          <w:szCs w:val="20"/>
        </w:rPr>
        <w:t xml:space="preserve">9.3.2 The study intervention (epidural anesthesia or postoperative epidural/intravenous analgesia) can be stopped temporarily or permanently if considered necessarily by the attending anesthesiologist or surgeons. The time and reasons of study intervention interruption will be recorded. </w:t>
      </w:r>
    </w:p>
    <w:p w14:paraId="49171313" w14:textId="77777777" w:rsidR="00555164" w:rsidRDefault="002C73C0">
      <w:pPr>
        <w:pStyle w:val="ad"/>
        <w:spacing w:beforeLines="50" w:before="120" w:beforeAutospacing="0" w:afterLines="50" w:after="120" w:afterAutospacing="0"/>
        <w:rPr>
          <w:sz w:val="20"/>
          <w:szCs w:val="20"/>
        </w:rPr>
      </w:pPr>
      <w:r>
        <w:rPr>
          <w:sz w:val="20"/>
          <w:szCs w:val="20"/>
        </w:rPr>
        <w:t>9.3.3 In case that the patient-controlled analgesia (for study intervention) is terminated early, other analgesics will be provided.</w:t>
      </w:r>
    </w:p>
    <w:p w14:paraId="15438FEE" w14:textId="77777777" w:rsidR="00555164" w:rsidRDefault="00555164">
      <w:pPr>
        <w:pStyle w:val="ad"/>
        <w:spacing w:beforeLines="50" w:before="120" w:beforeAutospacing="0" w:afterLines="50" w:after="120" w:afterAutospacing="0"/>
        <w:rPr>
          <w:sz w:val="20"/>
          <w:szCs w:val="20"/>
        </w:rPr>
      </w:pPr>
    </w:p>
    <w:p w14:paraId="5BF550A3"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9.4 Record </w:t>
      </w:r>
    </w:p>
    <w:p w14:paraId="6D235960" w14:textId="77777777" w:rsidR="00555164" w:rsidRDefault="002C73C0">
      <w:pPr>
        <w:pStyle w:val="ad"/>
        <w:spacing w:beforeLines="50" w:before="120" w:beforeAutospacing="0" w:afterLines="50" w:after="120" w:afterAutospacing="0"/>
        <w:rPr>
          <w:sz w:val="20"/>
          <w:szCs w:val="20"/>
        </w:rPr>
      </w:pPr>
      <w:r>
        <w:rPr>
          <w:sz w:val="20"/>
          <w:szCs w:val="20"/>
        </w:rPr>
        <w:t>9.4.1 Any adverse event should be documented, including occurrence, type/diagnosis, time of diagnosis, management, duration of persistence, and sequelae.</w:t>
      </w:r>
    </w:p>
    <w:p w14:paraId="0028A1C1" w14:textId="77777777" w:rsidR="00555164" w:rsidRDefault="002C73C0">
      <w:pPr>
        <w:pStyle w:val="ad"/>
        <w:spacing w:beforeLines="50" w:before="120" w:beforeAutospacing="0" w:afterLines="50" w:after="120" w:afterAutospacing="0"/>
        <w:rPr>
          <w:sz w:val="20"/>
          <w:szCs w:val="20"/>
        </w:rPr>
      </w:pPr>
      <w:r>
        <w:rPr>
          <w:sz w:val="20"/>
          <w:szCs w:val="20"/>
        </w:rPr>
        <w:t xml:space="preserve">9.4.2 Any adverse event should be followed up until it is completely resolved or therapy terminated. </w:t>
      </w:r>
    </w:p>
    <w:p w14:paraId="31D20F8D" w14:textId="77777777" w:rsidR="00555164" w:rsidRDefault="00555164">
      <w:pPr>
        <w:pStyle w:val="ad"/>
        <w:spacing w:beforeLines="50" w:before="120" w:beforeAutospacing="0" w:afterLines="50" w:after="120" w:afterAutospacing="0"/>
        <w:rPr>
          <w:sz w:val="20"/>
          <w:szCs w:val="20"/>
        </w:rPr>
      </w:pPr>
    </w:p>
    <w:p w14:paraId="62AB7508" w14:textId="77777777" w:rsidR="00555164" w:rsidRDefault="002C73C0">
      <w:pPr>
        <w:pStyle w:val="ad"/>
        <w:spacing w:beforeLines="50" w:before="120" w:beforeAutospacing="0" w:afterLines="50" w:after="120" w:afterAutospacing="0"/>
        <w:outlineLvl w:val="0"/>
        <w:rPr>
          <w:b/>
          <w:bCs/>
          <w:sz w:val="20"/>
          <w:szCs w:val="20"/>
        </w:rPr>
      </w:pPr>
      <w:bookmarkStart w:id="132" w:name="_Toc44796187"/>
      <w:bookmarkStart w:id="133" w:name="_Toc44755880"/>
      <w:bookmarkStart w:id="134" w:name="_Toc44756026"/>
      <w:bookmarkStart w:id="135" w:name="_Toc44754978"/>
      <w:bookmarkStart w:id="136" w:name="_Toc44756141"/>
      <w:r>
        <w:rPr>
          <w:b/>
          <w:bCs/>
          <w:sz w:val="20"/>
          <w:szCs w:val="20"/>
        </w:rPr>
        <w:t>10. Severe adverse events</w:t>
      </w:r>
      <w:bookmarkEnd w:id="132"/>
      <w:bookmarkEnd w:id="133"/>
      <w:bookmarkEnd w:id="134"/>
      <w:bookmarkEnd w:id="135"/>
      <w:bookmarkEnd w:id="136"/>
      <w:r>
        <w:rPr>
          <w:b/>
          <w:bCs/>
          <w:sz w:val="20"/>
          <w:szCs w:val="20"/>
        </w:rPr>
        <w:t xml:space="preserve"> </w:t>
      </w:r>
    </w:p>
    <w:p w14:paraId="66B58FD7" w14:textId="77777777" w:rsidR="00555164" w:rsidRDefault="00555164">
      <w:pPr>
        <w:pStyle w:val="ad"/>
        <w:spacing w:beforeLines="50" w:before="120" w:beforeAutospacing="0" w:afterLines="50" w:after="120" w:afterAutospacing="0"/>
        <w:rPr>
          <w:b/>
          <w:sz w:val="20"/>
          <w:szCs w:val="20"/>
        </w:rPr>
      </w:pPr>
    </w:p>
    <w:p w14:paraId="5E5C2670" w14:textId="77777777" w:rsidR="00555164" w:rsidRDefault="002C73C0">
      <w:pPr>
        <w:pStyle w:val="ad"/>
        <w:spacing w:beforeLines="50" w:before="120" w:beforeAutospacing="0" w:afterLines="50" w:after="120" w:afterAutospacing="0"/>
        <w:rPr>
          <w:b/>
          <w:i/>
          <w:sz w:val="20"/>
          <w:szCs w:val="20"/>
        </w:rPr>
      </w:pPr>
      <w:r>
        <w:rPr>
          <w:b/>
          <w:bCs/>
          <w:i/>
          <w:iCs/>
          <w:sz w:val="20"/>
          <w:szCs w:val="20"/>
        </w:rPr>
        <w:t xml:space="preserve">10.1 Definition </w:t>
      </w:r>
    </w:p>
    <w:p w14:paraId="103B6FC8" w14:textId="77777777" w:rsidR="00555164" w:rsidRDefault="002C73C0">
      <w:pPr>
        <w:pStyle w:val="ad"/>
        <w:spacing w:beforeLines="50" w:before="120" w:beforeAutospacing="0" w:afterLines="50" w:after="120" w:afterAutospacing="0"/>
        <w:rPr>
          <w:sz w:val="20"/>
          <w:szCs w:val="20"/>
        </w:rPr>
      </w:pPr>
      <w:r>
        <w:rPr>
          <w:sz w:val="20"/>
          <w:szCs w:val="20"/>
        </w:rPr>
        <w:lastRenderedPageBreak/>
        <w:t xml:space="preserve">A severe adverse event indicates any unpredictable medical events that lead to death, threat of life, prolonged length of hospital </w:t>
      </w:r>
      <w:proofErr w:type="gramStart"/>
      <w:r>
        <w:rPr>
          <w:sz w:val="20"/>
          <w:szCs w:val="20"/>
        </w:rPr>
        <w:t>stay</w:t>
      </w:r>
      <w:proofErr w:type="gramEnd"/>
      <w:r>
        <w:rPr>
          <w:sz w:val="20"/>
          <w:szCs w:val="20"/>
        </w:rPr>
        <w:t xml:space="preserve">, persistent disability or dysfunction, or other severe event. </w:t>
      </w:r>
    </w:p>
    <w:p w14:paraId="533BFE02" w14:textId="77777777" w:rsidR="00555164" w:rsidRDefault="00555164">
      <w:pPr>
        <w:pStyle w:val="ad"/>
        <w:spacing w:beforeLines="50" w:before="120" w:beforeAutospacing="0" w:afterLines="50" w:after="120" w:afterAutospacing="0"/>
        <w:rPr>
          <w:sz w:val="20"/>
          <w:szCs w:val="20"/>
        </w:rPr>
      </w:pPr>
    </w:p>
    <w:p w14:paraId="3F8C6EF7" w14:textId="77777777" w:rsidR="00555164" w:rsidRDefault="002C73C0">
      <w:pPr>
        <w:pStyle w:val="ad"/>
        <w:spacing w:beforeLines="50" w:before="120" w:beforeAutospacing="0" w:afterLines="50" w:after="120" w:afterAutospacing="0"/>
        <w:rPr>
          <w:b/>
          <w:i/>
          <w:sz w:val="20"/>
          <w:szCs w:val="20"/>
        </w:rPr>
      </w:pPr>
      <w:r>
        <w:rPr>
          <w:b/>
          <w:bCs/>
          <w:i/>
          <w:iCs/>
          <w:sz w:val="20"/>
          <w:szCs w:val="20"/>
        </w:rPr>
        <w:t xml:space="preserve">10.2 Management </w:t>
      </w:r>
    </w:p>
    <w:p w14:paraId="0989C436" w14:textId="77777777" w:rsidR="00555164" w:rsidRDefault="002C73C0">
      <w:pPr>
        <w:pStyle w:val="ad"/>
        <w:spacing w:beforeLines="50" w:before="120" w:beforeAutospacing="0" w:afterLines="50" w:after="120" w:afterAutospacing="0"/>
        <w:rPr>
          <w:sz w:val="20"/>
          <w:szCs w:val="20"/>
        </w:rPr>
      </w:pPr>
      <w:r>
        <w:rPr>
          <w:sz w:val="20"/>
          <w:szCs w:val="20"/>
        </w:rPr>
        <w:t xml:space="preserve">In case of any severe adverse events, the study intervention will be stopped and treatment will be initiated immediately. </w:t>
      </w:r>
    </w:p>
    <w:p w14:paraId="0539143A" w14:textId="77777777" w:rsidR="00555164" w:rsidRDefault="00555164">
      <w:pPr>
        <w:pStyle w:val="ad"/>
        <w:spacing w:beforeLines="50" w:before="120" w:beforeAutospacing="0" w:afterLines="50" w:after="120" w:afterAutospacing="0"/>
        <w:rPr>
          <w:sz w:val="20"/>
          <w:szCs w:val="20"/>
        </w:rPr>
      </w:pPr>
    </w:p>
    <w:p w14:paraId="79C9A8EB" w14:textId="77777777" w:rsidR="00555164" w:rsidRDefault="002C73C0">
      <w:pPr>
        <w:pStyle w:val="ad"/>
        <w:spacing w:beforeLines="50" w:before="120" w:beforeAutospacing="0" w:afterLines="50" w:after="120" w:afterAutospacing="0"/>
        <w:rPr>
          <w:b/>
          <w:i/>
          <w:sz w:val="20"/>
          <w:szCs w:val="20"/>
        </w:rPr>
      </w:pPr>
      <w:r>
        <w:rPr>
          <w:b/>
          <w:bCs/>
          <w:i/>
          <w:iCs/>
          <w:sz w:val="20"/>
          <w:szCs w:val="20"/>
        </w:rPr>
        <w:t xml:space="preserve">10.3 Record and report </w:t>
      </w:r>
    </w:p>
    <w:p w14:paraId="486233E2" w14:textId="77777777" w:rsidR="00555164" w:rsidRDefault="002C73C0">
      <w:pPr>
        <w:pStyle w:val="ad"/>
        <w:spacing w:beforeLines="50" w:before="120" w:beforeAutospacing="0" w:afterLines="50" w:after="120" w:afterAutospacing="0"/>
        <w:rPr>
          <w:sz w:val="20"/>
          <w:szCs w:val="20"/>
        </w:rPr>
      </w:pPr>
      <w:r>
        <w:rPr>
          <w:sz w:val="20"/>
          <w:szCs w:val="20"/>
        </w:rPr>
        <w:t>10.3.1 In case of any severe adverse event, apart from active treatment and record as above, the principal investigator and the Ethics Committee (Peking University Institutional Review Board) will be informed within 24 hours in written report.</w:t>
      </w:r>
    </w:p>
    <w:p w14:paraId="7A6D5052" w14:textId="77777777" w:rsidR="00555164" w:rsidRDefault="002C73C0">
      <w:pPr>
        <w:pStyle w:val="ad"/>
        <w:spacing w:beforeLines="50" w:before="120" w:beforeAutospacing="0" w:afterLines="50" w:after="120" w:afterAutospacing="0"/>
        <w:rPr>
          <w:sz w:val="20"/>
          <w:szCs w:val="20"/>
        </w:rPr>
      </w:pPr>
      <w:r>
        <w:rPr>
          <w:sz w:val="20"/>
          <w:szCs w:val="20"/>
        </w:rPr>
        <w:t>10.3.2 In case of study intervention related death, immediately stop the clinical trial, report the event to the Ethics Committee as soon as possible, record in detail and carefully preserve the related documents.</w:t>
      </w:r>
    </w:p>
    <w:p w14:paraId="4EAF5738" w14:textId="77777777" w:rsidR="00555164" w:rsidRDefault="002C73C0">
      <w:pPr>
        <w:pStyle w:val="ad"/>
        <w:spacing w:beforeLines="50" w:before="120" w:beforeAutospacing="0" w:afterLines="50" w:after="120" w:afterAutospacing="0"/>
        <w:rPr>
          <w:sz w:val="20"/>
          <w:szCs w:val="20"/>
        </w:rPr>
      </w:pPr>
      <w:r>
        <w:rPr>
          <w:sz w:val="20"/>
          <w:szCs w:val="20"/>
        </w:rPr>
        <w:t xml:space="preserve">10.3.3 Any severe adverse event must be followed up until it is completely resolved or when therapy is ended. </w:t>
      </w:r>
    </w:p>
    <w:p w14:paraId="37B1DBE2" w14:textId="77777777" w:rsidR="00555164" w:rsidRDefault="00555164">
      <w:pPr>
        <w:pStyle w:val="ad"/>
        <w:spacing w:beforeLines="50" w:before="120" w:beforeAutospacing="0" w:afterLines="50" w:after="120" w:afterAutospacing="0"/>
        <w:rPr>
          <w:sz w:val="20"/>
          <w:szCs w:val="20"/>
        </w:rPr>
      </w:pPr>
    </w:p>
    <w:p w14:paraId="3D4D2D17" w14:textId="77777777" w:rsidR="00555164" w:rsidRDefault="002C73C0">
      <w:pPr>
        <w:pStyle w:val="ad"/>
        <w:spacing w:beforeLines="50" w:before="120" w:beforeAutospacing="0" w:afterLines="50" w:after="120" w:afterAutospacing="0"/>
        <w:outlineLvl w:val="0"/>
        <w:rPr>
          <w:b/>
          <w:sz w:val="20"/>
          <w:szCs w:val="20"/>
        </w:rPr>
      </w:pPr>
      <w:bookmarkStart w:id="137" w:name="_Toc44756027"/>
      <w:bookmarkStart w:id="138" w:name="_Toc44756142"/>
      <w:bookmarkStart w:id="139" w:name="_Toc44755881"/>
      <w:bookmarkStart w:id="140" w:name="_Toc44796188"/>
      <w:bookmarkStart w:id="141" w:name="_Toc44754979"/>
      <w:r>
        <w:rPr>
          <w:b/>
          <w:sz w:val="20"/>
          <w:szCs w:val="20"/>
        </w:rPr>
        <w:t>11. The rule of unmasking</w:t>
      </w:r>
      <w:bookmarkEnd w:id="137"/>
      <w:bookmarkEnd w:id="138"/>
      <w:bookmarkEnd w:id="139"/>
      <w:bookmarkEnd w:id="140"/>
      <w:bookmarkEnd w:id="141"/>
    </w:p>
    <w:p w14:paraId="54C7A9D7" w14:textId="77777777" w:rsidR="00555164" w:rsidRDefault="002C73C0">
      <w:pPr>
        <w:pStyle w:val="ad"/>
        <w:spacing w:beforeLines="50" w:before="120" w:beforeAutospacing="0" w:afterLines="50" w:after="120" w:afterAutospacing="0"/>
        <w:rPr>
          <w:sz w:val="20"/>
          <w:szCs w:val="20"/>
        </w:rPr>
      </w:pPr>
      <w:r>
        <w:rPr>
          <w:sz w:val="20"/>
          <w:szCs w:val="20"/>
        </w:rPr>
        <w:t>11.1 After the follow-up of all cases have been completed, the data of case report forms have been checked as correct, and the data entry have been finished, a database inspection report will be written by the data manager.</w:t>
      </w:r>
    </w:p>
    <w:p w14:paraId="0ACB78D2" w14:textId="77777777" w:rsidR="00555164" w:rsidRDefault="002C73C0">
      <w:pPr>
        <w:pStyle w:val="ad"/>
        <w:spacing w:beforeLines="50" w:before="120" w:beforeAutospacing="0" w:afterLines="50" w:after="120" w:afterAutospacing="0"/>
        <w:rPr>
          <w:sz w:val="20"/>
          <w:szCs w:val="20"/>
        </w:rPr>
      </w:pPr>
      <w:r>
        <w:rPr>
          <w:sz w:val="20"/>
          <w:szCs w:val="20"/>
        </w:rPr>
        <w:t>11.2 After the database is locked, unmasking will be conducted. And the database will be sent to the statisticians for statistical analysis.</w:t>
      </w:r>
    </w:p>
    <w:p w14:paraId="3AE6D05A" w14:textId="77777777" w:rsidR="00555164" w:rsidRDefault="00555164">
      <w:pPr>
        <w:pStyle w:val="ad"/>
        <w:spacing w:beforeLines="50" w:before="120" w:beforeAutospacing="0" w:afterLines="50" w:after="120" w:afterAutospacing="0"/>
        <w:rPr>
          <w:sz w:val="20"/>
          <w:szCs w:val="20"/>
        </w:rPr>
      </w:pPr>
    </w:p>
    <w:p w14:paraId="43D3F226" w14:textId="77777777" w:rsidR="00555164" w:rsidRDefault="002C73C0">
      <w:pPr>
        <w:pStyle w:val="ad"/>
        <w:spacing w:beforeLines="50" w:before="120" w:beforeAutospacing="0" w:afterLines="50" w:after="120" w:afterAutospacing="0"/>
        <w:outlineLvl w:val="0"/>
        <w:rPr>
          <w:b/>
          <w:sz w:val="20"/>
          <w:szCs w:val="20"/>
        </w:rPr>
      </w:pPr>
      <w:bookmarkStart w:id="142" w:name="_Toc44755882"/>
      <w:bookmarkStart w:id="143" w:name="_Toc44754980"/>
      <w:bookmarkStart w:id="144" w:name="_Toc44796189"/>
      <w:bookmarkStart w:id="145" w:name="_Toc44756028"/>
      <w:bookmarkStart w:id="146" w:name="_Toc44756143"/>
      <w:r>
        <w:rPr>
          <w:b/>
          <w:sz w:val="20"/>
          <w:szCs w:val="20"/>
        </w:rPr>
        <w:t>12. Data management</w:t>
      </w:r>
      <w:bookmarkEnd w:id="142"/>
      <w:bookmarkEnd w:id="143"/>
      <w:bookmarkEnd w:id="144"/>
      <w:bookmarkEnd w:id="145"/>
      <w:bookmarkEnd w:id="146"/>
      <w:r>
        <w:rPr>
          <w:b/>
          <w:sz w:val="20"/>
          <w:szCs w:val="20"/>
        </w:rPr>
        <w:t xml:space="preserve"> </w:t>
      </w:r>
    </w:p>
    <w:p w14:paraId="34FD7366" w14:textId="77777777" w:rsidR="00555164" w:rsidRDefault="002C73C0">
      <w:pPr>
        <w:pStyle w:val="ad"/>
        <w:spacing w:beforeLines="50" w:before="120" w:beforeAutospacing="0" w:afterLines="50" w:after="120" w:afterAutospacing="0"/>
        <w:rPr>
          <w:sz w:val="20"/>
          <w:szCs w:val="20"/>
        </w:rPr>
      </w:pPr>
      <w:r>
        <w:rPr>
          <w:sz w:val="20"/>
          <w:szCs w:val="20"/>
        </w:rPr>
        <w:t>12.1 The investigators should record data timely, completely and correctly according to the original observations and assessments.</w:t>
      </w:r>
    </w:p>
    <w:p w14:paraId="7A40D07D" w14:textId="77777777" w:rsidR="00555164" w:rsidRDefault="002C73C0">
      <w:pPr>
        <w:pStyle w:val="ad"/>
        <w:spacing w:beforeLines="50" w:before="120" w:beforeAutospacing="0" w:afterLines="50" w:after="120" w:afterAutospacing="0"/>
        <w:rPr>
          <w:sz w:val="20"/>
          <w:szCs w:val="20"/>
        </w:rPr>
      </w:pPr>
      <w:r>
        <w:rPr>
          <w:sz w:val="20"/>
          <w:szCs w:val="20"/>
        </w:rPr>
        <w:t>12.2 The completed case report forms, after signed by the supervisors, will be sent to a clinical data custodian.</w:t>
      </w:r>
    </w:p>
    <w:p w14:paraId="238B53B5" w14:textId="77777777" w:rsidR="00555164" w:rsidRDefault="002C73C0">
      <w:pPr>
        <w:pStyle w:val="ad"/>
        <w:spacing w:beforeLines="50" w:before="120" w:beforeAutospacing="0" w:afterLines="50" w:after="120" w:afterAutospacing="0"/>
        <w:rPr>
          <w:sz w:val="20"/>
          <w:szCs w:val="20"/>
        </w:rPr>
      </w:pPr>
      <w:r>
        <w:rPr>
          <w:sz w:val="20"/>
          <w:szCs w:val="20"/>
        </w:rPr>
        <w:t xml:space="preserve">12.3 After the data in the case report forms have been input and checked, the case report forms will be stored in sequence order. </w:t>
      </w:r>
    </w:p>
    <w:p w14:paraId="331709D1" w14:textId="77777777" w:rsidR="00555164" w:rsidRDefault="002C73C0">
      <w:pPr>
        <w:pStyle w:val="ad"/>
        <w:spacing w:beforeLines="50" w:before="120" w:beforeAutospacing="0" w:afterLines="50" w:after="120" w:afterAutospacing="0"/>
        <w:rPr>
          <w:sz w:val="20"/>
          <w:szCs w:val="20"/>
        </w:rPr>
      </w:pPr>
      <w:r>
        <w:rPr>
          <w:sz w:val="20"/>
          <w:szCs w:val="20"/>
        </w:rPr>
        <w:t>12.4 Data management will be inspected by Peking University Clinical Research Institute.</w:t>
      </w:r>
    </w:p>
    <w:p w14:paraId="15E06035" w14:textId="77777777" w:rsidR="00555164" w:rsidRDefault="00555164">
      <w:pPr>
        <w:pStyle w:val="ad"/>
        <w:spacing w:beforeLines="50" w:before="120" w:beforeAutospacing="0" w:afterLines="50" w:after="120" w:afterAutospacing="0"/>
        <w:rPr>
          <w:sz w:val="20"/>
          <w:szCs w:val="20"/>
        </w:rPr>
      </w:pPr>
    </w:p>
    <w:p w14:paraId="5BD79D74" w14:textId="77777777" w:rsidR="00555164" w:rsidRDefault="002C73C0">
      <w:pPr>
        <w:pStyle w:val="ad"/>
        <w:spacing w:beforeLines="50" w:before="120" w:beforeAutospacing="0" w:afterLines="50" w:after="120" w:afterAutospacing="0"/>
        <w:outlineLvl w:val="0"/>
        <w:rPr>
          <w:b/>
          <w:sz w:val="20"/>
          <w:szCs w:val="20"/>
        </w:rPr>
      </w:pPr>
      <w:bookmarkStart w:id="147" w:name="_Toc44755883"/>
      <w:bookmarkStart w:id="148" w:name="_Toc44754981"/>
      <w:bookmarkStart w:id="149" w:name="_Toc44756029"/>
      <w:bookmarkStart w:id="150" w:name="_Toc44756144"/>
      <w:bookmarkStart w:id="151" w:name="_Toc44796190"/>
      <w:r>
        <w:rPr>
          <w:b/>
          <w:sz w:val="20"/>
          <w:szCs w:val="20"/>
        </w:rPr>
        <w:t>13. Statistical analysis</w:t>
      </w:r>
      <w:bookmarkEnd w:id="147"/>
      <w:bookmarkEnd w:id="148"/>
      <w:bookmarkEnd w:id="149"/>
      <w:bookmarkEnd w:id="150"/>
      <w:bookmarkEnd w:id="151"/>
      <w:r>
        <w:rPr>
          <w:b/>
          <w:sz w:val="20"/>
          <w:szCs w:val="20"/>
        </w:rPr>
        <w:t xml:space="preserve"> </w:t>
      </w:r>
    </w:p>
    <w:p w14:paraId="79C060ED" w14:textId="77777777" w:rsidR="00555164" w:rsidRDefault="00555164">
      <w:pPr>
        <w:pStyle w:val="ad"/>
        <w:spacing w:beforeLines="50" w:before="120" w:beforeAutospacing="0" w:afterLines="50" w:after="120" w:afterAutospacing="0"/>
        <w:rPr>
          <w:b/>
          <w:sz w:val="20"/>
          <w:szCs w:val="20"/>
        </w:rPr>
      </w:pPr>
    </w:p>
    <w:p w14:paraId="6453529D"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13.1 General principles </w:t>
      </w:r>
    </w:p>
    <w:p w14:paraId="6B954E3D" w14:textId="77777777" w:rsidR="00555164" w:rsidRDefault="002C73C0">
      <w:pPr>
        <w:pStyle w:val="ad"/>
        <w:spacing w:beforeLines="50" w:before="120" w:beforeAutospacing="0" w:afterLines="50" w:after="120" w:afterAutospacing="0"/>
        <w:rPr>
          <w:sz w:val="20"/>
          <w:szCs w:val="20"/>
        </w:rPr>
      </w:pPr>
      <w:r>
        <w:rPr>
          <w:sz w:val="20"/>
          <w:szCs w:val="20"/>
        </w:rPr>
        <w:t>13.1.1 Numeric variables will be presented as mean ± standard deviation or median (minimum, maximum; or interquartile range). Categorical variables will be presented as number of cases (percentage).</w:t>
      </w:r>
    </w:p>
    <w:p w14:paraId="59E76801" w14:textId="77777777" w:rsidR="00555164" w:rsidRDefault="002C73C0">
      <w:pPr>
        <w:pStyle w:val="ad"/>
        <w:spacing w:beforeLines="50" w:before="120" w:beforeAutospacing="0" w:afterLines="50" w:after="120" w:afterAutospacing="0"/>
        <w:rPr>
          <w:sz w:val="20"/>
          <w:szCs w:val="20"/>
        </w:rPr>
      </w:pPr>
      <w:r>
        <w:rPr>
          <w:sz w:val="20"/>
          <w:szCs w:val="20"/>
        </w:rPr>
        <w:t>13.1.2 For each hypothesis, two‐tailed tests will be used in all statistical analysis, and p &lt;0.05 will be considered statistically significant. For the treatment-by-covariate interaction in predefined subgroup analyses, a p&lt;0.10 will be defined as statistically significant.</w:t>
      </w:r>
    </w:p>
    <w:p w14:paraId="1D8DD34B" w14:textId="77777777" w:rsidR="00555164" w:rsidRDefault="002C73C0">
      <w:pPr>
        <w:pStyle w:val="ad"/>
        <w:spacing w:beforeLines="50" w:before="120" w:beforeAutospacing="0" w:afterLines="50" w:after="120" w:afterAutospacing="0"/>
        <w:rPr>
          <w:sz w:val="20"/>
          <w:szCs w:val="20"/>
        </w:rPr>
      </w:pPr>
      <w:r>
        <w:rPr>
          <w:sz w:val="20"/>
          <w:szCs w:val="20"/>
        </w:rPr>
        <w:t>13.1.3 The primary and secondary outcomes will be analyzed in an intention-to-treat population, i.e., all patients are analyzed in the group to which they are randomized and received at least part of study intervention. If epidural anesthesia and/or analgesia fail, these patients will be converted to general anesthesia and intravenous analgesia but will be analyzed in the group to which they are randomized. Also, we will do per-protocol analysis for the primary endpoint, in this case, drop-out patients will be excluded.</w:t>
      </w:r>
    </w:p>
    <w:p w14:paraId="64EFB16C" w14:textId="77777777" w:rsidR="00555164" w:rsidRDefault="00555164">
      <w:pPr>
        <w:pStyle w:val="ad"/>
        <w:spacing w:beforeLines="50" w:before="120" w:beforeAutospacing="0" w:afterLines="50" w:after="120" w:afterAutospacing="0"/>
        <w:rPr>
          <w:sz w:val="20"/>
          <w:szCs w:val="20"/>
        </w:rPr>
      </w:pPr>
    </w:p>
    <w:p w14:paraId="5A765985"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13.2 Patient recruitment and drop‐out status </w:t>
      </w:r>
    </w:p>
    <w:p w14:paraId="095522A1" w14:textId="77777777" w:rsidR="00555164" w:rsidRDefault="002C73C0">
      <w:pPr>
        <w:pStyle w:val="ad"/>
        <w:spacing w:beforeLines="50" w:before="120" w:beforeAutospacing="0" w:afterLines="50" w:after="120" w:afterAutospacing="0"/>
        <w:rPr>
          <w:sz w:val="20"/>
          <w:szCs w:val="20"/>
        </w:rPr>
      </w:pPr>
      <w:r>
        <w:rPr>
          <w:sz w:val="20"/>
          <w:szCs w:val="20"/>
        </w:rPr>
        <w:t xml:space="preserve">The status of patient recruitment and drop‐out will be summarized and listed. Comparison of the overall elimination/drop‐out rate between the two groups will be performed with </w:t>
      </w:r>
      <w:r>
        <w:rPr>
          <w:rFonts w:eastAsia="等线"/>
          <w:sz w:val="20"/>
          <w:szCs w:val="20"/>
        </w:rPr>
        <w:t>C</w:t>
      </w:r>
      <w:r>
        <w:rPr>
          <w:sz w:val="20"/>
          <w:szCs w:val="20"/>
        </w:rPr>
        <w:t xml:space="preserve">hi‐Square test. </w:t>
      </w:r>
    </w:p>
    <w:p w14:paraId="221E2FC4" w14:textId="77777777" w:rsidR="00555164" w:rsidRDefault="00555164">
      <w:pPr>
        <w:pStyle w:val="ad"/>
        <w:spacing w:beforeLines="50" w:before="120" w:beforeAutospacing="0" w:afterLines="50" w:after="120" w:afterAutospacing="0"/>
        <w:rPr>
          <w:sz w:val="20"/>
          <w:szCs w:val="20"/>
        </w:rPr>
      </w:pPr>
    </w:p>
    <w:p w14:paraId="7B1B2B4C"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13.3 Demographics and baseline characteristics </w:t>
      </w:r>
    </w:p>
    <w:p w14:paraId="5C58EC2F" w14:textId="77777777" w:rsidR="00555164" w:rsidRDefault="002C73C0">
      <w:pPr>
        <w:pStyle w:val="ad"/>
        <w:spacing w:beforeLines="50" w:before="120" w:beforeAutospacing="0" w:afterLines="50" w:after="120" w:afterAutospacing="0"/>
        <w:rPr>
          <w:sz w:val="20"/>
          <w:szCs w:val="20"/>
        </w:rPr>
      </w:pPr>
      <w:r>
        <w:rPr>
          <w:sz w:val="20"/>
          <w:szCs w:val="20"/>
        </w:rPr>
        <w:t xml:space="preserve">13.3.1 Demographics and baseline data will be presented. </w:t>
      </w:r>
    </w:p>
    <w:p w14:paraId="5A699E5D" w14:textId="77777777" w:rsidR="00555164" w:rsidRDefault="002C73C0">
      <w:pPr>
        <w:pStyle w:val="ad"/>
        <w:spacing w:beforeLines="50" w:before="120" w:beforeAutospacing="0" w:afterLines="50" w:after="120" w:afterAutospacing="0"/>
        <w:rPr>
          <w:sz w:val="20"/>
          <w:szCs w:val="20"/>
        </w:rPr>
      </w:pPr>
      <w:r>
        <w:rPr>
          <w:sz w:val="20"/>
          <w:szCs w:val="20"/>
        </w:rPr>
        <w:t>13.3.2 Between-group differences are compared using the absolute standardized differences (ASDs), which are defined as the absolute difference in means, mean ranks or proportions divided by the pooled standard deviation and calculated with the formula published by Austin</w:t>
      </w:r>
      <w:r>
        <w:rPr>
          <w:rFonts w:eastAsia="宋体"/>
          <w:sz w:val="20"/>
          <w:szCs w:val="20"/>
        </w:rPr>
        <w:t>.</w:t>
      </w:r>
      <w:r>
        <w:rPr>
          <w:sz w:val="20"/>
          <w:szCs w:val="20"/>
          <w:vertAlign w:val="superscript"/>
        </w:rPr>
        <w:fldChar w:fldCharType="begin"/>
      </w:r>
      <w:r>
        <w:rPr>
          <w:rFonts w:eastAsia="宋体"/>
          <w:sz w:val="20"/>
          <w:szCs w:val="20"/>
          <w:vertAlign w:val="superscript"/>
        </w:rPr>
        <w:instrText xml:space="preserve"> REF _Ref44760948 \r \h </w:instrText>
      </w:r>
      <w:r>
        <w:rPr>
          <w:sz w:val="20"/>
          <w:szCs w:val="20"/>
          <w:vertAlign w:val="superscript"/>
        </w:rPr>
        <w:instrText xml:space="preserve"> \* MERGEFORMAT </w:instrText>
      </w:r>
      <w:r>
        <w:rPr>
          <w:sz w:val="20"/>
          <w:szCs w:val="20"/>
          <w:vertAlign w:val="superscript"/>
        </w:rPr>
      </w:r>
      <w:r>
        <w:rPr>
          <w:sz w:val="20"/>
          <w:szCs w:val="20"/>
          <w:vertAlign w:val="superscript"/>
        </w:rPr>
        <w:fldChar w:fldCharType="separate"/>
      </w:r>
      <w:r>
        <w:rPr>
          <w:rFonts w:eastAsia="宋体"/>
          <w:sz w:val="20"/>
          <w:szCs w:val="20"/>
          <w:vertAlign w:val="superscript"/>
        </w:rPr>
        <w:t>59</w:t>
      </w:r>
      <w:r>
        <w:rPr>
          <w:sz w:val="20"/>
          <w:szCs w:val="20"/>
          <w:vertAlign w:val="superscript"/>
        </w:rPr>
        <w:fldChar w:fldCharType="end"/>
      </w:r>
      <w:r>
        <w:rPr>
          <w:sz w:val="20"/>
          <w:szCs w:val="20"/>
        </w:rPr>
        <w:t xml:space="preserve"> Baseline variables with an absolute standardized </w:t>
      </w:r>
      <w:r>
        <w:rPr>
          <w:color w:val="000000"/>
          <w:sz w:val="20"/>
          <w:szCs w:val="20"/>
        </w:rPr>
        <w:t>difference ≥</w:t>
      </w:r>
      <m:oMath>
        <m:r>
          <m:rPr>
            <m:nor/>
          </m:rPr>
          <w:rPr>
            <w:color w:val="000000" w:themeColor="text1"/>
            <w:sz w:val="20"/>
            <w:szCs w:val="20"/>
          </w:rPr>
          <m:t>1</m:t>
        </m:r>
        <m:r>
          <m:rPr>
            <m:nor/>
          </m:rPr>
          <w:rPr>
            <w:sz w:val="20"/>
            <w:szCs w:val="20"/>
          </w:rPr>
          <m:t>.</m:t>
        </m:r>
        <m:r>
          <m:rPr>
            <m:nor/>
          </m:rPr>
          <w:rPr>
            <w:color w:val="000000" w:themeColor="text1"/>
            <w:sz w:val="20"/>
            <w:szCs w:val="20"/>
          </w:rPr>
          <m:t>96×</m:t>
        </m:r>
        <m:rad>
          <m:radPr>
            <m:degHide m:val="1"/>
            <m:ctrlPr>
              <w:rPr>
                <w:rFonts w:ascii="Cambria Math" w:hAnsi="Cambria Math"/>
                <w:i/>
                <w:color w:val="000000" w:themeColor="text1"/>
                <w:sz w:val="20"/>
                <w:szCs w:val="20"/>
              </w:rPr>
            </m:ctrlPr>
          </m:radPr>
          <m:deg/>
          <m:e>
            <m:r>
              <m:rPr>
                <m:nor/>
              </m:rPr>
              <w:rPr>
                <w:color w:val="000000" w:themeColor="text1"/>
                <w:sz w:val="20"/>
                <w:szCs w:val="20"/>
              </w:rPr>
              <m:t>(n1+n2)/(n1×n2)</m:t>
            </m:r>
          </m:e>
        </m:rad>
      </m:oMath>
      <w:r>
        <w:rPr>
          <w:color w:val="000000"/>
          <w:sz w:val="20"/>
          <w:szCs w:val="20"/>
        </w:rPr>
        <w:fldChar w:fldCharType="begin"/>
      </w:r>
      <w:r>
        <w:rPr>
          <w:color w:val="000000"/>
          <w:sz w:val="20"/>
          <w:szCs w:val="20"/>
        </w:rPr>
        <w:instrText xml:space="preserve"> QUOTE </w:instrText>
      </w:r>
      <w:r w:rsidR="00535581">
        <w:rPr>
          <w:position w:val="-34"/>
          <w:sz w:val="20"/>
          <w:szCs w:val="20"/>
        </w:rPr>
        <w:pict w14:anchorId="44391B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3pt;height:29.7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1&quot;/&gt;&lt;w:doNotEmbedSystemFonts/&gt;&lt;w:bordersDontSurroundHeader/&gt;&lt;w:bordersDontSurroundFooter/&gt;&lt;w:defaultTabStop w:val=&quot;720&quot;/&gt;&lt;w:drawingGridHorizontalSpacing w:val=&quot;120&quot;/&gt;&lt;w:drawingGridVerticalSpacing w:val=&quot;166&quot;/&gt;&lt;w:displayHorizontalDrawingGridEvery w:val=&quot;2&quot;/&gt;&lt;w:displayVerticalDrawingGridEvery w:val=&quot;2&quot;/&gt;&lt;w:characterSpacingControl w:val=&quot;DontCompress&quot;/&gt;&lt;w:validateAgainstSchema/&gt;&lt;w:saveInvalidXML w:val=&quot;off&quot;/&gt;&lt;w:ignoreMixedContent w:val=&quot;off&quot;/&gt;&lt;w:alwaysShowPlaceholderText w:val=&quot;off&quot;/&gt;&lt;w:compat&gt;&lt;w:doNotExpandShiftReturn/&gt;&lt;w:breakWrappedTables/&gt;&lt;w:snapToGridInCell/&gt;&lt;w:wrapTextWithPunct/&gt;&lt;w:useAsianBreakRules/&gt;&lt;w:dontGrowAutofit/&gt;&lt;w:useFELayout/&gt;&lt;/w:compat&gt;&lt;w:docVars&gt;&lt;w:docVar w:name=&quot;__Grammarly_42____i&quot; w:val=&quot;H4sIAAAAAAAEAKtWckksSQxILCpxzi/NK1GyMqwFAAEhoTITAAAA&quot;/&gt;&lt;w:docVar w:name=&quot;__Grammarly_42___1&quot; w:val=&quot;H4sIAAAAAAAEAKtWcslP9kxRslIyNDYyMjc2s7CwMDC0NDC3MDJU0lEKTi0uzszPAykwrAUAhf81JywAAAA=&quot;/&gt;&lt;w:docVar w:name=&quot;KY_MEDREF_DOCUID&quot; w:val=&quot;{88F5985D-ACEE-4DB8-8E2D-ECD834FF889E}&quot;/&gt;&lt;w:docVar w:name=&quot;KY_MEDREF_VERSION&quot; w:val=&quot;3&quot;/&gt;&lt;/w:docVars&gt;&lt;wsp:rsids&gt;&lt;wsp:rsidRoot wsp:val=&quot;00AE0BD4&quot;/&gt;&lt;wsp:rsid wsp:val=&quot;00012C83&quot;/&gt;&lt;wsp:rsid wsp:val=&quot;0002278C&quot;/&gt;&lt;wsp:rsid wsp:val=&quot;00025D4C&quot;/&gt;&lt;wsp:rsid wsp:val=&quot;0002650F&quot;/&gt;&lt;wsp:rsid wsp:val=&quot;0003199F&quot;/&gt;&lt;wsp:rsid wsp:val=&quot;00033856&quot;/&gt;&lt;wsp:rsid wsp:val=&quot;00037944&quot;/&gt;&lt;wsp:rsid wsp:val=&quot;00042489&quot;/&gt;&lt;wsp:rsid wsp:val=&quot;00043CC1&quot;/&gt;&lt;wsp:rsid wsp:val=&quot;00046920&quot;/&gt;&lt;wsp:rsid wsp:val=&quot;00046BE4&quot;/&gt;&lt;wsp:rsid wsp:val=&quot;0004795F&quot;/&gt;&lt;wsp:rsid wsp:val=&quot;000509EC&quot;/&gt;&lt;wsp:rsid wsp:val=&quot;00053833&quot;/&gt;&lt;wsp:rsid wsp:val=&quot;0005756A&quot;/&gt;&lt;wsp:rsid wsp:val=&quot;00061CC6&quot;/&gt;&lt;wsp:rsid wsp:val=&quot;0006350A&quot;/&gt;&lt;wsp:rsid wsp:val=&quot;0007232C&quot;/&gt;&lt;wsp:rsid wsp:val=&quot;00082288&quot;/&gt;&lt;wsp:rsid wsp:val=&quot;000853AE&quot;/&gt;&lt;wsp:rsid wsp:val=&quot;00085D66&quot;/&gt;&lt;wsp:rsid wsp:val=&quot;000937D3&quot;/&gt;&lt;wsp:rsid wsp:val=&quot;00096FBB&quot;/&gt;&lt;wsp:rsid wsp:val=&quot;00097E5B&quot;/&gt;&lt;wsp:rsid wsp:val=&quot;000A15C4&quot;/&gt;&lt;wsp:rsid wsp:val=&quot;000A2DF9&quot;/&gt;&lt;wsp:rsid wsp:val=&quot;000A2F27&quot;/&gt;&lt;wsp:rsid wsp:val=&quot;000A3BE9&quot;/&gt;&lt;wsp:rsid wsp:val=&quot;000A5AA0&quot;/&gt;&lt;wsp:rsid wsp:val=&quot;000A72F1&quot;/&gt;&lt;wsp:rsid wsp:val=&quot;000C001F&quot;/&gt;&lt;wsp:rsid wsp:val=&quot;000C3CB3&quot;/&gt;&lt;wsp:rsid wsp:val=&quot;000C485E&quot;/&gt;&lt;wsp:rsid wsp:val=&quot;000D3929&quot;/&gt;&lt;wsp:rsid wsp:val=&quot;000E2B3D&quot;/&gt;&lt;wsp:rsid wsp:val=&quot;000E38C7&quot;/&gt;&lt;wsp:rsid wsp:val=&quot;000E39D8&quot;/&gt;&lt;wsp:rsid wsp:val=&quot;000E4723&quot;/&gt;&lt;wsp:rsid wsp:val=&quot;000E6406&quot;/&gt;&lt;wsp:rsid wsp:val=&quot;000E7302&quot;/&gt;&lt;wsp:rsid wsp:val=&quot;000F35B4&quot;/&gt;&lt;wsp:rsid wsp:val=&quot;000F3FC9&quot;/&gt;&lt;wsp:rsid wsp:val=&quot;000F5385&quot;/&gt;&lt;wsp:rsid wsp:val=&quot;00100252&quot;/&gt;&lt;wsp:rsid wsp:val=&quot;001003AF&quot;/&gt;&lt;wsp:rsid wsp:val=&quot;0010230C&quot;/&gt;&lt;wsp:rsid wsp:val=&quot;00102EC6&quot;/&gt;&lt;wsp:rsid wsp:val=&quot;00105469&quot;/&gt;&lt;wsp:rsid wsp:val=&quot;00105D54&quot;/&gt;&lt;wsp:rsid wsp:val=&quot;00112E86&quot;/&gt;&lt;wsp:rsid wsp:val=&quot;00113D0B&quot;/&gt;&lt;wsp:rsid wsp:val=&quot;001141A4&quot;/&gt;&lt;wsp:rsid wsp:val=&quot;0011610A&quot;/&gt;&lt;wsp:rsid wsp:val=&quot;00117FDE&quot;/&gt;&lt;wsp:rsid wsp:val=&quot;001213AB&quot;/&gt;&lt;wsp:rsid wsp:val=&quot;001229A4&quot;/&gt;&lt;wsp:rsid wsp:val=&quot;00122D62&quot;/&gt;&lt;wsp:rsid wsp:val=&quot;00122F9C&quot;/&gt;&lt;wsp:rsid wsp:val=&quot;00123B21&quot;/&gt;&lt;wsp:rsid wsp:val=&quot;001250FE&quot;/&gt;&lt;wsp:rsid wsp:val=&quot;0012570A&quot;/&gt;&lt;wsp:rsid wsp:val=&quot;00126575&quot;/&gt;&lt;wsp:rsid wsp:val=&quot;00127519&quot;/&gt;&lt;wsp:rsid wsp:val=&quot;00135182&quot;/&gt;&lt;wsp:rsid wsp:val=&quot;00135763&quot;/&gt;&lt;wsp:rsid wsp:val=&quot;00142082&quot;/&gt;&lt;wsp:rsid wsp:val=&quot;001500BD&quot;/&gt;&lt;wsp:rsid wsp:val=&quot;001518A8&quot;/&gt;&lt;wsp:rsid wsp:val=&quot;00151F45&quot;/&gt;&lt;wsp:rsid wsp:val=&quot;00153F99&quot;/&gt;&lt;wsp:rsid wsp:val=&quot;00155AF9&quot;/&gt;&lt;wsp:rsid wsp:val=&quot;00161352&quot;/&gt;&lt;wsp:rsid wsp:val=&quot;00165FE6&quot;/&gt;&lt;wsp:rsid wsp:val=&quot;00166C18&quot;/&gt;&lt;wsp:rsid wsp:val=&quot;00181EEF&quot;/&gt;&lt;wsp:rsid wsp:val=&quot;00186F0D&quot;/&gt;&lt;wsp:rsid wsp:val=&quot;00190067&quot;/&gt;&lt;wsp:rsid wsp:val=&quot;001916F7&quot;/&gt;&lt;wsp:rsid wsp:val=&quot;00193D5B&quot;/&gt;&lt;wsp:rsid wsp:val=&quot;00195449&quot;/&gt;&lt;wsp:rsid wsp:val=&quot;001977D0&quot;/&gt;&lt;wsp:rsid wsp:val=&quot;001A0DAB&quot;/&gt;&lt;wsp:rsid wsp:val=&quot;001A1819&quot;/&gt;&lt;wsp:rsid wsp:val=&quot;001A501C&quot;/&gt;&lt;wsp:rsid wsp:val=&quot;001A55EA&quot;/&gt;&lt;wsp:rsid wsp:val=&quot;001B0E4B&quot;/&gt;&lt;wsp:rsid wsp:val=&quot;001B1F5A&quot;/&gt;&lt;wsp:rsid wsp:val=&quot;001B274F&quot;/&gt;&lt;wsp:rsid wsp:val=&quot;001B7B44&quot;/&gt;&lt;wsp:rsid wsp:val=&quot;001C0382&quot;/&gt;&lt;wsp:rsid wsp:val=&quot;001C0F5C&quot;/&gt;&lt;wsp:rsid wsp:val=&quot;001C0FD7&quot;/&gt;&lt;wsp:rsid wsp:val=&quot;001C0FF1&quot;/&gt;&lt;wsp:rsid wsp:val=&quot;001C14DE&quot;/&gt;&lt;wsp:rsid wsp:val=&quot;001C1A1F&quot;/&gt;&lt;wsp:rsid wsp:val=&quot;001C2DD8&quot;/&gt;&lt;wsp:rsid wsp:val=&quot;001C2EB2&quot;/&gt;&lt;wsp:rsid wsp:val=&quot;001C46FD&quot;/&gt;&lt;wsp:rsid wsp:val=&quot;001C4953&quot;/&gt;&lt;wsp:rsid wsp:val=&quot;001C7038&quot;/&gt;&lt;wsp:rsid wsp:val=&quot;001D07B1&quot;/&gt;&lt;wsp:rsid wsp:val=&quot;001D111B&quot;/&gt;&lt;wsp:rsid wsp:val=&quot;001D2784&quot;/&gt;&lt;wsp:rsid wsp:val=&quot;001D43C8&quot;/&gt;&lt;wsp:rsid wsp:val=&quot;001D7A1E&quot;/&gt;&lt;wsp:rsid wsp:val=&quot;001E36C0&quot;/&gt;&lt;wsp:rsid wsp:val=&quot;001E6271&quot;/&gt;&lt;wsp:rsid wsp:val=&quot;001E778A&quot;/&gt;&lt;wsp:rsid wsp:val=&quot;001F193E&quot;/&gt;&lt;wsp:rsid wsp:val=&quot;001F255B&quot;/&gt;&lt;wsp:rsid wsp:val=&quot;001F3AF7&quot;/&gt;&lt;wsp:rsid wsp:val=&quot;001F481C&quot;/&gt;&lt;wsp:rsid wsp:val=&quot;001F57AD&quot;/&gt;&lt;wsp:rsid wsp:val=&quot;001F60A1&quot;/&gt;&lt;wsp:rsid wsp:val=&quot;001F631C&quot;/&gt;&lt;wsp:rsid wsp:val=&quot;001F74E4&quot;/&gt;&lt;wsp:rsid wsp:val=&quot;00200327&quot;/&gt;&lt;wsp:rsid wsp:val=&quot;002003FE&quot;/&gt;&lt;wsp:rsid wsp:val=&quot;00201BC9&quot;/&gt;&lt;wsp:rsid wsp:val=&quot;0020248B&quot;/&gt;&lt;wsp:rsid wsp:val=&quot;0020254E&quot;/&gt;&lt;wsp:rsid wsp:val=&quot;0022050A&quot;/&gt;&lt;wsp:rsid wsp:val=&quot;0022702E&quot;/&gt;&lt;wsp:rsid wsp:val=&quot;00230E08&quot;/&gt;&lt;wsp:rsid wsp:val=&quot;00241A9B&quot;/&gt;&lt;wsp:rsid wsp:val=&quot;002423C4&quot;/&gt;&lt;wsp:rsid wsp:val=&quot;00253527&quot;/&gt;&lt;wsp:rsid wsp:val=&quot;00260428&quot;/&gt;&lt;wsp:rsid wsp:val=&quot;00260B42&quot;/&gt;&lt;wsp:rsid wsp:val=&quot;00266477&quot;/&gt;&lt;wsp:rsid wsp:val=&quot;0027733D&quot;/&gt;&lt;wsp:rsid wsp:val=&quot;002803FA&quot;/&gt;&lt;wsp:rsid wsp:val=&quot;002835A0&quot;/&gt;&lt;wsp:rsid wsp:val=&quot;00285880&quot;/&gt;&lt;wsp:rsid wsp:val=&quot;002866DE&quot;/&gt;&lt;wsp:rsid wsp:val=&quot;002904AF&quot;/&gt;&lt;wsp:rsid wsp:val=&quot;00290D04&quot;/&gt;&lt;wsp:rsid wsp:val=&quot;00290DCC&quot;/&gt;&lt;wsp:rsid wsp:val=&quot;00295D27&quot;/&gt;&lt;wsp:rsid wsp:val=&quot;002A06DD&quot;/&gt;&lt;wsp:rsid wsp:val=&quot;002A3BD0&quot;/&gt;&lt;wsp:rsid wsp:val=&quot;002A6D6A&quot;/&gt;&lt;wsp:rsid wsp:val=&quot;002B0E1E&quot;/&gt;&lt;wsp:rsid wsp:val=&quot;002B2E3A&quot;/&gt;&lt;wsp:rsid wsp:val=&quot;002B3C98&quot;/&gt;&lt;wsp:rsid wsp:val=&quot;002B621B&quot;/&gt;&lt;wsp:rsid wsp:val=&quot;002C380E&quot;/&gt;&lt;wsp:rsid wsp:val=&quot;002C5ED1&quot;/&gt;&lt;wsp:rsid wsp:val=&quot;002D6B2C&quot;/&gt;&lt;wsp:rsid wsp:val=&quot;002D6EF4&quot;/&gt;&lt;wsp:rsid wsp:val=&quot;002D711B&quot;/&gt;&lt;wsp:rsid wsp:val=&quot;002E1787&quot;/&gt;&lt;wsp:rsid wsp:val=&quot;002E56D6&quot;/&gt;&lt;wsp:rsid wsp:val=&quot;002F0D97&quot;/&gt;&lt;wsp:rsid wsp:val=&quot;00307730&quot;/&gt;&lt;wsp:rsid wsp:val=&quot;00314791&quot;/&gt;&lt;wsp:rsid wsp:val=&quot;00315C81&quot;/&gt;&lt;wsp:rsid wsp:val=&quot;00320FA4&quot;/&gt;&lt;wsp:rsid wsp:val=&quot;00322D9F&quot;/&gt;&lt;wsp:rsid wsp:val=&quot;003254F9&quot;/&gt;&lt;wsp:rsid wsp:val=&quot;00326012&quot;/&gt;&lt;wsp:rsid wsp:val=&quot;003274EB&quot;/&gt;&lt;wsp:rsid wsp:val=&quot;0033017B&quot;/&gt;&lt;wsp:rsid wsp:val=&quot;00330B10&quot;/&gt;&lt;wsp:rsid wsp:val=&quot;00330C09&quot;/&gt;&lt;wsp:rsid wsp:val=&quot;00334874&quot;/&gt;&lt;wsp:rsid wsp:val=&quot;00336D3E&quot;/&gt;&lt;wsp:rsid wsp:val=&quot;00343142&quot;/&gt;&lt;wsp:rsid wsp:val=&quot;003443B7&quot;/&gt;&lt;wsp:rsid wsp:val=&quot;00351CB2&quot;/&gt;&lt;wsp:rsid wsp:val=&quot;003542D4&quot;/&gt;&lt;wsp:rsid wsp:val=&quot;00357AC8&quot;/&gt;&lt;wsp:rsid wsp:val=&quot;0036186E&quot;/&gt;&lt;wsp:rsid wsp:val=&quot;00364598&quot;/&gt;&lt;wsp:rsid wsp:val=&quot;00371879&quot;/&gt;&lt;wsp:rsid wsp:val=&quot;003727D8&quot;/&gt;&lt;wsp:rsid wsp:val=&quot;0037306C&quot;/&gt;&lt;wsp:rsid wsp:val=&quot;00375538&quot;/&gt;&lt;wsp:rsid wsp:val=&quot;00375FE1&quot;/&gt;&lt;wsp:rsid wsp:val=&quot;00376D5B&quot;/&gt;&lt;wsp:rsid wsp:val=&quot;003827CE&quot;/&gt;&lt;wsp:rsid wsp:val=&quot;00382EA2&quot;/&gt;&lt;wsp:rsid wsp:val=&quot;00385B91&quot;/&gt;&lt;wsp:rsid wsp:val=&quot;00386B35&quot;/&gt;&lt;wsp:rsid wsp:val=&quot;00386BA8&quot;/&gt;&lt;wsp:rsid wsp:val=&quot;003878D3&quot;/&gt;&lt;wsp:rsid wsp:val=&quot;00394768&quot;/&gt;&lt;wsp:rsid wsp:val=&quot;003A062D&quot;/&gt;&lt;wsp:rsid wsp:val=&quot;003A210C&quot;/&gt;&lt;wsp:rsid wsp:val=&quot;003A3757&quot;/&gt;&lt;wsp:rsid wsp:val=&quot;003A5C21&quot;/&gt;&lt;wsp:rsid wsp:val=&quot;003A5DAC&quot;/&gt;&lt;wsp:rsid wsp:val=&quot;003A7C38&quot;/&gt;&lt;wsp:rsid wsp:val=&quot;003B51EA&quot;/&gt;&lt;wsp:rsid wsp:val=&quot;003B538F&quot;/&gt;&lt;wsp:rsid wsp:val=&quot;003B5E91&quot;/&gt;&lt;wsp:rsid wsp:val=&quot;003B5F33&quot;/&gt;&lt;wsp:rsid wsp:val=&quot;003C1696&quot;/&gt;&lt;wsp:rsid wsp:val=&quot;003C5455&quot;/&gt;&lt;wsp:rsid wsp:val=&quot;003C6C66&quot;/&gt;&lt;wsp:rsid wsp:val=&quot;003C75F2&quot;/&gt;&lt;wsp:rsid wsp:val=&quot;003D0194&quot;/&gt;&lt;wsp:rsid wsp:val=&quot;003D45F9&quot;/&gt;&lt;wsp:rsid wsp:val=&quot;003D50BF&quot;/&gt;&lt;wsp:rsid wsp:val=&quot;003E192D&quot;/&gt;&lt;wsp:rsid wsp:val=&quot;003E23AA&quot;/&gt;&lt;wsp:rsid wsp:val=&quot;003E2EAA&quot;/&gt;&lt;wsp:rsid wsp:val=&quot;003E364E&quot;/&gt;&lt;wsp:rsid wsp:val=&quot;003E4013&quot;/&gt;&lt;wsp:rsid wsp:val=&quot;003E517D&quot;/&gt;&lt;wsp:rsid wsp:val=&quot;003F4016&quot;/&gt;&lt;wsp:rsid wsp:val=&quot;003F6D90&quot;/&gt;&lt;wsp:rsid wsp:val=&quot;004012AB&quot;/&gt;&lt;wsp:rsid wsp:val=&quot;00402E01&quot;/&gt;&lt;wsp:rsid wsp:val=&quot;004038CB&quot;/&gt;&lt;wsp:rsid wsp:val=&quot;004127D3&quot;/&gt;&lt;wsp:rsid wsp:val=&quot;004134EA&quot;/&gt;&lt;wsp:rsid wsp:val=&quot;0041596D&quot;/&gt;&lt;wsp:rsid wsp:val=&quot;00416CA8&quot;/&gt;&lt;wsp:rsid wsp:val=&quot;0042241F&quot;/&gt;&lt;wsp:rsid wsp:val=&quot;004225DD&quot;/&gt;&lt;wsp:rsid wsp:val=&quot;004237E7&quot;/&gt;&lt;wsp:rsid wsp:val=&quot;004241CE&quot;/&gt;&lt;wsp:rsid wsp:val=&quot;00427925&quot;/&gt;&lt;wsp:rsid wsp:val=&quot;004310E3&quot;/&gt;&lt;wsp:rsid wsp:val=&quot;00431AD2&quot;/&gt;&lt;wsp:rsid wsp:val=&quot;0043640C&quot;/&gt;&lt;wsp:rsid wsp:val=&quot;00444698&quot;/&gt;&lt;wsp:rsid wsp:val=&quot;00445C55&quot;/&gt;&lt;wsp:rsid wsp:val=&quot;00451872&quot;/&gt;&lt;wsp:rsid wsp:val=&quot;00451CCD&quot;/&gt;&lt;wsp:rsid wsp:val=&quot;00452B3C&quot;/&gt;&lt;wsp:rsid wsp:val=&quot;00460BD9&quot;/&gt;&lt;wsp:rsid wsp:val=&quot;00466934&quot;/&gt;&lt;wsp:rsid wsp:val=&quot;00470617&quot;/&gt;&lt;wsp:rsid wsp:val=&quot;00471FA2&quot;/&gt;&lt;wsp:rsid wsp:val=&quot;00474215&quot;/&gt;&lt;wsp:rsid wsp:val=&quot;004746E2&quot;/&gt;&lt;wsp:rsid wsp:val=&quot;00474A3E&quot;/&gt;&lt;wsp:rsid wsp:val=&quot;00474F34&quot;/&gt;&lt;wsp:rsid wsp:val=&quot;00481EE3&quot;/&gt;&lt;wsp:rsid wsp:val=&quot;004832B1&quot;/&gt;&lt;wsp:rsid wsp:val=&quot;00485D1E&quot;/&gt;&lt;wsp:rsid wsp:val=&quot;00486422&quot;/&gt;&lt;wsp:rsid wsp:val=&quot;00491580&quot;/&gt;&lt;wsp:rsid wsp:val=&quot;004924B2&quot;/&gt;&lt;wsp:rsid wsp:val=&quot;004926D1&quot;/&gt;&lt;wsp:rsid wsp:val=&quot;00494287&quot;/&gt;&lt;wsp:rsid wsp:val=&quot;004965E0&quot;/&gt;&lt;wsp:rsid wsp:val=&quot;00496F05&quot;/&gt;&lt;wsp:rsid wsp:val=&quot;004A2B53&quot;/&gt;&lt;wsp:rsid wsp:val=&quot;004B2E70&quot;/&gt;&lt;wsp:rsid wsp:val=&quot;004B4F36&quot;/&gt;&lt;wsp:rsid wsp:val=&quot;004B5B59&quot;/&gt;&lt;wsp:rsid wsp:val=&quot;004B6D9C&quot;/&gt;&lt;wsp:rsid wsp:val=&quot;004C1F4F&quot;/&gt;&lt;wsp:rsid wsp:val=&quot;004C26BA&quot;/&gt;&lt;wsp:rsid wsp:val=&quot;004C7F4D&quot;/&gt;&lt;wsp:rsid wsp:val=&quot;004D4CBE&quot;/&gt;&lt;wsp:rsid wsp:val=&quot;004D59CB&quot;/&gt;&lt;wsp:rsid wsp:val=&quot;004D67EE&quot;/&gt;&lt;wsp:rsid wsp:val=&quot;004E00D3&quot;/&gt;&lt;wsp:rsid wsp:val=&quot;004E152B&quot;/&gt;&lt;wsp:rsid wsp:val=&quot;004E374B&quot;/&gt;&lt;wsp:rsid wsp:val=&quot;004E7C31&quot;/&gt;&lt;wsp:rsid wsp:val=&quot;004F06E2&quot;/&gt;&lt;wsp:rsid wsp:val=&quot;004F1C11&quot;/&gt;&lt;wsp:rsid wsp:val=&quot;004F25C6&quot;/&gt;&lt;wsp:rsid wsp:val=&quot;004F3C8D&quot;/&gt;&lt;wsp:rsid wsp:val=&quot;004F5421&quot;/&gt;&lt;wsp:rsid wsp:val=&quot;004F65BA&quot;/&gt;&lt;wsp:rsid wsp:val=&quot;004F7B3B&quot;/&gt;&lt;wsp:rsid wsp:val=&quot;00500403&quot;/&gt;&lt;wsp:rsid wsp:val=&quot;0050546E&quot;/&gt;&lt;wsp:rsid wsp:val=&quot;00506BD4&quot;/&gt;&lt;wsp:rsid wsp:val=&quot;00510BEB&quot;/&gt;&lt;wsp:rsid wsp:val=&quot;0051650A&quot;/&gt;&lt;wsp:rsid wsp:val=&quot;00516A83&quot;/&gt;&lt;wsp:rsid wsp:val=&quot;00520A71&quot;/&gt;&lt;wsp:rsid wsp:val=&quot;005249AB&quot;/&gt;&lt;wsp:rsid wsp:val=&quot;00536A07&quot;/&gt;&lt;wsp:rsid wsp:val=&quot;00541924&quot;/&gt;&lt;wsp:rsid wsp:val=&quot;00544339&quot;/&gt;&lt;wsp:rsid wsp:val=&quot;005478EC&quot;/&gt;&lt;wsp:rsid wsp:val=&quot;00547D51&quot;/&gt;&lt;wsp:rsid wsp:val=&quot;00551EB9&quot;/&gt;&lt;wsp:rsid wsp:val=&quot;005560C8&quot;/&gt;&lt;wsp:rsid wsp:val=&quot;0055691C&quot;/&gt;&lt;wsp:rsid wsp:val=&quot;0057077D&quot;/&gt;&lt;wsp:rsid wsp:val=&quot;0057269B&quot;/&gt;&lt;wsp:rsid wsp:val=&quot;00573E89&quot;/&gt;&lt;wsp:rsid wsp:val=&quot;00580652&quot;/&gt;&lt;wsp:rsid wsp:val=&quot;005810AF&quot;/&gt;&lt;wsp:rsid wsp:val=&quot;00582C77&quot;/&gt;&lt;wsp:rsid wsp:val=&quot;00586A68&quot;/&gt;&lt;wsp:rsid wsp:val=&quot;005A08E6&quot;/&gt;&lt;wsp:rsid wsp:val=&quot;005A3566&quot;/&gt;&lt;wsp:rsid wsp:val=&quot;005A3EE0&quot;/&gt;&lt;wsp:rsid wsp:val=&quot;005A69A2&quot;/&gt;&lt;wsp:rsid wsp:val=&quot;005B2006&quot;/&gt;&lt;wsp:rsid wsp:val=&quot;005B23BF&quot;/&gt;&lt;wsp:rsid wsp:val=&quot;005B64C5&quot;/&gt;&lt;wsp:rsid wsp:val=&quot;005B7130&quot;/&gt;&lt;wsp:rsid wsp:val=&quot;005C3821&quot;/&gt;&lt;wsp:rsid wsp:val=&quot;005D4DC2&quot;/&gt;&lt;wsp:rsid wsp:val=&quot;005E5EDD&quot;/&gt;&lt;wsp:rsid wsp:val=&quot;005F02EC&quot;/&gt;&lt;wsp:rsid wsp:val=&quot;005F0E4F&quot;/&gt;&lt;wsp:rsid wsp:val=&quot;005F3B69&quot;/&gt;&lt;wsp:rsid wsp:val=&quot;005F4F2C&quot;/&gt;&lt;wsp:rsid wsp:val=&quot;005F57F7&quot;/&gt;&lt;wsp:rsid wsp:val=&quot;005F5A6F&quot;/&gt;&lt;wsp:rsid wsp:val=&quot;00607F1E&quot;/&gt;&lt;wsp:rsid wsp:val=&quot;00610335&quot;/&gt;&lt;wsp:rsid wsp:val=&quot;00613327&quot;/&gt;&lt;wsp:rsid wsp:val=&quot;00623508&quot;/&gt;&lt;wsp:rsid wsp:val=&quot;006243FA&quot;/&gt;&lt;wsp:rsid wsp:val=&quot;00627B95&quot;/&gt;&lt;wsp:rsid wsp:val=&quot;00632F75&quot;/&gt;&lt;wsp:rsid wsp:val=&quot;006436FB&quot;/&gt;&lt;wsp:rsid wsp:val=&quot;00646109&quot;/&gt;&lt;wsp:rsid wsp:val=&quot;006469D5&quot;/&gt;&lt;wsp:rsid wsp:val=&quot;006501DD&quot;/&gt;&lt;wsp:rsid wsp:val=&quot;0065196D&quot;/&gt;&lt;wsp:rsid wsp:val=&quot;00651AB4&quot;/&gt;&lt;wsp:rsid wsp:val=&quot;00654463&quot;/&gt;&lt;wsp:rsid wsp:val=&quot;006560CF&quot;/&gt;&lt;wsp:rsid wsp:val=&quot;00660D08&quot;/&gt;&lt;wsp:rsid wsp:val=&quot;00662F2F&quot;/&gt;&lt;wsp:rsid wsp:val=&quot;00667B6B&quot;/&gt;&lt;wsp:rsid wsp:val=&quot;00667BA2&quot;/&gt;&lt;wsp:rsid wsp:val=&quot;0067208F&quot;/&gt;&lt;wsp:rsid wsp:val=&quot;00677808&quot;/&gt;&lt;wsp:rsid wsp:val=&quot;00681732&quot;/&gt;&lt;wsp:rsid wsp:val=&quot;006951CE&quot;/&gt;&lt;wsp:rsid wsp:val=&quot;006A1C14&quot;/&gt;&lt;wsp:rsid wsp:val=&quot;006A3A51&quot;/&gt;&lt;wsp:rsid wsp:val=&quot;006A4AB8&quot;/&gt;&lt;wsp:rsid wsp:val=&quot;006A5926&quot;/&gt;&lt;wsp:rsid wsp:val=&quot;006A5F9D&quot;/&gt;&lt;wsp:rsid wsp:val=&quot;006B0E93&quot;/&gt;&lt;wsp:rsid wsp:val=&quot;006B2DC1&quot;/&gt;&lt;wsp:rsid wsp:val=&quot;006B398B&quot;/&gt;&lt;wsp:rsid wsp:val=&quot;006C0C66&quot;/&gt;&lt;wsp:rsid wsp:val=&quot;006C2C0F&quot;/&gt;&lt;wsp:rsid wsp:val=&quot;006C4213&quot;/&gt;&lt;wsp:rsid wsp:val=&quot;006C5041&quot;/&gt;&lt;wsp:rsid wsp:val=&quot;006C5A49&quot;/&gt;&lt;wsp:rsid wsp:val=&quot;006C6439&quot;/&gt;&lt;wsp:rsid wsp:val=&quot;006D11BA&quot;/&gt;&lt;wsp:rsid wsp:val=&quot;006D29E1&quot;/&gt;&lt;wsp:rsid wsp:val=&quot;006D72D5&quot;/&gt;&lt;wsp:rsid wsp:val=&quot;006E7E8C&quot;/&gt;&lt;wsp:rsid wsp:val=&quot;006F14D1&quot;/&gt;&lt;wsp:rsid wsp:val=&quot;006F251E&quot;/&gt;&lt;wsp:rsid wsp:val=&quot;006F4A59&quot;/&gt;&lt;wsp:rsid wsp:val=&quot;006F69CC&quot;/&gt;&lt;wsp:rsid wsp:val=&quot;006F76A3&quot;/&gt;&lt;wsp:rsid wsp:val=&quot;00702684&quot;/&gt;&lt;wsp:rsid wsp:val=&quot;00702BD3&quot;/&gt;&lt;wsp:rsid wsp:val=&quot;00703C30&quot;/&gt;&lt;wsp:rsid wsp:val=&quot;0070647E&quot;/&gt;&lt;wsp:rsid wsp:val=&quot;00711670&quot;/&gt;&lt;wsp:rsid wsp:val=&quot;007216E5&quot;/&gt;&lt;wsp:rsid wsp:val=&quot;00725C80&quot;/&gt;&lt;wsp:rsid wsp:val=&quot;00725FD5&quot;/&gt;&lt;wsp:rsid wsp:val=&quot;00726A5C&quot;/&gt;&lt;wsp:rsid wsp:val=&quot;007270F5&quot;/&gt;&lt;wsp:rsid wsp:val=&quot;0072787B&quot;/&gt;&lt;wsp:rsid wsp:val=&quot;0073246B&quot;/&gt;&lt;wsp:rsid wsp:val=&quot;00736621&quot;/&gt;&lt;wsp:rsid wsp:val=&quot;00741C0D&quot;/&gt;&lt;wsp:rsid wsp:val=&quot;00743485&quot;/&gt;&lt;wsp:rsid wsp:val=&quot;00745E63&quot;/&gt;&lt;wsp:rsid wsp:val=&quot;0074627C&quot;/&gt;&lt;wsp:rsid wsp:val=&quot;0075006A&quot;/&gt;&lt;wsp:rsid wsp:val=&quot;00751673&quot;/&gt;&lt;wsp:rsid wsp:val=&quot;00752F2D&quot;/&gt;&lt;wsp:rsid wsp:val=&quot;00753187&quot;/&gt;&lt;wsp:rsid wsp:val=&quot;00753280&quot;/&gt;&lt;wsp:rsid wsp:val=&quot;00753959&quot;/&gt;&lt;wsp:rsid wsp:val=&quot;00755933&quot;/&gt;&lt;wsp:rsid wsp:val=&quot;00761DAD&quot;/&gt;&lt;wsp:rsid wsp:val=&quot;00762497&quot;/&gt;&lt;wsp:rsid wsp:val=&quot;00770943&quot;/&gt;&lt;wsp:rsid wsp:val=&quot;00775870&quot;/&gt;&lt;wsp:rsid wsp:val=&quot;00777DA9&quot;/&gt;&lt;wsp:rsid wsp:val=&quot;00785810&quot;/&gt;&lt;wsp:rsid wsp:val=&quot;00790B1A&quot;/&gt;&lt;wsp:rsid wsp:val=&quot;00792973&quot;/&gt;&lt;wsp:rsid wsp:val=&quot;007937D9&quot;/&gt;&lt;wsp:rsid wsp:val=&quot;00794323&quot;/&gt;&lt;wsp:rsid wsp:val=&quot;007A11CC&quot;/&gt;&lt;wsp:rsid wsp:val=&quot;007A150E&quot;/&gt;&lt;wsp:rsid wsp:val=&quot;007A273C&quot;/&gt;&lt;wsp:rsid wsp:val=&quot;007A30B9&quot;/&gt;&lt;wsp:rsid wsp:val=&quot;007A4648&quot;/&gt;&lt;wsp:rsid wsp:val=&quot;007A48EF&quot;/&gt;&lt;wsp:rsid wsp:val=&quot;007A6591&quot;/&gt;&lt;wsp:rsid wsp:val=&quot;007B28A0&quot;/&gt;&lt;wsp:rsid wsp:val=&quot;007B4202&quot;/&gt;&lt;wsp:rsid wsp:val=&quot;007C56D7&quot;/&gt;&lt;wsp:rsid wsp:val=&quot;007D2768&quot;/&gt;&lt;wsp:rsid wsp:val=&quot;007D4E8C&quot;/&gt;&lt;wsp:rsid wsp:val=&quot;007D4FD5&quot;/&gt;&lt;wsp:rsid wsp:val=&quot;007D697A&quot;/&gt;&lt;wsp:rsid wsp:val=&quot;007E484F&quot;/&gt;&lt;wsp:rsid wsp:val=&quot;007E68A0&quot;/&gt;&lt;wsp:rsid wsp:val=&quot;007F3B70&quot;/&gt;&lt;wsp:rsid wsp:val=&quot;007F3F04&quot;/&gt;&lt;wsp:rsid wsp:val=&quot;007F5061&quot;/&gt;&lt;wsp:rsid wsp:val=&quot;007F5E6C&quot;/&gt;&lt;wsp:rsid wsp:val=&quot;008017AA&quot;/&gt;&lt;wsp:rsid wsp:val=&quot;008075F9&quot;/&gt;&lt;wsp:rsid wsp:val=&quot;008076C5&quot;/&gt;&lt;wsp:rsid wsp:val=&quot;008125D8&quot;/&gt;&lt;wsp:rsid wsp:val=&quot;00812F2E&quot;/&gt;&lt;wsp:rsid wsp:val=&quot;008162B7&quot;/&gt;&lt;wsp:rsid wsp:val=&quot;00825A58&quot;/&gt;&lt;wsp:rsid wsp:val=&quot;0082654B&quot;/&gt;&lt;wsp:rsid wsp:val=&quot;00830DDB&quot;/&gt;&lt;wsp:rsid wsp:val=&quot;0084248B&quot;/&gt;&lt;wsp:rsid wsp:val=&quot;00842E3E&quot;/&gt;&lt;wsp:rsid wsp:val=&quot;00846C70&quot;/&gt;&lt;wsp:rsid wsp:val=&quot;00851B00&quot;/&gt;&lt;wsp:rsid wsp:val=&quot;00852A6D&quot;/&gt;&lt;wsp:rsid wsp:val=&quot;00853C9B&quot;/&gt;&lt;wsp:rsid wsp:val=&quot;00856214&quot;/&gt;&lt;wsp:rsid wsp:val=&quot;008602A3&quot;/&gt;&lt;wsp:rsid wsp:val=&quot;008617F2&quot;/&gt;&lt;wsp:rsid wsp:val=&quot;008636BD&quot;/&gt;&lt;wsp:rsid wsp:val=&quot;0086670E&quot;/&gt;&lt;wsp:rsid wsp:val=&quot;00871633&quot;/&gt;&lt;wsp:rsid wsp:val=&quot;0087487F&quot;/&gt;&lt;wsp:rsid wsp:val=&quot;00875571&quot;/&gt;&lt;wsp:rsid wsp:val=&quot;00876EC0&quot;/&gt;&lt;wsp:rsid wsp:val=&quot;008811E3&quot;/&gt;&lt;wsp:rsid wsp:val=&quot;00884CEF&quot;/&gt;&lt;wsp:rsid wsp:val=&quot;008875CB&quot;/&gt;&lt;wsp:rsid wsp:val=&quot;00887990&quot;/&gt;&lt;wsp:rsid wsp:val=&quot;00894E2D&quot;/&gt;&lt;wsp:rsid wsp:val=&quot;008A37C7&quot;/&gt;&lt;wsp:rsid wsp:val=&quot;008A41E8&quot;/&gt;&lt;wsp:rsid wsp:val=&quot;008A4919&quot;/&gt;&lt;wsp:rsid wsp:val=&quot;008B7EDC&quot;/&gt;&lt;wsp:rsid wsp:val=&quot;008C0527&quot;/&gt;&lt;wsp:rsid wsp:val=&quot;008C243F&quot;/&gt;&lt;wsp:rsid wsp:val=&quot;008C33A0&quot;/&gt;&lt;wsp:rsid wsp:val=&quot;008C43FB&quot;/&gt;&lt;wsp:rsid wsp:val=&quot;008C514E&quot;/&gt;&lt;wsp:rsid wsp:val=&quot;008C57FE&quot;/&gt;&lt;wsp:rsid wsp:val=&quot;008D1578&quot;/&gt;&lt;wsp:rsid wsp:val=&quot;008D15D0&quot;/&gt;&lt;wsp:rsid wsp:val=&quot;008D1E41&quot;/&gt;&lt;wsp:rsid wsp:val=&quot;008D2758&quot;/&gt;&lt;wsp:rsid wsp:val=&quot;008D4431&quot;/&gt;&lt;wsp:rsid wsp:val=&quot;008D468C&quot;/&gt;&lt;wsp:rsid wsp:val=&quot;008D49B2&quot;/&gt;&lt;wsp:rsid wsp:val=&quot;008D666C&quot;/&gt;&lt;wsp:rsid wsp:val=&quot;008E51EE&quot;/&gt;&lt;wsp:rsid wsp:val=&quot;008F6010&quot;/&gt;&lt;wsp:rsid wsp:val=&quot;008F6A0B&quot;/&gt;&lt;wsp:rsid wsp:val=&quot;008F6F4F&quot;/&gt;&lt;wsp:rsid wsp:val=&quot;00900093&quot;/&gt;&lt;wsp:rsid wsp:val=&quot;00903B9D&quot;/&gt;&lt;wsp:rsid wsp:val=&quot;009044B2&quot;/&gt;&lt;wsp:rsid wsp:val=&quot;0090483F&quot;/&gt;&lt;wsp:rsid wsp:val=&quot;00910904&quot;/&gt;&lt;wsp:rsid wsp:val=&quot;009201A1&quot;/&gt;&lt;wsp:rsid wsp:val=&quot;00923E16&quot;/&gt;&lt;wsp:rsid wsp:val=&quot;00926C8A&quot;/&gt;&lt;wsp:rsid wsp:val=&quot;009367B7&quot;/&gt;&lt;wsp:rsid wsp:val=&quot;00936C9F&quot;/&gt;&lt;wsp:rsid wsp:val=&quot;00936F73&quot;/&gt;&lt;wsp:rsid wsp:val=&quot;00943D15&quot;/&gt;&lt;wsp:rsid wsp:val=&quot;0094428A&quot;/&gt;&lt;wsp:rsid wsp:val=&quot;009447F9&quot;/&gt;&lt;wsp:rsid wsp:val=&quot;00951A24&quot;/&gt;&lt;wsp:rsid wsp:val=&quot;009523AB&quot;/&gt;&lt;wsp:rsid wsp:val=&quot;00953B1D&quot;/&gt;&lt;wsp:rsid wsp:val=&quot;00957F9B&quot;/&gt;&lt;wsp:rsid wsp:val=&quot;009612D0&quot;/&gt;&lt;wsp:rsid wsp:val=&quot;009647D5&quot;/&gt;&lt;wsp:rsid wsp:val=&quot;00971F5B&quot;/&gt;&lt;wsp:rsid wsp:val=&quot;00975EB0&quot;/&gt;&lt;wsp:rsid wsp:val=&quot;00977221&quot;/&gt;&lt;wsp:rsid wsp:val=&quot;00983EF8&quot;/&gt;&lt;wsp:rsid wsp:val=&quot;00984618&quot;/&gt;&lt;wsp:rsid wsp:val=&quot;00993DD0&quot;/&gt;&lt;wsp:rsid wsp:val=&quot;00994DF1&quot;/&gt;&lt;wsp:rsid wsp:val=&quot;00995172&quot;/&gt;&lt;wsp:rsid wsp:val=&quot;009A6381&quot;/&gt;&lt;wsp:rsid wsp:val=&quot;009A681E&quot;/&gt;&lt;wsp:rsid wsp:val=&quot;009A7F55&quot;/&gt;&lt;wsp:rsid wsp:val=&quot;009B1144&quot;/&gt;&lt;wsp:rsid wsp:val=&quot;009B44A0&quot;/&gt;&lt;wsp:rsid wsp:val=&quot;009B4F95&quot;/&gt;&lt;wsp:rsid wsp:val=&quot;009B6E2E&quot;/&gt;&lt;wsp:rsid wsp:val=&quot;009B73AA&quot;/&gt;&lt;wsp:rsid wsp:val=&quot;009C0B22&quot;/&gt;&lt;wsp:rsid wsp:val=&quot;009C0C4B&quot;/&gt;&lt;wsp:rsid wsp:val=&quot;009C24AD&quot;/&gt;&lt;wsp:rsid wsp:val=&quot;009C2A80&quot;/&gt;&lt;wsp:rsid wsp:val=&quot;009C39DB&quot;/&gt;&lt;wsp:rsid wsp:val=&quot;009C642F&quot;/&gt;&lt;wsp:rsid wsp:val=&quot;009D380A&quot;/&gt;&lt;wsp:rsid wsp:val=&quot;009D4108&quot;/&gt;&lt;wsp:rsid wsp:val=&quot;009D591E&quot;/&gt;&lt;wsp:rsid wsp:val=&quot;009E12A5&quot;/&gt;&lt;wsp:rsid wsp:val=&quot;009E3253&quot;/&gt;&lt;wsp:rsid wsp:val=&quot;009E32A0&quot;/&gt;&lt;wsp:rsid wsp:val=&quot;009E4C4E&quot;/&gt;&lt;wsp:rsid wsp:val=&quot;009E738B&quot;/&gt;&lt;wsp:rsid wsp:val=&quot;009F0982&quot;/&gt;&lt;wsp:rsid wsp:val=&quot;009F0E6D&quot;/&gt;&lt;wsp:rsid wsp:val=&quot;009F27D6&quot;/&gt;&lt;wsp:rsid wsp:val=&quot;009F3101&quot;/&gt;&lt;wsp:rsid wsp:val=&quot;009F3F7C&quot;/&gt;&lt;wsp:rsid wsp:val=&quot;00A005A3&quot;/&gt;&lt;wsp:rsid wsp:val=&quot;00A014F4&quot;/&gt;&lt;wsp:rsid wsp:val=&quot;00A0731C&quot;/&gt;&lt;wsp:rsid wsp:val=&quot;00A07C6F&quot;/&gt;&lt;wsp:rsid wsp:val=&quot;00A12D7F&quot;/&gt;&lt;wsp:rsid wsp:val=&quot;00A13DD1&quot;/&gt;&lt;wsp:rsid wsp:val=&quot;00A13ED6&quot;/&gt;&lt;wsp:rsid wsp:val=&quot;00A1614B&quot;/&gt;&lt;wsp:rsid wsp:val=&quot;00A169C6&quot;/&gt;&lt;wsp:rsid wsp:val=&quot;00A20180&quot;/&gt;&lt;wsp:rsid wsp:val=&quot;00A201A7&quot;/&gt;&lt;wsp:rsid wsp:val=&quot;00A2165C&quot;/&gt;&lt;wsp:rsid wsp:val=&quot;00A26082&quot;/&gt;&lt;wsp:rsid wsp:val=&quot;00A3460F&quot;/&gt;&lt;wsp:rsid wsp:val=&quot;00A41E82&quot;/&gt;&lt;wsp:rsid wsp:val=&quot;00A41F18&quot;/&gt;&lt;wsp:rsid wsp:val=&quot;00A42273&quot;/&gt;&lt;wsp:rsid wsp:val=&quot;00A444DD&quot;/&gt;&lt;wsp:rsid wsp:val=&quot;00A44FAB&quot;/&gt;&lt;wsp:rsid wsp:val=&quot;00A472B4&quot;/&gt;&lt;wsp:rsid wsp:val=&quot;00A51872&quot;/&gt;&lt;wsp:rsid wsp:val=&quot;00A53E1A&quot;/&gt;&lt;wsp:rsid wsp:val=&quot;00A54144&quot;/&gt;&lt;wsp:rsid wsp:val=&quot;00A606E8&quot;/&gt;&lt;wsp:rsid wsp:val=&quot;00A67729&quot;/&gt;&lt;wsp:rsid wsp:val=&quot;00A84BAD&quot;/&gt;&lt;wsp:rsid wsp:val=&quot;00A86236&quot;/&gt;&lt;wsp:rsid wsp:val=&quot;00A86794&quot;/&gt;&lt;wsp:rsid wsp:val=&quot;00A87A75&quot;/&gt;&lt;wsp:rsid wsp:val=&quot;00A9076B&quot;/&gt;&lt;wsp:rsid wsp:val=&quot;00A9082A&quot;/&gt;&lt;wsp:rsid wsp:val=&quot;00A92386&quot;/&gt;&lt;wsp:rsid wsp:val=&quot;00A96FE7&quot;/&gt;&lt;wsp:rsid wsp:val=&quot;00AA1D69&quot;/&gt;&lt;wsp:rsid wsp:val=&quot;00AA4EE7&quot;/&gt;&lt;wsp:rsid wsp:val=&quot;00AA5DA9&quot;/&gt;&lt;wsp:rsid wsp:val=&quot;00AB1DB6&quot;/&gt;&lt;wsp:rsid wsp:val=&quot;00AB1E23&quot;/&gt;&lt;wsp:rsid wsp:val=&quot;00AB733E&quot;/&gt;&lt;wsp:rsid wsp:val=&quot;00AC738E&quot;/&gt;&lt;wsp:rsid wsp:val=&quot;00AD4523&quot;/&gt;&lt;wsp:rsid wsp:val=&quot;00AE0443&quot;/&gt;&lt;wsp:rsid wsp:val=&quot;00AE0BD4&quot;/&gt;&lt;wsp:rsid wsp:val=&quot;00AE2BAF&quot;/&gt;&lt;wsp:rsid wsp:val=&quot;00AE3CF0&quot;/&gt;&lt;wsp:rsid wsp:val=&quot;00AE5CFB&quot;/&gt;&lt;wsp:rsid wsp:val=&quot;00AE6878&quot;/&gt;&lt;wsp:rsid wsp:val=&quot;00AE7CD1&quot;/&gt;&lt;wsp:rsid wsp:val=&quot;00AF685B&quot;/&gt;&lt;wsp:rsid wsp:val=&quot;00AF6C9E&quot;/&gt;&lt;wsp:rsid wsp:val=&quot;00B103D4&quot;/&gt;&lt;wsp:rsid wsp:val=&quot;00B10406&quot;/&gt;&lt;wsp:rsid wsp:val=&quot;00B14680&quot;/&gt;&lt;wsp:rsid wsp:val=&quot;00B166EA&quot;/&gt;&lt;wsp:rsid wsp:val=&quot;00B17044&quot;/&gt;&lt;wsp:rsid wsp:val=&quot;00B21167&quot;/&gt;&lt;wsp:rsid wsp:val=&quot;00B22D13&quot;/&gt;&lt;wsp:rsid wsp:val=&quot;00B24E2B&quot;/&gt;&lt;wsp:rsid wsp:val=&quot;00B260C5&quot;/&gt;&lt;wsp:rsid wsp:val=&quot;00B301AC&quot;/&gt;&lt;wsp:rsid wsp:val=&quot;00B30423&quot;/&gt;&lt;wsp:rsid wsp:val=&quot;00B30E9D&quot;/&gt;&lt;wsp:rsid wsp:val=&quot;00B315F4&quot;/&gt;&lt;wsp:rsid wsp:val=&quot;00B31CED&quot;/&gt;&lt;wsp:rsid wsp:val=&quot;00B31D7A&quot;/&gt;&lt;wsp:rsid wsp:val=&quot;00B31F98&quot;/&gt;&lt;wsp:rsid wsp:val=&quot;00B32452&quot;/&gt;&lt;wsp:rsid wsp:val=&quot;00B34591&quot;/&gt;&lt;wsp:rsid wsp:val=&quot;00B44F2B&quot;/&gt;&lt;wsp:rsid wsp:val=&quot;00B470A0&quot;/&gt;&lt;wsp:rsid wsp:val=&quot;00B57407&quot;/&gt;&lt;wsp:rsid wsp:val=&quot;00B61B78&quot;/&gt;&lt;wsp:rsid wsp:val=&quot;00B64F97&quot;/&gt;&lt;wsp:rsid wsp:val=&quot;00B717EB&quot;/&gt;&lt;wsp:rsid wsp:val=&quot;00B7215C&quot;/&gt;&lt;wsp:rsid wsp:val=&quot;00B7731C&quot;/&gt;&lt;wsp:rsid wsp:val=&quot;00B77705&quot;/&gt;&lt;wsp:rsid wsp:val=&quot;00B81A06&quot;/&gt;&lt;wsp:rsid wsp:val=&quot;00B837AA&quot;/&gt;&lt;wsp:rsid wsp:val=&quot;00B844F4&quot;/&gt;&lt;wsp:rsid wsp:val=&quot;00B85075&quot;/&gt;&lt;wsp:rsid wsp:val=&quot;00B906F2&quot;/&gt;&lt;wsp:rsid wsp:val=&quot;00B90A85&quot;/&gt;&lt;wsp:rsid wsp:val=&quot;00B918F4&quot;/&gt;&lt;wsp:rsid wsp:val=&quot;00B94CB1&quot;/&gt;&lt;wsp:rsid wsp:val=&quot;00BA0C9B&quot;/&gt;&lt;wsp:rsid wsp:val=&quot;00BA6EB7&quot;/&gt;&lt;wsp:rsid wsp:val=&quot;00BB4D00&quot;/&gt;&lt;wsp:rsid wsp:val=&quot;00BB67B1&quot;/&gt;&lt;wsp:rsid wsp:val=&quot;00BC1E5E&quot;/&gt;&lt;wsp:rsid wsp:val=&quot;00BC57A2&quot;/&gt;&lt;wsp:rsid wsp:val=&quot;00BD3EE7&quot;/&gt;&lt;wsp:rsid wsp:val=&quot;00BD4A34&quot;/&gt;&lt;wsp:rsid wsp:val=&quot;00BE0DAC&quot;/&gt;&lt;wsp:rsid wsp:val=&quot;00BE1CF5&quot;/&gt;&lt;wsp:rsid wsp:val=&quot;00BE2A9F&quot;/&gt;&lt;wsp:rsid wsp:val=&quot;00BE5148&quot;/&gt;&lt;wsp:rsid wsp:val=&quot;00BE67A8&quot;/&gt;&lt;wsp:rsid wsp:val=&quot;00BE7045&quot;/&gt;&lt;wsp:rsid wsp:val=&quot;00BF12DE&quot;/&gt;&lt;wsp:rsid wsp:val=&quot;00BF1FFD&quot;/&gt;&lt;wsp:rsid wsp:val=&quot;00BF2AC8&quot;/&gt;&lt;wsp:rsid wsp:val=&quot;00BF6417&quot;/&gt;&lt;wsp:rsid wsp:val=&quot;00C00BFD&quot;/&gt;&lt;wsp:rsid wsp:val=&quot;00C01A29&quot;/&gt;&lt;wsp:rsid wsp:val=&quot;00C06B11&quot;/&gt;&lt;wsp:rsid wsp:val=&quot;00C1433C&quot;/&gt;&lt;wsp:rsid wsp:val=&quot;00C159B9&quot;/&gt;&lt;wsp:rsid wsp:val=&quot;00C17EBF&quot;/&gt;&lt;wsp:rsid wsp:val=&quot;00C2280D&quot;/&gt;&lt;wsp:rsid wsp:val=&quot;00C22BAE&quot;/&gt;&lt;wsp:rsid wsp:val=&quot;00C31F71&quot;/&gt;&lt;wsp:rsid wsp:val=&quot;00C3318E&quot;/&gt;&lt;wsp:rsid wsp:val=&quot;00C36896&quot;/&gt;&lt;wsp:rsid wsp:val=&quot;00C37777&quot;/&gt;&lt;wsp:rsid wsp:val=&quot;00C43DBF&quot;/&gt;&lt;wsp:rsid wsp:val=&quot;00C450AD&quot;/&gt;&lt;wsp:rsid wsp:val=&quot;00C45585&quot;/&gt;&lt;wsp:rsid wsp:val=&quot;00C4753C&quot;/&gt;&lt;wsp:rsid wsp:val=&quot;00C50526&quot;/&gt;&lt;wsp:rsid wsp:val=&quot;00C51888&quot;/&gt;&lt;wsp:rsid wsp:val=&quot;00C53549&quot;/&gt;&lt;wsp:rsid wsp:val=&quot;00C60120&quot;/&gt;&lt;wsp:rsid wsp:val=&quot;00C74A9F&quot;/&gt;&lt;wsp:rsid wsp:val=&quot;00C74BB0&quot;/&gt;&lt;wsp:rsid wsp:val=&quot;00C75602&quot;/&gt;&lt;wsp:rsid wsp:val=&quot;00C7560E&quot;/&gt;&lt;wsp:rsid wsp:val=&quot;00C84773&quot;/&gt;&lt;wsp:rsid wsp:val=&quot;00C95056&quot;/&gt;&lt;wsp:rsid wsp:val=&quot;00C9512F&quot;/&gt;&lt;wsp:rsid wsp:val=&quot;00CA185D&quot;/&gt;&lt;wsp:rsid wsp:val=&quot;00CA32F1&quot;/&gt;&lt;wsp:rsid wsp:val=&quot;00CA3362&quot;/&gt;&lt;wsp:rsid wsp:val=&quot;00CA5F3F&quot;/&gt;&lt;wsp:rsid wsp:val=&quot;00CA6042&quot;/&gt;&lt;wsp:rsid wsp:val=&quot;00CA65EB&quot;/&gt;&lt;wsp:rsid wsp:val=&quot;00CB05F5&quot;/&gt;&lt;wsp:rsid wsp:val=&quot;00CB0B32&quot;/&gt;&lt;wsp:rsid wsp:val=&quot;00CB31A6&quot;/&gt;&lt;wsp:rsid wsp:val=&quot;00CB579F&quot;/&gt;&lt;wsp:rsid wsp:val=&quot;00CC0204&quot;/&gt;&lt;wsp:rsid wsp:val=&quot;00CC046E&quot;/&gt;&lt;wsp:rsid wsp:val=&quot;00CC39E6&quot;/&gt;&lt;wsp:rsid wsp:val=&quot;00CC48CE&quot;/&gt;&lt;wsp:rsid wsp:val=&quot;00CD03AD&quot;/&gt;&lt;wsp:rsid wsp:val=&quot;00CD0764&quot;/&gt;&lt;wsp:rsid wsp:val=&quot;00CD66CC&quot;/&gt;&lt;wsp:rsid wsp:val=&quot;00CD757D&quot;/&gt;&lt;wsp:rsid wsp:val=&quot;00CE07AC&quot;/&gt;&lt;wsp:rsid wsp:val=&quot;00CE6148&quot;/&gt;&lt;wsp:rsid wsp:val=&quot;00CE6FEA&quot;/&gt;&lt;wsp:rsid wsp:val=&quot;00CF50B1&quot;/&gt;&lt;wsp:rsid wsp:val=&quot;00CF69E1&quot;/&gt;&lt;wsp:rsid wsp:val=&quot;00CF799D&quot;/&gt;&lt;wsp:rsid wsp:val=&quot;00D03F30&quot;/&gt;&lt;wsp:rsid wsp:val=&quot;00D03F81&quot;/&gt;&lt;wsp:rsid wsp:val=&quot;00D05501&quot;/&gt;&lt;wsp:rsid wsp:val=&quot;00D10839&quot;/&gt;&lt;wsp:rsid wsp:val=&quot;00D11FEA&quot;/&gt;&lt;wsp:rsid wsp:val=&quot;00D13022&quot;/&gt;&lt;wsp:rsid wsp:val=&quot;00D1580D&quot;/&gt;&lt;wsp:rsid wsp:val=&quot;00D15EFB&quot;/&gt;&lt;wsp:rsid wsp:val=&quot;00D160D1&quot;/&gt;&lt;wsp:rsid wsp:val=&quot;00D20492&quot;/&gt;&lt;wsp:rsid wsp:val=&quot;00D2295B&quot;/&gt;&lt;wsp:rsid wsp:val=&quot;00D26067&quot;/&gt;&lt;wsp:rsid wsp:val=&quot;00D26C14&quot;/&gt;&lt;wsp:rsid wsp:val=&quot;00D31C70&quot;/&gt;&lt;wsp:rsid wsp:val=&quot;00D363A5&quot;/&gt;&lt;wsp:rsid wsp:val=&quot;00D41EC6&quot;/&gt;&lt;wsp:rsid wsp:val=&quot;00D43B3B&quot;/&gt;&lt;wsp:rsid wsp:val=&quot;00D45F32&quot;/&gt;&lt;wsp:rsid wsp:val=&quot;00D471E3&quot;/&gt;&lt;wsp:rsid wsp:val=&quot;00D52B81&quot;/&gt;&lt;wsp:rsid wsp:val=&quot;00D61252&quot;/&gt;&lt;wsp:rsid wsp:val=&quot;00D70B41&quot;/&gt;&lt;wsp:rsid wsp:val=&quot;00D7247B&quot;/&gt;&lt;wsp:rsid wsp:val=&quot;00D73202&quot;/&gt;&lt;wsp:rsid wsp:val=&quot;00D7571D&quot;/&gt;&lt;wsp:rsid wsp:val=&quot;00D8165D&quot;/&gt;&lt;wsp:rsid wsp:val=&quot;00D81BBF&quot;/&gt;&lt;wsp:rsid wsp:val=&quot;00D81E46&quot;/&gt;&lt;wsp:rsid wsp:val=&quot;00D8419F&quot;/&gt;&lt;wsp:rsid wsp:val=&quot;00D84DE0&quot;/&gt;&lt;wsp:rsid wsp:val=&quot;00D85A59&quot;/&gt;&lt;wsp:rsid wsp:val=&quot;00D90426&quot;/&gt;&lt;wsp:rsid wsp:val=&quot;00D9064F&quot;/&gt;&lt;wsp:rsid wsp:val=&quot;00D92731&quot;/&gt;&lt;wsp:rsid wsp:val=&quot;00D935AD&quot;/&gt;&lt;wsp:rsid wsp:val=&quot;00D93957&quot;/&gt;&lt;wsp:rsid wsp:val=&quot;00D9436E&quot;/&gt;&lt;wsp:rsid wsp:val=&quot;00D95433&quot;/&gt;&lt;wsp:rsid wsp:val=&quot;00D955BE&quot;/&gt;&lt;wsp:rsid wsp:val=&quot;00DA257E&quot;/&gt;&lt;wsp:rsid wsp:val=&quot;00DA3E39&quot;/&gt;&lt;wsp:rsid wsp:val=&quot;00DA628B&quot;/&gt;&lt;wsp:rsid wsp:val=&quot;00DA6880&quot;/&gt;&lt;wsp:rsid wsp:val=&quot;00DA715F&quot;/&gt;&lt;wsp:rsid wsp:val=&quot;00DB56AA&quot;/&gt;&lt;wsp:rsid wsp:val=&quot;00DC01A0&quot;/&gt;&lt;wsp:rsid wsp:val=&quot;00DC2201&quot;/&gt;&lt;wsp:rsid wsp:val=&quot;00DC3584&quot;/&gt;&lt;wsp:rsid wsp:val=&quot;00DD2544&quot;/&gt;&lt;wsp:rsid wsp:val=&quot;00DD3521&quot;/&gt;&lt;wsp:rsid wsp:val=&quot;00DE336D&quot;/&gt;&lt;wsp:rsid wsp:val=&quot;00DE5216&quot;/&gt;&lt;wsp:rsid wsp:val=&quot;00DF3B6F&quot;/&gt;&lt;wsp:rsid wsp:val=&quot;00DF4637&quot;/&gt;&lt;wsp:rsid wsp:val=&quot;00DF47DD&quot;/&gt;&lt;wsp:rsid wsp:val=&quot;00DF5044&quot;/&gt;&lt;wsp:rsid wsp:val=&quot;00DF5ED5&quot;/&gt;&lt;wsp:rsid wsp:val=&quot;00E02C5E&quot;/&gt;&lt;wsp:rsid wsp:val=&quot;00E02DEA&quot;/&gt;&lt;wsp:rsid wsp:val=&quot;00E02FBA&quot;/&gt;&lt;wsp:rsid wsp:val=&quot;00E063B2&quot;/&gt;&lt;wsp:rsid wsp:val=&quot;00E155B1&quot;/&gt;&lt;wsp:rsid wsp:val=&quot;00E16067&quot;/&gt;&lt;wsp:rsid wsp:val=&quot;00E22154&quot;/&gt;&lt;wsp:rsid wsp:val=&quot;00E224CB&quot;/&gt;&lt;wsp:rsid wsp:val=&quot;00E23F92&quot;/&gt;&lt;wsp:rsid wsp:val=&quot;00E24180&quot;/&gt;&lt;wsp:rsid wsp:val=&quot;00E26BBD&quot;/&gt;&lt;wsp:rsid wsp:val=&quot;00E2730C&quot;/&gt;&lt;wsp:rsid wsp:val=&quot;00E35504&quot;/&gt;&lt;wsp:rsid wsp:val=&quot;00E41C3E&quot;/&gt;&lt;wsp:rsid wsp:val=&quot;00E44A40&quot;/&gt;&lt;wsp:rsid wsp:val=&quot;00E456F7&quot;/&gt;&lt;wsp:rsid wsp:val=&quot;00E45CE9&quot;/&gt;&lt;wsp:rsid wsp:val=&quot;00E46911&quot;/&gt;&lt;wsp:rsid wsp:val=&quot;00E50F4B&quot;/&gt;&lt;wsp:rsid wsp:val=&quot;00E51E6B&quot;/&gt;&lt;wsp:rsid wsp:val=&quot;00E553C9&quot;/&gt;&lt;wsp:rsid wsp:val=&quot;00E56398&quot;/&gt;&lt;wsp:rsid wsp:val=&quot;00E57398&quot;/&gt;&lt;wsp:rsid wsp:val=&quot;00E6135C&quot;/&gt;&lt;wsp:rsid wsp:val=&quot;00E63A4A&quot;/&gt;&lt;wsp:rsid wsp:val=&quot;00E64843&quot;/&gt;&lt;wsp:rsid wsp:val=&quot;00E670B7&quot;/&gt;&lt;wsp:rsid wsp:val=&quot;00E675B5&quot;/&gt;&lt;wsp:rsid wsp:val=&quot;00E67CBC&quot;/&gt;&lt;wsp:rsid wsp:val=&quot;00E703EE&quot;/&gt;&lt;wsp:rsid wsp:val=&quot;00E7048F&quot;/&gt;&lt;wsp:rsid wsp:val=&quot;00E70EA3&quot;/&gt;&lt;wsp:rsid wsp:val=&quot;00E73211&quot;/&gt;&lt;wsp:rsid wsp:val=&quot;00E8234E&quot;/&gt;&lt;wsp:rsid wsp:val=&quot;00E831B5&quot;/&gt;&lt;wsp:rsid wsp:val=&quot;00E92998&quot;/&gt;&lt;wsp:rsid wsp:val=&quot;00E96C1E&quot;/&gt;&lt;wsp:rsid wsp:val=&quot;00EA22D3&quot;/&gt;&lt;wsp:rsid wsp:val=&quot;00EA3E4B&quot;/&gt;&lt;wsp:rsid wsp:val=&quot;00EA4C1A&quot;/&gt;&lt;wsp:rsid wsp:val=&quot;00EA71AF&quot;/&gt;&lt;wsp:rsid wsp:val=&quot;00EB06BA&quot;/&gt;&lt;wsp:rsid wsp:val=&quot;00EB100A&quot;/&gt;&lt;wsp:rsid wsp:val=&quot;00EB2EC0&quot;/&gt;&lt;wsp:rsid wsp:val=&quot;00EB37F2&quot;/&gt;&lt;wsp:rsid wsp:val=&quot;00EB6975&quot;/&gt;&lt;wsp:rsid wsp:val=&quot;00EC25DA&quot;/&gt;&lt;wsp:rsid wsp:val=&quot;00EC4D23&quot;/&gt;&lt;wsp:rsid wsp:val=&quot;00EC57C5&quot;/&gt;&lt;wsp:rsid wsp:val=&quot;00ED3A5A&quot;/&gt;&lt;wsp:rsid wsp:val=&quot;00ED3C3B&quot;/&gt;&lt;wsp:rsid wsp:val=&quot;00ED6751&quot;/&gt;&lt;wsp:rsid wsp:val=&quot;00ED6E44&quot;/&gt;&lt;wsp:rsid wsp:val=&quot;00EE1A40&quot;/&gt;&lt;wsp:rsid wsp:val=&quot;00EE598D&quot;/&gt;&lt;wsp:rsid wsp:val=&quot;00EF0A1F&quot;/&gt;&lt;wsp:rsid wsp:val=&quot;00EF71B2&quot;/&gt;&lt;wsp:rsid wsp:val=&quot;00F034B1&quot;/&gt;&lt;wsp:rsid wsp:val=&quot;00F07788&quot;/&gt;&lt;wsp:rsid wsp:val=&quot;00F07B3B&quot;/&gt;&lt;wsp:rsid wsp:val=&quot;00F147CB&quot;/&gt;&lt;wsp:rsid wsp:val=&quot;00F15DC9&quot;/&gt;&lt;wsp:rsid wsp:val=&quot;00F17806&quot;/&gt;&lt;wsp:rsid wsp:val=&quot;00F217D6&quot;/&gt;&lt;wsp:rsid wsp:val=&quot;00F2422B&quot;/&gt;&lt;wsp:rsid wsp:val=&quot;00F25938&quot;/&gt;&lt;wsp:rsid wsp:val=&quot;00F27C4F&quot;/&gt;&lt;wsp:rsid wsp:val=&quot;00F33497&quot;/&gt;&lt;wsp:rsid wsp:val=&quot;00F34EA4&quot;/&gt;&lt;wsp:rsid wsp:val=&quot;00F40362&quot;/&gt;&lt;wsp:rsid wsp:val=&quot;00F4094A&quot;/&gt;&lt;wsp:rsid wsp:val=&quot;00F41A0E&quot;/&gt;&lt;wsp:rsid wsp:val=&quot;00F41DD2&quot;/&gt;&lt;wsp:rsid wsp:val=&quot;00F43F45&quot;/&gt;&lt;wsp:rsid wsp:val=&quot;00F467DB&quot;/&gt;&lt;wsp:rsid wsp:val=&quot;00F46E15&quot;/&gt;&lt;wsp:rsid wsp:val=&quot;00F47A9D&quot;/&gt;&lt;wsp:rsid wsp:val=&quot;00F50B82&quot;/&gt;&lt;wsp:rsid wsp:val=&quot;00F522F4&quot;/&gt;&lt;wsp:rsid wsp:val=&quot;00F53046&quot;/&gt;&lt;wsp:rsid wsp:val=&quot;00F54198&quot;/&gt;&lt;wsp:rsid wsp:val=&quot;00F558CB&quot;/&gt;&lt;wsp:rsid wsp:val=&quot;00F5734B&quot;/&gt;&lt;wsp:rsid wsp:val=&quot;00F57AD0&quot;/&gt;&lt;wsp:rsid wsp:val=&quot;00F60F2F&quot;/&gt;&lt;wsp:rsid wsp:val=&quot;00F62BA2&quot;/&gt;&lt;wsp:rsid wsp:val=&quot;00F66CC3&quot;/&gt;&lt;wsp:rsid wsp:val=&quot;00F70BF0&quot;/&gt;&lt;wsp:rsid wsp:val=&quot;00F763A6&quot;/&gt;&lt;wsp:rsid wsp:val=&quot;00F833A3&quot;/&gt;&lt;wsp:rsid wsp:val=&quot;00F83845&quot;/&gt;&lt;wsp:rsid wsp:val=&quot;00F83A6F&quot;/&gt;&lt;wsp:rsid wsp:val=&quot;00F843BA&quot;/&gt;&lt;wsp:rsid wsp:val=&quot;00F86EAF&quot;/&gt;&lt;wsp:rsid wsp:val=&quot;00F8798C&quot;/&gt;&lt;wsp:rsid wsp:val=&quot;00F94B1D&quot;/&gt;&lt;wsp:rsid wsp:val=&quot;00F9653E&quot;/&gt;&lt;wsp:rsid wsp:val=&quot;00F969C7&quot;/&gt;&lt;wsp:rsid wsp:val=&quot;00F97014&quot;/&gt;&lt;wsp:rsid wsp:val=&quot;00FA068F&quot;/&gt;&lt;wsp:rsid wsp:val=&quot;00FA23FD&quot;/&gt;&lt;wsp:rsid wsp:val=&quot;00FA4956&quot;/&gt;&lt;wsp:rsid wsp:val=&quot;00FB0BFF&quot;/&gt;&lt;wsp:rsid wsp:val=&quot;00FB2530&quot;/&gt;&lt;wsp:rsid wsp:val=&quot;00FB2A35&quot;/&gt;&lt;wsp:rsid wsp:val=&quot;00FB32D4&quot;/&gt;&lt;wsp:rsid wsp:val=&quot;00FC0986&quot;/&gt;&lt;wsp:rsid wsp:val=&quot;00FC7CFD&quot;/&gt;&lt;wsp:rsid wsp:val=&quot;00FD007F&quot;/&gt;&lt;wsp:rsid wsp:val=&quot;00FD01F3&quot;/&gt;&lt;wsp:rsid wsp:val=&quot;00FE0DFF&quot;/&gt;&lt;wsp:rsid wsp:val=&quot;00FE1A3C&quot;/&gt;&lt;wsp:rsid wsp:val=&quot;00FE2A13&quot;/&gt;&lt;wsp:rsid wsp:val=&quot;00FF217A&quot;/&gt;&lt;wsp:rsid wsp:val=&quot;00FF22AB&quot;/&gt;&lt;wsp:rsid wsp:val=&quot;00FF2DB2&quot;/&gt;&lt;wsp:rsid wsp:val=&quot;00FF72C5&quot;/&gt;&lt;wsp:rsid wsp:val=&quot;00FF7A23&quot;/&gt;&lt;wsp:rsid wsp:val=&quot;36257002&quot;/&gt;&lt;wsp:rsid wsp:val=&quot;40393C72&quot;/&gt;&lt;wsp:rsid wsp:val=&quot;56725384&quot;/&gt;&lt;wsp:rsid wsp:val=&quot;5DE36CD9&quot;/&gt;&lt;/wsp:rsids&gt;&lt;/w:docPr&gt;&lt;w:body&gt;&lt;wx:sect&gt;&lt;w:p wsp:rsidR=&quot;00000000&quot; wsp:rsidRDefault=&quot;006951CE&quot; wsp:rsidP=&quot;006951CE&quot;&gt;&lt;m:oMathPara&gt;&lt;m:oMath&gt;&lt;m:r&gt;&lt;m:rPr&gt;&lt;m:nor/&gt;&lt;/m:rPr&gt;&lt;w:rPr&gt;&lt;w:color w:val=&quot;000000&quot;/&gt;&lt;w:sz w:val=&quot;22&quot;/&gt;&lt;w:sz-cs w:val=&quot;22&quot;/&gt;&lt;/w:rPr&gt;&lt;m:t&gt;1&lt;/m:t&gt;&lt;/m:r&gt;&lt;m:r&gt;&lt;m:rPr&gt;&lt;m:nor/&gt;&lt;/m:rPr&gt;&lt;w:rPr&gt;&lt;w:sz w:val=&quot;22&quot;/&gt;&lt;w:sz-cs w:val=&quot;22&quot;/&gt;&lt;/w:rPr&gt;&lt;m:t&gt;.&lt;/m:t&gt;&lt;/m:r&gt;&lt;m:r&gt;&lt;m:rPr&gt;&lt;m:nor/&gt;&lt;/m:rPr&gt;&lt;w:rPr&gt;&lt;w:color w:val=&quot;000000&quot;/&gt;&lt;w:sz w:val=&quot;22&quot;/&gt;&lt;w:sz-cs w:val=&quot;22&quot;/&gt;&lt;/w:rPr&gt;&lt;m:t&gt;96√ó&lt;/m:t&gt;&lt;/m:r&gt;&lt;m:rad&gt;&lt;m:radPr&gt;&lt;m:de&lt;/gHide &lt;m&lt;m&lt;mm:val=&quot;1&quot;/&gt;&lt;m:ctrlPr&gt;&lt;w:rPr&gt;&lt;w:rFonts w:ascii=&quot;C22ambria :vMath&quot; w:h-ansi=&quot;Cambria Math&quot;/&gt;&lt;wx:font wm:m:m:x:val=&quot;Cambria Math&quot;/&gt;&lt;w&lt;/:i/&gt;&lt;w:color w:val=&quot;000&gt;&lt; w w w w w w w w w w w000&quot;/&gt;&lt;w:2&quot;sz w0&quot;:va-c-c-c-cl=&quot;22&quot;/&gt;va&lt;w:sz-c2&quot;s w:va:sl=&quot;2cs2&quot;/&gt;&lt;/w:rPr&gt;&lt;/m:ctrlPr&gt;&lt;/m:radPr&gt;&lt;m:deg/&gt;&lt;m:e&gt;&lt;m:r&gt;&lt;m:rPr&gt;&lt;m:nor/&gt;&lt;/m:rPr&gt;&lt;w:rPr&gt;&lt;w:color w:val=&quot;000000&quot;/&gt;&lt;w:sz w:val=&quot;22&quot;/&gt;&lt;w:sz-cs w:val=&quot;22&quot;/&gt;&lt;/w:rPr&gt;&lt;m:t&gt;(n1+n2)/(n1√ón w2) w&lt;/ wm: wt&gt; w&lt;&lt; w// wm: wr&gt; w&lt;/ wm: we&gt;&lt;/m:rad&gt;&lt;2&quot;/&gt;&lt;m:oMath&gt;-c&lt;/-cm:-coM-cath0&quot;Para&gt;va&lt;/w:p&gt;&lt;w:sectPr2&quot; wsp:rsi:sdR=&quot;00cs000000&quot;&gt;&lt;w:pgSz w:w=&quot;&lt;m12240&quot; w:h=&quot;15840&quot;m:/&gt;r&gt;&lt;w&lt;m:pgMar w:top=&quot;1440&quot; w:right=&quot;1440&quot; w:bottom=&quot;14&lt;w40&quot;00 w:left=&quot;1440&quot; w:header=&quot;720&quot; w:footer=&quot;720&quot; w:gutr&gt;te&lt;mr=:t&quot;0&quot;/&gt;&lt;w:cols w:space=&quot;720&quot;/&gt;&lt;/w:sectPr&gt;&lt;/wx:sect&gt;&lt;/w:body&gt;&lt;/w:wordDocument&gt;">
            <v:imagedata r:id="rId9" o:title="" chromakey="white"/>
          </v:shape>
        </w:pict>
      </w:r>
      <w:r>
        <w:rPr>
          <w:color w:val="000000"/>
          <w:sz w:val="20"/>
          <w:szCs w:val="20"/>
        </w:rPr>
        <w:instrText xml:space="preserve"> </w:instrText>
      </w:r>
      <w:r>
        <w:rPr>
          <w:color w:val="000000"/>
          <w:sz w:val="20"/>
          <w:szCs w:val="20"/>
        </w:rPr>
        <w:fldChar w:fldCharType="end"/>
      </w:r>
      <w:r>
        <w:rPr>
          <w:color w:val="000000"/>
          <w:sz w:val="20"/>
          <w:szCs w:val="20"/>
        </w:rPr>
        <w:t xml:space="preserve"> will be considered imbalanced between the two groups and adjusted for in </w:t>
      </w:r>
      <w:r>
        <w:rPr>
          <w:sz w:val="20"/>
          <w:szCs w:val="20"/>
        </w:rPr>
        <w:t>all analyses if considered necessary.</w:t>
      </w:r>
    </w:p>
    <w:p w14:paraId="20ED4714" w14:textId="77777777" w:rsidR="00555164" w:rsidRDefault="00555164">
      <w:pPr>
        <w:pStyle w:val="ad"/>
        <w:spacing w:beforeLines="50" w:before="120" w:beforeAutospacing="0" w:afterLines="50" w:after="120" w:afterAutospacing="0"/>
        <w:rPr>
          <w:rFonts w:eastAsiaTheme="minorEastAsia"/>
          <w:sz w:val="20"/>
          <w:szCs w:val="20"/>
        </w:rPr>
      </w:pPr>
    </w:p>
    <w:p w14:paraId="49CC9651" w14:textId="77777777" w:rsidR="00555164" w:rsidRDefault="002C73C0">
      <w:pPr>
        <w:pStyle w:val="af9"/>
        <w:snapToGrid w:val="0"/>
        <w:spacing w:beforeLines="50" w:before="120" w:afterLines="50" w:after="120"/>
        <w:jc w:val="left"/>
        <w:rPr>
          <w:b/>
          <w:bCs/>
          <w:i/>
          <w:iCs/>
          <w:kern w:val="28"/>
          <w:sz w:val="20"/>
          <w:szCs w:val="20"/>
        </w:rPr>
      </w:pPr>
      <w:r>
        <w:rPr>
          <w:b/>
          <w:bCs/>
          <w:i/>
          <w:iCs/>
          <w:color w:val="333333"/>
          <w:sz w:val="20"/>
          <w:szCs w:val="20"/>
          <w:shd w:val="clear" w:color="auto" w:fill="FFFFFF"/>
        </w:rPr>
        <w:t xml:space="preserve">13.4 </w:t>
      </w:r>
      <w:r>
        <w:rPr>
          <w:b/>
          <w:bCs/>
          <w:i/>
          <w:iCs/>
          <w:sz w:val="20"/>
          <w:szCs w:val="20"/>
        </w:rPr>
        <w:t>Intra- and postoperative variables</w:t>
      </w:r>
    </w:p>
    <w:p w14:paraId="48AF8947" w14:textId="77777777" w:rsidR="00555164" w:rsidRDefault="002C73C0">
      <w:pPr>
        <w:pStyle w:val="ad"/>
        <w:snapToGrid w:val="0"/>
        <w:spacing w:beforeLines="50" w:before="120" w:beforeAutospacing="0" w:afterLines="50" w:after="120" w:afterAutospacing="0"/>
        <w:rPr>
          <w:rFonts w:eastAsiaTheme="minorEastAsia"/>
          <w:sz w:val="20"/>
          <w:szCs w:val="20"/>
        </w:rPr>
      </w:pPr>
      <w:r>
        <w:rPr>
          <w:rFonts w:eastAsiaTheme="minorEastAsia"/>
          <w:sz w:val="20"/>
          <w:szCs w:val="20"/>
        </w:rPr>
        <w:t xml:space="preserve">Numeric variables will be analyzed using the independent-samples t test or Mann-Whitney U test; categorical variables will be analyzed using the chi square test, continuity correction chi square test or Fisher exact test. Missing data will not be replaced. </w:t>
      </w:r>
    </w:p>
    <w:p w14:paraId="11323932" w14:textId="77777777" w:rsidR="00555164" w:rsidRDefault="00555164">
      <w:pPr>
        <w:pStyle w:val="ad"/>
        <w:spacing w:beforeLines="50" w:before="120" w:beforeAutospacing="0" w:afterLines="50" w:after="120" w:afterAutospacing="0"/>
        <w:rPr>
          <w:rFonts w:eastAsiaTheme="minorEastAsia"/>
          <w:sz w:val="20"/>
          <w:szCs w:val="20"/>
        </w:rPr>
      </w:pPr>
    </w:p>
    <w:p w14:paraId="4EC8E2D1"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13.5 Efficacy analysis </w:t>
      </w:r>
    </w:p>
    <w:p w14:paraId="0BB259D9" w14:textId="77777777" w:rsidR="00555164" w:rsidRDefault="002C73C0">
      <w:pPr>
        <w:pStyle w:val="ad"/>
        <w:spacing w:beforeLines="50" w:before="120" w:beforeAutospacing="0" w:afterLines="50" w:after="120" w:afterAutospacing="0"/>
        <w:rPr>
          <w:sz w:val="20"/>
          <w:szCs w:val="20"/>
        </w:rPr>
      </w:pPr>
      <w:r>
        <w:rPr>
          <w:sz w:val="20"/>
          <w:szCs w:val="20"/>
        </w:rPr>
        <w:t xml:space="preserve">13.5.1 Evaluation of primary endpoint </w:t>
      </w:r>
    </w:p>
    <w:p w14:paraId="542D9F37" w14:textId="77777777" w:rsidR="00555164" w:rsidRDefault="002C73C0">
      <w:pPr>
        <w:pStyle w:val="ad"/>
        <w:spacing w:beforeLines="50" w:before="120" w:beforeAutospacing="0" w:afterLines="50" w:after="120" w:afterAutospacing="0"/>
        <w:rPr>
          <w:sz w:val="20"/>
          <w:szCs w:val="20"/>
        </w:rPr>
      </w:pPr>
      <w:r>
        <w:rPr>
          <w:sz w:val="20"/>
          <w:szCs w:val="20"/>
        </w:rPr>
        <w:t xml:space="preserve">13.5.1.1 The incidence of delirium within 7 days after surgery will be calculated. Comparison between groups will be performed with Chi-Squared test. The difference of risk for postoperative delirium between two groups will be expressed as relative risk (RR) and 95% CI. For patients with missing data due to early hospital discharge or death, the last delirium assessment results will be considered as the missing data when calculating the incidence of delirium within 7 postoperative days. </w:t>
      </w:r>
    </w:p>
    <w:p w14:paraId="7541E276" w14:textId="77777777" w:rsidR="00555164" w:rsidRDefault="002C73C0">
      <w:pPr>
        <w:pStyle w:val="ad"/>
        <w:spacing w:beforeLines="50" w:before="120" w:beforeAutospacing="0" w:afterLines="50" w:after="120" w:afterAutospacing="0"/>
        <w:rPr>
          <w:sz w:val="20"/>
          <w:szCs w:val="20"/>
        </w:rPr>
      </w:pPr>
      <w:r>
        <w:rPr>
          <w:sz w:val="20"/>
          <w:szCs w:val="20"/>
        </w:rPr>
        <w:t>13.5.1.2 Unadjusted relative risks and corresponding 95% CI are calculated to assess the treatment effect in predefined subgroups. The interactions between the treatment effect and each predefined factor will be assessed separately using logistic regression. The predefined factors include study center (center 1 vs. others), age (&lt;70 years vs. ≥70 years), sex (female vs. male), education (≤9 years vs. &gt;9 years), body mass index (≤24 kg/m</w:t>
      </w:r>
      <w:r>
        <w:rPr>
          <w:sz w:val="20"/>
          <w:szCs w:val="20"/>
          <w:vertAlign w:val="superscript"/>
        </w:rPr>
        <w:t>2</w:t>
      </w:r>
      <w:r>
        <w:rPr>
          <w:sz w:val="20"/>
          <w:szCs w:val="20"/>
        </w:rPr>
        <w:t xml:space="preserve"> vs. &gt;24 kg/m</w:t>
      </w:r>
      <w:r>
        <w:rPr>
          <w:sz w:val="20"/>
          <w:szCs w:val="20"/>
          <w:vertAlign w:val="superscript"/>
        </w:rPr>
        <w:t>2</w:t>
      </w:r>
      <w:r>
        <w:rPr>
          <w:sz w:val="20"/>
          <w:szCs w:val="20"/>
        </w:rPr>
        <w:t>), duration of surgery (&lt;240 min vs. ≥240 min), location of surgery (thoracic vs. abdominal), type of surgery (mini-invasive vs. open)</w:t>
      </w:r>
      <w:r>
        <w:rPr>
          <w:rFonts w:eastAsia="宋体"/>
          <w:sz w:val="20"/>
          <w:szCs w:val="20"/>
        </w:rPr>
        <w:t>,</w:t>
      </w:r>
      <w:r>
        <w:rPr>
          <w:sz w:val="20"/>
          <w:szCs w:val="20"/>
        </w:rPr>
        <w:t xml:space="preserve"> and ICU admission (no vs. yes). The relative risk (95% CI) for each subgroup and the p values of treat-by-covariate interactions will be displayed in a forest plot. </w:t>
      </w:r>
    </w:p>
    <w:p w14:paraId="7B99AEC4" w14:textId="77777777" w:rsidR="00555164" w:rsidRDefault="002C73C0">
      <w:pPr>
        <w:pStyle w:val="ad"/>
        <w:spacing w:beforeLines="50" w:before="120" w:beforeAutospacing="0" w:afterLines="50" w:after="120" w:afterAutospacing="0"/>
        <w:rPr>
          <w:sz w:val="20"/>
          <w:szCs w:val="20"/>
        </w:rPr>
      </w:pPr>
      <w:r>
        <w:rPr>
          <w:sz w:val="20"/>
          <w:szCs w:val="20"/>
        </w:rPr>
        <w:t xml:space="preserve">13.5.2 Evaluation of secondary endpoints </w:t>
      </w:r>
    </w:p>
    <w:p w14:paraId="51D2969B" w14:textId="77777777" w:rsidR="00555164" w:rsidRDefault="002C73C0">
      <w:pPr>
        <w:pStyle w:val="ad"/>
        <w:spacing w:beforeLines="50" w:before="120" w:beforeAutospacing="0" w:afterLines="50" w:after="120" w:afterAutospacing="0"/>
        <w:rPr>
          <w:sz w:val="20"/>
          <w:szCs w:val="20"/>
        </w:rPr>
      </w:pPr>
      <w:r>
        <w:rPr>
          <w:sz w:val="20"/>
          <w:szCs w:val="20"/>
        </w:rPr>
        <w:t>13.5.2.1 Time‐to‐event variables (time to onset of delirium, time to extubation, length of stay in ICU, time to resume fluid/food intake, length of stay in hospital after surgery) will be calculated with the Kaplan-Meier estimator, with differences between groups assessed by the log-rank test. The estimates hazard ratio (HR) and 95% CI will be provided. Patients who die within 30 days after surgery will be censored at the time of death.</w:t>
      </w:r>
    </w:p>
    <w:p w14:paraId="16E88676" w14:textId="77777777" w:rsidR="00555164" w:rsidRDefault="002C73C0">
      <w:pPr>
        <w:pStyle w:val="ad"/>
        <w:spacing w:beforeLines="50" w:before="120" w:beforeAutospacing="0" w:afterLines="50" w:after="120" w:afterAutospacing="0"/>
        <w:rPr>
          <w:sz w:val="20"/>
          <w:szCs w:val="20"/>
        </w:rPr>
      </w:pPr>
      <w:r>
        <w:rPr>
          <w:sz w:val="20"/>
          <w:szCs w:val="20"/>
        </w:rPr>
        <w:t xml:space="preserve">13.5.2.2 Categorical variables (percentage with endotracheal intubation at ICU admission, incidence of non-delirium complications within 30 days, 30-day all-cause mortality rate, percentage with moderate to severe pain, and percentage of motoric delirium subtypes) will be analyzed using the Chi-Square test, continuity correction Chi-Square test or Fisher exact test. The estimated relative risk (RR) and 95% CI will be provided when </w:t>
      </w:r>
      <w:r>
        <w:rPr>
          <w:rFonts w:eastAsiaTheme="minorEastAsia"/>
          <w:sz w:val="20"/>
          <w:szCs w:val="20"/>
        </w:rPr>
        <w:t>possible</w:t>
      </w:r>
      <w:r>
        <w:rPr>
          <w:sz w:val="20"/>
          <w:szCs w:val="20"/>
        </w:rPr>
        <w:t xml:space="preserve">. Missing data will not be replaced. </w:t>
      </w:r>
    </w:p>
    <w:p w14:paraId="717B21A6" w14:textId="77777777" w:rsidR="00555164" w:rsidRDefault="002C73C0">
      <w:pPr>
        <w:pStyle w:val="ad"/>
        <w:spacing w:beforeLines="50" w:before="120" w:beforeAutospacing="0" w:afterLines="50" w:after="120" w:afterAutospacing="0"/>
        <w:rPr>
          <w:rFonts w:eastAsia="等线"/>
          <w:sz w:val="20"/>
          <w:szCs w:val="20"/>
        </w:rPr>
      </w:pPr>
      <w:r>
        <w:rPr>
          <w:sz w:val="20"/>
          <w:szCs w:val="20"/>
        </w:rPr>
        <w:t xml:space="preserve">13.5.2.3 </w:t>
      </w:r>
      <w:r>
        <w:rPr>
          <w:rFonts w:eastAsia="等线"/>
          <w:sz w:val="20"/>
          <w:szCs w:val="20"/>
        </w:rPr>
        <w:t xml:space="preserve">Numeric variable (NRS pain score, APACHE II score at ICU admission, serum concentrations of cortisol, IL-6 and IL-8 [sub-study]) will be analyzed using the independent-samples t test or Mann-Whitney U test. The mean/median difference and 95% CI will be provided. The difference between two medians (and 95% CI) will be calculated with the Hodges-Lehmann estimator. Missing data will not be replaced.  </w:t>
      </w:r>
    </w:p>
    <w:p w14:paraId="1BC6D3C5" w14:textId="77777777" w:rsidR="00555164" w:rsidRDefault="00555164">
      <w:pPr>
        <w:pStyle w:val="ad"/>
        <w:spacing w:beforeLines="50" w:before="120" w:beforeAutospacing="0" w:afterLines="50" w:after="120" w:afterAutospacing="0"/>
        <w:rPr>
          <w:rFonts w:eastAsia="等线"/>
          <w:sz w:val="20"/>
          <w:szCs w:val="20"/>
        </w:rPr>
      </w:pPr>
    </w:p>
    <w:p w14:paraId="35B6E6C9" w14:textId="77777777" w:rsidR="00555164" w:rsidRDefault="002C73C0">
      <w:pPr>
        <w:pStyle w:val="ad"/>
        <w:spacing w:beforeLines="50" w:before="120" w:beforeAutospacing="0" w:afterLines="50" w:after="120" w:afterAutospacing="0"/>
        <w:rPr>
          <w:rFonts w:eastAsia="等线"/>
          <w:b/>
          <w:bCs/>
          <w:i/>
          <w:iCs/>
          <w:sz w:val="20"/>
          <w:szCs w:val="20"/>
        </w:rPr>
      </w:pPr>
      <w:r>
        <w:rPr>
          <w:rFonts w:eastAsia="等线"/>
          <w:b/>
          <w:bCs/>
          <w:i/>
          <w:iCs/>
          <w:sz w:val="20"/>
          <w:szCs w:val="20"/>
        </w:rPr>
        <w:t>13.6 Safety analysis</w:t>
      </w:r>
    </w:p>
    <w:p w14:paraId="44C08C07"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13.6.1 Describe the occurrence of adverse events in each group.</w:t>
      </w:r>
    </w:p>
    <w:p w14:paraId="29C8CEAC"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13.6.2 Describe the management of adverse events when appropriate.</w:t>
      </w:r>
    </w:p>
    <w:p w14:paraId="17AD6611"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 xml:space="preserve">13.6.3 Describe the occurrence of severe adverse events. </w:t>
      </w:r>
    </w:p>
    <w:p w14:paraId="72315BE3"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 xml:space="preserve">13.6.4 The rates of adverse events and/or managements between the two groups will be compared with Chi-Square test, continuity correction Chi-Square test or Fisher exact test. </w:t>
      </w:r>
    </w:p>
    <w:p w14:paraId="6A9EF8C4"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lastRenderedPageBreak/>
        <w:t xml:space="preserve">13.6.5 Missing data will not be replaced. </w:t>
      </w:r>
    </w:p>
    <w:p w14:paraId="6FBA6738" w14:textId="77777777" w:rsidR="00555164" w:rsidRDefault="00555164">
      <w:pPr>
        <w:pStyle w:val="ad"/>
        <w:spacing w:beforeLines="50" w:before="120" w:beforeAutospacing="0" w:afterLines="50" w:after="120" w:afterAutospacing="0"/>
        <w:rPr>
          <w:rFonts w:eastAsia="等线"/>
          <w:sz w:val="20"/>
          <w:szCs w:val="20"/>
        </w:rPr>
      </w:pPr>
    </w:p>
    <w:p w14:paraId="5D16BE63" w14:textId="77777777" w:rsidR="00555164" w:rsidRDefault="002C73C0">
      <w:pPr>
        <w:pStyle w:val="ad"/>
        <w:spacing w:beforeLines="50" w:before="120" w:beforeAutospacing="0" w:afterLines="50" w:after="120" w:afterAutospacing="0"/>
        <w:outlineLvl w:val="0"/>
        <w:rPr>
          <w:b/>
          <w:sz w:val="20"/>
          <w:szCs w:val="20"/>
        </w:rPr>
      </w:pPr>
      <w:bookmarkStart w:id="152" w:name="_Toc44754982"/>
      <w:bookmarkStart w:id="153" w:name="_Toc44755884"/>
      <w:bookmarkStart w:id="154" w:name="_Toc44796191"/>
      <w:bookmarkStart w:id="155" w:name="_Toc44756030"/>
      <w:bookmarkStart w:id="156" w:name="_Toc44756145"/>
      <w:r>
        <w:rPr>
          <w:b/>
          <w:sz w:val="20"/>
          <w:szCs w:val="20"/>
        </w:rPr>
        <w:t>14. Quality control and quality assurance</w:t>
      </w:r>
      <w:bookmarkEnd w:id="152"/>
      <w:bookmarkEnd w:id="153"/>
      <w:bookmarkEnd w:id="154"/>
      <w:bookmarkEnd w:id="155"/>
      <w:bookmarkEnd w:id="156"/>
      <w:r>
        <w:rPr>
          <w:b/>
          <w:sz w:val="20"/>
          <w:szCs w:val="20"/>
        </w:rPr>
        <w:t xml:space="preserve"> </w:t>
      </w:r>
    </w:p>
    <w:p w14:paraId="4C92BD4C" w14:textId="77777777" w:rsidR="00555164" w:rsidRDefault="00555164">
      <w:pPr>
        <w:pStyle w:val="ad"/>
        <w:spacing w:beforeLines="50" w:before="120" w:beforeAutospacing="0" w:afterLines="50" w:after="120" w:afterAutospacing="0"/>
        <w:rPr>
          <w:b/>
          <w:sz w:val="20"/>
          <w:szCs w:val="20"/>
        </w:rPr>
      </w:pPr>
    </w:p>
    <w:p w14:paraId="3474E494" w14:textId="77777777" w:rsidR="00555164" w:rsidRDefault="002C73C0">
      <w:pPr>
        <w:pStyle w:val="ad"/>
        <w:spacing w:beforeLines="50" w:before="120" w:beforeAutospacing="0" w:afterLines="50" w:after="120" w:afterAutospacing="0"/>
        <w:rPr>
          <w:b/>
          <w:i/>
          <w:sz w:val="20"/>
          <w:szCs w:val="20"/>
        </w:rPr>
      </w:pPr>
      <w:r>
        <w:rPr>
          <w:b/>
          <w:i/>
          <w:sz w:val="20"/>
          <w:szCs w:val="20"/>
        </w:rPr>
        <w:t>14.1 Training for investigators</w:t>
      </w:r>
    </w:p>
    <w:p w14:paraId="0371BEB0" w14:textId="77777777" w:rsidR="00555164" w:rsidRDefault="002C73C0">
      <w:pPr>
        <w:pStyle w:val="ad"/>
        <w:spacing w:beforeLines="50" w:before="120" w:beforeAutospacing="0" w:afterLines="50" w:after="120" w:afterAutospacing="0"/>
        <w:rPr>
          <w:bCs/>
          <w:iCs/>
          <w:sz w:val="20"/>
          <w:szCs w:val="20"/>
        </w:rPr>
      </w:pPr>
      <w:r>
        <w:rPr>
          <w:bCs/>
          <w:iCs/>
          <w:sz w:val="20"/>
          <w:szCs w:val="20"/>
        </w:rPr>
        <w:t xml:space="preserve">14.1.1 An investigator training program will be designed by the </w:t>
      </w:r>
      <w:proofErr w:type="gramStart"/>
      <w:r>
        <w:rPr>
          <w:bCs/>
          <w:iCs/>
          <w:sz w:val="20"/>
          <w:szCs w:val="20"/>
        </w:rPr>
        <w:t>principle</w:t>
      </w:r>
      <w:proofErr w:type="gramEnd"/>
      <w:r>
        <w:rPr>
          <w:bCs/>
          <w:iCs/>
          <w:sz w:val="20"/>
          <w:szCs w:val="20"/>
        </w:rPr>
        <w:t xml:space="preserve"> investigator. A study coordinator will be designated to organize and implement the training program, and to record and preserve the related documents. </w:t>
      </w:r>
    </w:p>
    <w:p w14:paraId="3DAD0CE7" w14:textId="77777777" w:rsidR="00555164" w:rsidRDefault="002C73C0">
      <w:pPr>
        <w:pStyle w:val="ad"/>
        <w:spacing w:beforeLines="50" w:before="120" w:beforeAutospacing="0" w:afterLines="50" w:after="120" w:afterAutospacing="0"/>
        <w:rPr>
          <w:bCs/>
          <w:iCs/>
          <w:sz w:val="20"/>
          <w:szCs w:val="20"/>
        </w:rPr>
      </w:pPr>
      <w:r>
        <w:rPr>
          <w:bCs/>
          <w:iCs/>
          <w:sz w:val="20"/>
          <w:szCs w:val="20"/>
        </w:rPr>
        <w:t xml:space="preserve">14.1.2 Investigator training will be performed during the month before starting the study. </w:t>
      </w:r>
    </w:p>
    <w:p w14:paraId="32D4BEC7" w14:textId="77777777" w:rsidR="00555164" w:rsidRDefault="002C73C0">
      <w:pPr>
        <w:pStyle w:val="ad"/>
        <w:spacing w:beforeLines="50" w:before="120" w:beforeAutospacing="0" w:afterLines="50" w:after="120" w:afterAutospacing="0"/>
        <w:rPr>
          <w:bCs/>
          <w:iCs/>
          <w:sz w:val="20"/>
          <w:szCs w:val="20"/>
        </w:rPr>
      </w:pPr>
      <w:r>
        <w:rPr>
          <w:bCs/>
          <w:iCs/>
          <w:sz w:val="20"/>
          <w:szCs w:val="20"/>
        </w:rPr>
        <w:t xml:space="preserve">14.1.2.1 Delirium assessment will be trained by psychiatrists. Investigators who are in charge of delirium assessment in each study center (at least two investigators in each center) must attend the training program and pass the examination. The training program includes lectures on the clinical manifestations, potential mechanisms, diagnosis and treatment of delirium, a lecture explaining the use of the CAM-ICU, and simulating training courses with patient-actors for delirium assessment with the CAM-ICU. The simulating training will continue until the agreements of delirium diagnoses between psychiatrists and investigators reach &gt;99%. </w:t>
      </w:r>
    </w:p>
    <w:p w14:paraId="26A7AF5D" w14:textId="77777777" w:rsidR="00555164" w:rsidRDefault="002C73C0">
      <w:pPr>
        <w:pStyle w:val="ad"/>
        <w:spacing w:beforeLines="50" w:before="120" w:beforeAutospacing="0" w:afterLines="50" w:after="120" w:afterAutospacing="0"/>
        <w:rPr>
          <w:bCs/>
          <w:iCs/>
          <w:sz w:val="20"/>
          <w:szCs w:val="20"/>
        </w:rPr>
      </w:pPr>
      <w:r>
        <w:rPr>
          <w:bCs/>
          <w:iCs/>
          <w:sz w:val="20"/>
          <w:szCs w:val="20"/>
        </w:rPr>
        <w:t xml:space="preserve">14.1.2.2 Other training contents that must be finished before starting the study include the Good Clinical Practice principles, the study protocol, the standard operating procedures of the study, the working plan of the study, the instruction for the case report form, and other matters needing attention during the study (collection of blood samples, allowed and prohibited medications, etc.). </w:t>
      </w:r>
    </w:p>
    <w:p w14:paraId="09FF38D0" w14:textId="77777777" w:rsidR="00555164" w:rsidRDefault="002C73C0">
      <w:pPr>
        <w:pStyle w:val="ad"/>
        <w:spacing w:beforeLines="50" w:before="120" w:beforeAutospacing="0" w:afterLines="50" w:after="120" w:afterAutospacing="0"/>
        <w:rPr>
          <w:bCs/>
          <w:iCs/>
          <w:sz w:val="20"/>
          <w:szCs w:val="20"/>
        </w:rPr>
      </w:pPr>
      <w:r>
        <w:rPr>
          <w:bCs/>
          <w:iCs/>
          <w:sz w:val="20"/>
          <w:szCs w:val="20"/>
        </w:rPr>
        <w:t>14.1.3 The training program will be repeated 2-3 times a year throughout the study period, or will be performed whenever necessary.</w:t>
      </w:r>
    </w:p>
    <w:p w14:paraId="1F33359E" w14:textId="77777777" w:rsidR="00555164" w:rsidRDefault="00555164">
      <w:pPr>
        <w:pStyle w:val="ad"/>
        <w:spacing w:beforeLines="50" w:before="120" w:beforeAutospacing="0" w:afterLines="50" w:after="120" w:afterAutospacing="0"/>
        <w:rPr>
          <w:bCs/>
          <w:iCs/>
          <w:sz w:val="20"/>
          <w:szCs w:val="20"/>
        </w:rPr>
      </w:pPr>
    </w:p>
    <w:p w14:paraId="0A9CAEC4" w14:textId="77777777" w:rsidR="00555164" w:rsidRDefault="002C73C0">
      <w:pPr>
        <w:pStyle w:val="ad"/>
        <w:spacing w:beforeLines="50" w:before="120" w:beforeAutospacing="0" w:afterLines="50" w:after="120" w:afterAutospacing="0"/>
        <w:rPr>
          <w:rFonts w:eastAsia="等线"/>
          <w:b/>
          <w:i/>
          <w:sz w:val="20"/>
          <w:szCs w:val="20"/>
        </w:rPr>
      </w:pPr>
      <w:r>
        <w:rPr>
          <w:rFonts w:eastAsia="等线"/>
          <w:b/>
          <w:i/>
          <w:sz w:val="20"/>
          <w:szCs w:val="20"/>
        </w:rPr>
        <w:t>14.2 Monitoring of study conduct</w:t>
      </w:r>
    </w:p>
    <w:p w14:paraId="37E949CE"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 xml:space="preserve">14.2.1 The study will be monitored by the Peking University Clinical Research Institute. </w:t>
      </w:r>
    </w:p>
    <w:p w14:paraId="0BC12AF2"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 xml:space="preserve">14.2.2 A project specialist will be designated by the Peking University Clinical Research Institute and will verify that the conduct of the study, the record of data and the analysis are in accord with the study protocol and related regulations. Investigators should cooperate with the project specialist. </w:t>
      </w:r>
    </w:p>
    <w:p w14:paraId="0C9947DB"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 xml:space="preserve">14.2.3 Before and during the study period, the project specialist will go to the study centers for initiation inspection, regular inspection, and end of study inspection. The project specialist will schedule the time of inspection but at least one inspection will be performed after recruiting the first three participants, and at least once every 12 weeks for the </w:t>
      </w:r>
      <w:proofErr w:type="gramStart"/>
      <w:r>
        <w:rPr>
          <w:rFonts w:eastAsia="等线"/>
          <w:bCs/>
          <w:iCs/>
          <w:sz w:val="20"/>
          <w:szCs w:val="20"/>
        </w:rPr>
        <w:t>principle</w:t>
      </w:r>
      <w:proofErr w:type="gramEnd"/>
      <w:r>
        <w:rPr>
          <w:rFonts w:eastAsia="等线"/>
          <w:bCs/>
          <w:iCs/>
          <w:sz w:val="20"/>
          <w:szCs w:val="20"/>
        </w:rPr>
        <w:t xml:space="preserve"> study center and every 24 weeks for the participating centers. </w:t>
      </w:r>
    </w:p>
    <w:p w14:paraId="6F664A0A"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14.2.4 The contents of inspection include the following:</w:t>
      </w:r>
    </w:p>
    <w:p w14:paraId="4233454A"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14.2.4.1 To verify that investigators are designated and completed the training program.</w:t>
      </w:r>
    </w:p>
    <w:p w14:paraId="43F5F1D6"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 xml:space="preserve">14.2.4.2 To verify the authenticity of participants, and the process to obtain written informed consents. </w:t>
      </w:r>
    </w:p>
    <w:p w14:paraId="4D4B834C"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14.2.4.3 To verify the eligibility of participants. For the first three participants recruited in each center, 100% of the original data of will be checked and verified.</w:t>
      </w:r>
    </w:p>
    <w:p w14:paraId="64F8CB4E"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14.2.4.4 To verify the correctness of the randomization procedure.</w:t>
      </w:r>
    </w:p>
    <w:p w14:paraId="379C613A"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14.2.4.5 To verify that the follow-ups and assessments are performed according to the study protocol.</w:t>
      </w:r>
    </w:p>
    <w:p w14:paraId="054ACB83"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14.2.4.6 Original data will be inspected in at least 5% of the recruited participants. Original data of the primary outcome will be inspected in 100% of the recruited participants.</w:t>
      </w:r>
    </w:p>
    <w:p w14:paraId="216E011C"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14.2.4.7 To verify that all severe adverse events are reported to the Ethics Committee according to the study protocol. The original data of all severe adverse events will be inspected.</w:t>
      </w:r>
    </w:p>
    <w:p w14:paraId="142D6292"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14.2.4.8 To verify the transport, dissemination and retrieve of study drugs, and the records of storage and return of study drugs.</w:t>
      </w:r>
    </w:p>
    <w:p w14:paraId="2C2B34E3"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 xml:space="preserve">14.2.4.9 To verify that the blood samples are collected and stored according to the study protocol and the standard operating procedures. </w:t>
      </w:r>
    </w:p>
    <w:p w14:paraId="1098A4A3"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lastRenderedPageBreak/>
        <w:t>14.2.4.10 To verify that the revised study protocol, participant-related documents, report of severe adverse events, and annual summary report are submitted to the Ethics Committee timely by the investigators for approval or record.</w:t>
      </w:r>
    </w:p>
    <w:p w14:paraId="4AF0AF38"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14.2.4.11 To verify the preservation of study-related documents and original data.</w:t>
      </w:r>
    </w:p>
    <w:p w14:paraId="0E7EE56B"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 xml:space="preserve">14.2.4.12 To verify the trial management in the study centers, the progress of participant recruitment and the study conduct, the accomplishment of recruited cases, and the situation of case drop-out.  </w:t>
      </w:r>
    </w:p>
    <w:p w14:paraId="3533E6D4" w14:textId="77777777" w:rsidR="00555164" w:rsidRDefault="002C73C0">
      <w:pPr>
        <w:pStyle w:val="ad"/>
        <w:spacing w:beforeLines="50" w:before="120" w:beforeAutospacing="0" w:afterLines="50" w:after="120" w:afterAutospacing="0"/>
        <w:rPr>
          <w:rFonts w:eastAsia="等线"/>
          <w:bCs/>
          <w:iCs/>
          <w:sz w:val="20"/>
          <w:szCs w:val="20"/>
        </w:rPr>
      </w:pPr>
      <w:r>
        <w:rPr>
          <w:rFonts w:eastAsia="等线"/>
          <w:bCs/>
          <w:iCs/>
          <w:sz w:val="20"/>
          <w:szCs w:val="20"/>
        </w:rPr>
        <w:t xml:space="preserve">14.2.5 A written report will be provided after each inspection. The report should include date, time, name of inspector, and the problems found during inspection. The project specialist will inform the principal investigator about the identified problems and will discuss the approaches to solve these problems. In case of important problems, such as those regarding participant safety, adherence to the study protocol or Good Clinical Practice principles, or delayed progress, the project specialist should report to the management office of the Peking University Clinical Research Program.  </w:t>
      </w:r>
    </w:p>
    <w:p w14:paraId="232B2C42" w14:textId="77777777" w:rsidR="00555164" w:rsidRDefault="00555164">
      <w:pPr>
        <w:pStyle w:val="ad"/>
        <w:spacing w:beforeLines="50" w:before="120" w:beforeAutospacing="0" w:afterLines="50" w:after="120" w:afterAutospacing="0"/>
        <w:rPr>
          <w:rFonts w:eastAsia="等线"/>
          <w:bCs/>
          <w:iCs/>
          <w:sz w:val="20"/>
          <w:szCs w:val="20"/>
        </w:rPr>
      </w:pPr>
    </w:p>
    <w:p w14:paraId="4A4DA044" w14:textId="77777777" w:rsidR="00555164" w:rsidRDefault="002C73C0">
      <w:pPr>
        <w:pStyle w:val="ad"/>
        <w:spacing w:beforeLines="50" w:before="120" w:beforeAutospacing="0" w:afterLines="50" w:after="120" w:afterAutospacing="0"/>
        <w:rPr>
          <w:rFonts w:eastAsia="等线"/>
          <w:b/>
          <w:bCs/>
          <w:i/>
          <w:iCs/>
          <w:sz w:val="20"/>
          <w:szCs w:val="20"/>
        </w:rPr>
      </w:pPr>
      <w:r>
        <w:rPr>
          <w:rFonts w:eastAsia="等线"/>
          <w:b/>
          <w:bCs/>
          <w:i/>
          <w:iCs/>
          <w:sz w:val="20"/>
          <w:szCs w:val="20"/>
        </w:rPr>
        <w:t>14.3 Inspection of data quality</w:t>
      </w:r>
    </w:p>
    <w:p w14:paraId="1F0A24B3"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14.3.1 The project specialist will check and verify the completeness and correctness of the data recorded in the case report forms, and will ask investigators to correct or replenish data when necessary.</w:t>
      </w:r>
    </w:p>
    <w:p w14:paraId="632EB241"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 xml:space="preserve">14.3.2 Data manager from the Peking University Clinical Research Institute will recheck data according to the logical relations and to identify the existence of protocol deviation and out of normal limit. For the drop-out or missing data or data with logical contradictions, query forms will be sent to the investigators. The investigators are responsible to reply queries, and to verify or correct data. </w:t>
      </w:r>
    </w:p>
    <w:p w14:paraId="11794F8B"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 xml:space="preserve">14.3.3 All data queries must be solved before the database can be locked for statistical analysis. </w:t>
      </w:r>
    </w:p>
    <w:p w14:paraId="75ED387F" w14:textId="77777777" w:rsidR="00555164" w:rsidRDefault="00555164">
      <w:pPr>
        <w:pStyle w:val="ad"/>
        <w:spacing w:beforeLines="50" w:before="120" w:beforeAutospacing="0" w:afterLines="50" w:after="120" w:afterAutospacing="0"/>
        <w:rPr>
          <w:rFonts w:eastAsia="等线"/>
          <w:sz w:val="20"/>
          <w:szCs w:val="20"/>
        </w:rPr>
      </w:pPr>
    </w:p>
    <w:p w14:paraId="289D5866" w14:textId="77777777" w:rsidR="00555164" w:rsidRDefault="002C73C0">
      <w:pPr>
        <w:pStyle w:val="ad"/>
        <w:spacing w:beforeLines="50" w:before="120" w:beforeAutospacing="0" w:afterLines="50" w:after="120" w:afterAutospacing="0"/>
        <w:outlineLvl w:val="0"/>
        <w:rPr>
          <w:b/>
          <w:sz w:val="20"/>
          <w:szCs w:val="20"/>
        </w:rPr>
      </w:pPr>
      <w:bookmarkStart w:id="157" w:name="_Toc44755885"/>
      <w:bookmarkStart w:id="158" w:name="_Toc44754983"/>
      <w:bookmarkStart w:id="159" w:name="_Toc44756031"/>
      <w:bookmarkStart w:id="160" w:name="_Toc44756146"/>
      <w:bookmarkStart w:id="161" w:name="_Toc44796192"/>
      <w:r>
        <w:rPr>
          <w:b/>
          <w:sz w:val="20"/>
          <w:szCs w:val="20"/>
        </w:rPr>
        <w:t>15. Ethics requirements</w:t>
      </w:r>
      <w:bookmarkEnd w:id="157"/>
      <w:bookmarkEnd w:id="158"/>
      <w:bookmarkEnd w:id="159"/>
      <w:bookmarkEnd w:id="160"/>
      <w:bookmarkEnd w:id="161"/>
      <w:r>
        <w:rPr>
          <w:b/>
          <w:sz w:val="20"/>
          <w:szCs w:val="20"/>
        </w:rPr>
        <w:t xml:space="preserve"> </w:t>
      </w:r>
    </w:p>
    <w:p w14:paraId="37550910" w14:textId="77777777" w:rsidR="00555164" w:rsidRDefault="00555164">
      <w:pPr>
        <w:pStyle w:val="ad"/>
        <w:spacing w:beforeLines="50" w:before="120" w:beforeAutospacing="0" w:afterLines="50" w:after="120" w:afterAutospacing="0"/>
        <w:rPr>
          <w:sz w:val="20"/>
          <w:szCs w:val="20"/>
        </w:rPr>
      </w:pPr>
    </w:p>
    <w:p w14:paraId="544973A4" w14:textId="77777777" w:rsidR="00555164" w:rsidRDefault="002C73C0">
      <w:pPr>
        <w:pStyle w:val="ad"/>
        <w:spacing w:beforeLines="50" w:before="120" w:beforeAutospacing="0" w:afterLines="50" w:after="120" w:afterAutospacing="0"/>
        <w:rPr>
          <w:b/>
          <w:bCs/>
          <w:i/>
          <w:iCs/>
          <w:sz w:val="20"/>
          <w:szCs w:val="20"/>
        </w:rPr>
      </w:pPr>
      <w:r>
        <w:rPr>
          <w:b/>
          <w:bCs/>
          <w:i/>
          <w:iCs/>
          <w:sz w:val="20"/>
          <w:szCs w:val="20"/>
        </w:rPr>
        <w:t>15.1</w:t>
      </w:r>
      <w:r>
        <w:rPr>
          <w:rFonts w:eastAsia="等线"/>
          <w:b/>
          <w:bCs/>
          <w:i/>
          <w:iCs/>
          <w:sz w:val="20"/>
          <w:szCs w:val="20"/>
        </w:rPr>
        <w:t xml:space="preserve"> Ethics Committee</w:t>
      </w:r>
    </w:p>
    <w:p w14:paraId="20E649B3" w14:textId="77777777" w:rsidR="00555164" w:rsidRDefault="002C73C0">
      <w:pPr>
        <w:pStyle w:val="ad"/>
        <w:spacing w:beforeLines="50" w:before="120" w:beforeAutospacing="0" w:afterLines="50" w:after="120" w:afterAutospacing="0"/>
        <w:rPr>
          <w:rFonts w:eastAsia="等线"/>
          <w:sz w:val="20"/>
          <w:szCs w:val="20"/>
        </w:rPr>
      </w:pPr>
      <w:r>
        <w:rPr>
          <w:sz w:val="20"/>
          <w:szCs w:val="20"/>
        </w:rPr>
        <w:t xml:space="preserve">The study protocol must be approved by the Peking University Institutional Review Board before the study can be started. The investigators must strictly follow the Helsinki Declaration and China's relevant clinical trial management regulations. </w:t>
      </w:r>
      <w:r>
        <w:rPr>
          <w:rFonts w:eastAsia="等线"/>
          <w:sz w:val="20"/>
          <w:szCs w:val="20"/>
        </w:rPr>
        <w:t>The principal investigator is responsible to report the status and the progress of the study to the Institutional Review Board.</w:t>
      </w:r>
    </w:p>
    <w:p w14:paraId="3DA619D1" w14:textId="77777777" w:rsidR="00555164" w:rsidRDefault="00555164">
      <w:pPr>
        <w:pStyle w:val="ad"/>
        <w:spacing w:beforeLines="50" w:before="120" w:beforeAutospacing="0" w:afterLines="50" w:after="120" w:afterAutospacing="0"/>
        <w:rPr>
          <w:rFonts w:eastAsia="等线"/>
          <w:sz w:val="20"/>
          <w:szCs w:val="20"/>
        </w:rPr>
      </w:pPr>
    </w:p>
    <w:p w14:paraId="28392CD6" w14:textId="77777777" w:rsidR="00555164" w:rsidRDefault="002C73C0">
      <w:pPr>
        <w:pStyle w:val="ad"/>
        <w:spacing w:beforeLines="50" w:before="120" w:beforeAutospacing="0" w:afterLines="50" w:after="120" w:afterAutospacing="0"/>
        <w:rPr>
          <w:b/>
          <w:bCs/>
          <w:i/>
          <w:iCs/>
          <w:sz w:val="20"/>
          <w:szCs w:val="20"/>
        </w:rPr>
      </w:pPr>
      <w:r>
        <w:rPr>
          <w:b/>
          <w:bCs/>
          <w:i/>
          <w:iCs/>
          <w:sz w:val="20"/>
          <w:szCs w:val="20"/>
        </w:rPr>
        <w:t>15.2 Written informed consent</w:t>
      </w:r>
    </w:p>
    <w:p w14:paraId="3479D347" w14:textId="77777777" w:rsidR="00555164" w:rsidRDefault="002C73C0">
      <w:pPr>
        <w:pStyle w:val="ad"/>
        <w:spacing w:beforeLines="50" w:before="120" w:beforeAutospacing="0" w:afterLines="50" w:after="120" w:afterAutospacing="0"/>
        <w:rPr>
          <w:sz w:val="20"/>
          <w:szCs w:val="20"/>
        </w:rPr>
      </w:pPr>
      <w:r>
        <w:rPr>
          <w:sz w:val="20"/>
          <w:szCs w:val="20"/>
        </w:rPr>
        <w:t xml:space="preserve">Investigators responsible for recruiting participants must have been trained and qualified by the </w:t>
      </w:r>
      <w:proofErr w:type="gramStart"/>
      <w:r>
        <w:rPr>
          <w:sz w:val="20"/>
          <w:szCs w:val="20"/>
        </w:rPr>
        <w:t>principle</w:t>
      </w:r>
      <w:proofErr w:type="gramEnd"/>
      <w:r>
        <w:rPr>
          <w:sz w:val="20"/>
          <w:szCs w:val="20"/>
        </w:rPr>
        <w:t xml:space="preserve"> investigator. For each potential participant, investigators are responsible to fully explain the purpose, procedures and possible risks of this study in a written form manner. The investigators must let every potential participant know that he/she has the right to withdraw consent from the study at any time. Every potential participant must be given a written informed consent. Every participant or the authorized surrogate of the participant must sign the consent before he/she can be enrolled in the study. The written informed consents will be kept as a part of the clinical trial documents. For participants with mild dementia (MMSE ≤17 for illiterate, ≤20 for those with primary school education, ≤24 for those with junior high school education or higher) or incompetence, written informed consents must be signed by legal representatives. </w:t>
      </w:r>
    </w:p>
    <w:p w14:paraId="40AB13D9" w14:textId="77777777" w:rsidR="00555164" w:rsidRDefault="00555164">
      <w:pPr>
        <w:pStyle w:val="ad"/>
        <w:spacing w:beforeLines="50" w:before="120" w:beforeAutospacing="0" w:afterLines="50" w:after="120" w:afterAutospacing="0"/>
        <w:rPr>
          <w:sz w:val="20"/>
          <w:szCs w:val="20"/>
        </w:rPr>
      </w:pPr>
    </w:p>
    <w:p w14:paraId="7E25497D"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15.3 Privacy and confidentiality </w:t>
      </w:r>
    </w:p>
    <w:p w14:paraId="7781428F"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 xml:space="preserve">15.3.1 During the study period, the collected data from participants are labelled with special recruitment numbers and acronyms of names. </w:t>
      </w:r>
    </w:p>
    <w:p w14:paraId="34E3556C" w14:textId="77777777" w:rsidR="00555164" w:rsidRDefault="002C73C0">
      <w:pPr>
        <w:pStyle w:val="ad"/>
        <w:spacing w:beforeLines="50" w:before="120" w:beforeAutospacing="0" w:afterLines="50" w:after="120" w:afterAutospacing="0"/>
        <w:rPr>
          <w:sz w:val="20"/>
          <w:szCs w:val="20"/>
        </w:rPr>
      </w:pPr>
      <w:r>
        <w:rPr>
          <w:sz w:val="20"/>
          <w:szCs w:val="20"/>
        </w:rPr>
        <w:t xml:space="preserve">15.3.2 All personal information of the participants will be kept confidential. The filing cabinets storing the study documents will be locked. Apart from the study investigators, only authorized inspectors from the Peking University Clinical Research Institute or members from the Peking University Institutional Review Board are allowed to access the information after obtaining consents from the participants. </w:t>
      </w:r>
    </w:p>
    <w:p w14:paraId="1050D240"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lastRenderedPageBreak/>
        <w:t xml:space="preserve">15.3.3 Results of the study will be published as scientific articles. But all personal data (including name and age, etc.) are strictly confidential. </w:t>
      </w:r>
    </w:p>
    <w:p w14:paraId="079E95B4" w14:textId="77777777" w:rsidR="00555164" w:rsidRDefault="00555164">
      <w:pPr>
        <w:pStyle w:val="ad"/>
        <w:spacing w:beforeLines="50" w:before="120" w:beforeAutospacing="0" w:afterLines="50" w:after="120" w:afterAutospacing="0"/>
        <w:rPr>
          <w:b/>
          <w:iCs/>
          <w:sz w:val="20"/>
          <w:szCs w:val="20"/>
        </w:rPr>
      </w:pPr>
    </w:p>
    <w:p w14:paraId="69E1D38F" w14:textId="77777777" w:rsidR="00555164" w:rsidRDefault="002C73C0">
      <w:pPr>
        <w:pStyle w:val="ad"/>
        <w:spacing w:beforeLines="50" w:before="120" w:beforeAutospacing="0" w:afterLines="50" w:after="120" w:afterAutospacing="0"/>
        <w:outlineLvl w:val="0"/>
        <w:rPr>
          <w:b/>
          <w:iCs/>
          <w:sz w:val="20"/>
          <w:szCs w:val="20"/>
        </w:rPr>
      </w:pPr>
      <w:bookmarkStart w:id="162" w:name="_Toc44755886"/>
      <w:bookmarkStart w:id="163" w:name="_Toc44756147"/>
      <w:bookmarkStart w:id="164" w:name="_Toc44756032"/>
      <w:bookmarkStart w:id="165" w:name="_Toc44796193"/>
      <w:bookmarkStart w:id="166" w:name="_Toc44754984"/>
      <w:r>
        <w:rPr>
          <w:b/>
          <w:iCs/>
          <w:sz w:val="20"/>
          <w:szCs w:val="20"/>
        </w:rPr>
        <w:t>16. Study termination</w:t>
      </w:r>
      <w:bookmarkEnd w:id="162"/>
      <w:bookmarkEnd w:id="163"/>
      <w:bookmarkEnd w:id="164"/>
      <w:bookmarkEnd w:id="165"/>
      <w:bookmarkEnd w:id="166"/>
      <w:r>
        <w:rPr>
          <w:b/>
          <w:iCs/>
          <w:sz w:val="20"/>
          <w:szCs w:val="20"/>
        </w:rPr>
        <w:t xml:space="preserve"> </w:t>
      </w:r>
    </w:p>
    <w:p w14:paraId="177E057F" w14:textId="77777777" w:rsidR="00555164" w:rsidRDefault="00555164">
      <w:pPr>
        <w:pStyle w:val="ad"/>
        <w:spacing w:beforeLines="50" w:before="120" w:beforeAutospacing="0" w:afterLines="50" w:after="120" w:afterAutospacing="0"/>
        <w:rPr>
          <w:sz w:val="20"/>
          <w:szCs w:val="20"/>
        </w:rPr>
      </w:pPr>
    </w:p>
    <w:p w14:paraId="58A585DE" w14:textId="77777777" w:rsidR="00555164" w:rsidRDefault="002C73C0">
      <w:pPr>
        <w:pStyle w:val="ad"/>
        <w:spacing w:beforeLines="50" w:before="120" w:beforeAutospacing="0" w:afterLines="50" w:after="120" w:afterAutospacing="0"/>
        <w:rPr>
          <w:sz w:val="20"/>
          <w:szCs w:val="20"/>
        </w:rPr>
      </w:pPr>
      <w:r>
        <w:rPr>
          <w:sz w:val="20"/>
          <w:szCs w:val="20"/>
        </w:rPr>
        <w:t xml:space="preserve">16.1 In case that severe adverse events or serious quality problem occur during the study period, the study will be stopped. A report will be sent to the Ethics Committee. Restart of the study will need an approval from the Ethics Committee. </w:t>
      </w:r>
    </w:p>
    <w:p w14:paraId="610D8058" w14:textId="77777777" w:rsidR="00555164" w:rsidRDefault="002C73C0">
      <w:pPr>
        <w:pStyle w:val="ad"/>
        <w:spacing w:beforeLines="50" w:before="120" w:beforeAutospacing="0" w:afterLines="50" w:after="120" w:afterAutospacing="0"/>
        <w:rPr>
          <w:sz w:val="20"/>
          <w:szCs w:val="20"/>
        </w:rPr>
      </w:pPr>
      <w:r>
        <w:rPr>
          <w:sz w:val="20"/>
          <w:szCs w:val="20"/>
        </w:rPr>
        <w:t xml:space="preserve">16.2 The study will be terminated after accomplishment of required patient recruitment and data collection. Decision will be made by the principal investigator. </w:t>
      </w:r>
    </w:p>
    <w:p w14:paraId="5E01A2FB" w14:textId="77777777" w:rsidR="00555164" w:rsidRDefault="00555164">
      <w:pPr>
        <w:pStyle w:val="ad"/>
        <w:spacing w:beforeLines="50" w:before="120" w:beforeAutospacing="0" w:afterLines="50" w:after="120" w:afterAutospacing="0"/>
        <w:rPr>
          <w:sz w:val="20"/>
          <w:szCs w:val="20"/>
        </w:rPr>
      </w:pPr>
    </w:p>
    <w:p w14:paraId="7FD6706A" w14:textId="77777777" w:rsidR="00555164" w:rsidRDefault="002C73C0">
      <w:pPr>
        <w:pStyle w:val="ad"/>
        <w:spacing w:beforeLines="50" w:before="120" w:beforeAutospacing="0" w:afterLines="50" w:after="120" w:afterAutospacing="0"/>
        <w:outlineLvl w:val="0"/>
        <w:rPr>
          <w:b/>
          <w:sz w:val="20"/>
          <w:szCs w:val="20"/>
        </w:rPr>
      </w:pPr>
      <w:bookmarkStart w:id="167" w:name="_Toc44756148"/>
      <w:bookmarkStart w:id="168" w:name="_Toc44796194"/>
      <w:bookmarkStart w:id="169" w:name="_Toc44756033"/>
      <w:bookmarkStart w:id="170" w:name="_Toc44754985"/>
      <w:bookmarkStart w:id="171" w:name="_Toc44755887"/>
      <w:r>
        <w:rPr>
          <w:b/>
          <w:sz w:val="20"/>
          <w:szCs w:val="20"/>
        </w:rPr>
        <w:t>17. Preservation of documents</w:t>
      </w:r>
      <w:bookmarkEnd w:id="167"/>
      <w:bookmarkEnd w:id="168"/>
      <w:bookmarkEnd w:id="169"/>
      <w:bookmarkEnd w:id="170"/>
      <w:bookmarkEnd w:id="171"/>
      <w:r>
        <w:rPr>
          <w:b/>
          <w:sz w:val="20"/>
          <w:szCs w:val="20"/>
        </w:rPr>
        <w:t xml:space="preserve"> </w:t>
      </w:r>
    </w:p>
    <w:p w14:paraId="60A38EAA" w14:textId="77777777" w:rsidR="00555164" w:rsidRDefault="00555164">
      <w:pPr>
        <w:pStyle w:val="ad"/>
        <w:spacing w:beforeLines="50" w:before="120" w:beforeAutospacing="0" w:afterLines="50" w:after="120" w:afterAutospacing="0"/>
        <w:rPr>
          <w:sz w:val="20"/>
          <w:szCs w:val="20"/>
        </w:rPr>
      </w:pPr>
    </w:p>
    <w:p w14:paraId="7DA4E8D8" w14:textId="77777777" w:rsidR="00555164" w:rsidRDefault="002C73C0">
      <w:pPr>
        <w:pStyle w:val="ad"/>
        <w:spacing w:beforeLines="50" w:before="120" w:beforeAutospacing="0" w:afterLines="50" w:after="120" w:afterAutospacing="0"/>
        <w:rPr>
          <w:sz w:val="20"/>
          <w:szCs w:val="20"/>
        </w:rPr>
      </w:pPr>
      <w:r>
        <w:rPr>
          <w:sz w:val="20"/>
          <w:szCs w:val="20"/>
        </w:rPr>
        <w:t>Investigators will carefully preserve all documents and data of the clinical trial according to the requirements of Good Clinic Practice for a period of 5 years.</w:t>
      </w:r>
    </w:p>
    <w:p w14:paraId="3A85A58C" w14:textId="77777777" w:rsidR="00555164" w:rsidRDefault="00555164">
      <w:pPr>
        <w:pStyle w:val="ad"/>
        <w:spacing w:beforeLines="50" w:before="120" w:beforeAutospacing="0" w:afterLines="50" w:after="120" w:afterAutospacing="0"/>
        <w:rPr>
          <w:sz w:val="20"/>
          <w:szCs w:val="20"/>
        </w:rPr>
      </w:pPr>
    </w:p>
    <w:p w14:paraId="342CC819" w14:textId="77777777" w:rsidR="00555164" w:rsidRDefault="002C73C0">
      <w:pPr>
        <w:pStyle w:val="ad"/>
        <w:spacing w:beforeLines="50" w:before="120" w:beforeAutospacing="0" w:afterLines="50" w:after="120" w:afterAutospacing="0"/>
        <w:outlineLvl w:val="0"/>
        <w:rPr>
          <w:b/>
          <w:sz w:val="20"/>
          <w:szCs w:val="20"/>
        </w:rPr>
      </w:pPr>
      <w:bookmarkStart w:id="172" w:name="_Toc44755888"/>
      <w:bookmarkStart w:id="173" w:name="_Toc44756034"/>
      <w:bookmarkStart w:id="174" w:name="_Toc44756149"/>
      <w:bookmarkStart w:id="175" w:name="_Toc44754986"/>
      <w:bookmarkStart w:id="176" w:name="_Toc44796195"/>
      <w:r>
        <w:rPr>
          <w:b/>
          <w:sz w:val="20"/>
          <w:szCs w:val="20"/>
        </w:rPr>
        <w:t>18. Declaration of interests</w:t>
      </w:r>
      <w:bookmarkEnd w:id="172"/>
      <w:bookmarkEnd w:id="173"/>
      <w:bookmarkEnd w:id="174"/>
      <w:bookmarkEnd w:id="175"/>
      <w:bookmarkEnd w:id="176"/>
      <w:r>
        <w:rPr>
          <w:b/>
          <w:sz w:val="20"/>
          <w:szCs w:val="20"/>
        </w:rPr>
        <w:t xml:space="preserve"> </w:t>
      </w:r>
    </w:p>
    <w:p w14:paraId="35053190" w14:textId="77777777" w:rsidR="00555164" w:rsidRDefault="00555164">
      <w:pPr>
        <w:pStyle w:val="ad"/>
        <w:spacing w:beforeLines="50" w:before="120" w:beforeAutospacing="0" w:afterLines="50" w:after="120" w:afterAutospacing="0"/>
        <w:rPr>
          <w:sz w:val="20"/>
          <w:szCs w:val="20"/>
        </w:rPr>
      </w:pPr>
    </w:p>
    <w:p w14:paraId="234B29EC" w14:textId="77777777" w:rsidR="00555164" w:rsidRDefault="002C73C0">
      <w:pPr>
        <w:pStyle w:val="ad"/>
        <w:spacing w:beforeLines="50" w:before="120" w:beforeAutospacing="0" w:afterLines="50" w:after="120" w:afterAutospacing="0"/>
        <w:rPr>
          <w:sz w:val="20"/>
          <w:szCs w:val="20"/>
        </w:rPr>
      </w:pPr>
      <w:r>
        <w:rPr>
          <w:sz w:val="20"/>
          <w:szCs w:val="20"/>
        </w:rPr>
        <w:t xml:space="preserve">This trial is funded by the Peking University Clinical Research Program (PUCRP201101). The investigators declare no conflict of interests. </w:t>
      </w:r>
    </w:p>
    <w:p w14:paraId="1593F696" w14:textId="77777777" w:rsidR="00555164" w:rsidRDefault="00555164">
      <w:pPr>
        <w:spacing w:beforeLines="50" w:before="120" w:afterLines="50" w:after="120"/>
        <w:rPr>
          <w:b/>
          <w:bCs/>
          <w:sz w:val="20"/>
          <w:szCs w:val="20"/>
        </w:rPr>
      </w:pPr>
    </w:p>
    <w:p w14:paraId="6867A6A4" w14:textId="77777777" w:rsidR="00555164" w:rsidRDefault="002C73C0">
      <w:pPr>
        <w:pStyle w:val="1"/>
        <w:spacing w:beforeLines="50" w:before="120" w:beforeAutospacing="0" w:afterLines="50" w:after="120" w:afterAutospacing="0"/>
        <w:rPr>
          <w:rFonts w:ascii="Times New Roman" w:hAnsi="Times New Roman" w:cs="Times New Roman"/>
          <w:sz w:val="20"/>
          <w:szCs w:val="20"/>
        </w:rPr>
      </w:pPr>
      <w:bookmarkStart w:id="177" w:name="_Toc44796196"/>
      <w:bookmarkStart w:id="178" w:name="_Toc44754987"/>
      <w:bookmarkStart w:id="179" w:name="_Toc44755889"/>
      <w:bookmarkStart w:id="180" w:name="_Toc44756150"/>
      <w:bookmarkStart w:id="181" w:name="_Toc44756035"/>
      <w:r>
        <w:rPr>
          <w:rFonts w:ascii="Times New Roman" w:hAnsi="Times New Roman" w:cs="Times New Roman"/>
          <w:sz w:val="20"/>
          <w:szCs w:val="20"/>
        </w:rPr>
        <w:t>19. References</w:t>
      </w:r>
      <w:bookmarkEnd w:id="177"/>
      <w:r>
        <w:rPr>
          <w:rFonts w:ascii="Times New Roman" w:hAnsi="Times New Roman" w:cs="Times New Roman"/>
          <w:sz w:val="20"/>
          <w:szCs w:val="20"/>
        </w:rPr>
        <w:t xml:space="preserve"> </w:t>
      </w:r>
      <w:bookmarkEnd w:id="178"/>
      <w:bookmarkEnd w:id="179"/>
      <w:bookmarkEnd w:id="180"/>
      <w:bookmarkEnd w:id="181"/>
    </w:p>
    <w:p w14:paraId="6B70CCB9" w14:textId="77777777" w:rsidR="00555164" w:rsidRDefault="00555164">
      <w:pPr>
        <w:spacing w:beforeLines="50" w:before="120" w:afterLines="50" w:after="120"/>
        <w:rPr>
          <w:b/>
          <w:bCs/>
          <w:sz w:val="20"/>
          <w:szCs w:val="20"/>
        </w:rPr>
      </w:pPr>
    </w:p>
    <w:p w14:paraId="616ACBAB" w14:textId="77777777" w:rsidR="00555164" w:rsidRDefault="002C73C0">
      <w:pPr>
        <w:pStyle w:val="af7"/>
        <w:widowControl w:val="0"/>
        <w:numPr>
          <w:ilvl w:val="0"/>
          <w:numId w:val="2"/>
        </w:numPr>
        <w:autoSpaceDE w:val="0"/>
        <w:autoSpaceDN w:val="0"/>
        <w:adjustRightInd w:val="0"/>
        <w:rPr>
          <w:rFonts w:ascii="Times New Roman" w:hAnsi="Times New Roman"/>
          <w:sz w:val="20"/>
          <w:szCs w:val="20"/>
        </w:rPr>
      </w:pPr>
      <w:bookmarkStart w:id="182" w:name="_Ref44759877"/>
      <w:r>
        <w:rPr>
          <w:rFonts w:ascii="Times New Roman" w:hAnsi="Times New Roman"/>
          <w:sz w:val="20"/>
          <w:szCs w:val="20"/>
        </w:rPr>
        <w:t>GUZE SB: Diagnostic and Statistical Manual of Mental Disorders, 4th ed. (DSM-IV). Washington, DC, American Psychiatric Association, 1995</w:t>
      </w:r>
      <w:bookmarkEnd w:id="182"/>
    </w:p>
    <w:p w14:paraId="59143FB4" w14:textId="77777777" w:rsidR="00555164" w:rsidRDefault="002C73C0">
      <w:pPr>
        <w:pStyle w:val="af7"/>
        <w:widowControl w:val="0"/>
        <w:numPr>
          <w:ilvl w:val="0"/>
          <w:numId w:val="2"/>
        </w:numPr>
        <w:autoSpaceDE w:val="0"/>
        <w:autoSpaceDN w:val="0"/>
        <w:adjustRightInd w:val="0"/>
        <w:rPr>
          <w:rFonts w:ascii="Times New Roman" w:hAnsi="Times New Roman"/>
          <w:sz w:val="20"/>
          <w:szCs w:val="20"/>
        </w:rPr>
      </w:pPr>
      <w:bookmarkStart w:id="183" w:name="_Ref44759890"/>
      <w:r>
        <w:rPr>
          <w:rFonts w:ascii="Times New Roman" w:hAnsi="Times New Roman"/>
          <w:sz w:val="20"/>
          <w:szCs w:val="20"/>
        </w:rPr>
        <w:t>Dyer CB, Ashton CM, Teasdale TA: Postoperative delirium. A review of 80 primary data-collection studies. Arch Intern Med 1995; 155:461–5</w:t>
      </w:r>
      <w:bookmarkEnd w:id="183"/>
    </w:p>
    <w:p w14:paraId="78DCBB66" w14:textId="77777777" w:rsidR="00555164" w:rsidRDefault="002C73C0">
      <w:pPr>
        <w:pStyle w:val="af7"/>
        <w:widowControl w:val="0"/>
        <w:numPr>
          <w:ilvl w:val="0"/>
          <w:numId w:val="2"/>
        </w:numPr>
        <w:autoSpaceDE w:val="0"/>
        <w:autoSpaceDN w:val="0"/>
        <w:adjustRightInd w:val="0"/>
        <w:rPr>
          <w:rFonts w:ascii="Times New Roman" w:hAnsi="Times New Roman"/>
          <w:sz w:val="20"/>
          <w:szCs w:val="20"/>
        </w:rPr>
      </w:pPr>
      <w:bookmarkStart w:id="184" w:name="_Ref44759910"/>
      <w:r>
        <w:rPr>
          <w:rFonts w:ascii="Times New Roman" w:hAnsi="Times New Roman"/>
          <w:sz w:val="20"/>
          <w:szCs w:val="20"/>
        </w:rPr>
        <w:t xml:space="preserve">Girard TD, </w:t>
      </w:r>
      <w:proofErr w:type="spellStart"/>
      <w:r>
        <w:rPr>
          <w:rFonts w:ascii="Times New Roman" w:hAnsi="Times New Roman"/>
          <w:sz w:val="20"/>
          <w:szCs w:val="20"/>
        </w:rPr>
        <w:t>Pandharipande</w:t>
      </w:r>
      <w:proofErr w:type="spellEnd"/>
      <w:r>
        <w:rPr>
          <w:rFonts w:ascii="Times New Roman" w:hAnsi="Times New Roman"/>
          <w:sz w:val="20"/>
          <w:szCs w:val="20"/>
        </w:rPr>
        <w:t xml:space="preserve"> PP, Ely EW: Delirium in the intensive care unit. Crit Care 2008; </w:t>
      </w:r>
      <w:proofErr w:type="gramStart"/>
      <w:r>
        <w:rPr>
          <w:rFonts w:ascii="Times New Roman" w:hAnsi="Times New Roman"/>
          <w:sz w:val="20"/>
          <w:szCs w:val="20"/>
        </w:rPr>
        <w:t>12:S</w:t>
      </w:r>
      <w:proofErr w:type="gramEnd"/>
      <w:r>
        <w:rPr>
          <w:rFonts w:ascii="Times New Roman" w:hAnsi="Times New Roman"/>
          <w:sz w:val="20"/>
          <w:szCs w:val="20"/>
        </w:rPr>
        <w:t>3</w:t>
      </w:r>
      <w:bookmarkEnd w:id="184"/>
    </w:p>
    <w:p w14:paraId="470E1E2F" w14:textId="77777777" w:rsidR="00555164" w:rsidRDefault="002C73C0">
      <w:pPr>
        <w:pStyle w:val="af7"/>
        <w:widowControl w:val="0"/>
        <w:numPr>
          <w:ilvl w:val="0"/>
          <w:numId w:val="2"/>
        </w:numPr>
        <w:autoSpaceDE w:val="0"/>
        <w:autoSpaceDN w:val="0"/>
        <w:adjustRightInd w:val="0"/>
        <w:rPr>
          <w:rFonts w:ascii="Times New Roman" w:hAnsi="Times New Roman"/>
          <w:sz w:val="20"/>
          <w:szCs w:val="20"/>
        </w:rPr>
      </w:pPr>
      <w:bookmarkStart w:id="185" w:name="_Ref44759921"/>
      <w:r>
        <w:rPr>
          <w:rFonts w:ascii="Times New Roman" w:hAnsi="Times New Roman"/>
          <w:sz w:val="20"/>
          <w:szCs w:val="20"/>
        </w:rPr>
        <w:t xml:space="preserve">Mu DL, Wang DX, Li LH, Shan GJ, Li J, Yu QJ, Shi CX: High serum cortisol level is associated with increased risk of delirium after coronary artery bypass graft surgery: A prospective cohort study. Crit Care 2010; </w:t>
      </w:r>
      <w:proofErr w:type="gramStart"/>
      <w:r>
        <w:rPr>
          <w:rFonts w:ascii="Times New Roman" w:hAnsi="Times New Roman"/>
          <w:sz w:val="20"/>
          <w:szCs w:val="20"/>
        </w:rPr>
        <w:t>14:R</w:t>
      </w:r>
      <w:proofErr w:type="gramEnd"/>
      <w:r>
        <w:rPr>
          <w:rFonts w:ascii="Times New Roman" w:hAnsi="Times New Roman"/>
          <w:sz w:val="20"/>
          <w:szCs w:val="20"/>
        </w:rPr>
        <w:t>238</w:t>
      </w:r>
      <w:bookmarkEnd w:id="185"/>
    </w:p>
    <w:p w14:paraId="03A8BABC"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186" w:name="_Ref44759929"/>
      <w:r>
        <w:rPr>
          <w:rFonts w:ascii="Times New Roman" w:hAnsi="Times New Roman"/>
          <w:sz w:val="20"/>
          <w:szCs w:val="20"/>
        </w:rPr>
        <w:t>Shi CM, Wang DX, Chen KS, Gu XE: Incidence and risk factors of delirium in critically ill patients after non-cardiac surgery. Chin Med J (</w:t>
      </w:r>
      <w:proofErr w:type="spellStart"/>
      <w:r>
        <w:rPr>
          <w:rFonts w:ascii="Times New Roman" w:hAnsi="Times New Roman"/>
          <w:sz w:val="20"/>
          <w:szCs w:val="20"/>
        </w:rPr>
        <w:t>Engl</w:t>
      </w:r>
      <w:proofErr w:type="spellEnd"/>
      <w:r>
        <w:rPr>
          <w:rFonts w:ascii="Times New Roman" w:hAnsi="Times New Roman"/>
          <w:sz w:val="20"/>
          <w:szCs w:val="20"/>
        </w:rPr>
        <w:t>) 2010; 123:993–9</w:t>
      </w:r>
    </w:p>
    <w:p w14:paraId="7B10609C"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187" w:name="_Ref44759954"/>
      <w:bookmarkEnd w:id="186"/>
      <w:r>
        <w:rPr>
          <w:rFonts w:ascii="Times New Roman" w:hAnsi="Times New Roman"/>
          <w:sz w:val="20"/>
          <w:szCs w:val="20"/>
        </w:rPr>
        <w:t xml:space="preserve">Roberts B, Rickard CM, </w:t>
      </w:r>
      <w:proofErr w:type="spellStart"/>
      <w:r>
        <w:rPr>
          <w:rFonts w:ascii="Times New Roman" w:hAnsi="Times New Roman"/>
          <w:sz w:val="20"/>
          <w:szCs w:val="20"/>
        </w:rPr>
        <w:t>Rajbhandari</w:t>
      </w:r>
      <w:proofErr w:type="spellEnd"/>
      <w:r>
        <w:rPr>
          <w:rFonts w:ascii="Times New Roman" w:hAnsi="Times New Roman"/>
          <w:sz w:val="20"/>
          <w:szCs w:val="20"/>
        </w:rPr>
        <w:t xml:space="preserve"> D, Turner G, Clarke J, Hill D, </w:t>
      </w:r>
      <w:proofErr w:type="spellStart"/>
      <w:r>
        <w:rPr>
          <w:rFonts w:ascii="Times New Roman" w:hAnsi="Times New Roman"/>
          <w:sz w:val="20"/>
          <w:szCs w:val="20"/>
        </w:rPr>
        <w:t>Tauschke</w:t>
      </w:r>
      <w:proofErr w:type="spellEnd"/>
      <w:r>
        <w:rPr>
          <w:rFonts w:ascii="Times New Roman" w:hAnsi="Times New Roman"/>
          <w:sz w:val="20"/>
          <w:szCs w:val="20"/>
        </w:rPr>
        <w:t xml:space="preserve"> C, </w:t>
      </w:r>
      <w:proofErr w:type="spellStart"/>
      <w:r>
        <w:rPr>
          <w:rFonts w:ascii="Times New Roman" w:hAnsi="Times New Roman"/>
          <w:sz w:val="20"/>
          <w:szCs w:val="20"/>
        </w:rPr>
        <w:t>Chaboyer</w:t>
      </w:r>
      <w:proofErr w:type="spellEnd"/>
      <w:r>
        <w:rPr>
          <w:rFonts w:ascii="Times New Roman" w:hAnsi="Times New Roman"/>
          <w:sz w:val="20"/>
          <w:szCs w:val="20"/>
        </w:rPr>
        <w:t xml:space="preserve"> W, Parsons R: </w:t>
      </w:r>
      <w:proofErr w:type="spellStart"/>
      <w:r>
        <w:rPr>
          <w:rFonts w:ascii="Times New Roman" w:hAnsi="Times New Roman"/>
          <w:sz w:val="20"/>
          <w:szCs w:val="20"/>
        </w:rPr>
        <w:t>Multicentre</w:t>
      </w:r>
      <w:proofErr w:type="spellEnd"/>
      <w:r>
        <w:rPr>
          <w:rFonts w:ascii="Times New Roman" w:hAnsi="Times New Roman"/>
          <w:sz w:val="20"/>
          <w:szCs w:val="20"/>
        </w:rPr>
        <w:t xml:space="preserve"> study of delirium in ICU patients using a simple screening tool. Aust Crit Care 2005; 18:6–16</w:t>
      </w:r>
    </w:p>
    <w:p w14:paraId="3E574838"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188" w:name="_Ref44759964"/>
      <w:bookmarkEnd w:id="187"/>
      <w:proofErr w:type="spellStart"/>
      <w:r>
        <w:rPr>
          <w:rFonts w:ascii="Times New Roman" w:hAnsi="Times New Roman"/>
          <w:sz w:val="20"/>
          <w:szCs w:val="20"/>
        </w:rPr>
        <w:t>Balas</w:t>
      </w:r>
      <w:proofErr w:type="spellEnd"/>
      <w:r>
        <w:rPr>
          <w:rFonts w:ascii="Times New Roman" w:hAnsi="Times New Roman"/>
          <w:sz w:val="20"/>
          <w:szCs w:val="20"/>
        </w:rPr>
        <w:t xml:space="preserve"> MC, </w:t>
      </w:r>
      <w:proofErr w:type="spellStart"/>
      <w:r>
        <w:rPr>
          <w:rFonts w:ascii="Times New Roman" w:hAnsi="Times New Roman"/>
          <w:sz w:val="20"/>
          <w:szCs w:val="20"/>
        </w:rPr>
        <w:t>Happ</w:t>
      </w:r>
      <w:proofErr w:type="spellEnd"/>
      <w:r>
        <w:rPr>
          <w:rFonts w:ascii="Times New Roman" w:hAnsi="Times New Roman"/>
          <w:sz w:val="20"/>
          <w:szCs w:val="20"/>
        </w:rPr>
        <w:t xml:space="preserve"> MB, Yang W, </w:t>
      </w:r>
      <w:proofErr w:type="spellStart"/>
      <w:r>
        <w:rPr>
          <w:rFonts w:ascii="Times New Roman" w:hAnsi="Times New Roman"/>
          <w:sz w:val="20"/>
          <w:szCs w:val="20"/>
        </w:rPr>
        <w:t>Chelluri</w:t>
      </w:r>
      <w:proofErr w:type="spellEnd"/>
      <w:r>
        <w:rPr>
          <w:rFonts w:ascii="Times New Roman" w:hAnsi="Times New Roman"/>
          <w:sz w:val="20"/>
          <w:szCs w:val="20"/>
        </w:rPr>
        <w:t xml:space="preserve"> L, Richmond T: Outcomes associated with delirium in older patients in surgical ICUs. Chest 2009; 135:18–25</w:t>
      </w:r>
    </w:p>
    <w:p w14:paraId="357A5673"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189" w:name="_Ref44759977"/>
      <w:bookmarkEnd w:id="188"/>
      <w:r>
        <w:rPr>
          <w:rFonts w:ascii="Times New Roman" w:hAnsi="Times New Roman"/>
          <w:sz w:val="20"/>
          <w:szCs w:val="20"/>
        </w:rPr>
        <w:t xml:space="preserve">Ely E, Gautam S, Margolin R, Francis J, May L, </w:t>
      </w:r>
      <w:proofErr w:type="spellStart"/>
      <w:r>
        <w:rPr>
          <w:rFonts w:ascii="Times New Roman" w:hAnsi="Times New Roman"/>
          <w:sz w:val="20"/>
          <w:szCs w:val="20"/>
        </w:rPr>
        <w:t>Speroff</w:t>
      </w:r>
      <w:proofErr w:type="spellEnd"/>
      <w:r>
        <w:rPr>
          <w:rFonts w:ascii="Times New Roman" w:hAnsi="Times New Roman"/>
          <w:sz w:val="20"/>
          <w:szCs w:val="20"/>
        </w:rPr>
        <w:t xml:space="preserve"> T, Truman B, </w:t>
      </w:r>
      <w:proofErr w:type="spellStart"/>
      <w:r>
        <w:rPr>
          <w:rFonts w:ascii="Times New Roman" w:hAnsi="Times New Roman"/>
          <w:sz w:val="20"/>
          <w:szCs w:val="20"/>
        </w:rPr>
        <w:t>Dittus</w:t>
      </w:r>
      <w:proofErr w:type="spellEnd"/>
      <w:r>
        <w:rPr>
          <w:rFonts w:ascii="Times New Roman" w:hAnsi="Times New Roman"/>
          <w:sz w:val="20"/>
          <w:szCs w:val="20"/>
        </w:rPr>
        <w:t xml:space="preserve"> R, Bernard G, Inouye S: The impact of delirium in the intensive care unit on hospital length of stay. Intensive Care Med 2001; 27:1892–900</w:t>
      </w:r>
      <w:bookmarkEnd w:id="189"/>
    </w:p>
    <w:p w14:paraId="315345E8"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190" w:name="_Ref44759991"/>
      <w:proofErr w:type="spellStart"/>
      <w:r>
        <w:rPr>
          <w:rFonts w:ascii="Times New Roman" w:hAnsi="Times New Roman"/>
          <w:sz w:val="20"/>
          <w:szCs w:val="20"/>
        </w:rPr>
        <w:t>Ansaloni</w:t>
      </w:r>
      <w:proofErr w:type="spellEnd"/>
      <w:r>
        <w:rPr>
          <w:rFonts w:ascii="Times New Roman" w:hAnsi="Times New Roman"/>
          <w:sz w:val="20"/>
          <w:szCs w:val="20"/>
        </w:rPr>
        <w:t xml:space="preserve"> L, Catena F, </w:t>
      </w:r>
      <w:proofErr w:type="spellStart"/>
      <w:r>
        <w:rPr>
          <w:rFonts w:ascii="Times New Roman" w:hAnsi="Times New Roman"/>
          <w:sz w:val="20"/>
          <w:szCs w:val="20"/>
        </w:rPr>
        <w:t>Chattat</w:t>
      </w:r>
      <w:proofErr w:type="spellEnd"/>
      <w:r>
        <w:rPr>
          <w:rFonts w:ascii="Times New Roman" w:hAnsi="Times New Roman"/>
          <w:sz w:val="20"/>
          <w:szCs w:val="20"/>
        </w:rPr>
        <w:t xml:space="preserve"> R, Fortuna D, </w:t>
      </w:r>
      <w:proofErr w:type="spellStart"/>
      <w:r>
        <w:rPr>
          <w:rFonts w:ascii="Times New Roman" w:hAnsi="Times New Roman"/>
          <w:sz w:val="20"/>
          <w:szCs w:val="20"/>
        </w:rPr>
        <w:t>Franceschi</w:t>
      </w:r>
      <w:proofErr w:type="spellEnd"/>
      <w:r>
        <w:rPr>
          <w:rFonts w:ascii="Times New Roman" w:hAnsi="Times New Roman"/>
          <w:sz w:val="20"/>
          <w:szCs w:val="20"/>
        </w:rPr>
        <w:t xml:space="preserve"> C, </w:t>
      </w:r>
      <w:proofErr w:type="spellStart"/>
      <w:r>
        <w:rPr>
          <w:rFonts w:ascii="Times New Roman" w:hAnsi="Times New Roman"/>
          <w:sz w:val="20"/>
          <w:szCs w:val="20"/>
        </w:rPr>
        <w:t>Mascitti</w:t>
      </w:r>
      <w:proofErr w:type="spellEnd"/>
      <w:r>
        <w:rPr>
          <w:rFonts w:ascii="Times New Roman" w:hAnsi="Times New Roman"/>
          <w:sz w:val="20"/>
          <w:szCs w:val="20"/>
        </w:rPr>
        <w:t xml:space="preserve"> P, </w:t>
      </w:r>
      <w:proofErr w:type="spellStart"/>
      <w:r>
        <w:rPr>
          <w:rFonts w:ascii="Times New Roman" w:hAnsi="Times New Roman"/>
          <w:sz w:val="20"/>
          <w:szCs w:val="20"/>
        </w:rPr>
        <w:t>Melotti</w:t>
      </w:r>
      <w:proofErr w:type="spellEnd"/>
      <w:r>
        <w:rPr>
          <w:rFonts w:ascii="Times New Roman" w:hAnsi="Times New Roman"/>
          <w:sz w:val="20"/>
          <w:szCs w:val="20"/>
        </w:rPr>
        <w:t xml:space="preserve"> RM: Risk factors and incidence of postoperative delirium in elderly patients after elective and emergency surgery. Br J Surg 2010; 97:273–80</w:t>
      </w:r>
    </w:p>
    <w:p w14:paraId="62AD9DBC" w14:textId="77777777" w:rsidR="00555164" w:rsidRDefault="002C73C0">
      <w:pPr>
        <w:pStyle w:val="af7"/>
        <w:widowControl w:val="0"/>
        <w:numPr>
          <w:ilvl w:val="0"/>
          <w:numId w:val="2"/>
        </w:numPr>
        <w:autoSpaceDE w:val="0"/>
        <w:autoSpaceDN w:val="0"/>
        <w:adjustRightInd w:val="0"/>
        <w:rPr>
          <w:rFonts w:ascii="Times New Roman" w:hAnsi="Times New Roman"/>
          <w:sz w:val="20"/>
          <w:szCs w:val="20"/>
        </w:rPr>
      </w:pPr>
      <w:bookmarkStart w:id="191" w:name="_Ref44760002"/>
      <w:bookmarkEnd w:id="190"/>
      <w:r>
        <w:rPr>
          <w:rFonts w:ascii="Times New Roman" w:hAnsi="Times New Roman"/>
          <w:sz w:val="20"/>
          <w:szCs w:val="20"/>
        </w:rPr>
        <w:t xml:space="preserve">Ely EW, </w:t>
      </w:r>
      <w:proofErr w:type="spellStart"/>
      <w:r>
        <w:rPr>
          <w:rFonts w:ascii="Times New Roman" w:hAnsi="Times New Roman"/>
          <w:sz w:val="20"/>
          <w:szCs w:val="20"/>
        </w:rPr>
        <w:t>Shintani</w:t>
      </w:r>
      <w:proofErr w:type="spellEnd"/>
      <w:r>
        <w:rPr>
          <w:rFonts w:ascii="Times New Roman" w:hAnsi="Times New Roman"/>
          <w:sz w:val="20"/>
          <w:szCs w:val="20"/>
        </w:rPr>
        <w:t xml:space="preserve"> A, Truman B, </w:t>
      </w:r>
      <w:proofErr w:type="spellStart"/>
      <w:r>
        <w:rPr>
          <w:rFonts w:ascii="Times New Roman" w:hAnsi="Times New Roman"/>
          <w:sz w:val="20"/>
          <w:szCs w:val="20"/>
        </w:rPr>
        <w:t>Speroff</w:t>
      </w:r>
      <w:proofErr w:type="spellEnd"/>
      <w:r>
        <w:rPr>
          <w:rFonts w:ascii="Times New Roman" w:hAnsi="Times New Roman"/>
          <w:sz w:val="20"/>
          <w:szCs w:val="20"/>
        </w:rPr>
        <w:t xml:space="preserve"> T, Gordon SM, Harrell FE, Inouye SK, Bernard GR, </w:t>
      </w:r>
      <w:proofErr w:type="spellStart"/>
      <w:r>
        <w:rPr>
          <w:rFonts w:ascii="Times New Roman" w:hAnsi="Times New Roman"/>
          <w:sz w:val="20"/>
          <w:szCs w:val="20"/>
        </w:rPr>
        <w:t>Dittus</w:t>
      </w:r>
      <w:proofErr w:type="spellEnd"/>
      <w:r>
        <w:rPr>
          <w:rFonts w:ascii="Times New Roman" w:hAnsi="Times New Roman"/>
          <w:sz w:val="20"/>
          <w:szCs w:val="20"/>
        </w:rPr>
        <w:t xml:space="preserve"> RS: Delirium as a Predictor of Mortality in Mechanically Ventilated Patients in the Intensive Care Unit. J Am Med Assoc 2004; 291:1753–62</w:t>
      </w:r>
      <w:bookmarkEnd w:id="191"/>
    </w:p>
    <w:p w14:paraId="398927F0" w14:textId="77777777" w:rsidR="00555164" w:rsidRDefault="002C73C0">
      <w:pPr>
        <w:pStyle w:val="af7"/>
        <w:widowControl w:val="0"/>
        <w:numPr>
          <w:ilvl w:val="0"/>
          <w:numId w:val="2"/>
        </w:numPr>
        <w:autoSpaceDE w:val="0"/>
        <w:autoSpaceDN w:val="0"/>
        <w:adjustRightInd w:val="0"/>
        <w:rPr>
          <w:rFonts w:ascii="Times New Roman" w:hAnsi="Times New Roman"/>
          <w:sz w:val="20"/>
          <w:szCs w:val="20"/>
        </w:rPr>
      </w:pPr>
      <w:bookmarkStart w:id="192" w:name="_Ref44760011"/>
      <w:r>
        <w:rPr>
          <w:rFonts w:ascii="Times New Roman" w:hAnsi="Times New Roman"/>
          <w:sz w:val="20"/>
          <w:szCs w:val="20"/>
        </w:rPr>
        <w:t xml:space="preserve">Pisani MA, Kong SYJ, </w:t>
      </w:r>
      <w:proofErr w:type="spellStart"/>
      <w:r>
        <w:rPr>
          <w:rFonts w:ascii="Times New Roman" w:hAnsi="Times New Roman"/>
          <w:sz w:val="20"/>
          <w:szCs w:val="20"/>
        </w:rPr>
        <w:t>Kasl</w:t>
      </w:r>
      <w:proofErr w:type="spellEnd"/>
      <w:r>
        <w:rPr>
          <w:rFonts w:ascii="Times New Roman" w:hAnsi="Times New Roman"/>
          <w:sz w:val="20"/>
          <w:szCs w:val="20"/>
        </w:rPr>
        <w:t xml:space="preserve"> S V., Murphy TE, Araujo KLB, Ness PH Van: Days of delirium are associated with 1-year mortality in an older intensive care unit population. Am J Respir Crit Care Med 2009; 180:1092–7</w:t>
      </w:r>
      <w:bookmarkEnd w:id="192"/>
    </w:p>
    <w:p w14:paraId="5DCDF894"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193" w:name="_Ref44760021"/>
      <w:r>
        <w:rPr>
          <w:rFonts w:ascii="Times New Roman" w:hAnsi="Times New Roman"/>
          <w:sz w:val="20"/>
          <w:szCs w:val="20"/>
        </w:rPr>
        <w:t xml:space="preserve">Franco K, </w:t>
      </w:r>
      <w:proofErr w:type="spellStart"/>
      <w:r>
        <w:rPr>
          <w:rFonts w:ascii="Times New Roman" w:hAnsi="Times New Roman"/>
          <w:sz w:val="20"/>
          <w:szCs w:val="20"/>
        </w:rPr>
        <w:t>Litaker</w:t>
      </w:r>
      <w:proofErr w:type="spellEnd"/>
      <w:r>
        <w:rPr>
          <w:rFonts w:ascii="Times New Roman" w:hAnsi="Times New Roman"/>
          <w:sz w:val="20"/>
          <w:szCs w:val="20"/>
        </w:rPr>
        <w:t xml:space="preserve"> D, </w:t>
      </w:r>
      <w:proofErr w:type="spellStart"/>
      <w:r>
        <w:rPr>
          <w:rFonts w:ascii="Times New Roman" w:hAnsi="Times New Roman"/>
          <w:sz w:val="20"/>
          <w:szCs w:val="20"/>
        </w:rPr>
        <w:t>Locala</w:t>
      </w:r>
      <w:proofErr w:type="spellEnd"/>
      <w:r>
        <w:rPr>
          <w:rFonts w:ascii="Times New Roman" w:hAnsi="Times New Roman"/>
          <w:sz w:val="20"/>
          <w:szCs w:val="20"/>
        </w:rPr>
        <w:t xml:space="preserve"> J, Bronson D: The cost of delirium in the surgical patient. Psychosomatics 2001; 42:68–73</w:t>
      </w:r>
    </w:p>
    <w:p w14:paraId="41C6302A"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194" w:name="_Ref44760030"/>
      <w:bookmarkEnd w:id="193"/>
      <w:proofErr w:type="spellStart"/>
      <w:r>
        <w:rPr>
          <w:rFonts w:ascii="Times New Roman" w:hAnsi="Times New Roman"/>
          <w:sz w:val="20"/>
          <w:szCs w:val="20"/>
        </w:rPr>
        <w:lastRenderedPageBreak/>
        <w:t>Milbrandt</w:t>
      </w:r>
      <w:proofErr w:type="spellEnd"/>
      <w:r>
        <w:rPr>
          <w:rFonts w:ascii="Times New Roman" w:hAnsi="Times New Roman"/>
          <w:sz w:val="20"/>
          <w:szCs w:val="20"/>
        </w:rPr>
        <w:t xml:space="preserve"> EB, </w:t>
      </w:r>
      <w:proofErr w:type="spellStart"/>
      <w:r>
        <w:rPr>
          <w:rFonts w:ascii="Times New Roman" w:hAnsi="Times New Roman"/>
          <w:sz w:val="20"/>
          <w:szCs w:val="20"/>
        </w:rPr>
        <w:t>Deppen</w:t>
      </w:r>
      <w:proofErr w:type="spellEnd"/>
      <w:r>
        <w:rPr>
          <w:rFonts w:ascii="Times New Roman" w:hAnsi="Times New Roman"/>
          <w:sz w:val="20"/>
          <w:szCs w:val="20"/>
        </w:rPr>
        <w:t xml:space="preserve"> S, Harrison PL, </w:t>
      </w:r>
      <w:proofErr w:type="spellStart"/>
      <w:r>
        <w:rPr>
          <w:rFonts w:ascii="Times New Roman" w:hAnsi="Times New Roman"/>
          <w:sz w:val="20"/>
          <w:szCs w:val="20"/>
        </w:rPr>
        <w:t>Shintani</w:t>
      </w:r>
      <w:proofErr w:type="spellEnd"/>
      <w:r>
        <w:rPr>
          <w:rFonts w:ascii="Times New Roman" w:hAnsi="Times New Roman"/>
          <w:sz w:val="20"/>
          <w:szCs w:val="20"/>
        </w:rPr>
        <w:t xml:space="preserve"> AK, </w:t>
      </w:r>
      <w:proofErr w:type="spellStart"/>
      <w:r>
        <w:rPr>
          <w:rFonts w:ascii="Times New Roman" w:hAnsi="Times New Roman"/>
          <w:sz w:val="20"/>
          <w:szCs w:val="20"/>
        </w:rPr>
        <w:t>Speroff</w:t>
      </w:r>
      <w:proofErr w:type="spellEnd"/>
      <w:r>
        <w:rPr>
          <w:rFonts w:ascii="Times New Roman" w:hAnsi="Times New Roman"/>
          <w:sz w:val="20"/>
          <w:szCs w:val="20"/>
        </w:rPr>
        <w:t xml:space="preserve"> T, Stiles RA, Truman B, Bernard GR, </w:t>
      </w:r>
      <w:proofErr w:type="spellStart"/>
      <w:r>
        <w:rPr>
          <w:rFonts w:ascii="Times New Roman" w:hAnsi="Times New Roman"/>
          <w:sz w:val="20"/>
          <w:szCs w:val="20"/>
        </w:rPr>
        <w:t>Dittus</w:t>
      </w:r>
      <w:proofErr w:type="spellEnd"/>
      <w:r>
        <w:rPr>
          <w:rFonts w:ascii="Times New Roman" w:hAnsi="Times New Roman"/>
          <w:sz w:val="20"/>
          <w:szCs w:val="20"/>
        </w:rPr>
        <w:t xml:space="preserve"> RS, Ely EW: Costs associated with delirium in mechanically ventilated patients. Crit Care Med 2004; 32:955–62</w:t>
      </w:r>
    </w:p>
    <w:p w14:paraId="6B329266" w14:textId="77777777" w:rsidR="00555164" w:rsidRDefault="002C73C0">
      <w:pPr>
        <w:pStyle w:val="af7"/>
        <w:widowControl w:val="0"/>
        <w:numPr>
          <w:ilvl w:val="0"/>
          <w:numId w:val="2"/>
        </w:numPr>
        <w:autoSpaceDE w:val="0"/>
        <w:autoSpaceDN w:val="0"/>
        <w:adjustRightInd w:val="0"/>
        <w:rPr>
          <w:rFonts w:ascii="Times New Roman" w:hAnsi="Times New Roman"/>
          <w:sz w:val="20"/>
          <w:szCs w:val="20"/>
        </w:rPr>
      </w:pPr>
      <w:bookmarkStart w:id="195" w:name="_Ref44760043"/>
      <w:bookmarkEnd w:id="194"/>
      <w:r>
        <w:rPr>
          <w:rFonts w:ascii="Times New Roman" w:hAnsi="Times New Roman"/>
          <w:sz w:val="20"/>
          <w:szCs w:val="20"/>
        </w:rPr>
        <w:t xml:space="preserve">Bickel H, </w:t>
      </w:r>
      <w:proofErr w:type="spellStart"/>
      <w:r>
        <w:rPr>
          <w:rFonts w:ascii="Times New Roman" w:hAnsi="Times New Roman"/>
          <w:sz w:val="20"/>
          <w:szCs w:val="20"/>
        </w:rPr>
        <w:t>Gradinger</w:t>
      </w:r>
      <w:proofErr w:type="spellEnd"/>
      <w:r>
        <w:rPr>
          <w:rFonts w:ascii="Times New Roman" w:hAnsi="Times New Roman"/>
          <w:sz w:val="20"/>
          <w:szCs w:val="20"/>
        </w:rPr>
        <w:t xml:space="preserve"> R, </w:t>
      </w:r>
      <w:proofErr w:type="spellStart"/>
      <w:r>
        <w:rPr>
          <w:rFonts w:ascii="Times New Roman" w:hAnsi="Times New Roman"/>
          <w:sz w:val="20"/>
          <w:szCs w:val="20"/>
        </w:rPr>
        <w:t>Kochs</w:t>
      </w:r>
      <w:proofErr w:type="spellEnd"/>
      <w:r>
        <w:rPr>
          <w:rFonts w:ascii="Times New Roman" w:hAnsi="Times New Roman"/>
          <w:sz w:val="20"/>
          <w:szCs w:val="20"/>
        </w:rPr>
        <w:t xml:space="preserve"> E, </w:t>
      </w:r>
      <w:proofErr w:type="spellStart"/>
      <w:r>
        <w:rPr>
          <w:rFonts w:ascii="Times New Roman" w:hAnsi="Times New Roman"/>
          <w:sz w:val="20"/>
          <w:szCs w:val="20"/>
        </w:rPr>
        <w:t>Förstl</w:t>
      </w:r>
      <w:proofErr w:type="spellEnd"/>
      <w:r>
        <w:rPr>
          <w:rFonts w:ascii="Times New Roman" w:hAnsi="Times New Roman"/>
          <w:sz w:val="20"/>
          <w:szCs w:val="20"/>
        </w:rPr>
        <w:t xml:space="preserve"> H: High risk of cognitive and functional decline after postoperative delirium: A three-year prospective study. Dement </w:t>
      </w:r>
      <w:proofErr w:type="spellStart"/>
      <w:r>
        <w:rPr>
          <w:rFonts w:ascii="Times New Roman" w:hAnsi="Times New Roman"/>
          <w:sz w:val="20"/>
          <w:szCs w:val="20"/>
        </w:rPr>
        <w:t>Geriatr</w:t>
      </w:r>
      <w:proofErr w:type="spellEnd"/>
      <w:r>
        <w:rPr>
          <w:rFonts w:ascii="Times New Roman" w:hAnsi="Times New Roman"/>
          <w:sz w:val="20"/>
          <w:szCs w:val="20"/>
        </w:rPr>
        <w:t xml:space="preserve"> </w:t>
      </w:r>
      <w:proofErr w:type="spellStart"/>
      <w:r>
        <w:rPr>
          <w:rFonts w:ascii="Times New Roman" w:hAnsi="Times New Roman"/>
          <w:sz w:val="20"/>
          <w:szCs w:val="20"/>
        </w:rPr>
        <w:t>Cogn</w:t>
      </w:r>
      <w:proofErr w:type="spellEnd"/>
      <w:r>
        <w:rPr>
          <w:rFonts w:ascii="Times New Roman" w:hAnsi="Times New Roman"/>
          <w:sz w:val="20"/>
          <w:szCs w:val="20"/>
        </w:rPr>
        <w:t xml:space="preserve"> </w:t>
      </w:r>
      <w:proofErr w:type="spellStart"/>
      <w:r>
        <w:rPr>
          <w:rFonts w:ascii="Times New Roman" w:hAnsi="Times New Roman"/>
          <w:sz w:val="20"/>
          <w:szCs w:val="20"/>
        </w:rPr>
        <w:t>Disord</w:t>
      </w:r>
      <w:proofErr w:type="spellEnd"/>
      <w:r>
        <w:rPr>
          <w:rFonts w:ascii="Times New Roman" w:hAnsi="Times New Roman"/>
          <w:sz w:val="20"/>
          <w:szCs w:val="20"/>
        </w:rPr>
        <w:t xml:space="preserve"> 2008; 26:26–31</w:t>
      </w:r>
      <w:bookmarkEnd w:id="195"/>
    </w:p>
    <w:p w14:paraId="0E27366A"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196" w:name="_Ref44760051"/>
      <w:proofErr w:type="spellStart"/>
      <w:r>
        <w:rPr>
          <w:rFonts w:ascii="Times New Roman" w:hAnsi="Times New Roman"/>
          <w:sz w:val="20"/>
          <w:szCs w:val="20"/>
        </w:rPr>
        <w:t>Rompaey</w:t>
      </w:r>
      <w:proofErr w:type="spellEnd"/>
      <w:r>
        <w:rPr>
          <w:rFonts w:ascii="Times New Roman" w:hAnsi="Times New Roman"/>
          <w:sz w:val="20"/>
          <w:szCs w:val="20"/>
        </w:rPr>
        <w:t xml:space="preserve"> B Van, Schuurmans MJ, Shortridge-Baggett LM, </w:t>
      </w:r>
      <w:proofErr w:type="spellStart"/>
      <w:r>
        <w:rPr>
          <w:rFonts w:ascii="Times New Roman" w:hAnsi="Times New Roman"/>
          <w:sz w:val="20"/>
          <w:szCs w:val="20"/>
        </w:rPr>
        <w:t>Truijen</w:t>
      </w:r>
      <w:proofErr w:type="spellEnd"/>
      <w:r>
        <w:rPr>
          <w:rFonts w:ascii="Times New Roman" w:hAnsi="Times New Roman"/>
          <w:sz w:val="20"/>
          <w:szCs w:val="20"/>
        </w:rPr>
        <w:t xml:space="preserve"> S, </w:t>
      </w:r>
      <w:proofErr w:type="spellStart"/>
      <w:r>
        <w:rPr>
          <w:rFonts w:ascii="Times New Roman" w:hAnsi="Times New Roman"/>
          <w:sz w:val="20"/>
          <w:szCs w:val="20"/>
        </w:rPr>
        <w:t>Elseviers</w:t>
      </w:r>
      <w:proofErr w:type="spellEnd"/>
      <w:r>
        <w:rPr>
          <w:rFonts w:ascii="Times New Roman" w:hAnsi="Times New Roman"/>
          <w:sz w:val="20"/>
          <w:szCs w:val="20"/>
        </w:rPr>
        <w:t xml:space="preserve"> M, </w:t>
      </w:r>
      <w:proofErr w:type="spellStart"/>
      <w:r>
        <w:rPr>
          <w:rFonts w:ascii="Times New Roman" w:hAnsi="Times New Roman"/>
          <w:sz w:val="20"/>
          <w:szCs w:val="20"/>
        </w:rPr>
        <w:t>Bossaert</w:t>
      </w:r>
      <w:proofErr w:type="spellEnd"/>
      <w:r>
        <w:rPr>
          <w:rFonts w:ascii="Times New Roman" w:hAnsi="Times New Roman"/>
          <w:sz w:val="20"/>
          <w:szCs w:val="20"/>
        </w:rPr>
        <w:t xml:space="preserve"> L: Long term outcome after delirium in the intensive care unit. J Clin </w:t>
      </w:r>
      <w:proofErr w:type="spellStart"/>
      <w:r>
        <w:rPr>
          <w:rFonts w:ascii="Times New Roman" w:hAnsi="Times New Roman"/>
          <w:sz w:val="20"/>
          <w:szCs w:val="20"/>
        </w:rPr>
        <w:t>Nurs</w:t>
      </w:r>
      <w:proofErr w:type="spellEnd"/>
      <w:r>
        <w:rPr>
          <w:rFonts w:ascii="Times New Roman" w:hAnsi="Times New Roman"/>
          <w:sz w:val="20"/>
          <w:szCs w:val="20"/>
        </w:rPr>
        <w:t xml:space="preserve"> 2009; 18:3349–57</w:t>
      </w:r>
    </w:p>
    <w:p w14:paraId="115F2E98" w14:textId="77777777" w:rsidR="00555164" w:rsidRDefault="002C73C0">
      <w:pPr>
        <w:pStyle w:val="af7"/>
        <w:widowControl w:val="0"/>
        <w:numPr>
          <w:ilvl w:val="0"/>
          <w:numId w:val="2"/>
        </w:numPr>
        <w:autoSpaceDE w:val="0"/>
        <w:autoSpaceDN w:val="0"/>
        <w:adjustRightInd w:val="0"/>
        <w:rPr>
          <w:rFonts w:ascii="Times New Roman" w:hAnsi="Times New Roman"/>
          <w:sz w:val="20"/>
          <w:szCs w:val="20"/>
        </w:rPr>
      </w:pPr>
      <w:bookmarkStart w:id="197" w:name="_Ref44760058"/>
      <w:bookmarkEnd w:id="196"/>
      <w:proofErr w:type="spellStart"/>
      <w:r>
        <w:rPr>
          <w:rFonts w:ascii="Times New Roman" w:hAnsi="Times New Roman"/>
          <w:sz w:val="20"/>
          <w:szCs w:val="20"/>
        </w:rPr>
        <w:t>Zha</w:t>
      </w:r>
      <w:proofErr w:type="spellEnd"/>
      <w:r>
        <w:rPr>
          <w:rFonts w:ascii="Times New Roman" w:hAnsi="Times New Roman"/>
          <w:sz w:val="20"/>
          <w:szCs w:val="20"/>
        </w:rPr>
        <w:t xml:space="preserve"> L, Wang DX. The impact of early postoperative delirium on long-term survival rate and quality of life in ICU patient after noncardiac surgery (unpublished data).</w:t>
      </w:r>
      <w:bookmarkEnd w:id="197"/>
      <w:r>
        <w:rPr>
          <w:rFonts w:ascii="Times New Roman" w:hAnsi="Times New Roman"/>
          <w:sz w:val="20"/>
          <w:szCs w:val="20"/>
        </w:rPr>
        <w:t xml:space="preserve"> </w:t>
      </w:r>
    </w:p>
    <w:p w14:paraId="0B8B2589"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198" w:name="_Ref44760193"/>
      <w:r>
        <w:rPr>
          <w:rFonts w:ascii="Times New Roman" w:hAnsi="Times New Roman"/>
          <w:sz w:val="20"/>
          <w:szCs w:val="20"/>
        </w:rPr>
        <w:t xml:space="preserve">Inouye SK: Delirium in older persons. N </w:t>
      </w:r>
      <w:proofErr w:type="spellStart"/>
      <w:r>
        <w:rPr>
          <w:rFonts w:ascii="Times New Roman" w:hAnsi="Times New Roman"/>
          <w:sz w:val="20"/>
          <w:szCs w:val="20"/>
        </w:rPr>
        <w:t>Engl</w:t>
      </w:r>
      <w:proofErr w:type="spellEnd"/>
      <w:r>
        <w:rPr>
          <w:rFonts w:ascii="Times New Roman" w:hAnsi="Times New Roman"/>
          <w:sz w:val="20"/>
          <w:szCs w:val="20"/>
        </w:rPr>
        <w:t xml:space="preserve"> J Med 2006; 354:1157–65</w:t>
      </w:r>
    </w:p>
    <w:p w14:paraId="742BA19A"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199" w:name="_Ref44760219"/>
      <w:bookmarkEnd w:id="198"/>
      <w:r>
        <w:rPr>
          <w:rFonts w:ascii="Times New Roman" w:hAnsi="Times New Roman"/>
          <w:sz w:val="20"/>
          <w:szCs w:val="20"/>
        </w:rPr>
        <w:t>Milstein A, Pollack A, Kleinman G, Barak Y: Confusion/delirium following cataract surgery: An incidence study of 1-year duration. Int Psychogeriatrics 2002; 14:301–6</w:t>
      </w:r>
    </w:p>
    <w:p w14:paraId="48E390EC"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00" w:name="_Ref44760230"/>
      <w:bookmarkEnd w:id="199"/>
      <w:proofErr w:type="spellStart"/>
      <w:r>
        <w:rPr>
          <w:rFonts w:ascii="Times New Roman" w:hAnsi="Times New Roman"/>
          <w:sz w:val="20"/>
          <w:szCs w:val="20"/>
        </w:rPr>
        <w:t>Vaurio</w:t>
      </w:r>
      <w:proofErr w:type="spellEnd"/>
      <w:r>
        <w:rPr>
          <w:rFonts w:ascii="Times New Roman" w:hAnsi="Times New Roman"/>
          <w:sz w:val="20"/>
          <w:szCs w:val="20"/>
        </w:rPr>
        <w:t xml:space="preserve"> LE, Sands LP, Wang Y, Mullen EA, Leung JM: Postoperative delirium: The importance of pain and pain management. </w:t>
      </w:r>
      <w:proofErr w:type="spellStart"/>
      <w:r>
        <w:rPr>
          <w:rFonts w:ascii="Times New Roman" w:hAnsi="Times New Roman"/>
          <w:sz w:val="20"/>
          <w:szCs w:val="20"/>
        </w:rPr>
        <w:t>Anesth</w:t>
      </w:r>
      <w:proofErr w:type="spellEnd"/>
      <w:r>
        <w:rPr>
          <w:rFonts w:ascii="Times New Roman" w:hAnsi="Times New Roman"/>
          <w:sz w:val="20"/>
          <w:szCs w:val="20"/>
        </w:rPr>
        <w:t xml:space="preserve"> </w:t>
      </w:r>
      <w:proofErr w:type="spellStart"/>
      <w:r>
        <w:rPr>
          <w:rFonts w:ascii="Times New Roman" w:hAnsi="Times New Roman"/>
          <w:sz w:val="20"/>
          <w:szCs w:val="20"/>
        </w:rPr>
        <w:t>Analg</w:t>
      </w:r>
      <w:proofErr w:type="spellEnd"/>
      <w:r>
        <w:rPr>
          <w:rFonts w:ascii="Times New Roman" w:hAnsi="Times New Roman"/>
          <w:sz w:val="20"/>
          <w:szCs w:val="20"/>
        </w:rPr>
        <w:t xml:space="preserve"> 2006; 102:1267–73</w:t>
      </w:r>
    </w:p>
    <w:p w14:paraId="5D3B90DD"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01" w:name="_Ref44760245"/>
      <w:bookmarkEnd w:id="200"/>
      <w:proofErr w:type="spellStart"/>
      <w:r>
        <w:rPr>
          <w:rFonts w:ascii="Times New Roman" w:hAnsi="Times New Roman"/>
          <w:sz w:val="20"/>
          <w:szCs w:val="20"/>
        </w:rPr>
        <w:t>Halaszynski</w:t>
      </w:r>
      <w:proofErr w:type="spellEnd"/>
      <w:r>
        <w:rPr>
          <w:rFonts w:ascii="Times New Roman" w:hAnsi="Times New Roman"/>
          <w:sz w:val="20"/>
          <w:szCs w:val="20"/>
        </w:rPr>
        <w:t xml:space="preserve"> TM: Pain management in the elderly and cognitively impaired patient: the role of regional anesthesia and analgesia. </w:t>
      </w:r>
      <w:proofErr w:type="spellStart"/>
      <w:r>
        <w:rPr>
          <w:rFonts w:ascii="Times New Roman" w:hAnsi="Times New Roman"/>
          <w:sz w:val="20"/>
          <w:szCs w:val="20"/>
        </w:rPr>
        <w:t>Curr</w:t>
      </w:r>
      <w:proofErr w:type="spellEnd"/>
      <w:r>
        <w:rPr>
          <w:rFonts w:ascii="Times New Roman" w:hAnsi="Times New Roman"/>
          <w:sz w:val="20"/>
          <w:szCs w:val="20"/>
        </w:rPr>
        <w:t xml:space="preserve"> </w:t>
      </w:r>
      <w:proofErr w:type="spellStart"/>
      <w:r>
        <w:rPr>
          <w:rFonts w:ascii="Times New Roman" w:hAnsi="Times New Roman"/>
          <w:sz w:val="20"/>
          <w:szCs w:val="20"/>
        </w:rPr>
        <w:t>Opin</w:t>
      </w:r>
      <w:proofErr w:type="spellEnd"/>
      <w:r>
        <w:rPr>
          <w:rFonts w:ascii="Times New Roman" w:hAnsi="Times New Roman"/>
          <w:sz w:val="20"/>
          <w:szCs w:val="20"/>
        </w:rPr>
        <w:t xml:space="preserve"> </w:t>
      </w:r>
      <w:proofErr w:type="spellStart"/>
      <w:r>
        <w:rPr>
          <w:rFonts w:ascii="Times New Roman" w:hAnsi="Times New Roman"/>
          <w:sz w:val="20"/>
          <w:szCs w:val="20"/>
        </w:rPr>
        <w:t>Anaesthesiol</w:t>
      </w:r>
      <w:proofErr w:type="spellEnd"/>
      <w:r>
        <w:rPr>
          <w:rFonts w:ascii="Times New Roman" w:hAnsi="Times New Roman"/>
          <w:sz w:val="20"/>
          <w:szCs w:val="20"/>
        </w:rPr>
        <w:t xml:space="preserve"> 2009; 22:594–9</w:t>
      </w:r>
    </w:p>
    <w:p w14:paraId="51315409"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02" w:name="_Ref44760256"/>
      <w:bookmarkEnd w:id="201"/>
      <w:proofErr w:type="spellStart"/>
      <w:r>
        <w:rPr>
          <w:rFonts w:ascii="Times New Roman" w:hAnsi="Times New Roman"/>
          <w:sz w:val="20"/>
          <w:szCs w:val="20"/>
        </w:rPr>
        <w:t>Hudek</w:t>
      </w:r>
      <w:proofErr w:type="spellEnd"/>
      <w:r>
        <w:rPr>
          <w:rFonts w:ascii="Times New Roman" w:hAnsi="Times New Roman"/>
          <w:sz w:val="20"/>
          <w:szCs w:val="20"/>
        </w:rPr>
        <w:t xml:space="preserve"> K: Emergence delirium: a nursing perspective. AORN J 2009; 89:509–20</w:t>
      </w:r>
    </w:p>
    <w:p w14:paraId="6C71D0BB"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03" w:name="_Ref44760291"/>
      <w:bookmarkEnd w:id="202"/>
      <w:r>
        <w:rPr>
          <w:rFonts w:ascii="Times New Roman" w:hAnsi="Times New Roman"/>
          <w:sz w:val="20"/>
          <w:szCs w:val="20"/>
        </w:rPr>
        <w:t xml:space="preserve">Rudolph JL, </w:t>
      </w:r>
      <w:proofErr w:type="spellStart"/>
      <w:r>
        <w:rPr>
          <w:rFonts w:ascii="Times New Roman" w:hAnsi="Times New Roman"/>
          <w:sz w:val="20"/>
          <w:szCs w:val="20"/>
        </w:rPr>
        <w:t>Ramlawi</w:t>
      </w:r>
      <w:proofErr w:type="spellEnd"/>
      <w:r>
        <w:rPr>
          <w:rFonts w:ascii="Times New Roman" w:hAnsi="Times New Roman"/>
          <w:sz w:val="20"/>
          <w:szCs w:val="20"/>
        </w:rPr>
        <w:t xml:space="preserve"> B, </w:t>
      </w:r>
      <w:proofErr w:type="spellStart"/>
      <w:r>
        <w:rPr>
          <w:rFonts w:ascii="Times New Roman" w:hAnsi="Times New Roman"/>
          <w:sz w:val="20"/>
          <w:szCs w:val="20"/>
        </w:rPr>
        <w:t>Kuchel</w:t>
      </w:r>
      <w:proofErr w:type="spellEnd"/>
      <w:r>
        <w:rPr>
          <w:rFonts w:ascii="Times New Roman" w:hAnsi="Times New Roman"/>
          <w:sz w:val="20"/>
          <w:szCs w:val="20"/>
        </w:rPr>
        <w:t xml:space="preserve"> GA, McElhaney JE, </w:t>
      </w:r>
      <w:proofErr w:type="spellStart"/>
      <w:r>
        <w:rPr>
          <w:rFonts w:ascii="Times New Roman" w:hAnsi="Times New Roman"/>
          <w:sz w:val="20"/>
          <w:szCs w:val="20"/>
        </w:rPr>
        <w:t>Xie</w:t>
      </w:r>
      <w:proofErr w:type="spellEnd"/>
      <w:r>
        <w:rPr>
          <w:rFonts w:ascii="Times New Roman" w:hAnsi="Times New Roman"/>
          <w:sz w:val="20"/>
          <w:szCs w:val="20"/>
        </w:rPr>
        <w:t xml:space="preserve"> D, </w:t>
      </w:r>
      <w:proofErr w:type="spellStart"/>
      <w:r>
        <w:rPr>
          <w:rFonts w:ascii="Times New Roman" w:hAnsi="Times New Roman"/>
          <w:sz w:val="20"/>
          <w:szCs w:val="20"/>
        </w:rPr>
        <w:t>Sellke</w:t>
      </w:r>
      <w:proofErr w:type="spellEnd"/>
      <w:r>
        <w:rPr>
          <w:rFonts w:ascii="Times New Roman" w:hAnsi="Times New Roman"/>
          <w:sz w:val="20"/>
          <w:szCs w:val="20"/>
        </w:rPr>
        <w:t xml:space="preserve"> FW, </w:t>
      </w:r>
      <w:proofErr w:type="spellStart"/>
      <w:r>
        <w:rPr>
          <w:rFonts w:ascii="Times New Roman" w:hAnsi="Times New Roman"/>
          <w:sz w:val="20"/>
          <w:szCs w:val="20"/>
        </w:rPr>
        <w:t>Khabbaz</w:t>
      </w:r>
      <w:proofErr w:type="spellEnd"/>
      <w:r>
        <w:rPr>
          <w:rFonts w:ascii="Times New Roman" w:hAnsi="Times New Roman"/>
          <w:sz w:val="20"/>
          <w:szCs w:val="20"/>
        </w:rPr>
        <w:t xml:space="preserve"> K, </w:t>
      </w:r>
      <w:proofErr w:type="spellStart"/>
      <w:r>
        <w:rPr>
          <w:rFonts w:ascii="Times New Roman" w:hAnsi="Times New Roman"/>
          <w:sz w:val="20"/>
          <w:szCs w:val="20"/>
        </w:rPr>
        <w:t>Levkoff</w:t>
      </w:r>
      <w:proofErr w:type="spellEnd"/>
      <w:r>
        <w:rPr>
          <w:rFonts w:ascii="Times New Roman" w:hAnsi="Times New Roman"/>
          <w:sz w:val="20"/>
          <w:szCs w:val="20"/>
        </w:rPr>
        <w:t xml:space="preserve"> SE, Marcantonio ER: Chemokines are associated with delirium after cardiac surgery. Journals </w:t>
      </w:r>
      <w:proofErr w:type="spellStart"/>
      <w:r>
        <w:rPr>
          <w:rFonts w:ascii="Times New Roman" w:hAnsi="Times New Roman"/>
          <w:sz w:val="20"/>
          <w:szCs w:val="20"/>
        </w:rPr>
        <w:t>Gerontol</w:t>
      </w:r>
      <w:proofErr w:type="spellEnd"/>
      <w:r>
        <w:rPr>
          <w:rFonts w:ascii="Times New Roman" w:hAnsi="Times New Roman"/>
          <w:sz w:val="20"/>
          <w:szCs w:val="20"/>
        </w:rPr>
        <w:t xml:space="preserve"> - Ser A Biol Sci Med Sci 2008; 63:184–9</w:t>
      </w:r>
    </w:p>
    <w:p w14:paraId="6561929D"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04" w:name="_Ref44760300"/>
      <w:bookmarkEnd w:id="203"/>
      <w:proofErr w:type="spellStart"/>
      <w:r>
        <w:rPr>
          <w:rFonts w:ascii="Times New Roman" w:hAnsi="Times New Roman"/>
          <w:sz w:val="20"/>
          <w:szCs w:val="20"/>
        </w:rPr>
        <w:t>Rooij</w:t>
      </w:r>
      <w:proofErr w:type="spellEnd"/>
      <w:r>
        <w:rPr>
          <w:rFonts w:ascii="Times New Roman" w:hAnsi="Times New Roman"/>
          <w:sz w:val="20"/>
          <w:szCs w:val="20"/>
        </w:rPr>
        <w:t xml:space="preserve"> SE de, Munster BC van, </w:t>
      </w:r>
      <w:proofErr w:type="spellStart"/>
      <w:r>
        <w:rPr>
          <w:rFonts w:ascii="Times New Roman" w:hAnsi="Times New Roman"/>
          <w:sz w:val="20"/>
          <w:szCs w:val="20"/>
        </w:rPr>
        <w:t>Korevaar</w:t>
      </w:r>
      <w:proofErr w:type="spellEnd"/>
      <w:r>
        <w:rPr>
          <w:rFonts w:ascii="Times New Roman" w:hAnsi="Times New Roman"/>
          <w:sz w:val="20"/>
          <w:szCs w:val="20"/>
        </w:rPr>
        <w:t xml:space="preserve"> JC, Levi M: Cytokines and acute phase response in delirium. J </w:t>
      </w:r>
      <w:proofErr w:type="spellStart"/>
      <w:r>
        <w:rPr>
          <w:rFonts w:ascii="Times New Roman" w:hAnsi="Times New Roman"/>
          <w:sz w:val="20"/>
          <w:szCs w:val="20"/>
        </w:rPr>
        <w:t>Psychosom</w:t>
      </w:r>
      <w:proofErr w:type="spellEnd"/>
      <w:r>
        <w:rPr>
          <w:rFonts w:ascii="Times New Roman" w:hAnsi="Times New Roman"/>
          <w:sz w:val="20"/>
          <w:szCs w:val="20"/>
        </w:rPr>
        <w:t xml:space="preserve"> Res 2007; 62:521–5</w:t>
      </w:r>
    </w:p>
    <w:p w14:paraId="6B427476"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05" w:name="_Ref44760310"/>
      <w:bookmarkEnd w:id="204"/>
      <w:r>
        <w:rPr>
          <w:rFonts w:ascii="Times New Roman" w:hAnsi="Times New Roman"/>
          <w:sz w:val="20"/>
          <w:szCs w:val="20"/>
        </w:rPr>
        <w:t xml:space="preserve">Munster BC Van, </w:t>
      </w:r>
      <w:proofErr w:type="spellStart"/>
      <w:r>
        <w:rPr>
          <w:rFonts w:ascii="Times New Roman" w:hAnsi="Times New Roman"/>
          <w:sz w:val="20"/>
          <w:szCs w:val="20"/>
        </w:rPr>
        <w:t>Korevaar</w:t>
      </w:r>
      <w:proofErr w:type="spellEnd"/>
      <w:r>
        <w:rPr>
          <w:rFonts w:ascii="Times New Roman" w:hAnsi="Times New Roman"/>
          <w:sz w:val="20"/>
          <w:szCs w:val="20"/>
        </w:rPr>
        <w:t xml:space="preserve"> JC, </w:t>
      </w:r>
      <w:proofErr w:type="spellStart"/>
      <w:r>
        <w:rPr>
          <w:rFonts w:ascii="Times New Roman" w:hAnsi="Times New Roman"/>
          <w:sz w:val="20"/>
          <w:szCs w:val="20"/>
        </w:rPr>
        <w:t>Zwinderman</w:t>
      </w:r>
      <w:proofErr w:type="spellEnd"/>
      <w:r>
        <w:rPr>
          <w:rFonts w:ascii="Times New Roman" w:hAnsi="Times New Roman"/>
          <w:sz w:val="20"/>
          <w:szCs w:val="20"/>
        </w:rPr>
        <w:t xml:space="preserve"> AH, Levi M, </w:t>
      </w:r>
      <w:proofErr w:type="spellStart"/>
      <w:r>
        <w:rPr>
          <w:rFonts w:ascii="Times New Roman" w:hAnsi="Times New Roman"/>
          <w:sz w:val="20"/>
          <w:szCs w:val="20"/>
        </w:rPr>
        <w:t>Wiersinga</w:t>
      </w:r>
      <w:proofErr w:type="spellEnd"/>
      <w:r>
        <w:rPr>
          <w:rFonts w:ascii="Times New Roman" w:hAnsi="Times New Roman"/>
          <w:sz w:val="20"/>
          <w:szCs w:val="20"/>
        </w:rPr>
        <w:t xml:space="preserve"> WJ, </w:t>
      </w:r>
      <w:proofErr w:type="spellStart"/>
      <w:r>
        <w:rPr>
          <w:rFonts w:ascii="Times New Roman" w:hAnsi="Times New Roman"/>
          <w:sz w:val="20"/>
          <w:szCs w:val="20"/>
        </w:rPr>
        <w:t>Rooij</w:t>
      </w:r>
      <w:proofErr w:type="spellEnd"/>
      <w:r>
        <w:rPr>
          <w:rFonts w:ascii="Times New Roman" w:hAnsi="Times New Roman"/>
          <w:sz w:val="20"/>
          <w:szCs w:val="20"/>
        </w:rPr>
        <w:t xml:space="preserve"> SE De: Time-course of cytokines during delirium in elderly patients with hip fractures. J Am </w:t>
      </w:r>
      <w:proofErr w:type="spellStart"/>
      <w:r>
        <w:rPr>
          <w:rFonts w:ascii="Times New Roman" w:hAnsi="Times New Roman"/>
          <w:sz w:val="20"/>
          <w:szCs w:val="20"/>
        </w:rPr>
        <w:t>Geriatr</w:t>
      </w:r>
      <w:proofErr w:type="spellEnd"/>
      <w:r>
        <w:rPr>
          <w:rFonts w:ascii="Times New Roman" w:hAnsi="Times New Roman"/>
          <w:sz w:val="20"/>
          <w:szCs w:val="20"/>
        </w:rPr>
        <w:t xml:space="preserve"> Soc 2008; 56:1704–9</w:t>
      </w:r>
    </w:p>
    <w:p w14:paraId="6F7AD47E"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06" w:name="_Ref44760320"/>
      <w:bookmarkEnd w:id="205"/>
      <w:proofErr w:type="spellStart"/>
      <w:r>
        <w:rPr>
          <w:rFonts w:ascii="Times New Roman" w:hAnsi="Times New Roman"/>
          <w:sz w:val="20"/>
          <w:szCs w:val="20"/>
        </w:rPr>
        <w:t>Coluzzi</w:t>
      </w:r>
      <w:proofErr w:type="spellEnd"/>
      <w:r>
        <w:rPr>
          <w:rFonts w:ascii="Times New Roman" w:hAnsi="Times New Roman"/>
          <w:sz w:val="20"/>
          <w:szCs w:val="20"/>
        </w:rPr>
        <w:t xml:space="preserve"> F, Rocco A, </w:t>
      </w:r>
      <w:proofErr w:type="spellStart"/>
      <w:r>
        <w:rPr>
          <w:rFonts w:ascii="Times New Roman" w:hAnsi="Times New Roman"/>
          <w:sz w:val="20"/>
          <w:szCs w:val="20"/>
        </w:rPr>
        <w:t>Mandatori</w:t>
      </w:r>
      <w:proofErr w:type="spellEnd"/>
      <w:r>
        <w:rPr>
          <w:rFonts w:ascii="Times New Roman" w:hAnsi="Times New Roman"/>
          <w:sz w:val="20"/>
          <w:szCs w:val="20"/>
        </w:rPr>
        <w:t xml:space="preserve"> I, Mattia C: Non-Analgesic Effects of Opioids: Opioid-induced Nausea and Vomiting: Mechanisms and Strategies for their Limitation. </w:t>
      </w:r>
      <w:proofErr w:type="spellStart"/>
      <w:r>
        <w:rPr>
          <w:rFonts w:ascii="Times New Roman" w:hAnsi="Times New Roman"/>
          <w:sz w:val="20"/>
          <w:szCs w:val="20"/>
        </w:rPr>
        <w:t>Curr</w:t>
      </w:r>
      <w:proofErr w:type="spellEnd"/>
      <w:r>
        <w:rPr>
          <w:rFonts w:ascii="Times New Roman" w:hAnsi="Times New Roman"/>
          <w:sz w:val="20"/>
          <w:szCs w:val="20"/>
        </w:rPr>
        <w:t xml:space="preserve"> Pharm Des 2012; 18:6043–52</w:t>
      </w:r>
      <w:bookmarkEnd w:id="206"/>
    </w:p>
    <w:p w14:paraId="5636C8E7"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07" w:name="_Ref44760328"/>
      <w:r>
        <w:rPr>
          <w:rFonts w:ascii="Times New Roman" w:hAnsi="Times New Roman"/>
          <w:sz w:val="20"/>
          <w:szCs w:val="20"/>
        </w:rPr>
        <w:t xml:space="preserve">Pisani MA, Murphy TE, Araujo KLB, </w:t>
      </w:r>
      <w:proofErr w:type="spellStart"/>
      <w:r>
        <w:rPr>
          <w:rFonts w:ascii="Times New Roman" w:hAnsi="Times New Roman"/>
          <w:sz w:val="20"/>
          <w:szCs w:val="20"/>
        </w:rPr>
        <w:t>Slattum</w:t>
      </w:r>
      <w:proofErr w:type="spellEnd"/>
      <w:r>
        <w:rPr>
          <w:rFonts w:ascii="Times New Roman" w:hAnsi="Times New Roman"/>
          <w:sz w:val="20"/>
          <w:szCs w:val="20"/>
        </w:rPr>
        <w:t xml:space="preserve"> P, Ness PH Van, Inouye SK: Benzodiazepine and opioid use and the duration of intensive care unit delirium in an older population. Crit Care Med 2009; 37:177–83</w:t>
      </w:r>
    </w:p>
    <w:p w14:paraId="0EC62BC0"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08" w:name="_Ref44760336"/>
      <w:bookmarkEnd w:id="207"/>
      <w:r>
        <w:rPr>
          <w:rFonts w:ascii="Times New Roman" w:hAnsi="Times New Roman"/>
          <w:sz w:val="20"/>
          <w:szCs w:val="20"/>
        </w:rPr>
        <w:t xml:space="preserve">Behera B, </w:t>
      </w:r>
      <w:proofErr w:type="spellStart"/>
      <w:r>
        <w:rPr>
          <w:rFonts w:ascii="Times New Roman" w:hAnsi="Times New Roman"/>
          <w:sz w:val="20"/>
          <w:szCs w:val="20"/>
        </w:rPr>
        <w:t>Puri</w:t>
      </w:r>
      <w:proofErr w:type="spellEnd"/>
      <w:r>
        <w:rPr>
          <w:rFonts w:ascii="Times New Roman" w:hAnsi="Times New Roman"/>
          <w:sz w:val="20"/>
          <w:szCs w:val="20"/>
        </w:rPr>
        <w:t xml:space="preserve"> G, </w:t>
      </w:r>
      <w:proofErr w:type="spellStart"/>
      <w:r>
        <w:rPr>
          <w:rFonts w:ascii="Times New Roman" w:hAnsi="Times New Roman"/>
          <w:sz w:val="20"/>
          <w:szCs w:val="20"/>
        </w:rPr>
        <w:t>Ghai</w:t>
      </w:r>
      <w:proofErr w:type="spellEnd"/>
      <w:r>
        <w:rPr>
          <w:rFonts w:ascii="Times New Roman" w:hAnsi="Times New Roman"/>
          <w:sz w:val="20"/>
          <w:szCs w:val="20"/>
        </w:rPr>
        <w:t xml:space="preserve"> B: Patient-controlled epidural analgesia with fentanyl and bupivacaine provides better analgesia than intravenous morphine patient-controlled analgesia for early thoracotomy pain. J Postgrad Med 2008; 54:86–90</w:t>
      </w:r>
    </w:p>
    <w:p w14:paraId="63891274"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09" w:name="_Ref44760351"/>
      <w:bookmarkEnd w:id="208"/>
      <w:r>
        <w:rPr>
          <w:rFonts w:ascii="Times New Roman" w:hAnsi="Times New Roman"/>
          <w:sz w:val="20"/>
          <w:szCs w:val="20"/>
        </w:rPr>
        <w:t xml:space="preserve">Saeki H, Ishimura H, Higashi H, Kitagawa D, Tanaka J, Maruyama R, </w:t>
      </w:r>
      <w:proofErr w:type="spellStart"/>
      <w:r>
        <w:rPr>
          <w:rFonts w:ascii="Times New Roman" w:hAnsi="Times New Roman"/>
          <w:sz w:val="20"/>
          <w:szCs w:val="20"/>
        </w:rPr>
        <w:t>Katoh</w:t>
      </w:r>
      <w:proofErr w:type="spellEnd"/>
      <w:r>
        <w:rPr>
          <w:rFonts w:ascii="Times New Roman" w:hAnsi="Times New Roman"/>
          <w:sz w:val="20"/>
          <w:szCs w:val="20"/>
        </w:rPr>
        <w:t xml:space="preserve"> H, </w:t>
      </w:r>
      <w:proofErr w:type="spellStart"/>
      <w:r>
        <w:rPr>
          <w:rFonts w:ascii="Times New Roman" w:hAnsi="Times New Roman"/>
          <w:sz w:val="20"/>
          <w:szCs w:val="20"/>
        </w:rPr>
        <w:t>Shimazoe</w:t>
      </w:r>
      <w:proofErr w:type="spellEnd"/>
      <w:r>
        <w:rPr>
          <w:rFonts w:ascii="Times New Roman" w:hAnsi="Times New Roman"/>
          <w:sz w:val="20"/>
          <w:szCs w:val="20"/>
        </w:rPr>
        <w:t xml:space="preserve"> H, Yamauchi K, </w:t>
      </w:r>
      <w:proofErr w:type="spellStart"/>
      <w:r>
        <w:rPr>
          <w:rFonts w:ascii="Times New Roman" w:hAnsi="Times New Roman"/>
          <w:sz w:val="20"/>
          <w:szCs w:val="20"/>
        </w:rPr>
        <w:t>Ayabe</w:t>
      </w:r>
      <w:proofErr w:type="spellEnd"/>
      <w:r>
        <w:rPr>
          <w:rFonts w:ascii="Times New Roman" w:hAnsi="Times New Roman"/>
          <w:sz w:val="20"/>
          <w:szCs w:val="20"/>
        </w:rPr>
        <w:t xml:space="preserve"> H, </w:t>
      </w:r>
      <w:proofErr w:type="spellStart"/>
      <w:r>
        <w:rPr>
          <w:rFonts w:ascii="Times New Roman" w:hAnsi="Times New Roman"/>
          <w:sz w:val="20"/>
          <w:szCs w:val="20"/>
        </w:rPr>
        <w:t>Kakeji</w:t>
      </w:r>
      <w:proofErr w:type="spellEnd"/>
      <w:r>
        <w:rPr>
          <w:rFonts w:ascii="Times New Roman" w:hAnsi="Times New Roman"/>
          <w:sz w:val="20"/>
          <w:szCs w:val="20"/>
        </w:rPr>
        <w:t xml:space="preserve"> Y, Morita M, Maehara Y: Postoperative management using intensive patient-controlled epidural analgesia and early rehabilitation after an esophagectomy. Surg Today 2009; 39:476–80</w:t>
      </w:r>
      <w:bookmarkEnd w:id="209"/>
    </w:p>
    <w:p w14:paraId="1C95E4B4"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10" w:name="_Ref44760363"/>
      <w:r>
        <w:rPr>
          <w:rFonts w:ascii="Times New Roman" w:hAnsi="Times New Roman"/>
          <w:sz w:val="20"/>
          <w:szCs w:val="20"/>
        </w:rPr>
        <w:t xml:space="preserve">Li Y, Zhu S, Yan M: Combined general/epidural anesthesia (ropivacaine 0.375%) versus general anesthesia for upper abdominal surgery. </w:t>
      </w:r>
      <w:proofErr w:type="spellStart"/>
      <w:r>
        <w:rPr>
          <w:rFonts w:ascii="Times New Roman" w:hAnsi="Times New Roman"/>
          <w:sz w:val="20"/>
          <w:szCs w:val="20"/>
        </w:rPr>
        <w:t>Anesth</w:t>
      </w:r>
      <w:proofErr w:type="spellEnd"/>
      <w:r>
        <w:rPr>
          <w:rFonts w:ascii="Times New Roman" w:hAnsi="Times New Roman"/>
          <w:sz w:val="20"/>
          <w:szCs w:val="20"/>
        </w:rPr>
        <w:t xml:space="preserve"> </w:t>
      </w:r>
      <w:proofErr w:type="spellStart"/>
      <w:r>
        <w:rPr>
          <w:rFonts w:ascii="Times New Roman" w:hAnsi="Times New Roman"/>
          <w:sz w:val="20"/>
          <w:szCs w:val="20"/>
        </w:rPr>
        <w:t>Analg</w:t>
      </w:r>
      <w:proofErr w:type="spellEnd"/>
      <w:r>
        <w:rPr>
          <w:rFonts w:ascii="Times New Roman" w:hAnsi="Times New Roman"/>
          <w:sz w:val="20"/>
          <w:szCs w:val="20"/>
        </w:rPr>
        <w:t xml:space="preserve"> 2008; 106:1562–5</w:t>
      </w:r>
    </w:p>
    <w:p w14:paraId="3D738AD5"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11" w:name="_Ref44760371"/>
      <w:bookmarkEnd w:id="210"/>
      <w:proofErr w:type="spellStart"/>
      <w:r>
        <w:rPr>
          <w:rFonts w:ascii="Times New Roman" w:hAnsi="Times New Roman"/>
          <w:sz w:val="20"/>
          <w:szCs w:val="20"/>
        </w:rPr>
        <w:t>Ahlers</w:t>
      </w:r>
      <w:proofErr w:type="spellEnd"/>
      <w:r>
        <w:rPr>
          <w:rFonts w:ascii="Times New Roman" w:hAnsi="Times New Roman"/>
          <w:sz w:val="20"/>
          <w:szCs w:val="20"/>
        </w:rPr>
        <w:t xml:space="preserve"> O, </w:t>
      </w:r>
      <w:proofErr w:type="spellStart"/>
      <w:r>
        <w:rPr>
          <w:rFonts w:ascii="Times New Roman" w:hAnsi="Times New Roman"/>
          <w:sz w:val="20"/>
          <w:szCs w:val="20"/>
        </w:rPr>
        <w:t>Nachtigall</w:t>
      </w:r>
      <w:proofErr w:type="spellEnd"/>
      <w:r>
        <w:rPr>
          <w:rFonts w:ascii="Times New Roman" w:hAnsi="Times New Roman"/>
          <w:sz w:val="20"/>
          <w:szCs w:val="20"/>
        </w:rPr>
        <w:t xml:space="preserve"> I, </w:t>
      </w:r>
      <w:proofErr w:type="spellStart"/>
      <w:r>
        <w:rPr>
          <w:rFonts w:ascii="Times New Roman" w:hAnsi="Times New Roman"/>
          <w:sz w:val="20"/>
          <w:szCs w:val="20"/>
        </w:rPr>
        <w:t>Lenze</w:t>
      </w:r>
      <w:proofErr w:type="spellEnd"/>
      <w:r>
        <w:rPr>
          <w:rFonts w:ascii="Times New Roman" w:hAnsi="Times New Roman"/>
          <w:sz w:val="20"/>
          <w:szCs w:val="20"/>
        </w:rPr>
        <w:t xml:space="preserve"> J, </w:t>
      </w:r>
      <w:proofErr w:type="spellStart"/>
      <w:r>
        <w:rPr>
          <w:rFonts w:ascii="Times New Roman" w:hAnsi="Times New Roman"/>
          <w:sz w:val="20"/>
          <w:szCs w:val="20"/>
        </w:rPr>
        <w:t>Goldmann</w:t>
      </w:r>
      <w:proofErr w:type="spellEnd"/>
      <w:r>
        <w:rPr>
          <w:rFonts w:ascii="Times New Roman" w:hAnsi="Times New Roman"/>
          <w:sz w:val="20"/>
          <w:szCs w:val="20"/>
        </w:rPr>
        <w:t xml:space="preserve"> A, Schulte E, </w:t>
      </w:r>
      <w:proofErr w:type="spellStart"/>
      <w:r>
        <w:rPr>
          <w:rFonts w:ascii="Times New Roman" w:hAnsi="Times New Roman"/>
          <w:sz w:val="20"/>
          <w:szCs w:val="20"/>
        </w:rPr>
        <w:t>Höhne</w:t>
      </w:r>
      <w:proofErr w:type="spellEnd"/>
      <w:r>
        <w:rPr>
          <w:rFonts w:ascii="Times New Roman" w:hAnsi="Times New Roman"/>
          <w:sz w:val="20"/>
          <w:szCs w:val="20"/>
        </w:rPr>
        <w:t xml:space="preserve"> C, Fritz G, </w:t>
      </w:r>
      <w:proofErr w:type="spellStart"/>
      <w:r>
        <w:rPr>
          <w:rFonts w:ascii="Times New Roman" w:hAnsi="Times New Roman"/>
          <w:sz w:val="20"/>
          <w:szCs w:val="20"/>
        </w:rPr>
        <w:t>Keh</w:t>
      </w:r>
      <w:proofErr w:type="spellEnd"/>
      <w:r>
        <w:rPr>
          <w:rFonts w:ascii="Times New Roman" w:hAnsi="Times New Roman"/>
          <w:sz w:val="20"/>
          <w:szCs w:val="20"/>
        </w:rPr>
        <w:t xml:space="preserve"> D: Intraoperative thoracic epidural </w:t>
      </w:r>
      <w:proofErr w:type="spellStart"/>
      <w:r>
        <w:rPr>
          <w:rFonts w:ascii="Times New Roman" w:hAnsi="Times New Roman"/>
          <w:sz w:val="20"/>
          <w:szCs w:val="20"/>
        </w:rPr>
        <w:t>anaesthesia</w:t>
      </w:r>
      <w:proofErr w:type="spellEnd"/>
      <w:r>
        <w:rPr>
          <w:rFonts w:ascii="Times New Roman" w:hAnsi="Times New Roman"/>
          <w:sz w:val="20"/>
          <w:szCs w:val="20"/>
        </w:rPr>
        <w:t xml:space="preserve"> attenuates stress-induced immunosuppression in patients undergoing major abdominal surgery. Br J </w:t>
      </w:r>
      <w:proofErr w:type="spellStart"/>
      <w:r>
        <w:rPr>
          <w:rFonts w:ascii="Times New Roman" w:hAnsi="Times New Roman"/>
          <w:sz w:val="20"/>
          <w:szCs w:val="20"/>
        </w:rPr>
        <w:t>Anaesth</w:t>
      </w:r>
      <w:proofErr w:type="spellEnd"/>
      <w:r>
        <w:rPr>
          <w:rFonts w:ascii="Times New Roman" w:hAnsi="Times New Roman"/>
          <w:sz w:val="20"/>
          <w:szCs w:val="20"/>
        </w:rPr>
        <w:t xml:space="preserve"> 2008; 101:781–7</w:t>
      </w:r>
      <w:bookmarkEnd w:id="211"/>
    </w:p>
    <w:p w14:paraId="14A1E51F" w14:textId="77777777" w:rsidR="00555164" w:rsidRDefault="002C73C0">
      <w:pPr>
        <w:pStyle w:val="af7"/>
        <w:widowControl w:val="0"/>
        <w:numPr>
          <w:ilvl w:val="0"/>
          <w:numId w:val="2"/>
        </w:numPr>
        <w:autoSpaceDE w:val="0"/>
        <w:autoSpaceDN w:val="0"/>
        <w:adjustRightInd w:val="0"/>
        <w:spacing w:before="120" w:after="120"/>
        <w:rPr>
          <w:sz w:val="20"/>
          <w:szCs w:val="20"/>
        </w:rPr>
      </w:pPr>
      <w:bookmarkStart w:id="212" w:name="_Ref44760379"/>
      <w:proofErr w:type="spellStart"/>
      <w:r>
        <w:rPr>
          <w:rFonts w:ascii="Times New Roman" w:hAnsi="Times New Roman"/>
          <w:sz w:val="20"/>
          <w:szCs w:val="20"/>
        </w:rPr>
        <w:t>Chloropoulou</w:t>
      </w:r>
      <w:proofErr w:type="spellEnd"/>
      <w:r>
        <w:rPr>
          <w:rFonts w:ascii="Times New Roman" w:hAnsi="Times New Roman"/>
          <w:sz w:val="20"/>
          <w:szCs w:val="20"/>
        </w:rPr>
        <w:t xml:space="preserve"> P, </w:t>
      </w:r>
      <w:proofErr w:type="spellStart"/>
      <w:r>
        <w:rPr>
          <w:rFonts w:ascii="Times New Roman" w:hAnsi="Times New Roman"/>
          <w:sz w:val="20"/>
          <w:szCs w:val="20"/>
        </w:rPr>
        <w:t>Iatrou</w:t>
      </w:r>
      <w:proofErr w:type="spellEnd"/>
      <w:r>
        <w:rPr>
          <w:rFonts w:ascii="Times New Roman" w:hAnsi="Times New Roman"/>
          <w:sz w:val="20"/>
          <w:szCs w:val="20"/>
        </w:rPr>
        <w:t xml:space="preserve"> C, </w:t>
      </w:r>
      <w:proofErr w:type="spellStart"/>
      <w:r>
        <w:rPr>
          <w:rFonts w:ascii="Times New Roman" w:hAnsi="Times New Roman"/>
          <w:sz w:val="20"/>
          <w:szCs w:val="20"/>
        </w:rPr>
        <w:t>Vogiatzaki</w:t>
      </w:r>
      <w:proofErr w:type="spellEnd"/>
      <w:r>
        <w:rPr>
          <w:rFonts w:ascii="Times New Roman" w:hAnsi="Times New Roman"/>
          <w:sz w:val="20"/>
          <w:szCs w:val="20"/>
        </w:rPr>
        <w:t xml:space="preserve"> T, </w:t>
      </w:r>
      <w:proofErr w:type="spellStart"/>
      <w:r>
        <w:rPr>
          <w:rFonts w:ascii="Times New Roman" w:hAnsi="Times New Roman"/>
          <w:sz w:val="20"/>
          <w:szCs w:val="20"/>
        </w:rPr>
        <w:t>Kotsianidis</w:t>
      </w:r>
      <w:proofErr w:type="spellEnd"/>
      <w:r>
        <w:rPr>
          <w:rFonts w:ascii="Times New Roman" w:hAnsi="Times New Roman"/>
          <w:sz w:val="20"/>
          <w:szCs w:val="20"/>
        </w:rPr>
        <w:t xml:space="preserve"> I, </w:t>
      </w:r>
      <w:proofErr w:type="spellStart"/>
      <w:r>
        <w:rPr>
          <w:rFonts w:ascii="Times New Roman" w:hAnsi="Times New Roman"/>
          <w:sz w:val="20"/>
          <w:szCs w:val="20"/>
        </w:rPr>
        <w:t>Trypsianis</w:t>
      </w:r>
      <w:proofErr w:type="spellEnd"/>
      <w:r>
        <w:rPr>
          <w:rFonts w:ascii="Times New Roman" w:hAnsi="Times New Roman"/>
          <w:sz w:val="20"/>
          <w:szCs w:val="20"/>
        </w:rPr>
        <w:t xml:space="preserve"> G, </w:t>
      </w:r>
      <w:proofErr w:type="spellStart"/>
      <w:r>
        <w:rPr>
          <w:rFonts w:ascii="Times New Roman" w:hAnsi="Times New Roman"/>
          <w:sz w:val="20"/>
          <w:szCs w:val="20"/>
        </w:rPr>
        <w:t>Tsigalou</w:t>
      </w:r>
      <w:proofErr w:type="spellEnd"/>
      <w:r>
        <w:rPr>
          <w:rFonts w:ascii="Times New Roman" w:hAnsi="Times New Roman"/>
          <w:sz w:val="20"/>
          <w:szCs w:val="20"/>
        </w:rPr>
        <w:t xml:space="preserve"> C, </w:t>
      </w:r>
      <w:proofErr w:type="spellStart"/>
      <w:r>
        <w:rPr>
          <w:rFonts w:ascii="Times New Roman" w:hAnsi="Times New Roman"/>
          <w:sz w:val="20"/>
          <w:szCs w:val="20"/>
        </w:rPr>
        <w:t>Paschalidou</w:t>
      </w:r>
      <w:proofErr w:type="spellEnd"/>
      <w:r>
        <w:rPr>
          <w:rFonts w:ascii="Times New Roman" w:hAnsi="Times New Roman"/>
          <w:sz w:val="20"/>
          <w:szCs w:val="20"/>
        </w:rPr>
        <w:t xml:space="preserve"> E, </w:t>
      </w:r>
      <w:proofErr w:type="spellStart"/>
      <w:r>
        <w:rPr>
          <w:rFonts w:ascii="Times New Roman" w:hAnsi="Times New Roman"/>
          <w:sz w:val="20"/>
          <w:szCs w:val="20"/>
        </w:rPr>
        <w:t>Kazakos</w:t>
      </w:r>
      <w:proofErr w:type="spellEnd"/>
      <w:r>
        <w:rPr>
          <w:rFonts w:ascii="Times New Roman" w:hAnsi="Times New Roman"/>
          <w:sz w:val="20"/>
          <w:szCs w:val="20"/>
        </w:rPr>
        <w:t xml:space="preserve"> K, </w:t>
      </w:r>
      <w:proofErr w:type="spellStart"/>
      <w:r>
        <w:rPr>
          <w:rFonts w:ascii="Times New Roman" w:hAnsi="Times New Roman"/>
          <w:sz w:val="20"/>
          <w:szCs w:val="20"/>
        </w:rPr>
        <w:t>Touloupidis</w:t>
      </w:r>
      <w:proofErr w:type="spellEnd"/>
      <w:r>
        <w:rPr>
          <w:rFonts w:ascii="Times New Roman" w:hAnsi="Times New Roman"/>
          <w:sz w:val="20"/>
          <w:szCs w:val="20"/>
        </w:rPr>
        <w:t xml:space="preserve"> S, </w:t>
      </w:r>
      <w:proofErr w:type="spellStart"/>
      <w:r>
        <w:rPr>
          <w:rFonts w:ascii="Times New Roman" w:hAnsi="Times New Roman"/>
          <w:sz w:val="20"/>
          <w:szCs w:val="20"/>
        </w:rPr>
        <w:t>Simopoulos</w:t>
      </w:r>
      <w:proofErr w:type="spellEnd"/>
      <w:r>
        <w:rPr>
          <w:rFonts w:ascii="Times New Roman" w:hAnsi="Times New Roman"/>
          <w:sz w:val="20"/>
          <w:szCs w:val="20"/>
        </w:rPr>
        <w:t xml:space="preserve"> K: Epidural anesthesia followed by epidural analgesia produces less inflammatory response than spinal anesthesia followed by intravenous morphine analgesia in patients with total knee arthroplasty. Med Sci </w:t>
      </w:r>
      <w:proofErr w:type="spellStart"/>
      <w:r>
        <w:rPr>
          <w:rFonts w:ascii="Times New Roman" w:hAnsi="Times New Roman"/>
          <w:sz w:val="20"/>
          <w:szCs w:val="20"/>
        </w:rPr>
        <w:t>Monit</w:t>
      </w:r>
      <w:proofErr w:type="spellEnd"/>
      <w:r>
        <w:rPr>
          <w:rFonts w:ascii="Times New Roman" w:hAnsi="Times New Roman"/>
          <w:sz w:val="20"/>
          <w:szCs w:val="20"/>
        </w:rPr>
        <w:t xml:space="preserve"> 2013; 19:73–80</w:t>
      </w:r>
    </w:p>
    <w:p w14:paraId="21DFA4A4" w14:textId="77777777" w:rsidR="00555164" w:rsidRDefault="002C73C0">
      <w:pPr>
        <w:pStyle w:val="af7"/>
        <w:widowControl w:val="0"/>
        <w:numPr>
          <w:ilvl w:val="0"/>
          <w:numId w:val="2"/>
        </w:numPr>
        <w:autoSpaceDE w:val="0"/>
        <w:autoSpaceDN w:val="0"/>
        <w:adjustRightInd w:val="0"/>
        <w:spacing w:before="120" w:after="120"/>
        <w:rPr>
          <w:sz w:val="20"/>
          <w:szCs w:val="20"/>
        </w:rPr>
      </w:pPr>
      <w:bookmarkStart w:id="213" w:name="_Ref44760388"/>
      <w:bookmarkEnd w:id="212"/>
      <w:proofErr w:type="spellStart"/>
      <w:r>
        <w:rPr>
          <w:rFonts w:ascii="Times New Roman" w:hAnsi="Times New Roman"/>
          <w:sz w:val="20"/>
          <w:szCs w:val="20"/>
        </w:rPr>
        <w:t>Hadimioglu</w:t>
      </w:r>
      <w:proofErr w:type="spellEnd"/>
      <w:r>
        <w:rPr>
          <w:rFonts w:ascii="Times New Roman" w:hAnsi="Times New Roman"/>
          <w:sz w:val="20"/>
          <w:szCs w:val="20"/>
        </w:rPr>
        <w:t xml:space="preserve"> N, </w:t>
      </w:r>
      <w:proofErr w:type="spellStart"/>
      <w:r>
        <w:rPr>
          <w:rFonts w:ascii="Times New Roman" w:hAnsi="Times New Roman"/>
          <w:sz w:val="20"/>
          <w:szCs w:val="20"/>
        </w:rPr>
        <w:t>Ulugol</w:t>
      </w:r>
      <w:proofErr w:type="spellEnd"/>
      <w:r>
        <w:rPr>
          <w:rFonts w:ascii="Times New Roman" w:hAnsi="Times New Roman"/>
          <w:sz w:val="20"/>
          <w:szCs w:val="20"/>
        </w:rPr>
        <w:t xml:space="preserve"> H, </w:t>
      </w:r>
      <w:proofErr w:type="spellStart"/>
      <w:r>
        <w:rPr>
          <w:rFonts w:ascii="Times New Roman" w:hAnsi="Times New Roman"/>
          <w:sz w:val="20"/>
          <w:szCs w:val="20"/>
        </w:rPr>
        <w:t>Akbas</w:t>
      </w:r>
      <w:proofErr w:type="spellEnd"/>
      <w:r>
        <w:rPr>
          <w:rFonts w:ascii="Times New Roman" w:hAnsi="Times New Roman"/>
          <w:sz w:val="20"/>
          <w:szCs w:val="20"/>
        </w:rPr>
        <w:t xml:space="preserve"> H, </w:t>
      </w:r>
      <w:proofErr w:type="spellStart"/>
      <w:r>
        <w:rPr>
          <w:rFonts w:ascii="Times New Roman" w:hAnsi="Times New Roman"/>
          <w:sz w:val="20"/>
          <w:szCs w:val="20"/>
        </w:rPr>
        <w:t>Coskunfirat</w:t>
      </w:r>
      <w:proofErr w:type="spellEnd"/>
      <w:r>
        <w:rPr>
          <w:rFonts w:ascii="Times New Roman" w:hAnsi="Times New Roman"/>
          <w:sz w:val="20"/>
          <w:szCs w:val="20"/>
        </w:rPr>
        <w:t xml:space="preserve"> N, </w:t>
      </w:r>
      <w:proofErr w:type="spellStart"/>
      <w:r>
        <w:rPr>
          <w:rFonts w:ascii="Times New Roman" w:hAnsi="Times New Roman"/>
          <w:sz w:val="20"/>
          <w:szCs w:val="20"/>
        </w:rPr>
        <w:t>Ertug</w:t>
      </w:r>
      <w:proofErr w:type="spellEnd"/>
      <w:r>
        <w:rPr>
          <w:rFonts w:ascii="Times New Roman" w:hAnsi="Times New Roman"/>
          <w:sz w:val="20"/>
          <w:szCs w:val="20"/>
        </w:rPr>
        <w:t xml:space="preserve"> Z, </w:t>
      </w:r>
      <w:proofErr w:type="spellStart"/>
      <w:r>
        <w:rPr>
          <w:rFonts w:ascii="Times New Roman" w:hAnsi="Times New Roman"/>
          <w:sz w:val="20"/>
          <w:szCs w:val="20"/>
        </w:rPr>
        <w:t>Dinckan</w:t>
      </w:r>
      <w:proofErr w:type="spellEnd"/>
      <w:r>
        <w:rPr>
          <w:rFonts w:ascii="Times New Roman" w:hAnsi="Times New Roman"/>
          <w:sz w:val="20"/>
          <w:szCs w:val="20"/>
        </w:rPr>
        <w:t xml:space="preserve"> A: Combination of epidural anesthesia and general anesthesia attenuates stress response to renal transplantation surgery. Transplant Proc 2012; 44:2949–54</w:t>
      </w:r>
    </w:p>
    <w:p w14:paraId="1BBBDAE8"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14" w:name="_Ref44760399"/>
      <w:bookmarkEnd w:id="213"/>
      <w:r>
        <w:rPr>
          <w:rFonts w:ascii="Times New Roman" w:hAnsi="Times New Roman"/>
          <w:sz w:val="20"/>
          <w:szCs w:val="20"/>
        </w:rPr>
        <w:t xml:space="preserve">Ballantyne JC, </w:t>
      </w:r>
      <w:proofErr w:type="spellStart"/>
      <w:r>
        <w:rPr>
          <w:rFonts w:ascii="Times New Roman" w:hAnsi="Times New Roman"/>
          <w:sz w:val="20"/>
          <w:szCs w:val="20"/>
        </w:rPr>
        <w:t>Kupelnick</w:t>
      </w:r>
      <w:proofErr w:type="spellEnd"/>
      <w:r>
        <w:rPr>
          <w:rFonts w:ascii="Times New Roman" w:hAnsi="Times New Roman"/>
          <w:sz w:val="20"/>
          <w:szCs w:val="20"/>
        </w:rPr>
        <w:t xml:space="preserve"> B, </w:t>
      </w:r>
      <w:proofErr w:type="spellStart"/>
      <w:r>
        <w:rPr>
          <w:rFonts w:ascii="Times New Roman" w:hAnsi="Times New Roman"/>
          <w:sz w:val="20"/>
          <w:szCs w:val="20"/>
        </w:rPr>
        <w:t>McPeek</w:t>
      </w:r>
      <w:proofErr w:type="spellEnd"/>
      <w:r>
        <w:rPr>
          <w:rFonts w:ascii="Times New Roman" w:hAnsi="Times New Roman"/>
          <w:sz w:val="20"/>
          <w:szCs w:val="20"/>
        </w:rPr>
        <w:t xml:space="preserve"> B, Lau J: Does the evidence support the use of spinal and epidural anesthesia for surgery? J Clin </w:t>
      </w:r>
      <w:proofErr w:type="spellStart"/>
      <w:r>
        <w:rPr>
          <w:rFonts w:ascii="Times New Roman" w:hAnsi="Times New Roman"/>
          <w:sz w:val="20"/>
          <w:szCs w:val="20"/>
        </w:rPr>
        <w:t>Anesth</w:t>
      </w:r>
      <w:proofErr w:type="spellEnd"/>
      <w:r>
        <w:rPr>
          <w:rFonts w:ascii="Times New Roman" w:hAnsi="Times New Roman"/>
          <w:sz w:val="20"/>
          <w:szCs w:val="20"/>
        </w:rPr>
        <w:t xml:space="preserve"> 2005; 17:382–91</w:t>
      </w:r>
      <w:bookmarkEnd w:id="214"/>
    </w:p>
    <w:p w14:paraId="10C9BA05"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15" w:name="_Ref44760407"/>
      <w:proofErr w:type="spellStart"/>
      <w:r>
        <w:rPr>
          <w:rFonts w:ascii="Times New Roman" w:hAnsi="Times New Roman"/>
          <w:sz w:val="20"/>
          <w:szCs w:val="20"/>
        </w:rPr>
        <w:t>Nishimori</w:t>
      </w:r>
      <w:proofErr w:type="spellEnd"/>
      <w:r>
        <w:rPr>
          <w:rFonts w:ascii="Times New Roman" w:hAnsi="Times New Roman"/>
          <w:sz w:val="20"/>
          <w:szCs w:val="20"/>
        </w:rPr>
        <w:t xml:space="preserve"> M, Ballantyne JC, Low JH: Epidural pain relief versus systemic opioid-based pain relief for abdominal aortic surgery. Cochrane Database Syst Rev 2006:CD005059</w:t>
      </w:r>
      <w:bookmarkEnd w:id="215"/>
    </w:p>
    <w:p w14:paraId="25F20D16"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16" w:name="_Ref44760416"/>
      <w:r>
        <w:rPr>
          <w:rFonts w:ascii="Times New Roman" w:hAnsi="Times New Roman"/>
          <w:sz w:val="20"/>
          <w:szCs w:val="20"/>
        </w:rPr>
        <w:t>Young Park W, Thompson JS, Lee KK: Effect of epidural anesthesia and analgesia on perioperative outcome: A randomized, controlled veterans affairs cooperative study. Ann Surg 2001; 234:560–7</w:t>
      </w:r>
      <w:bookmarkEnd w:id="216"/>
    </w:p>
    <w:p w14:paraId="51ECD278"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17" w:name="_Ref44760426"/>
      <w:r>
        <w:rPr>
          <w:rFonts w:ascii="Times New Roman" w:hAnsi="Times New Roman"/>
          <w:sz w:val="20"/>
          <w:szCs w:val="20"/>
        </w:rPr>
        <w:t xml:space="preserve">Rodgers A, Walker N, </w:t>
      </w:r>
      <w:proofErr w:type="spellStart"/>
      <w:r>
        <w:rPr>
          <w:rFonts w:ascii="Times New Roman" w:hAnsi="Times New Roman"/>
          <w:sz w:val="20"/>
          <w:szCs w:val="20"/>
        </w:rPr>
        <w:t>Schug</w:t>
      </w:r>
      <w:proofErr w:type="spellEnd"/>
      <w:r>
        <w:rPr>
          <w:rFonts w:ascii="Times New Roman" w:hAnsi="Times New Roman"/>
          <w:sz w:val="20"/>
          <w:szCs w:val="20"/>
        </w:rPr>
        <w:t xml:space="preserve"> S, McKee A, </w:t>
      </w:r>
      <w:proofErr w:type="spellStart"/>
      <w:r>
        <w:rPr>
          <w:rFonts w:ascii="Times New Roman" w:hAnsi="Times New Roman"/>
          <w:sz w:val="20"/>
          <w:szCs w:val="20"/>
        </w:rPr>
        <w:t>Kehlet</w:t>
      </w:r>
      <w:proofErr w:type="spellEnd"/>
      <w:r>
        <w:rPr>
          <w:rFonts w:ascii="Times New Roman" w:hAnsi="Times New Roman"/>
          <w:sz w:val="20"/>
          <w:szCs w:val="20"/>
        </w:rPr>
        <w:t xml:space="preserve"> H, Zundert A Van, Sage D, Futter M, Saville G, Clark T, </w:t>
      </w:r>
      <w:proofErr w:type="spellStart"/>
      <w:r>
        <w:rPr>
          <w:rFonts w:ascii="Times New Roman" w:hAnsi="Times New Roman"/>
          <w:sz w:val="20"/>
          <w:szCs w:val="20"/>
        </w:rPr>
        <w:t>MacMahon</w:t>
      </w:r>
      <w:proofErr w:type="spellEnd"/>
      <w:r>
        <w:rPr>
          <w:rFonts w:ascii="Times New Roman" w:hAnsi="Times New Roman"/>
          <w:sz w:val="20"/>
          <w:szCs w:val="20"/>
        </w:rPr>
        <w:t xml:space="preserve"> S: Reduction of postoperative mortality and morbidity with epidural or spinal </w:t>
      </w:r>
      <w:proofErr w:type="spellStart"/>
      <w:r>
        <w:rPr>
          <w:rFonts w:ascii="Times New Roman" w:hAnsi="Times New Roman"/>
          <w:sz w:val="20"/>
          <w:szCs w:val="20"/>
        </w:rPr>
        <w:t>anaesthesia</w:t>
      </w:r>
      <w:proofErr w:type="spellEnd"/>
      <w:r>
        <w:rPr>
          <w:rFonts w:ascii="Times New Roman" w:hAnsi="Times New Roman"/>
          <w:sz w:val="20"/>
          <w:szCs w:val="20"/>
        </w:rPr>
        <w:t xml:space="preserve">: Results from overview of </w:t>
      </w:r>
      <w:proofErr w:type="spellStart"/>
      <w:r>
        <w:rPr>
          <w:rFonts w:ascii="Times New Roman" w:hAnsi="Times New Roman"/>
          <w:sz w:val="20"/>
          <w:szCs w:val="20"/>
        </w:rPr>
        <w:t>randomised</w:t>
      </w:r>
      <w:proofErr w:type="spellEnd"/>
      <w:r>
        <w:rPr>
          <w:rFonts w:ascii="Times New Roman" w:hAnsi="Times New Roman"/>
          <w:sz w:val="20"/>
          <w:szCs w:val="20"/>
        </w:rPr>
        <w:t xml:space="preserve"> trials. Br Med J 2000; 321:1493–7</w:t>
      </w:r>
    </w:p>
    <w:p w14:paraId="05531865"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18" w:name="_Ref44760439"/>
      <w:bookmarkEnd w:id="217"/>
      <w:r>
        <w:rPr>
          <w:rFonts w:ascii="Times New Roman" w:hAnsi="Times New Roman"/>
          <w:sz w:val="20"/>
          <w:szCs w:val="20"/>
        </w:rPr>
        <w:t xml:space="preserve">Bryson GL, </w:t>
      </w:r>
      <w:proofErr w:type="spellStart"/>
      <w:r>
        <w:rPr>
          <w:rFonts w:ascii="Times New Roman" w:hAnsi="Times New Roman"/>
          <w:sz w:val="20"/>
          <w:szCs w:val="20"/>
        </w:rPr>
        <w:t>Wyand</w:t>
      </w:r>
      <w:proofErr w:type="spellEnd"/>
      <w:r>
        <w:rPr>
          <w:rFonts w:ascii="Times New Roman" w:hAnsi="Times New Roman"/>
          <w:sz w:val="20"/>
          <w:szCs w:val="20"/>
        </w:rPr>
        <w:t xml:space="preserve"> A: Evidence-based clinical update: General anesthesia and the risk of delirium and postoperative cognitive dysfunction. Can J </w:t>
      </w:r>
      <w:proofErr w:type="spellStart"/>
      <w:r>
        <w:rPr>
          <w:rFonts w:ascii="Times New Roman" w:hAnsi="Times New Roman"/>
          <w:sz w:val="20"/>
          <w:szCs w:val="20"/>
        </w:rPr>
        <w:t>Anesth</w:t>
      </w:r>
      <w:proofErr w:type="spellEnd"/>
      <w:r>
        <w:rPr>
          <w:rFonts w:ascii="Times New Roman" w:hAnsi="Times New Roman"/>
          <w:sz w:val="20"/>
          <w:szCs w:val="20"/>
        </w:rPr>
        <w:t xml:space="preserve"> 2006; 53:669–77</w:t>
      </w:r>
      <w:bookmarkEnd w:id="218"/>
    </w:p>
    <w:p w14:paraId="5FDB8327"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19" w:name="_Ref44760447"/>
      <w:r>
        <w:rPr>
          <w:rFonts w:ascii="Times New Roman" w:hAnsi="Times New Roman"/>
          <w:sz w:val="20"/>
          <w:szCs w:val="20"/>
        </w:rPr>
        <w:t>Mason SE, Noel-</w:t>
      </w:r>
      <w:proofErr w:type="spellStart"/>
      <w:r>
        <w:rPr>
          <w:rFonts w:ascii="Times New Roman" w:hAnsi="Times New Roman"/>
          <w:sz w:val="20"/>
          <w:szCs w:val="20"/>
        </w:rPr>
        <w:t>Storr</w:t>
      </w:r>
      <w:proofErr w:type="spellEnd"/>
      <w:r>
        <w:rPr>
          <w:rFonts w:ascii="Times New Roman" w:hAnsi="Times New Roman"/>
          <w:sz w:val="20"/>
          <w:szCs w:val="20"/>
        </w:rPr>
        <w:t xml:space="preserve"> A, Ritchie CW: The impact of general and regional anesthesia on the incidence of post-operative cognitive dysfunction and post-operative delirium: A systematic review with meta-analysis. </w:t>
      </w:r>
      <w:r>
        <w:rPr>
          <w:rFonts w:ascii="Times New Roman" w:hAnsi="Times New Roman"/>
          <w:sz w:val="20"/>
          <w:szCs w:val="20"/>
        </w:rPr>
        <w:lastRenderedPageBreak/>
        <w:t xml:space="preserve">J Alzheimer’s Dis Edited by Mandal PK, </w:t>
      </w:r>
      <w:proofErr w:type="spellStart"/>
      <w:r>
        <w:rPr>
          <w:rFonts w:ascii="Times New Roman" w:hAnsi="Times New Roman"/>
          <w:sz w:val="20"/>
          <w:szCs w:val="20"/>
        </w:rPr>
        <w:t>Fodale</w:t>
      </w:r>
      <w:proofErr w:type="spellEnd"/>
      <w:r>
        <w:rPr>
          <w:rFonts w:ascii="Times New Roman" w:hAnsi="Times New Roman"/>
          <w:sz w:val="20"/>
          <w:szCs w:val="20"/>
        </w:rPr>
        <w:t xml:space="preserve"> V. 2010; </w:t>
      </w:r>
      <w:proofErr w:type="gramStart"/>
      <w:r>
        <w:rPr>
          <w:rFonts w:ascii="Times New Roman" w:hAnsi="Times New Roman"/>
          <w:sz w:val="20"/>
          <w:szCs w:val="20"/>
        </w:rPr>
        <w:t>22:S</w:t>
      </w:r>
      <w:proofErr w:type="gramEnd"/>
      <w:r>
        <w:rPr>
          <w:rFonts w:ascii="Times New Roman" w:hAnsi="Times New Roman"/>
          <w:sz w:val="20"/>
          <w:szCs w:val="20"/>
        </w:rPr>
        <w:t>67–79</w:t>
      </w:r>
    </w:p>
    <w:p w14:paraId="03434C4F"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20" w:name="_Ref44760468"/>
      <w:bookmarkEnd w:id="219"/>
      <w:proofErr w:type="spellStart"/>
      <w:r>
        <w:rPr>
          <w:rFonts w:ascii="Times New Roman" w:hAnsi="Times New Roman"/>
          <w:sz w:val="20"/>
          <w:szCs w:val="20"/>
        </w:rPr>
        <w:t>Papaioannou</w:t>
      </w:r>
      <w:proofErr w:type="spellEnd"/>
      <w:r>
        <w:rPr>
          <w:rFonts w:ascii="Times New Roman" w:hAnsi="Times New Roman"/>
          <w:sz w:val="20"/>
          <w:szCs w:val="20"/>
        </w:rPr>
        <w:t xml:space="preserve"> A, </w:t>
      </w:r>
      <w:proofErr w:type="spellStart"/>
      <w:r>
        <w:rPr>
          <w:rFonts w:ascii="Times New Roman" w:hAnsi="Times New Roman"/>
          <w:sz w:val="20"/>
          <w:szCs w:val="20"/>
        </w:rPr>
        <w:t>Fraidakis</w:t>
      </w:r>
      <w:proofErr w:type="spellEnd"/>
      <w:r>
        <w:rPr>
          <w:rFonts w:ascii="Times New Roman" w:hAnsi="Times New Roman"/>
          <w:sz w:val="20"/>
          <w:szCs w:val="20"/>
        </w:rPr>
        <w:t xml:space="preserve"> O, </w:t>
      </w:r>
      <w:proofErr w:type="spellStart"/>
      <w:r>
        <w:rPr>
          <w:rFonts w:ascii="Times New Roman" w:hAnsi="Times New Roman"/>
          <w:sz w:val="20"/>
          <w:szCs w:val="20"/>
        </w:rPr>
        <w:t>Michaloudis</w:t>
      </w:r>
      <w:proofErr w:type="spellEnd"/>
      <w:r>
        <w:rPr>
          <w:rFonts w:ascii="Times New Roman" w:hAnsi="Times New Roman"/>
          <w:sz w:val="20"/>
          <w:szCs w:val="20"/>
        </w:rPr>
        <w:t xml:space="preserve"> D, </w:t>
      </w:r>
      <w:proofErr w:type="spellStart"/>
      <w:r>
        <w:rPr>
          <w:rFonts w:ascii="Times New Roman" w:hAnsi="Times New Roman"/>
          <w:sz w:val="20"/>
          <w:szCs w:val="20"/>
        </w:rPr>
        <w:t>Balalis</w:t>
      </w:r>
      <w:proofErr w:type="spellEnd"/>
      <w:r>
        <w:rPr>
          <w:rFonts w:ascii="Times New Roman" w:hAnsi="Times New Roman"/>
          <w:sz w:val="20"/>
          <w:szCs w:val="20"/>
        </w:rPr>
        <w:t xml:space="preserve"> C, </w:t>
      </w:r>
      <w:proofErr w:type="spellStart"/>
      <w:r>
        <w:rPr>
          <w:rFonts w:ascii="Times New Roman" w:hAnsi="Times New Roman"/>
          <w:sz w:val="20"/>
          <w:szCs w:val="20"/>
        </w:rPr>
        <w:t>Askitopoulou</w:t>
      </w:r>
      <w:proofErr w:type="spellEnd"/>
      <w:r>
        <w:rPr>
          <w:rFonts w:ascii="Times New Roman" w:hAnsi="Times New Roman"/>
          <w:sz w:val="20"/>
          <w:szCs w:val="20"/>
        </w:rPr>
        <w:t xml:space="preserve"> H: The impact of the type of </w:t>
      </w:r>
      <w:proofErr w:type="spellStart"/>
      <w:r>
        <w:rPr>
          <w:rFonts w:ascii="Times New Roman" w:hAnsi="Times New Roman"/>
          <w:sz w:val="20"/>
          <w:szCs w:val="20"/>
        </w:rPr>
        <w:t>anaesthesia</w:t>
      </w:r>
      <w:proofErr w:type="spellEnd"/>
      <w:r>
        <w:rPr>
          <w:rFonts w:ascii="Times New Roman" w:hAnsi="Times New Roman"/>
          <w:sz w:val="20"/>
          <w:szCs w:val="20"/>
        </w:rPr>
        <w:t xml:space="preserve"> on cognitive status and delirium during the first postoperative days in elderly patients. Eur J </w:t>
      </w:r>
      <w:proofErr w:type="spellStart"/>
      <w:r>
        <w:rPr>
          <w:rFonts w:ascii="Times New Roman" w:hAnsi="Times New Roman"/>
          <w:sz w:val="20"/>
          <w:szCs w:val="20"/>
        </w:rPr>
        <w:t>Anaesthesiol</w:t>
      </w:r>
      <w:proofErr w:type="spellEnd"/>
      <w:r>
        <w:rPr>
          <w:rFonts w:ascii="Times New Roman" w:hAnsi="Times New Roman"/>
          <w:sz w:val="20"/>
          <w:szCs w:val="20"/>
        </w:rPr>
        <w:t xml:space="preserve"> 2005; 22:492–9</w:t>
      </w:r>
    </w:p>
    <w:p w14:paraId="47D31DB5" w14:textId="77777777" w:rsidR="00555164" w:rsidRDefault="002C73C0">
      <w:pPr>
        <w:pStyle w:val="af7"/>
        <w:widowControl w:val="0"/>
        <w:numPr>
          <w:ilvl w:val="0"/>
          <w:numId w:val="2"/>
        </w:numPr>
        <w:autoSpaceDE w:val="0"/>
        <w:autoSpaceDN w:val="0"/>
        <w:adjustRightInd w:val="0"/>
        <w:spacing w:before="120" w:after="120"/>
        <w:rPr>
          <w:sz w:val="20"/>
          <w:szCs w:val="20"/>
        </w:rPr>
      </w:pPr>
      <w:bookmarkStart w:id="221" w:name="_Ref44760636"/>
      <w:bookmarkEnd w:id="220"/>
      <w:r>
        <w:rPr>
          <w:rFonts w:ascii="Times New Roman" w:hAnsi="Times New Roman"/>
          <w:sz w:val="20"/>
          <w:szCs w:val="20"/>
        </w:rPr>
        <w:t>Wang W, Li HL, Wang DX, Zhu X, Li SL, Yao GQ, Chen KS, Gu XE, Zhu SN: Haloperidol prophylaxis decreases delirium incidence in elderly patients after noncardiac surgery: A randomized controlled trial*. Crit Care Med 2012; 40:731–9</w:t>
      </w:r>
    </w:p>
    <w:p w14:paraId="09278CA4"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22" w:name="_Ref44760670"/>
      <w:bookmarkEnd w:id="221"/>
      <w:r>
        <w:rPr>
          <w:rFonts w:ascii="Times New Roman" w:hAnsi="Times New Roman"/>
          <w:sz w:val="20"/>
          <w:szCs w:val="20"/>
        </w:rPr>
        <w:t xml:space="preserve">Sessler CN, Gosnell MS, </w:t>
      </w:r>
      <w:proofErr w:type="spellStart"/>
      <w:r>
        <w:rPr>
          <w:rFonts w:ascii="Times New Roman" w:hAnsi="Times New Roman"/>
          <w:sz w:val="20"/>
          <w:szCs w:val="20"/>
        </w:rPr>
        <w:t>Grap</w:t>
      </w:r>
      <w:proofErr w:type="spellEnd"/>
      <w:r>
        <w:rPr>
          <w:rFonts w:ascii="Times New Roman" w:hAnsi="Times New Roman"/>
          <w:sz w:val="20"/>
          <w:szCs w:val="20"/>
        </w:rPr>
        <w:t xml:space="preserve"> MJ, Brophy GM, O’Neal P V., Keane KA, Tesoro EP, Elswick RK: The Richmond Agitation-Sedation Scale: Validity and reliability in adult intensive care unit patients. Am J Respir Crit Care Med 2002; 166:1338–44.</w:t>
      </w:r>
      <w:bookmarkEnd w:id="222"/>
      <w:r>
        <w:rPr>
          <w:rFonts w:ascii="Times New Roman" w:hAnsi="Times New Roman"/>
          <w:sz w:val="20"/>
          <w:szCs w:val="20"/>
        </w:rPr>
        <w:t xml:space="preserve"> </w:t>
      </w:r>
    </w:p>
    <w:p w14:paraId="4D4B1890"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23" w:name="_Ref44760680"/>
      <w:r>
        <w:rPr>
          <w:rFonts w:ascii="Times New Roman" w:hAnsi="Times New Roman"/>
          <w:sz w:val="20"/>
          <w:szCs w:val="20"/>
        </w:rPr>
        <w:t xml:space="preserve">Ely EW, Truman B, </w:t>
      </w:r>
      <w:proofErr w:type="spellStart"/>
      <w:r>
        <w:rPr>
          <w:rFonts w:ascii="Times New Roman" w:hAnsi="Times New Roman"/>
          <w:sz w:val="20"/>
          <w:szCs w:val="20"/>
        </w:rPr>
        <w:t>Shintani</w:t>
      </w:r>
      <w:proofErr w:type="spellEnd"/>
      <w:r>
        <w:rPr>
          <w:rFonts w:ascii="Times New Roman" w:hAnsi="Times New Roman"/>
          <w:sz w:val="20"/>
          <w:szCs w:val="20"/>
        </w:rPr>
        <w:t xml:space="preserve"> A, Thomason JWW, Wheeler AP, Gordon S, Francis J, </w:t>
      </w:r>
      <w:proofErr w:type="spellStart"/>
      <w:r>
        <w:rPr>
          <w:rFonts w:ascii="Times New Roman" w:hAnsi="Times New Roman"/>
          <w:sz w:val="20"/>
          <w:szCs w:val="20"/>
        </w:rPr>
        <w:t>Speroff</w:t>
      </w:r>
      <w:proofErr w:type="spellEnd"/>
      <w:r>
        <w:rPr>
          <w:rFonts w:ascii="Times New Roman" w:hAnsi="Times New Roman"/>
          <w:sz w:val="20"/>
          <w:szCs w:val="20"/>
        </w:rPr>
        <w:t xml:space="preserve"> T, Gautam S, Margolin R, Sessler CN, </w:t>
      </w:r>
      <w:proofErr w:type="spellStart"/>
      <w:r>
        <w:rPr>
          <w:rFonts w:ascii="Times New Roman" w:hAnsi="Times New Roman"/>
          <w:sz w:val="20"/>
          <w:szCs w:val="20"/>
        </w:rPr>
        <w:t>Dittus</w:t>
      </w:r>
      <w:proofErr w:type="spellEnd"/>
      <w:r>
        <w:rPr>
          <w:rFonts w:ascii="Times New Roman" w:hAnsi="Times New Roman"/>
          <w:sz w:val="20"/>
          <w:szCs w:val="20"/>
        </w:rPr>
        <w:t xml:space="preserve"> RS, Bernard GR: Monitoring Sedation Status over Time in ICU Patients: Reliability and Validity of the Richmond Agitation-Sedation Scale (RASS). J Am Med Assoc 2003; 289:2983–91</w:t>
      </w:r>
      <w:bookmarkEnd w:id="223"/>
    </w:p>
    <w:p w14:paraId="54FA33DD"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24" w:name="_Ref44760700"/>
      <w:r>
        <w:rPr>
          <w:rFonts w:ascii="Times New Roman" w:hAnsi="Times New Roman"/>
          <w:sz w:val="20"/>
          <w:szCs w:val="20"/>
        </w:rPr>
        <w:t xml:space="preserve">Charlson ME, Pompei P, Ales KL, </w:t>
      </w:r>
      <w:proofErr w:type="spellStart"/>
      <w:r>
        <w:rPr>
          <w:rFonts w:ascii="Times New Roman" w:hAnsi="Times New Roman"/>
          <w:sz w:val="20"/>
          <w:szCs w:val="20"/>
        </w:rPr>
        <w:t>MacKenzie</w:t>
      </w:r>
      <w:proofErr w:type="spellEnd"/>
      <w:r>
        <w:rPr>
          <w:rFonts w:ascii="Times New Roman" w:hAnsi="Times New Roman"/>
          <w:sz w:val="20"/>
          <w:szCs w:val="20"/>
        </w:rPr>
        <w:t xml:space="preserve"> CR: A new method of classifying prognostic comorbidity in longitudinal studies: Development and validation. J Chronic Dis 1987; 40:373–83</w:t>
      </w:r>
      <w:bookmarkEnd w:id="224"/>
    </w:p>
    <w:p w14:paraId="1DA4802D" w14:textId="77777777" w:rsidR="00555164" w:rsidRDefault="002C73C0">
      <w:pPr>
        <w:pStyle w:val="af7"/>
        <w:widowControl w:val="0"/>
        <w:numPr>
          <w:ilvl w:val="0"/>
          <w:numId w:val="2"/>
        </w:numPr>
        <w:autoSpaceDE w:val="0"/>
        <w:autoSpaceDN w:val="0"/>
        <w:adjustRightInd w:val="0"/>
        <w:spacing w:before="120" w:after="120"/>
        <w:rPr>
          <w:sz w:val="20"/>
          <w:szCs w:val="20"/>
        </w:rPr>
      </w:pPr>
      <w:bookmarkStart w:id="225" w:name="_Ref44760707"/>
      <w:r>
        <w:rPr>
          <w:rFonts w:ascii="Times New Roman" w:hAnsi="Times New Roman"/>
          <w:sz w:val="20"/>
          <w:szCs w:val="20"/>
        </w:rPr>
        <w:t xml:space="preserve">Chan TC, </w:t>
      </w:r>
      <w:proofErr w:type="spellStart"/>
      <w:r>
        <w:rPr>
          <w:rFonts w:ascii="Times New Roman" w:hAnsi="Times New Roman"/>
          <w:sz w:val="20"/>
          <w:szCs w:val="20"/>
        </w:rPr>
        <w:t>Luk</w:t>
      </w:r>
      <w:proofErr w:type="spellEnd"/>
      <w:r>
        <w:rPr>
          <w:rFonts w:ascii="Times New Roman" w:hAnsi="Times New Roman"/>
          <w:sz w:val="20"/>
          <w:szCs w:val="20"/>
        </w:rPr>
        <w:t xml:space="preserve"> JKH, Chu LW, Chan FHW: Validation study of Charlson Comorbidity Index in predicting mortality in Chinese older adults. </w:t>
      </w:r>
      <w:proofErr w:type="spellStart"/>
      <w:r>
        <w:rPr>
          <w:rFonts w:ascii="Times New Roman" w:hAnsi="Times New Roman"/>
          <w:sz w:val="20"/>
          <w:szCs w:val="20"/>
        </w:rPr>
        <w:t>Geriatr</w:t>
      </w:r>
      <w:proofErr w:type="spellEnd"/>
      <w:r>
        <w:rPr>
          <w:rFonts w:ascii="Times New Roman" w:hAnsi="Times New Roman"/>
          <w:sz w:val="20"/>
          <w:szCs w:val="20"/>
        </w:rPr>
        <w:t xml:space="preserve"> </w:t>
      </w:r>
      <w:proofErr w:type="spellStart"/>
      <w:r>
        <w:rPr>
          <w:rFonts w:ascii="Times New Roman" w:hAnsi="Times New Roman"/>
          <w:sz w:val="20"/>
          <w:szCs w:val="20"/>
        </w:rPr>
        <w:t>Gerontol</w:t>
      </w:r>
      <w:proofErr w:type="spellEnd"/>
      <w:r>
        <w:rPr>
          <w:rFonts w:ascii="Times New Roman" w:hAnsi="Times New Roman"/>
          <w:sz w:val="20"/>
          <w:szCs w:val="20"/>
        </w:rPr>
        <w:t xml:space="preserve"> Int 2014; 14:452–7</w:t>
      </w:r>
    </w:p>
    <w:p w14:paraId="4AD5FE7C"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26" w:name="_Ref44760723"/>
      <w:bookmarkEnd w:id="225"/>
      <w:r>
        <w:rPr>
          <w:rFonts w:ascii="Times New Roman" w:hAnsi="Times New Roman"/>
          <w:sz w:val="20"/>
          <w:szCs w:val="20"/>
        </w:rPr>
        <w:t xml:space="preserve">Collin C, Wade DT, Davies S, Horne V: The </w:t>
      </w:r>
      <w:proofErr w:type="spellStart"/>
      <w:r>
        <w:rPr>
          <w:rFonts w:ascii="Times New Roman" w:hAnsi="Times New Roman"/>
          <w:sz w:val="20"/>
          <w:szCs w:val="20"/>
        </w:rPr>
        <w:t>barthel</w:t>
      </w:r>
      <w:proofErr w:type="spellEnd"/>
      <w:r>
        <w:rPr>
          <w:rFonts w:ascii="Times New Roman" w:hAnsi="Times New Roman"/>
          <w:sz w:val="20"/>
          <w:szCs w:val="20"/>
        </w:rPr>
        <w:t xml:space="preserve"> ADL index: A reliability study. </w:t>
      </w:r>
      <w:proofErr w:type="spellStart"/>
      <w:r>
        <w:rPr>
          <w:rFonts w:ascii="Times New Roman" w:hAnsi="Times New Roman"/>
          <w:sz w:val="20"/>
          <w:szCs w:val="20"/>
        </w:rPr>
        <w:t>Disabil</w:t>
      </w:r>
      <w:proofErr w:type="spellEnd"/>
      <w:r>
        <w:rPr>
          <w:rFonts w:ascii="Times New Roman" w:hAnsi="Times New Roman"/>
          <w:sz w:val="20"/>
          <w:szCs w:val="20"/>
        </w:rPr>
        <w:t xml:space="preserve"> </w:t>
      </w:r>
      <w:proofErr w:type="spellStart"/>
      <w:r>
        <w:rPr>
          <w:rFonts w:ascii="Times New Roman" w:hAnsi="Times New Roman"/>
          <w:sz w:val="20"/>
          <w:szCs w:val="20"/>
        </w:rPr>
        <w:t>Rehabil</w:t>
      </w:r>
      <w:proofErr w:type="spellEnd"/>
      <w:r>
        <w:rPr>
          <w:rFonts w:ascii="Times New Roman" w:hAnsi="Times New Roman"/>
          <w:sz w:val="20"/>
          <w:szCs w:val="20"/>
        </w:rPr>
        <w:t xml:space="preserve"> 1988; 10:61–3</w:t>
      </w:r>
      <w:bookmarkEnd w:id="226"/>
    </w:p>
    <w:p w14:paraId="0E90C779"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27" w:name="_Ref44760732"/>
      <w:r>
        <w:rPr>
          <w:rFonts w:ascii="Times New Roman" w:hAnsi="Times New Roman"/>
          <w:sz w:val="20"/>
          <w:szCs w:val="20"/>
        </w:rPr>
        <w:t xml:space="preserve">Richards SH, Peters TJ, Coast J, Gunnell DJ, </w:t>
      </w:r>
      <w:proofErr w:type="spellStart"/>
      <w:r>
        <w:rPr>
          <w:rFonts w:ascii="Times New Roman" w:hAnsi="Times New Roman"/>
          <w:sz w:val="20"/>
          <w:szCs w:val="20"/>
        </w:rPr>
        <w:t>Darlow</w:t>
      </w:r>
      <w:proofErr w:type="spellEnd"/>
      <w:r>
        <w:rPr>
          <w:rFonts w:ascii="Times New Roman" w:hAnsi="Times New Roman"/>
          <w:sz w:val="20"/>
          <w:szCs w:val="20"/>
        </w:rPr>
        <w:t xml:space="preserve"> MA, </w:t>
      </w:r>
      <w:proofErr w:type="spellStart"/>
      <w:r>
        <w:rPr>
          <w:rFonts w:ascii="Times New Roman" w:hAnsi="Times New Roman"/>
          <w:sz w:val="20"/>
          <w:szCs w:val="20"/>
        </w:rPr>
        <w:t>Pounsford</w:t>
      </w:r>
      <w:proofErr w:type="spellEnd"/>
      <w:r>
        <w:rPr>
          <w:rFonts w:ascii="Times New Roman" w:hAnsi="Times New Roman"/>
          <w:sz w:val="20"/>
          <w:szCs w:val="20"/>
        </w:rPr>
        <w:t xml:space="preserve"> J: Inter-rater reliability of the Barthel ADL Index: How does a researcher compare to a nurse? Clin </w:t>
      </w:r>
      <w:proofErr w:type="spellStart"/>
      <w:r>
        <w:rPr>
          <w:rFonts w:ascii="Times New Roman" w:hAnsi="Times New Roman"/>
          <w:sz w:val="20"/>
          <w:szCs w:val="20"/>
        </w:rPr>
        <w:t>Rehabil</w:t>
      </w:r>
      <w:proofErr w:type="spellEnd"/>
      <w:r>
        <w:rPr>
          <w:rFonts w:ascii="Times New Roman" w:hAnsi="Times New Roman"/>
          <w:sz w:val="20"/>
          <w:szCs w:val="20"/>
        </w:rPr>
        <w:t xml:space="preserve"> 2000; 14:72–8</w:t>
      </w:r>
      <w:bookmarkEnd w:id="227"/>
    </w:p>
    <w:p w14:paraId="63411A10"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28" w:name="_Ref44760740"/>
      <w:r>
        <w:rPr>
          <w:rFonts w:ascii="Times New Roman" w:hAnsi="Times New Roman"/>
          <w:sz w:val="20"/>
          <w:szCs w:val="20"/>
        </w:rPr>
        <w:t xml:space="preserve">Min Yu, Wu Yuanyuan YT: Validity and reliability of the simplified Chinese version of modified Barthel index for Chinese stroke patients. Chi J Phys Med </w:t>
      </w:r>
      <w:proofErr w:type="spellStart"/>
      <w:r>
        <w:rPr>
          <w:rFonts w:ascii="Times New Roman" w:hAnsi="Times New Roman"/>
          <w:sz w:val="20"/>
          <w:szCs w:val="20"/>
        </w:rPr>
        <w:t>Rehabil</w:t>
      </w:r>
      <w:proofErr w:type="spellEnd"/>
      <w:r>
        <w:rPr>
          <w:rFonts w:ascii="Times New Roman" w:hAnsi="Times New Roman"/>
          <w:sz w:val="20"/>
          <w:szCs w:val="20"/>
        </w:rPr>
        <w:t xml:space="preserve"> 2008; 30:185–8</w:t>
      </w:r>
      <w:bookmarkEnd w:id="228"/>
    </w:p>
    <w:p w14:paraId="5391BEFD"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29" w:name="_Ref44760749"/>
      <w:proofErr w:type="spellStart"/>
      <w:r>
        <w:rPr>
          <w:rFonts w:ascii="Times New Roman" w:hAnsi="Times New Roman"/>
          <w:sz w:val="20"/>
          <w:szCs w:val="20"/>
        </w:rPr>
        <w:t>Pangman</w:t>
      </w:r>
      <w:proofErr w:type="spellEnd"/>
      <w:r>
        <w:rPr>
          <w:rFonts w:ascii="Times New Roman" w:hAnsi="Times New Roman"/>
          <w:sz w:val="20"/>
          <w:szCs w:val="20"/>
        </w:rPr>
        <w:t xml:space="preserve"> VC, Sloan J, </w:t>
      </w:r>
      <w:proofErr w:type="spellStart"/>
      <w:r>
        <w:rPr>
          <w:rFonts w:ascii="Times New Roman" w:hAnsi="Times New Roman"/>
          <w:sz w:val="20"/>
          <w:szCs w:val="20"/>
        </w:rPr>
        <w:t>Guse</w:t>
      </w:r>
      <w:proofErr w:type="spellEnd"/>
      <w:r>
        <w:rPr>
          <w:rFonts w:ascii="Times New Roman" w:hAnsi="Times New Roman"/>
          <w:sz w:val="20"/>
          <w:szCs w:val="20"/>
        </w:rPr>
        <w:t xml:space="preserve"> L: An examination of psychometric properties of the Mini-Mental State Examination and the standardized Mini-Mental State Examination: Implications for clinical practice. Appl </w:t>
      </w:r>
      <w:proofErr w:type="spellStart"/>
      <w:r>
        <w:rPr>
          <w:rFonts w:ascii="Times New Roman" w:hAnsi="Times New Roman"/>
          <w:sz w:val="20"/>
          <w:szCs w:val="20"/>
        </w:rPr>
        <w:t>Nurs</w:t>
      </w:r>
      <w:proofErr w:type="spellEnd"/>
      <w:r>
        <w:rPr>
          <w:rFonts w:ascii="Times New Roman" w:hAnsi="Times New Roman"/>
          <w:sz w:val="20"/>
          <w:szCs w:val="20"/>
        </w:rPr>
        <w:t xml:space="preserve"> Res 2000; 13:209–13</w:t>
      </w:r>
    </w:p>
    <w:p w14:paraId="1958CE53"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30" w:name="_Ref44760755"/>
      <w:bookmarkEnd w:id="229"/>
      <w:r>
        <w:rPr>
          <w:rFonts w:ascii="Times New Roman" w:hAnsi="Times New Roman"/>
          <w:sz w:val="20"/>
          <w:szCs w:val="20"/>
        </w:rPr>
        <w:t xml:space="preserve">Katzman R, Zhang M, </w:t>
      </w:r>
      <w:proofErr w:type="spellStart"/>
      <w:r>
        <w:rPr>
          <w:rFonts w:ascii="Times New Roman" w:hAnsi="Times New Roman"/>
          <w:sz w:val="20"/>
          <w:szCs w:val="20"/>
        </w:rPr>
        <w:t>Ouang</w:t>
      </w:r>
      <w:proofErr w:type="spellEnd"/>
      <w:r>
        <w:rPr>
          <w:rFonts w:ascii="Times New Roman" w:hAnsi="Times New Roman"/>
          <w:sz w:val="20"/>
          <w:szCs w:val="20"/>
        </w:rPr>
        <w:t>-</w:t>
      </w:r>
      <w:proofErr w:type="spellStart"/>
      <w:r>
        <w:rPr>
          <w:rFonts w:ascii="Times New Roman" w:hAnsi="Times New Roman"/>
          <w:sz w:val="20"/>
          <w:szCs w:val="20"/>
        </w:rPr>
        <w:t>Ya</w:t>
      </w:r>
      <w:proofErr w:type="spellEnd"/>
      <w:r>
        <w:rPr>
          <w:rFonts w:ascii="Times New Roman" w:hAnsi="Times New Roman"/>
          <w:sz w:val="20"/>
          <w:szCs w:val="20"/>
        </w:rPr>
        <w:t>-Qu, Wang Z, Liu WT, Yu E, Wong SC, Salmon DP, Grant I: A Chinese version of the mini-mental state examination; Impact of illiteracy in a Shanghai dementia survey. J Clin Epidemiol 1988; 41:971–8</w:t>
      </w:r>
    </w:p>
    <w:p w14:paraId="7EEFF488"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31" w:name="_Ref44760764"/>
      <w:bookmarkEnd w:id="230"/>
      <w:proofErr w:type="spellStart"/>
      <w:r>
        <w:rPr>
          <w:rFonts w:ascii="Times New Roman" w:hAnsi="Times New Roman"/>
          <w:sz w:val="20"/>
          <w:szCs w:val="20"/>
        </w:rPr>
        <w:t>Zigmond</w:t>
      </w:r>
      <w:proofErr w:type="spellEnd"/>
      <w:r>
        <w:rPr>
          <w:rFonts w:ascii="Times New Roman" w:hAnsi="Times New Roman"/>
          <w:sz w:val="20"/>
          <w:szCs w:val="20"/>
        </w:rPr>
        <w:t xml:space="preserve"> AS, Snaith RP: The Hospital Anxiety and Depression Scale. Acta </w:t>
      </w:r>
      <w:proofErr w:type="spellStart"/>
      <w:r>
        <w:rPr>
          <w:rFonts w:ascii="Times New Roman" w:hAnsi="Times New Roman"/>
          <w:sz w:val="20"/>
          <w:szCs w:val="20"/>
        </w:rPr>
        <w:t>Psychiatr</w:t>
      </w:r>
      <w:proofErr w:type="spellEnd"/>
      <w:r>
        <w:rPr>
          <w:rFonts w:ascii="Times New Roman" w:hAnsi="Times New Roman"/>
          <w:sz w:val="20"/>
          <w:szCs w:val="20"/>
        </w:rPr>
        <w:t xml:space="preserve"> </w:t>
      </w:r>
      <w:proofErr w:type="spellStart"/>
      <w:r>
        <w:rPr>
          <w:rFonts w:ascii="Times New Roman" w:hAnsi="Times New Roman"/>
          <w:sz w:val="20"/>
          <w:szCs w:val="20"/>
        </w:rPr>
        <w:t>Scand</w:t>
      </w:r>
      <w:proofErr w:type="spellEnd"/>
      <w:r>
        <w:rPr>
          <w:rFonts w:ascii="Times New Roman" w:hAnsi="Times New Roman"/>
          <w:sz w:val="20"/>
          <w:szCs w:val="20"/>
        </w:rPr>
        <w:t xml:space="preserve"> 1983; 67:361–70</w:t>
      </w:r>
    </w:p>
    <w:p w14:paraId="5684EFF4"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32" w:name="_Ref44760772"/>
      <w:bookmarkEnd w:id="231"/>
      <w:proofErr w:type="spellStart"/>
      <w:r>
        <w:rPr>
          <w:rFonts w:ascii="Times New Roman" w:hAnsi="Times New Roman"/>
          <w:sz w:val="20"/>
          <w:szCs w:val="20"/>
        </w:rPr>
        <w:t>Bjelland</w:t>
      </w:r>
      <w:proofErr w:type="spellEnd"/>
      <w:r>
        <w:rPr>
          <w:rFonts w:ascii="Times New Roman" w:hAnsi="Times New Roman"/>
          <w:sz w:val="20"/>
          <w:szCs w:val="20"/>
        </w:rPr>
        <w:t xml:space="preserve"> I, Dahl AA, </w:t>
      </w:r>
      <w:proofErr w:type="spellStart"/>
      <w:r>
        <w:rPr>
          <w:rFonts w:ascii="Times New Roman" w:hAnsi="Times New Roman"/>
          <w:sz w:val="20"/>
          <w:szCs w:val="20"/>
        </w:rPr>
        <w:t>Haug</w:t>
      </w:r>
      <w:proofErr w:type="spellEnd"/>
      <w:r>
        <w:rPr>
          <w:rFonts w:ascii="Times New Roman" w:hAnsi="Times New Roman"/>
          <w:sz w:val="20"/>
          <w:szCs w:val="20"/>
        </w:rPr>
        <w:t xml:space="preserve"> TT, </w:t>
      </w:r>
      <w:proofErr w:type="spellStart"/>
      <w:r>
        <w:rPr>
          <w:rFonts w:ascii="Times New Roman" w:hAnsi="Times New Roman"/>
          <w:sz w:val="20"/>
          <w:szCs w:val="20"/>
        </w:rPr>
        <w:t>Neckelmann</w:t>
      </w:r>
      <w:proofErr w:type="spellEnd"/>
      <w:r>
        <w:rPr>
          <w:rFonts w:ascii="Times New Roman" w:hAnsi="Times New Roman"/>
          <w:sz w:val="20"/>
          <w:szCs w:val="20"/>
        </w:rPr>
        <w:t xml:space="preserve"> D: The validity of the Hospital Anxiety and Depression Scale: An updated literature review. J </w:t>
      </w:r>
      <w:proofErr w:type="spellStart"/>
      <w:r>
        <w:rPr>
          <w:rFonts w:ascii="Times New Roman" w:hAnsi="Times New Roman"/>
          <w:sz w:val="20"/>
          <w:szCs w:val="20"/>
        </w:rPr>
        <w:t>Psychosom</w:t>
      </w:r>
      <w:proofErr w:type="spellEnd"/>
      <w:r>
        <w:rPr>
          <w:rFonts w:ascii="Times New Roman" w:hAnsi="Times New Roman"/>
          <w:sz w:val="20"/>
          <w:szCs w:val="20"/>
        </w:rPr>
        <w:t xml:space="preserve"> Res 2002; 52:69–77</w:t>
      </w:r>
    </w:p>
    <w:p w14:paraId="44F648DE"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33" w:name="_Ref44760779"/>
      <w:bookmarkEnd w:id="232"/>
      <w:r>
        <w:rPr>
          <w:rFonts w:ascii="Times New Roman" w:hAnsi="Times New Roman"/>
          <w:sz w:val="20"/>
          <w:szCs w:val="20"/>
        </w:rPr>
        <w:t xml:space="preserve">Leung CM, Ho S, Kan CS, Hung CH, Chen CN: Evaluation of the Chinese version of the Hospital Anxiety and Depression Scale. A cross-cultural perspective. Int J </w:t>
      </w:r>
      <w:proofErr w:type="spellStart"/>
      <w:r>
        <w:rPr>
          <w:rFonts w:ascii="Times New Roman" w:hAnsi="Times New Roman"/>
          <w:sz w:val="20"/>
          <w:szCs w:val="20"/>
        </w:rPr>
        <w:t>Psychosom</w:t>
      </w:r>
      <w:proofErr w:type="spellEnd"/>
      <w:r>
        <w:rPr>
          <w:rFonts w:ascii="Times New Roman" w:hAnsi="Times New Roman"/>
          <w:sz w:val="20"/>
          <w:szCs w:val="20"/>
        </w:rPr>
        <w:t xml:space="preserve"> 1993; 40:29–34</w:t>
      </w:r>
    </w:p>
    <w:p w14:paraId="375655B3"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34" w:name="_Ref44760788"/>
      <w:bookmarkEnd w:id="233"/>
      <w:r>
        <w:rPr>
          <w:rFonts w:ascii="Times New Roman" w:hAnsi="Times New Roman"/>
          <w:sz w:val="20"/>
          <w:szCs w:val="20"/>
        </w:rPr>
        <w:t xml:space="preserve">Ely EW, Bernard GR, </w:t>
      </w:r>
      <w:proofErr w:type="spellStart"/>
      <w:r>
        <w:rPr>
          <w:rFonts w:ascii="Times New Roman" w:hAnsi="Times New Roman"/>
          <w:sz w:val="20"/>
          <w:szCs w:val="20"/>
        </w:rPr>
        <w:t>Speroff</w:t>
      </w:r>
      <w:proofErr w:type="spellEnd"/>
      <w:r>
        <w:rPr>
          <w:rFonts w:ascii="Times New Roman" w:hAnsi="Times New Roman"/>
          <w:sz w:val="20"/>
          <w:szCs w:val="20"/>
        </w:rPr>
        <w:t xml:space="preserve"> T, Gautam S, </w:t>
      </w:r>
      <w:proofErr w:type="spellStart"/>
      <w:r>
        <w:rPr>
          <w:rFonts w:ascii="Times New Roman" w:hAnsi="Times New Roman"/>
          <w:sz w:val="20"/>
          <w:szCs w:val="20"/>
        </w:rPr>
        <w:t>Dittus</w:t>
      </w:r>
      <w:proofErr w:type="spellEnd"/>
      <w:r>
        <w:rPr>
          <w:rFonts w:ascii="Times New Roman" w:hAnsi="Times New Roman"/>
          <w:sz w:val="20"/>
          <w:szCs w:val="20"/>
        </w:rPr>
        <w:t xml:space="preserve"> R, May L, Truman B, Ely EW, Bernard GR, Gordon S, Margolin R, Inouye SK, Francis J, Hart RP: Delirium in mechanically ventilated patients: Validity and reliability of the Confusion Assessment Method for the intensive care unit (CAM-ICU). J Am Med Assoc 2001; 286:2703–10</w:t>
      </w:r>
    </w:p>
    <w:p w14:paraId="062280D5" w14:textId="77777777" w:rsidR="00555164" w:rsidRDefault="002C73C0">
      <w:pPr>
        <w:pStyle w:val="af7"/>
        <w:widowControl w:val="0"/>
        <w:numPr>
          <w:ilvl w:val="0"/>
          <w:numId w:val="2"/>
        </w:numPr>
        <w:autoSpaceDE w:val="0"/>
        <w:autoSpaceDN w:val="0"/>
        <w:adjustRightInd w:val="0"/>
        <w:spacing w:before="120" w:after="120"/>
        <w:rPr>
          <w:sz w:val="20"/>
          <w:szCs w:val="20"/>
        </w:rPr>
      </w:pPr>
      <w:bookmarkStart w:id="235" w:name="_Ref44760796"/>
      <w:bookmarkEnd w:id="234"/>
      <w:r>
        <w:rPr>
          <w:rFonts w:ascii="Times New Roman" w:hAnsi="Times New Roman"/>
          <w:sz w:val="20"/>
          <w:szCs w:val="20"/>
        </w:rPr>
        <w:t>Wang C, Wu Y, Yue P, Ely EW, Huang J, Yang X, Liu Y: Delirium assessment using Confusion Assessment Method for the Intensive Care Unit in Chinese critically ill patients. J Crit Care 2013; 28:223–9</w:t>
      </w:r>
    </w:p>
    <w:p w14:paraId="74B525D2"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36" w:name="_Ref44760803"/>
      <w:bookmarkEnd w:id="235"/>
      <w:r>
        <w:rPr>
          <w:rFonts w:ascii="Times New Roman" w:hAnsi="Times New Roman"/>
          <w:sz w:val="20"/>
          <w:szCs w:val="20"/>
        </w:rPr>
        <w:t xml:space="preserve">Chuang WL, Lin CH, Hsu WC, Ting YJ, Lin KC, Ma SC: Evaluation of the reliability and validity of the Chinese version of the confusion assessment method for the intensive care unit. Hu Li Za </w:t>
      </w:r>
      <w:proofErr w:type="spellStart"/>
      <w:r>
        <w:rPr>
          <w:rFonts w:ascii="Times New Roman" w:hAnsi="Times New Roman"/>
          <w:sz w:val="20"/>
          <w:szCs w:val="20"/>
        </w:rPr>
        <w:t>Zhi</w:t>
      </w:r>
      <w:proofErr w:type="spellEnd"/>
      <w:r>
        <w:rPr>
          <w:rFonts w:ascii="Times New Roman" w:hAnsi="Times New Roman"/>
          <w:sz w:val="20"/>
          <w:szCs w:val="20"/>
        </w:rPr>
        <w:t xml:space="preserve"> 2007; 54:45–52</w:t>
      </w:r>
      <w:bookmarkEnd w:id="236"/>
    </w:p>
    <w:p w14:paraId="6478DD34"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37" w:name="_Ref44760836"/>
      <w:r>
        <w:rPr>
          <w:rFonts w:ascii="Times New Roman" w:hAnsi="Times New Roman"/>
          <w:sz w:val="20"/>
          <w:szCs w:val="20"/>
        </w:rPr>
        <w:t xml:space="preserve">Peterson JF, Pun BT, </w:t>
      </w:r>
      <w:proofErr w:type="spellStart"/>
      <w:r>
        <w:rPr>
          <w:rFonts w:ascii="Times New Roman" w:hAnsi="Times New Roman"/>
          <w:sz w:val="20"/>
          <w:szCs w:val="20"/>
        </w:rPr>
        <w:t>Dittus</w:t>
      </w:r>
      <w:proofErr w:type="spellEnd"/>
      <w:r>
        <w:rPr>
          <w:rFonts w:ascii="Times New Roman" w:hAnsi="Times New Roman"/>
          <w:sz w:val="20"/>
          <w:szCs w:val="20"/>
        </w:rPr>
        <w:t xml:space="preserve"> RS, Thomason JWW, Jackson JC, </w:t>
      </w:r>
      <w:proofErr w:type="spellStart"/>
      <w:r>
        <w:rPr>
          <w:rFonts w:ascii="Times New Roman" w:hAnsi="Times New Roman"/>
          <w:sz w:val="20"/>
          <w:szCs w:val="20"/>
        </w:rPr>
        <w:t>Shintani</w:t>
      </w:r>
      <w:proofErr w:type="spellEnd"/>
      <w:r>
        <w:rPr>
          <w:rFonts w:ascii="Times New Roman" w:hAnsi="Times New Roman"/>
          <w:sz w:val="20"/>
          <w:szCs w:val="20"/>
        </w:rPr>
        <w:t xml:space="preserve"> AK, Ely E: Delirium and its motoric subtypes: A study of 614 critically ill patients. J Am </w:t>
      </w:r>
      <w:proofErr w:type="spellStart"/>
      <w:r>
        <w:rPr>
          <w:rFonts w:ascii="Times New Roman" w:hAnsi="Times New Roman"/>
          <w:sz w:val="20"/>
          <w:szCs w:val="20"/>
        </w:rPr>
        <w:t>Geriatr</w:t>
      </w:r>
      <w:proofErr w:type="spellEnd"/>
      <w:r>
        <w:rPr>
          <w:rFonts w:ascii="Times New Roman" w:hAnsi="Times New Roman"/>
          <w:sz w:val="20"/>
          <w:szCs w:val="20"/>
        </w:rPr>
        <w:t xml:space="preserve"> Soc 2006; 54:479–84</w:t>
      </w:r>
      <w:bookmarkEnd w:id="237"/>
    </w:p>
    <w:p w14:paraId="0BCAEDBC"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38" w:name="_Ref44760869"/>
      <w:proofErr w:type="spellStart"/>
      <w:r>
        <w:rPr>
          <w:rFonts w:ascii="Times New Roman" w:hAnsi="Times New Roman"/>
          <w:sz w:val="20"/>
          <w:szCs w:val="20"/>
        </w:rPr>
        <w:t>Knaus</w:t>
      </w:r>
      <w:proofErr w:type="spellEnd"/>
      <w:r>
        <w:rPr>
          <w:rFonts w:ascii="Times New Roman" w:hAnsi="Times New Roman"/>
          <w:sz w:val="20"/>
          <w:szCs w:val="20"/>
        </w:rPr>
        <w:t xml:space="preserve"> WA, Draper EA, Wagner DP, Zimmerman JE: APACHE II: A severity of disease classification system. Crit Care Med 1985; 13:818–29</w:t>
      </w:r>
    </w:p>
    <w:p w14:paraId="030EF09C"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39" w:name="_Ref44760885"/>
      <w:bookmarkEnd w:id="238"/>
      <w:proofErr w:type="spellStart"/>
      <w:r>
        <w:rPr>
          <w:rFonts w:ascii="Times New Roman" w:hAnsi="Times New Roman"/>
          <w:sz w:val="20"/>
          <w:szCs w:val="20"/>
        </w:rPr>
        <w:t>Dindo</w:t>
      </w:r>
      <w:proofErr w:type="spellEnd"/>
      <w:r>
        <w:rPr>
          <w:rFonts w:ascii="Times New Roman" w:hAnsi="Times New Roman"/>
          <w:sz w:val="20"/>
          <w:szCs w:val="20"/>
        </w:rPr>
        <w:t xml:space="preserve"> D, </w:t>
      </w:r>
      <w:proofErr w:type="spellStart"/>
      <w:r>
        <w:rPr>
          <w:rFonts w:ascii="Times New Roman" w:hAnsi="Times New Roman"/>
          <w:sz w:val="20"/>
          <w:szCs w:val="20"/>
        </w:rPr>
        <w:t>Demartines</w:t>
      </w:r>
      <w:proofErr w:type="spellEnd"/>
      <w:r>
        <w:rPr>
          <w:rFonts w:ascii="Times New Roman" w:hAnsi="Times New Roman"/>
          <w:sz w:val="20"/>
          <w:szCs w:val="20"/>
        </w:rPr>
        <w:t xml:space="preserve"> N, </w:t>
      </w:r>
      <w:proofErr w:type="spellStart"/>
      <w:r>
        <w:rPr>
          <w:rFonts w:ascii="Times New Roman" w:hAnsi="Times New Roman"/>
          <w:sz w:val="20"/>
          <w:szCs w:val="20"/>
        </w:rPr>
        <w:t>Clavien</w:t>
      </w:r>
      <w:proofErr w:type="spellEnd"/>
      <w:r>
        <w:rPr>
          <w:rFonts w:ascii="Times New Roman" w:hAnsi="Times New Roman"/>
          <w:sz w:val="20"/>
          <w:szCs w:val="20"/>
        </w:rPr>
        <w:t xml:space="preserve"> PA: Classification of surgical complications: A new proposal with evaluation in a cohort of 6336 patients and results of a survey. Ann Surg 2004; 240:205–13</w:t>
      </w:r>
      <w:bookmarkEnd w:id="239"/>
    </w:p>
    <w:p w14:paraId="6F3143B2" w14:textId="77777777" w:rsidR="00555164" w:rsidRDefault="002C73C0">
      <w:pPr>
        <w:pStyle w:val="af7"/>
        <w:widowControl w:val="0"/>
        <w:numPr>
          <w:ilvl w:val="0"/>
          <w:numId w:val="2"/>
        </w:numPr>
        <w:autoSpaceDE w:val="0"/>
        <w:autoSpaceDN w:val="0"/>
        <w:adjustRightInd w:val="0"/>
        <w:spacing w:before="120" w:after="120"/>
        <w:rPr>
          <w:rFonts w:ascii="Times New Roman" w:hAnsi="Times New Roman"/>
          <w:sz w:val="20"/>
          <w:szCs w:val="20"/>
        </w:rPr>
      </w:pPr>
      <w:bookmarkStart w:id="240" w:name="_Ref44760948"/>
      <w:r>
        <w:rPr>
          <w:rFonts w:ascii="Times New Roman" w:hAnsi="Times New Roman"/>
          <w:sz w:val="20"/>
          <w:szCs w:val="20"/>
        </w:rPr>
        <w:t>Austin PC: Balance diagnostics for comparing the distribution of baseline covariates between treatment groups in propensity-score matched samples. Stat Med 2009; 28:3083–107</w:t>
      </w:r>
      <w:bookmarkEnd w:id="240"/>
    </w:p>
    <w:p w14:paraId="4FFEF841" w14:textId="77777777" w:rsidR="00555164" w:rsidRDefault="002C73C0">
      <w:pPr>
        <w:pStyle w:val="af7"/>
        <w:widowControl w:val="0"/>
        <w:numPr>
          <w:ilvl w:val="0"/>
          <w:numId w:val="2"/>
        </w:numPr>
        <w:autoSpaceDE w:val="0"/>
        <w:autoSpaceDN w:val="0"/>
        <w:adjustRightInd w:val="0"/>
        <w:spacing w:before="120" w:after="120"/>
        <w:rPr>
          <w:rFonts w:eastAsia="宋体"/>
          <w:sz w:val="20"/>
          <w:szCs w:val="20"/>
        </w:rPr>
      </w:pPr>
      <w:r>
        <w:rPr>
          <w:rFonts w:ascii="Times New Roman" w:hAnsi="Times New Roman"/>
          <w:sz w:val="20"/>
          <w:szCs w:val="20"/>
        </w:rPr>
        <w:br w:type="page"/>
      </w:r>
    </w:p>
    <w:p w14:paraId="0386B873" w14:textId="77777777" w:rsidR="00555164" w:rsidRDefault="002C73C0">
      <w:pPr>
        <w:pStyle w:val="ad"/>
        <w:spacing w:beforeLines="50" w:before="120" w:beforeAutospacing="0" w:afterLines="50" w:after="120" w:afterAutospacing="0"/>
        <w:outlineLvl w:val="0"/>
        <w:rPr>
          <w:rFonts w:eastAsia="等线"/>
          <w:b/>
        </w:rPr>
      </w:pPr>
      <w:bookmarkStart w:id="241" w:name="_Toc44796197"/>
      <w:r>
        <w:rPr>
          <w:rFonts w:eastAsia="等线"/>
          <w:b/>
        </w:rPr>
        <w:lastRenderedPageBreak/>
        <w:t>Summary of changes from the original study protocol approved by the ethics committee</w:t>
      </w:r>
      <w:bookmarkEnd w:id="241"/>
    </w:p>
    <w:p w14:paraId="625EB74B" w14:textId="77777777" w:rsidR="00555164" w:rsidRDefault="00555164">
      <w:pPr>
        <w:pStyle w:val="ad"/>
        <w:spacing w:before="0" w:beforeAutospacing="0" w:after="0" w:afterAutospacing="0"/>
        <w:outlineLvl w:val="0"/>
        <w:rPr>
          <w:rFonts w:eastAsia="等线"/>
          <w:b/>
          <w:sz w:val="20"/>
          <w:szCs w:val="20"/>
        </w:rPr>
      </w:pPr>
    </w:p>
    <w:p w14:paraId="66AA95D4" w14:textId="77777777" w:rsidR="00555164" w:rsidRDefault="00555164">
      <w:pPr>
        <w:pStyle w:val="ad"/>
        <w:spacing w:before="0" w:beforeAutospacing="0" w:after="0" w:afterAutospacing="0"/>
        <w:rPr>
          <w:rFonts w:eastAsia="等线"/>
          <w:b/>
          <w:sz w:val="20"/>
          <w:szCs w:val="20"/>
        </w:rPr>
      </w:pPr>
    </w:p>
    <w:tbl>
      <w:tblPr>
        <w:tblW w:w="925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993"/>
        <w:gridCol w:w="988"/>
        <w:gridCol w:w="1138"/>
        <w:gridCol w:w="5573"/>
      </w:tblGrid>
      <w:tr w:rsidR="00555164" w14:paraId="2312B95E" w14:textId="77777777">
        <w:tc>
          <w:tcPr>
            <w:tcW w:w="567" w:type="dxa"/>
            <w:shd w:val="clear" w:color="auto" w:fill="auto"/>
          </w:tcPr>
          <w:p w14:paraId="3942E133" w14:textId="77777777" w:rsidR="00555164" w:rsidRDefault="00555164">
            <w:pPr>
              <w:pStyle w:val="ad"/>
              <w:spacing w:before="0" w:beforeAutospacing="0" w:after="0" w:afterAutospacing="0"/>
              <w:rPr>
                <w:rFonts w:eastAsia="等线"/>
                <w:b/>
                <w:bCs/>
                <w:sz w:val="20"/>
                <w:szCs w:val="20"/>
              </w:rPr>
            </w:pPr>
          </w:p>
        </w:tc>
        <w:tc>
          <w:tcPr>
            <w:tcW w:w="993" w:type="dxa"/>
            <w:shd w:val="clear" w:color="auto" w:fill="auto"/>
          </w:tcPr>
          <w:p w14:paraId="55C62CAE" w14:textId="77777777" w:rsidR="00555164" w:rsidRDefault="002C73C0">
            <w:pPr>
              <w:pStyle w:val="ad"/>
              <w:spacing w:before="0" w:beforeAutospacing="0" w:after="0" w:afterAutospacing="0"/>
              <w:rPr>
                <w:rFonts w:eastAsia="等线"/>
                <w:b/>
                <w:bCs/>
                <w:sz w:val="20"/>
                <w:szCs w:val="20"/>
              </w:rPr>
            </w:pPr>
            <w:r>
              <w:rPr>
                <w:rFonts w:eastAsia="等线"/>
                <w:b/>
                <w:bCs/>
                <w:sz w:val="20"/>
                <w:szCs w:val="20"/>
              </w:rPr>
              <w:t xml:space="preserve">Version </w:t>
            </w:r>
          </w:p>
        </w:tc>
        <w:tc>
          <w:tcPr>
            <w:tcW w:w="988" w:type="dxa"/>
            <w:shd w:val="clear" w:color="auto" w:fill="auto"/>
          </w:tcPr>
          <w:p w14:paraId="2EACF02B" w14:textId="77777777" w:rsidR="00555164" w:rsidRDefault="002C73C0">
            <w:pPr>
              <w:pStyle w:val="ad"/>
              <w:spacing w:before="0" w:beforeAutospacing="0" w:after="0" w:afterAutospacing="0"/>
              <w:rPr>
                <w:rFonts w:eastAsia="等线"/>
                <w:b/>
                <w:bCs/>
                <w:sz w:val="20"/>
                <w:szCs w:val="20"/>
              </w:rPr>
            </w:pPr>
            <w:r>
              <w:rPr>
                <w:rFonts w:eastAsia="等线"/>
                <w:b/>
                <w:bCs/>
                <w:sz w:val="20"/>
                <w:szCs w:val="20"/>
              </w:rPr>
              <w:t>Date of version</w:t>
            </w:r>
          </w:p>
        </w:tc>
        <w:tc>
          <w:tcPr>
            <w:tcW w:w="1138" w:type="dxa"/>
            <w:shd w:val="clear" w:color="auto" w:fill="auto"/>
          </w:tcPr>
          <w:p w14:paraId="3B867D1C" w14:textId="77777777" w:rsidR="00555164" w:rsidRDefault="002C73C0">
            <w:pPr>
              <w:pStyle w:val="ad"/>
              <w:spacing w:before="0" w:beforeAutospacing="0" w:after="0" w:afterAutospacing="0"/>
              <w:rPr>
                <w:rFonts w:eastAsia="等线"/>
                <w:b/>
                <w:bCs/>
                <w:sz w:val="20"/>
                <w:szCs w:val="20"/>
              </w:rPr>
            </w:pPr>
            <w:r>
              <w:rPr>
                <w:rFonts w:eastAsia="等线"/>
                <w:b/>
                <w:bCs/>
                <w:sz w:val="20"/>
                <w:szCs w:val="20"/>
              </w:rPr>
              <w:t>Drafter/</w:t>
            </w:r>
          </w:p>
          <w:p w14:paraId="317A6CB2" w14:textId="77777777" w:rsidR="00555164" w:rsidRDefault="002C73C0">
            <w:pPr>
              <w:pStyle w:val="ad"/>
              <w:spacing w:before="0" w:beforeAutospacing="0" w:after="0" w:afterAutospacing="0"/>
              <w:rPr>
                <w:rFonts w:eastAsia="等线"/>
                <w:b/>
                <w:bCs/>
                <w:sz w:val="20"/>
                <w:szCs w:val="20"/>
              </w:rPr>
            </w:pPr>
            <w:r>
              <w:rPr>
                <w:rFonts w:eastAsia="等线"/>
                <w:b/>
                <w:bCs/>
                <w:sz w:val="20"/>
                <w:szCs w:val="20"/>
              </w:rPr>
              <w:t>reviser</w:t>
            </w:r>
          </w:p>
        </w:tc>
        <w:tc>
          <w:tcPr>
            <w:tcW w:w="5573" w:type="dxa"/>
            <w:shd w:val="clear" w:color="auto" w:fill="auto"/>
          </w:tcPr>
          <w:p w14:paraId="40A8B41E" w14:textId="77777777" w:rsidR="00555164" w:rsidRDefault="002C73C0">
            <w:pPr>
              <w:pStyle w:val="ad"/>
              <w:spacing w:before="0" w:beforeAutospacing="0" w:after="0" w:afterAutospacing="0"/>
              <w:rPr>
                <w:rFonts w:eastAsia="等线"/>
                <w:b/>
                <w:bCs/>
                <w:sz w:val="20"/>
                <w:szCs w:val="20"/>
              </w:rPr>
            </w:pPr>
            <w:r>
              <w:rPr>
                <w:rFonts w:eastAsia="等线"/>
                <w:b/>
                <w:bCs/>
                <w:sz w:val="20"/>
                <w:szCs w:val="20"/>
              </w:rPr>
              <w:t>Contents of revision</w:t>
            </w:r>
          </w:p>
        </w:tc>
      </w:tr>
      <w:tr w:rsidR="00555164" w14:paraId="598C4E23" w14:textId="77777777">
        <w:tc>
          <w:tcPr>
            <w:tcW w:w="567" w:type="dxa"/>
            <w:shd w:val="clear" w:color="auto" w:fill="auto"/>
          </w:tcPr>
          <w:p w14:paraId="205E1627" w14:textId="77777777" w:rsidR="00555164" w:rsidRDefault="002C73C0">
            <w:pPr>
              <w:pStyle w:val="ad"/>
              <w:spacing w:before="0" w:beforeAutospacing="0" w:after="0" w:afterAutospacing="0"/>
              <w:rPr>
                <w:rFonts w:eastAsia="等线"/>
                <w:bCs/>
                <w:sz w:val="20"/>
                <w:szCs w:val="20"/>
              </w:rPr>
            </w:pPr>
            <w:r>
              <w:rPr>
                <w:rFonts w:eastAsia="等线"/>
                <w:bCs/>
                <w:sz w:val="20"/>
                <w:szCs w:val="20"/>
              </w:rPr>
              <w:t>1</w:t>
            </w:r>
          </w:p>
        </w:tc>
        <w:tc>
          <w:tcPr>
            <w:tcW w:w="993" w:type="dxa"/>
            <w:shd w:val="clear" w:color="auto" w:fill="auto"/>
          </w:tcPr>
          <w:p w14:paraId="5484A930" w14:textId="77777777" w:rsidR="00555164" w:rsidRDefault="002C73C0">
            <w:pPr>
              <w:pStyle w:val="ad"/>
              <w:spacing w:before="0" w:beforeAutospacing="0" w:after="0" w:afterAutospacing="0"/>
              <w:rPr>
                <w:rFonts w:eastAsia="等线"/>
                <w:bCs/>
                <w:sz w:val="20"/>
                <w:szCs w:val="20"/>
              </w:rPr>
            </w:pPr>
            <w:r>
              <w:rPr>
                <w:rFonts w:eastAsia="等线"/>
                <w:bCs/>
                <w:sz w:val="20"/>
                <w:szCs w:val="20"/>
              </w:rPr>
              <w:t>3.0</w:t>
            </w:r>
          </w:p>
        </w:tc>
        <w:tc>
          <w:tcPr>
            <w:tcW w:w="988" w:type="dxa"/>
            <w:shd w:val="clear" w:color="auto" w:fill="auto"/>
          </w:tcPr>
          <w:p w14:paraId="005B7A2C" w14:textId="77777777" w:rsidR="00555164" w:rsidRDefault="002C73C0">
            <w:pPr>
              <w:pStyle w:val="ad"/>
              <w:spacing w:before="0" w:beforeAutospacing="0" w:after="0" w:afterAutospacing="0"/>
              <w:rPr>
                <w:rFonts w:eastAsia="等线"/>
                <w:bCs/>
                <w:sz w:val="20"/>
                <w:szCs w:val="20"/>
              </w:rPr>
            </w:pPr>
            <w:r>
              <w:rPr>
                <w:rFonts w:eastAsia="等线"/>
                <w:bCs/>
                <w:sz w:val="20"/>
                <w:szCs w:val="20"/>
              </w:rPr>
              <w:t>Apr. 19, 2011</w:t>
            </w:r>
          </w:p>
        </w:tc>
        <w:tc>
          <w:tcPr>
            <w:tcW w:w="1138" w:type="dxa"/>
            <w:shd w:val="clear" w:color="auto" w:fill="auto"/>
          </w:tcPr>
          <w:p w14:paraId="506A9465" w14:textId="77777777" w:rsidR="00555164" w:rsidRDefault="002C73C0">
            <w:pPr>
              <w:pStyle w:val="ad"/>
              <w:spacing w:before="0" w:beforeAutospacing="0" w:after="0" w:afterAutospacing="0"/>
              <w:rPr>
                <w:rFonts w:eastAsia="等线"/>
                <w:bCs/>
                <w:sz w:val="20"/>
                <w:szCs w:val="20"/>
              </w:rPr>
            </w:pPr>
            <w:r>
              <w:rPr>
                <w:rFonts w:eastAsia="等线"/>
                <w:bCs/>
                <w:sz w:val="20"/>
                <w:szCs w:val="20"/>
              </w:rPr>
              <w:t>Y.-W.L., D.-X.W.</w:t>
            </w:r>
          </w:p>
        </w:tc>
        <w:tc>
          <w:tcPr>
            <w:tcW w:w="5573" w:type="dxa"/>
            <w:shd w:val="clear" w:color="auto" w:fill="auto"/>
          </w:tcPr>
          <w:p w14:paraId="23CBB931" w14:textId="77777777" w:rsidR="00555164" w:rsidRDefault="002C73C0">
            <w:pPr>
              <w:pStyle w:val="ad"/>
              <w:spacing w:before="0" w:beforeAutospacing="0" w:after="0" w:afterAutospacing="0"/>
              <w:rPr>
                <w:rFonts w:eastAsia="等线"/>
                <w:bCs/>
                <w:sz w:val="20"/>
                <w:szCs w:val="20"/>
              </w:rPr>
            </w:pPr>
            <w:r>
              <w:rPr>
                <w:rFonts w:eastAsia="等线"/>
                <w:bCs/>
                <w:sz w:val="20"/>
                <w:szCs w:val="20"/>
              </w:rPr>
              <w:t>(This was the first version approved by the ethics committee before recruiting patients).</w:t>
            </w:r>
          </w:p>
        </w:tc>
      </w:tr>
      <w:tr w:rsidR="00555164" w14:paraId="485D01BE" w14:textId="77777777">
        <w:tc>
          <w:tcPr>
            <w:tcW w:w="567" w:type="dxa"/>
            <w:shd w:val="clear" w:color="auto" w:fill="auto"/>
          </w:tcPr>
          <w:p w14:paraId="769E7D89" w14:textId="77777777" w:rsidR="00555164" w:rsidRDefault="002C73C0">
            <w:pPr>
              <w:pStyle w:val="ad"/>
              <w:spacing w:before="0" w:beforeAutospacing="0" w:after="0" w:afterAutospacing="0"/>
              <w:rPr>
                <w:rFonts w:eastAsia="等线"/>
                <w:bCs/>
                <w:sz w:val="20"/>
                <w:szCs w:val="20"/>
              </w:rPr>
            </w:pPr>
            <w:r>
              <w:rPr>
                <w:rFonts w:eastAsia="等线"/>
                <w:bCs/>
                <w:sz w:val="20"/>
                <w:szCs w:val="20"/>
              </w:rPr>
              <w:t>2</w:t>
            </w:r>
          </w:p>
        </w:tc>
        <w:tc>
          <w:tcPr>
            <w:tcW w:w="993" w:type="dxa"/>
            <w:shd w:val="clear" w:color="auto" w:fill="auto"/>
          </w:tcPr>
          <w:p w14:paraId="3942F565" w14:textId="77777777" w:rsidR="00555164" w:rsidRDefault="002C73C0">
            <w:pPr>
              <w:pStyle w:val="ad"/>
              <w:spacing w:before="0" w:beforeAutospacing="0" w:after="0" w:afterAutospacing="0"/>
              <w:rPr>
                <w:rFonts w:eastAsia="等线"/>
                <w:bCs/>
                <w:sz w:val="20"/>
                <w:szCs w:val="20"/>
              </w:rPr>
            </w:pPr>
            <w:r>
              <w:rPr>
                <w:rFonts w:eastAsia="等线"/>
                <w:bCs/>
                <w:sz w:val="20"/>
                <w:szCs w:val="20"/>
              </w:rPr>
              <w:t>3.1</w:t>
            </w:r>
          </w:p>
        </w:tc>
        <w:tc>
          <w:tcPr>
            <w:tcW w:w="988" w:type="dxa"/>
            <w:shd w:val="clear" w:color="auto" w:fill="auto"/>
          </w:tcPr>
          <w:p w14:paraId="58CCEAA6" w14:textId="77777777" w:rsidR="00555164" w:rsidRDefault="002C73C0">
            <w:pPr>
              <w:pStyle w:val="ad"/>
              <w:spacing w:before="0" w:beforeAutospacing="0" w:after="0" w:afterAutospacing="0"/>
              <w:rPr>
                <w:rFonts w:eastAsia="等线"/>
                <w:bCs/>
                <w:sz w:val="20"/>
                <w:szCs w:val="20"/>
              </w:rPr>
            </w:pPr>
            <w:r>
              <w:rPr>
                <w:rFonts w:eastAsia="等线"/>
                <w:bCs/>
                <w:sz w:val="20"/>
                <w:szCs w:val="20"/>
              </w:rPr>
              <w:t>Nov. 17, 2011</w:t>
            </w:r>
          </w:p>
        </w:tc>
        <w:tc>
          <w:tcPr>
            <w:tcW w:w="1138" w:type="dxa"/>
            <w:shd w:val="clear" w:color="auto" w:fill="auto"/>
          </w:tcPr>
          <w:p w14:paraId="4852BCAB" w14:textId="77777777" w:rsidR="00555164" w:rsidRDefault="002C73C0">
            <w:pPr>
              <w:pStyle w:val="ad"/>
              <w:spacing w:before="0" w:beforeAutospacing="0" w:after="0" w:afterAutospacing="0"/>
              <w:rPr>
                <w:rFonts w:eastAsia="等线"/>
                <w:bCs/>
                <w:sz w:val="20"/>
                <w:szCs w:val="20"/>
              </w:rPr>
            </w:pPr>
            <w:r>
              <w:rPr>
                <w:rFonts w:eastAsia="等线"/>
                <w:bCs/>
                <w:sz w:val="20"/>
                <w:szCs w:val="20"/>
              </w:rPr>
              <w:t>Y.-W.L., D.-X.W.</w:t>
            </w:r>
          </w:p>
        </w:tc>
        <w:tc>
          <w:tcPr>
            <w:tcW w:w="5573" w:type="dxa"/>
            <w:shd w:val="clear" w:color="auto" w:fill="auto"/>
          </w:tcPr>
          <w:p w14:paraId="291CC836" w14:textId="77777777" w:rsidR="00555164" w:rsidRDefault="002C73C0">
            <w:pPr>
              <w:pStyle w:val="ad"/>
              <w:spacing w:before="0" w:beforeAutospacing="0" w:after="0" w:afterAutospacing="0"/>
              <w:rPr>
                <w:rFonts w:eastAsia="等线"/>
                <w:bCs/>
                <w:sz w:val="20"/>
                <w:szCs w:val="20"/>
              </w:rPr>
            </w:pPr>
            <w:r>
              <w:rPr>
                <w:rFonts w:eastAsia="等线"/>
                <w:bCs/>
                <w:sz w:val="20"/>
                <w:szCs w:val="20"/>
              </w:rPr>
              <w:t>Deleted the assessment of delirium severity (clause 7.3.2).</w:t>
            </w:r>
          </w:p>
          <w:p w14:paraId="50397C29" w14:textId="77777777" w:rsidR="00555164" w:rsidRDefault="00555164">
            <w:pPr>
              <w:pStyle w:val="ad"/>
              <w:spacing w:before="0" w:beforeAutospacing="0" w:after="0" w:afterAutospacing="0"/>
              <w:rPr>
                <w:rFonts w:eastAsia="等线"/>
                <w:bCs/>
                <w:sz w:val="20"/>
                <w:szCs w:val="20"/>
              </w:rPr>
            </w:pPr>
          </w:p>
        </w:tc>
      </w:tr>
      <w:tr w:rsidR="00555164" w14:paraId="4A89040E" w14:textId="77777777">
        <w:tc>
          <w:tcPr>
            <w:tcW w:w="567" w:type="dxa"/>
            <w:shd w:val="clear" w:color="auto" w:fill="auto"/>
          </w:tcPr>
          <w:p w14:paraId="3318AF7D" w14:textId="77777777" w:rsidR="00555164" w:rsidRDefault="002C73C0">
            <w:pPr>
              <w:pStyle w:val="ad"/>
              <w:spacing w:before="0" w:beforeAutospacing="0" w:after="0" w:afterAutospacing="0"/>
              <w:rPr>
                <w:rFonts w:eastAsia="等线"/>
                <w:bCs/>
                <w:sz w:val="20"/>
                <w:szCs w:val="20"/>
              </w:rPr>
            </w:pPr>
            <w:r>
              <w:rPr>
                <w:rFonts w:eastAsia="等线"/>
                <w:bCs/>
                <w:sz w:val="20"/>
                <w:szCs w:val="20"/>
              </w:rPr>
              <w:t>3</w:t>
            </w:r>
          </w:p>
        </w:tc>
        <w:tc>
          <w:tcPr>
            <w:tcW w:w="993" w:type="dxa"/>
            <w:shd w:val="clear" w:color="auto" w:fill="auto"/>
          </w:tcPr>
          <w:p w14:paraId="5511239A" w14:textId="77777777" w:rsidR="00555164" w:rsidRDefault="002C73C0">
            <w:pPr>
              <w:pStyle w:val="ad"/>
              <w:spacing w:before="0" w:beforeAutospacing="0" w:after="0" w:afterAutospacing="0"/>
              <w:rPr>
                <w:rFonts w:eastAsia="等线"/>
                <w:bCs/>
                <w:sz w:val="20"/>
                <w:szCs w:val="20"/>
              </w:rPr>
            </w:pPr>
            <w:r>
              <w:rPr>
                <w:rFonts w:eastAsia="等线"/>
                <w:bCs/>
                <w:sz w:val="20"/>
                <w:szCs w:val="20"/>
              </w:rPr>
              <w:t>3.2</w:t>
            </w:r>
          </w:p>
        </w:tc>
        <w:tc>
          <w:tcPr>
            <w:tcW w:w="988" w:type="dxa"/>
            <w:shd w:val="clear" w:color="auto" w:fill="auto"/>
          </w:tcPr>
          <w:p w14:paraId="0D8FB8F2" w14:textId="77777777" w:rsidR="00555164" w:rsidRDefault="002C73C0">
            <w:pPr>
              <w:pStyle w:val="ad"/>
              <w:spacing w:before="0" w:beforeAutospacing="0" w:after="0" w:afterAutospacing="0"/>
              <w:rPr>
                <w:rFonts w:eastAsia="等线"/>
                <w:bCs/>
                <w:sz w:val="20"/>
                <w:szCs w:val="20"/>
              </w:rPr>
            </w:pPr>
            <w:r>
              <w:rPr>
                <w:rFonts w:eastAsia="等线"/>
                <w:bCs/>
                <w:sz w:val="20"/>
                <w:szCs w:val="20"/>
              </w:rPr>
              <w:t>Sept. 3, 2012</w:t>
            </w:r>
          </w:p>
        </w:tc>
        <w:tc>
          <w:tcPr>
            <w:tcW w:w="1138" w:type="dxa"/>
            <w:shd w:val="clear" w:color="auto" w:fill="auto"/>
          </w:tcPr>
          <w:p w14:paraId="5DB6C1E7" w14:textId="77777777" w:rsidR="00555164" w:rsidRDefault="002C73C0">
            <w:pPr>
              <w:pStyle w:val="ad"/>
              <w:spacing w:before="0" w:beforeAutospacing="0" w:after="0" w:afterAutospacing="0"/>
              <w:rPr>
                <w:rFonts w:eastAsia="等线"/>
                <w:bCs/>
                <w:sz w:val="20"/>
                <w:szCs w:val="20"/>
              </w:rPr>
            </w:pPr>
            <w:r>
              <w:rPr>
                <w:rFonts w:eastAsia="等线"/>
                <w:bCs/>
                <w:sz w:val="20"/>
                <w:szCs w:val="20"/>
              </w:rPr>
              <w:t>Y.-W.L., D.-X.W.</w:t>
            </w:r>
          </w:p>
        </w:tc>
        <w:tc>
          <w:tcPr>
            <w:tcW w:w="5573" w:type="dxa"/>
            <w:shd w:val="clear" w:color="auto" w:fill="auto"/>
          </w:tcPr>
          <w:p w14:paraId="47399847" w14:textId="77777777" w:rsidR="00555164" w:rsidRDefault="002C73C0">
            <w:pPr>
              <w:pStyle w:val="ad"/>
              <w:spacing w:before="0" w:beforeAutospacing="0" w:after="0" w:afterAutospacing="0"/>
              <w:rPr>
                <w:rFonts w:eastAsia="等线"/>
                <w:bCs/>
                <w:sz w:val="20"/>
                <w:szCs w:val="20"/>
              </w:rPr>
            </w:pPr>
            <w:r>
              <w:rPr>
                <w:rFonts w:eastAsia="等线"/>
                <w:bCs/>
                <w:sz w:val="20"/>
                <w:szCs w:val="20"/>
              </w:rPr>
              <w:t>Revised the method of serum collection (clause 7.3.6).</w:t>
            </w:r>
          </w:p>
          <w:p w14:paraId="0793C213" w14:textId="77777777" w:rsidR="00555164" w:rsidRDefault="00555164">
            <w:pPr>
              <w:pStyle w:val="ad"/>
              <w:spacing w:before="0" w:beforeAutospacing="0" w:after="0" w:afterAutospacing="0"/>
              <w:rPr>
                <w:rFonts w:eastAsia="等线"/>
                <w:bCs/>
                <w:sz w:val="20"/>
                <w:szCs w:val="20"/>
              </w:rPr>
            </w:pPr>
          </w:p>
        </w:tc>
      </w:tr>
      <w:tr w:rsidR="00555164" w14:paraId="4F8B9E52" w14:textId="77777777">
        <w:tc>
          <w:tcPr>
            <w:tcW w:w="567" w:type="dxa"/>
            <w:shd w:val="clear" w:color="auto" w:fill="auto"/>
          </w:tcPr>
          <w:p w14:paraId="056D6CEC" w14:textId="77777777" w:rsidR="00555164" w:rsidRDefault="002C73C0">
            <w:pPr>
              <w:pStyle w:val="ad"/>
              <w:spacing w:before="0" w:beforeAutospacing="0" w:after="0" w:afterAutospacing="0"/>
              <w:rPr>
                <w:rFonts w:eastAsia="等线"/>
                <w:bCs/>
                <w:sz w:val="20"/>
                <w:szCs w:val="20"/>
              </w:rPr>
            </w:pPr>
            <w:r>
              <w:rPr>
                <w:rFonts w:eastAsia="等线"/>
                <w:bCs/>
                <w:sz w:val="20"/>
                <w:szCs w:val="20"/>
              </w:rPr>
              <w:t>4</w:t>
            </w:r>
          </w:p>
        </w:tc>
        <w:tc>
          <w:tcPr>
            <w:tcW w:w="993" w:type="dxa"/>
            <w:shd w:val="clear" w:color="auto" w:fill="auto"/>
          </w:tcPr>
          <w:p w14:paraId="51F8596C" w14:textId="77777777" w:rsidR="00555164" w:rsidRDefault="002C73C0">
            <w:pPr>
              <w:pStyle w:val="ad"/>
              <w:spacing w:before="0" w:beforeAutospacing="0" w:after="0" w:afterAutospacing="0"/>
              <w:rPr>
                <w:rFonts w:eastAsia="等线"/>
                <w:bCs/>
                <w:sz w:val="20"/>
                <w:szCs w:val="20"/>
              </w:rPr>
            </w:pPr>
            <w:r>
              <w:rPr>
                <w:rFonts w:eastAsia="等线"/>
                <w:bCs/>
                <w:sz w:val="20"/>
                <w:szCs w:val="20"/>
              </w:rPr>
              <w:t>3.3</w:t>
            </w:r>
          </w:p>
        </w:tc>
        <w:tc>
          <w:tcPr>
            <w:tcW w:w="988" w:type="dxa"/>
            <w:shd w:val="clear" w:color="auto" w:fill="auto"/>
          </w:tcPr>
          <w:p w14:paraId="3F8B6D36" w14:textId="77777777" w:rsidR="00555164" w:rsidRDefault="002C73C0">
            <w:pPr>
              <w:pStyle w:val="ad"/>
              <w:spacing w:before="0" w:beforeAutospacing="0" w:after="0" w:afterAutospacing="0"/>
              <w:rPr>
                <w:rFonts w:eastAsia="等线"/>
                <w:bCs/>
                <w:sz w:val="20"/>
                <w:szCs w:val="20"/>
              </w:rPr>
            </w:pPr>
            <w:r>
              <w:rPr>
                <w:rFonts w:eastAsia="等线"/>
                <w:bCs/>
                <w:sz w:val="20"/>
                <w:szCs w:val="20"/>
              </w:rPr>
              <w:t>Mar. 11, 2013</w:t>
            </w:r>
          </w:p>
        </w:tc>
        <w:tc>
          <w:tcPr>
            <w:tcW w:w="1138" w:type="dxa"/>
            <w:shd w:val="clear" w:color="auto" w:fill="auto"/>
          </w:tcPr>
          <w:p w14:paraId="62E97673" w14:textId="77777777" w:rsidR="00555164" w:rsidRDefault="002C73C0">
            <w:pPr>
              <w:pStyle w:val="ad"/>
              <w:spacing w:before="0" w:beforeAutospacing="0" w:after="0" w:afterAutospacing="0"/>
              <w:rPr>
                <w:rFonts w:eastAsia="等线"/>
                <w:bCs/>
                <w:sz w:val="20"/>
                <w:szCs w:val="20"/>
              </w:rPr>
            </w:pPr>
            <w:r>
              <w:rPr>
                <w:rFonts w:eastAsia="等线"/>
                <w:bCs/>
                <w:sz w:val="20"/>
                <w:szCs w:val="20"/>
              </w:rPr>
              <w:t>Y.-W.L., D.-X.W.</w:t>
            </w:r>
          </w:p>
        </w:tc>
        <w:tc>
          <w:tcPr>
            <w:tcW w:w="5573" w:type="dxa"/>
            <w:shd w:val="clear" w:color="auto" w:fill="auto"/>
          </w:tcPr>
          <w:p w14:paraId="3171FEB5" w14:textId="77777777" w:rsidR="00555164" w:rsidRDefault="002C73C0">
            <w:pPr>
              <w:pStyle w:val="ad"/>
              <w:spacing w:before="0" w:beforeAutospacing="0" w:after="0" w:afterAutospacing="0"/>
              <w:rPr>
                <w:rFonts w:eastAsia="等线"/>
                <w:bCs/>
                <w:sz w:val="20"/>
                <w:szCs w:val="20"/>
              </w:rPr>
            </w:pPr>
            <w:r>
              <w:rPr>
                <w:rFonts w:eastAsia="等线"/>
                <w:bCs/>
                <w:sz w:val="20"/>
                <w:szCs w:val="20"/>
              </w:rPr>
              <w:t>1) Opened a new study center (clause 3.3.1).</w:t>
            </w:r>
          </w:p>
          <w:p w14:paraId="7D4532ED" w14:textId="77777777" w:rsidR="00555164" w:rsidRDefault="002C73C0">
            <w:pPr>
              <w:pStyle w:val="ad"/>
              <w:spacing w:before="0" w:beforeAutospacing="0" w:after="0" w:afterAutospacing="0"/>
              <w:rPr>
                <w:rFonts w:eastAsia="等线"/>
                <w:bCs/>
                <w:sz w:val="20"/>
                <w:szCs w:val="20"/>
              </w:rPr>
            </w:pPr>
            <w:r>
              <w:rPr>
                <w:rFonts w:eastAsia="等线"/>
                <w:bCs/>
                <w:sz w:val="20"/>
                <w:szCs w:val="20"/>
              </w:rPr>
              <w:t>2) Added the criteria of drop-out and elimination (clause 4.3 and clause 4.4).</w:t>
            </w:r>
          </w:p>
          <w:p w14:paraId="62BFB1BF" w14:textId="77777777" w:rsidR="00555164" w:rsidRDefault="002C73C0">
            <w:pPr>
              <w:pStyle w:val="ad"/>
              <w:spacing w:before="0" w:beforeAutospacing="0" w:after="0" w:afterAutospacing="0"/>
              <w:rPr>
                <w:rFonts w:eastAsia="等线"/>
                <w:bCs/>
                <w:sz w:val="20"/>
                <w:szCs w:val="20"/>
              </w:rPr>
            </w:pPr>
            <w:r>
              <w:rPr>
                <w:rFonts w:eastAsia="等线"/>
                <w:bCs/>
                <w:sz w:val="20"/>
                <w:szCs w:val="20"/>
              </w:rPr>
              <w:t xml:space="preserve">3) Added the definition of patients with </w:t>
            </w:r>
            <w:r>
              <w:rPr>
                <w:sz w:val="20"/>
                <w:szCs w:val="20"/>
              </w:rPr>
              <w:t>failed epidural puncture or catheterization (clause</w:t>
            </w:r>
            <w:r>
              <w:rPr>
                <w:rFonts w:eastAsia="等线"/>
                <w:bCs/>
                <w:sz w:val="20"/>
                <w:szCs w:val="20"/>
              </w:rPr>
              <w:t xml:space="preserve"> 6.1.2.2).</w:t>
            </w:r>
          </w:p>
          <w:p w14:paraId="6F12CBC5" w14:textId="77777777" w:rsidR="00555164" w:rsidRDefault="002C73C0">
            <w:pPr>
              <w:pStyle w:val="ad"/>
              <w:spacing w:before="0" w:beforeAutospacing="0" w:after="0" w:afterAutospacing="0"/>
              <w:rPr>
                <w:rFonts w:eastAsia="等线"/>
                <w:bCs/>
                <w:sz w:val="20"/>
                <w:szCs w:val="20"/>
              </w:rPr>
            </w:pPr>
            <w:r>
              <w:rPr>
                <w:rFonts w:eastAsia="等线"/>
                <w:bCs/>
                <w:sz w:val="20"/>
                <w:szCs w:val="20"/>
              </w:rPr>
              <w:t>4) Deleted the collection of postoperative observations cards (original clause 7.3.8).</w:t>
            </w:r>
          </w:p>
          <w:p w14:paraId="3F20272C" w14:textId="77777777" w:rsidR="00555164" w:rsidRDefault="002C73C0">
            <w:pPr>
              <w:pStyle w:val="ad"/>
              <w:spacing w:before="0" w:beforeAutospacing="0" w:after="0" w:afterAutospacing="0"/>
              <w:rPr>
                <w:rFonts w:eastAsia="等线"/>
                <w:bCs/>
                <w:sz w:val="20"/>
                <w:szCs w:val="20"/>
              </w:rPr>
            </w:pPr>
            <w:r>
              <w:rPr>
                <w:rFonts w:eastAsia="等线"/>
                <w:bCs/>
                <w:sz w:val="20"/>
                <w:szCs w:val="20"/>
              </w:rPr>
              <w:t>5) Added the supplementary provisions for the required qualification of the investigators recruiting participants (clause 15.2). Added supplementary provisions when recruiting patients with mild dementia or incompetence (clause 15.2).</w:t>
            </w:r>
          </w:p>
        </w:tc>
      </w:tr>
      <w:tr w:rsidR="00555164" w14:paraId="1B1ECBF1" w14:textId="77777777">
        <w:tc>
          <w:tcPr>
            <w:tcW w:w="567" w:type="dxa"/>
            <w:shd w:val="clear" w:color="auto" w:fill="auto"/>
          </w:tcPr>
          <w:p w14:paraId="3A4599BD" w14:textId="77777777" w:rsidR="00555164" w:rsidRDefault="002C73C0">
            <w:pPr>
              <w:pStyle w:val="ad"/>
              <w:spacing w:before="0" w:beforeAutospacing="0" w:after="0" w:afterAutospacing="0"/>
              <w:rPr>
                <w:rFonts w:eastAsia="等线"/>
                <w:bCs/>
                <w:sz w:val="20"/>
                <w:szCs w:val="20"/>
              </w:rPr>
            </w:pPr>
            <w:r>
              <w:rPr>
                <w:rFonts w:eastAsia="等线"/>
                <w:bCs/>
                <w:sz w:val="20"/>
                <w:szCs w:val="20"/>
              </w:rPr>
              <w:t>5</w:t>
            </w:r>
          </w:p>
        </w:tc>
        <w:tc>
          <w:tcPr>
            <w:tcW w:w="993" w:type="dxa"/>
            <w:shd w:val="clear" w:color="auto" w:fill="auto"/>
          </w:tcPr>
          <w:p w14:paraId="1B27BB5C" w14:textId="77777777" w:rsidR="00555164" w:rsidRDefault="002C73C0">
            <w:pPr>
              <w:pStyle w:val="ad"/>
              <w:spacing w:before="0" w:beforeAutospacing="0" w:after="0" w:afterAutospacing="0"/>
              <w:rPr>
                <w:bCs/>
                <w:sz w:val="20"/>
                <w:szCs w:val="20"/>
              </w:rPr>
            </w:pPr>
            <w:r>
              <w:rPr>
                <w:rFonts w:eastAsia="等线"/>
                <w:bCs/>
                <w:sz w:val="20"/>
                <w:szCs w:val="20"/>
              </w:rPr>
              <w:t>3.4</w:t>
            </w:r>
          </w:p>
        </w:tc>
        <w:tc>
          <w:tcPr>
            <w:tcW w:w="988" w:type="dxa"/>
            <w:shd w:val="clear" w:color="auto" w:fill="auto"/>
          </w:tcPr>
          <w:p w14:paraId="5E4B67C6" w14:textId="77777777" w:rsidR="00555164" w:rsidRDefault="002C73C0">
            <w:pPr>
              <w:pStyle w:val="ad"/>
              <w:spacing w:before="0" w:beforeAutospacing="0" w:after="0" w:afterAutospacing="0"/>
              <w:rPr>
                <w:bCs/>
                <w:sz w:val="20"/>
                <w:szCs w:val="20"/>
              </w:rPr>
            </w:pPr>
            <w:r>
              <w:rPr>
                <w:rFonts w:eastAsia="等线"/>
                <w:bCs/>
                <w:sz w:val="20"/>
                <w:szCs w:val="20"/>
              </w:rPr>
              <w:t>May 20, 2013</w:t>
            </w:r>
          </w:p>
        </w:tc>
        <w:tc>
          <w:tcPr>
            <w:tcW w:w="1138" w:type="dxa"/>
            <w:shd w:val="clear" w:color="auto" w:fill="auto"/>
          </w:tcPr>
          <w:p w14:paraId="0DD90F58" w14:textId="77777777" w:rsidR="00555164" w:rsidRDefault="002C73C0">
            <w:pPr>
              <w:pStyle w:val="ad"/>
              <w:spacing w:before="0" w:beforeAutospacing="0" w:after="0" w:afterAutospacing="0"/>
              <w:rPr>
                <w:bCs/>
                <w:sz w:val="20"/>
                <w:szCs w:val="20"/>
              </w:rPr>
            </w:pPr>
            <w:r>
              <w:rPr>
                <w:rFonts w:eastAsia="等线"/>
                <w:bCs/>
                <w:sz w:val="20"/>
                <w:szCs w:val="20"/>
              </w:rPr>
              <w:t>Y.-W.L., D.-X.W.</w:t>
            </w:r>
          </w:p>
        </w:tc>
        <w:tc>
          <w:tcPr>
            <w:tcW w:w="5573" w:type="dxa"/>
            <w:shd w:val="clear" w:color="auto" w:fill="auto"/>
          </w:tcPr>
          <w:p w14:paraId="5B2E5279" w14:textId="77777777" w:rsidR="00555164" w:rsidRDefault="002C73C0">
            <w:pPr>
              <w:pStyle w:val="ad"/>
              <w:spacing w:before="0" w:beforeAutospacing="0" w:after="0" w:afterAutospacing="0"/>
              <w:rPr>
                <w:rFonts w:eastAsia="等线"/>
                <w:bCs/>
                <w:sz w:val="20"/>
                <w:szCs w:val="20"/>
              </w:rPr>
            </w:pPr>
            <w:r>
              <w:rPr>
                <w:bCs/>
                <w:sz w:val="20"/>
                <w:szCs w:val="20"/>
              </w:rPr>
              <w:t xml:space="preserve">Deleted the “cross-group” statement. Clarified </w:t>
            </w:r>
            <w:r>
              <w:rPr>
                <w:rFonts w:eastAsia="等线"/>
                <w:bCs/>
                <w:sz w:val="20"/>
                <w:szCs w:val="20"/>
              </w:rPr>
              <w:t xml:space="preserve">the management of patients with </w:t>
            </w:r>
            <w:r>
              <w:rPr>
                <w:sz w:val="20"/>
                <w:szCs w:val="20"/>
              </w:rPr>
              <w:t>failed epidural puncture (clause 6.2.1).</w:t>
            </w:r>
          </w:p>
        </w:tc>
      </w:tr>
      <w:tr w:rsidR="00555164" w14:paraId="2F85BEE9" w14:textId="77777777">
        <w:tc>
          <w:tcPr>
            <w:tcW w:w="567" w:type="dxa"/>
            <w:shd w:val="clear" w:color="auto" w:fill="auto"/>
          </w:tcPr>
          <w:p w14:paraId="0782AA2E" w14:textId="77777777" w:rsidR="00555164" w:rsidRDefault="002C73C0">
            <w:pPr>
              <w:pStyle w:val="ad"/>
              <w:spacing w:before="0" w:beforeAutospacing="0" w:after="0" w:afterAutospacing="0"/>
              <w:rPr>
                <w:rFonts w:eastAsia="等线"/>
                <w:bCs/>
                <w:sz w:val="20"/>
                <w:szCs w:val="20"/>
              </w:rPr>
            </w:pPr>
            <w:r>
              <w:rPr>
                <w:rFonts w:eastAsia="等线"/>
                <w:bCs/>
                <w:sz w:val="20"/>
                <w:szCs w:val="20"/>
              </w:rPr>
              <w:t>6</w:t>
            </w:r>
          </w:p>
        </w:tc>
        <w:tc>
          <w:tcPr>
            <w:tcW w:w="993" w:type="dxa"/>
            <w:shd w:val="clear" w:color="auto" w:fill="auto"/>
          </w:tcPr>
          <w:p w14:paraId="3AC76115" w14:textId="77777777" w:rsidR="00555164" w:rsidRDefault="002C73C0">
            <w:pPr>
              <w:pStyle w:val="ad"/>
              <w:spacing w:before="0" w:beforeAutospacing="0" w:after="0" w:afterAutospacing="0"/>
              <w:rPr>
                <w:bCs/>
                <w:sz w:val="20"/>
                <w:szCs w:val="20"/>
              </w:rPr>
            </w:pPr>
            <w:r>
              <w:rPr>
                <w:rFonts w:eastAsia="等线"/>
                <w:bCs/>
                <w:sz w:val="20"/>
                <w:szCs w:val="20"/>
              </w:rPr>
              <w:t>3.5</w:t>
            </w:r>
          </w:p>
        </w:tc>
        <w:tc>
          <w:tcPr>
            <w:tcW w:w="988" w:type="dxa"/>
            <w:shd w:val="clear" w:color="auto" w:fill="auto"/>
          </w:tcPr>
          <w:p w14:paraId="0DE42937" w14:textId="77777777" w:rsidR="00555164" w:rsidRDefault="002C73C0">
            <w:pPr>
              <w:pStyle w:val="ad"/>
              <w:spacing w:before="0" w:beforeAutospacing="0" w:after="0" w:afterAutospacing="0"/>
              <w:rPr>
                <w:bCs/>
                <w:sz w:val="20"/>
                <w:szCs w:val="20"/>
              </w:rPr>
            </w:pPr>
            <w:r>
              <w:rPr>
                <w:rFonts w:eastAsia="等线"/>
                <w:bCs/>
                <w:sz w:val="20"/>
                <w:szCs w:val="20"/>
              </w:rPr>
              <w:t>Oct. 20, 2014</w:t>
            </w:r>
          </w:p>
        </w:tc>
        <w:tc>
          <w:tcPr>
            <w:tcW w:w="1138" w:type="dxa"/>
            <w:shd w:val="clear" w:color="auto" w:fill="auto"/>
          </w:tcPr>
          <w:p w14:paraId="050DDA82" w14:textId="77777777" w:rsidR="00555164" w:rsidRDefault="002C73C0">
            <w:pPr>
              <w:pStyle w:val="ad"/>
              <w:spacing w:before="0" w:beforeAutospacing="0" w:after="0" w:afterAutospacing="0"/>
              <w:rPr>
                <w:bCs/>
                <w:sz w:val="20"/>
                <w:szCs w:val="20"/>
              </w:rPr>
            </w:pPr>
            <w:r>
              <w:rPr>
                <w:rFonts w:eastAsia="等线"/>
                <w:bCs/>
                <w:sz w:val="20"/>
                <w:szCs w:val="20"/>
              </w:rPr>
              <w:t>Y.-W.L., D.-X.W.</w:t>
            </w:r>
          </w:p>
        </w:tc>
        <w:tc>
          <w:tcPr>
            <w:tcW w:w="5573" w:type="dxa"/>
            <w:shd w:val="clear" w:color="auto" w:fill="auto"/>
          </w:tcPr>
          <w:p w14:paraId="7F845130" w14:textId="77777777" w:rsidR="00555164" w:rsidRDefault="002C73C0">
            <w:pPr>
              <w:pStyle w:val="ad"/>
              <w:spacing w:before="0" w:beforeAutospacing="0" w:after="0" w:afterAutospacing="0"/>
              <w:rPr>
                <w:bCs/>
                <w:sz w:val="20"/>
                <w:szCs w:val="20"/>
              </w:rPr>
            </w:pPr>
            <w:r>
              <w:rPr>
                <w:bCs/>
                <w:sz w:val="20"/>
                <w:szCs w:val="20"/>
              </w:rPr>
              <w:t>1) Closed two study centers (clause 3.3.1).</w:t>
            </w:r>
          </w:p>
          <w:p w14:paraId="122BA5D6" w14:textId="77777777" w:rsidR="00555164" w:rsidRDefault="002C73C0">
            <w:pPr>
              <w:pStyle w:val="ad"/>
              <w:spacing w:before="0" w:beforeAutospacing="0" w:after="0" w:afterAutospacing="0"/>
              <w:rPr>
                <w:bCs/>
                <w:sz w:val="20"/>
                <w:szCs w:val="20"/>
              </w:rPr>
            </w:pPr>
            <w:r>
              <w:rPr>
                <w:bCs/>
                <w:sz w:val="20"/>
                <w:szCs w:val="20"/>
              </w:rPr>
              <w:t>2) A</w:t>
            </w:r>
            <w:r>
              <w:rPr>
                <w:sz w:val="20"/>
                <w:szCs w:val="20"/>
              </w:rPr>
              <w:t>dded “For those who undergo thoracoscopic or laparoscopic surgery, the expected length of incision must be five centimeters or more” (clause 4.1.2).</w:t>
            </w:r>
          </w:p>
        </w:tc>
      </w:tr>
    </w:tbl>
    <w:p w14:paraId="38F9C504" w14:textId="77777777" w:rsidR="00555164" w:rsidRDefault="00555164">
      <w:pPr>
        <w:widowControl w:val="0"/>
        <w:autoSpaceDE w:val="0"/>
        <w:autoSpaceDN w:val="0"/>
        <w:adjustRightInd w:val="0"/>
        <w:ind w:left="641" w:hanging="641"/>
        <w:jc w:val="both"/>
        <w:rPr>
          <w:rFonts w:eastAsia="宋体"/>
          <w:sz w:val="20"/>
          <w:szCs w:val="20"/>
        </w:rPr>
      </w:pPr>
    </w:p>
    <w:p w14:paraId="6107F228" w14:textId="77777777" w:rsidR="00555164" w:rsidRDefault="002C73C0">
      <w:pPr>
        <w:rPr>
          <w:rFonts w:eastAsia="宋体"/>
          <w:sz w:val="20"/>
          <w:szCs w:val="20"/>
        </w:rPr>
      </w:pPr>
      <w:r>
        <w:rPr>
          <w:rFonts w:eastAsia="宋体"/>
          <w:sz w:val="20"/>
          <w:szCs w:val="20"/>
        </w:rPr>
        <w:br w:type="page"/>
      </w:r>
    </w:p>
    <w:p w14:paraId="08E1E238" w14:textId="77777777" w:rsidR="00555164" w:rsidRDefault="002C73C0">
      <w:pPr>
        <w:pStyle w:val="ad"/>
        <w:spacing w:beforeLines="50" w:before="120" w:beforeAutospacing="0" w:afterLines="50" w:after="120" w:afterAutospacing="0"/>
        <w:outlineLvl w:val="0"/>
        <w:rPr>
          <w:rFonts w:eastAsia="等线"/>
          <w:b/>
        </w:rPr>
      </w:pPr>
      <w:bookmarkStart w:id="242" w:name="_Toc44796198"/>
      <w:r>
        <w:rPr>
          <w:rFonts w:eastAsia="等线"/>
          <w:b/>
        </w:rPr>
        <w:lastRenderedPageBreak/>
        <w:t>Original statistical analysis plan</w:t>
      </w:r>
      <w:bookmarkEnd w:id="242"/>
    </w:p>
    <w:p w14:paraId="5CB03138" w14:textId="77777777" w:rsidR="00555164" w:rsidRDefault="00555164">
      <w:pPr>
        <w:pStyle w:val="ad"/>
        <w:spacing w:beforeLines="50" w:before="120" w:beforeAutospacing="0" w:afterLines="50" w:after="120" w:afterAutospacing="0"/>
        <w:rPr>
          <w:rFonts w:eastAsia="等线"/>
          <w:b/>
          <w:sz w:val="20"/>
          <w:szCs w:val="20"/>
        </w:rPr>
      </w:pPr>
    </w:p>
    <w:p w14:paraId="6E5D17FE" w14:textId="77777777" w:rsidR="00555164" w:rsidRDefault="00555164">
      <w:pPr>
        <w:pStyle w:val="ad"/>
        <w:spacing w:beforeLines="50" w:before="120" w:beforeAutospacing="0" w:afterLines="50" w:after="120" w:afterAutospacing="0"/>
        <w:rPr>
          <w:rFonts w:eastAsia="等线"/>
          <w:b/>
          <w:sz w:val="20"/>
          <w:szCs w:val="20"/>
        </w:rPr>
      </w:pPr>
    </w:p>
    <w:p w14:paraId="046E65A3"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Original statistical analysis plan as reported in the original trial protocol.</w:t>
      </w:r>
    </w:p>
    <w:p w14:paraId="1A3DC328" w14:textId="77777777" w:rsidR="00555164" w:rsidRDefault="00555164">
      <w:pPr>
        <w:pStyle w:val="ad"/>
        <w:spacing w:beforeLines="50" w:before="120" w:beforeAutospacing="0" w:afterLines="50" w:after="120" w:afterAutospacing="0"/>
        <w:rPr>
          <w:rFonts w:eastAsia="等线"/>
          <w:sz w:val="20"/>
          <w:szCs w:val="20"/>
        </w:rPr>
      </w:pPr>
    </w:p>
    <w:p w14:paraId="4E749E10" w14:textId="77777777" w:rsidR="00555164" w:rsidRDefault="002C73C0">
      <w:pPr>
        <w:pStyle w:val="ad"/>
        <w:spacing w:beforeLines="50" w:before="120" w:beforeAutospacing="0" w:afterLines="50" w:after="120" w:afterAutospacing="0"/>
        <w:rPr>
          <w:b/>
          <w:sz w:val="20"/>
          <w:szCs w:val="20"/>
        </w:rPr>
      </w:pPr>
      <w:r>
        <w:rPr>
          <w:b/>
          <w:sz w:val="20"/>
          <w:szCs w:val="20"/>
        </w:rPr>
        <w:t xml:space="preserve">1. Sample size calculation </w:t>
      </w:r>
    </w:p>
    <w:p w14:paraId="6AE09F0E" w14:textId="77777777" w:rsidR="00555164" w:rsidRDefault="00555164">
      <w:pPr>
        <w:pStyle w:val="ad"/>
        <w:spacing w:beforeLines="50" w:before="120" w:beforeAutospacing="0" w:afterLines="50" w:after="120" w:afterAutospacing="0"/>
        <w:rPr>
          <w:sz w:val="20"/>
          <w:szCs w:val="20"/>
        </w:rPr>
      </w:pPr>
    </w:p>
    <w:p w14:paraId="4642D4B8" w14:textId="77777777" w:rsidR="00555164" w:rsidRDefault="002C73C0">
      <w:pPr>
        <w:pStyle w:val="ad"/>
        <w:spacing w:beforeLines="50" w:before="120" w:beforeAutospacing="0" w:afterLines="50" w:after="120" w:afterAutospacing="0"/>
        <w:rPr>
          <w:sz w:val="20"/>
          <w:szCs w:val="20"/>
        </w:rPr>
      </w:pPr>
      <w:r>
        <w:rPr>
          <w:sz w:val="20"/>
          <w:szCs w:val="20"/>
        </w:rPr>
        <w:t>In a recent cohort study of our own, the incidence of postoperative delirium in elderly patients after major abdominal surgery (performed under general anesthesia followed by intravenous analgesia) was 13.1%. In our previous study, the incidence of delirium was reduced by roughly one-third when the intervention (haloperidol prophylaxis) was administered in elderly patients after noncardiac surgery</w:t>
      </w:r>
      <w:r>
        <w:rPr>
          <w:rFonts w:eastAsia="宋体"/>
          <w:sz w:val="20"/>
          <w:szCs w:val="20"/>
        </w:rPr>
        <w:t>.</w:t>
      </w:r>
      <w:r>
        <w:rPr>
          <w:sz w:val="20"/>
          <w:szCs w:val="20"/>
          <w:vertAlign w:val="superscript"/>
        </w:rPr>
        <w:t>1</w:t>
      </w:r>
      <w:r>
        <w:rPr>
          <w:sz w:val="20"/>
          <w:szCs w:val="20"/>
        </w:rPr>
        <w:t xml:space="preserve"> Assuming that the general anesthesia group (general anesthesia plus postoperative intravenous analgesia) in the present study will have a similar delirium incidence as in our previous study, a total of 1664 subjects (832 subjects in each group) are required to detect a one-third reduction in the incidence of postoperative delirium at an 80% power with a two-sided significance level of 0.05. Considering a dropout rate of about 7.5 %, we plan to enroll 1800 patients. </w:t>
      </w:r>
    </w:p>
    <w:p w14:paraId="0CE781C5" w14:textId="77777777" w:rsidR="00555164" w:rsidRDefault="00555164">
      <w:pPr>
        <w:pStyle w:val="ad"/>
        <w:spacing w:beforeLines="50" w:before="120" w:beforeAutospacing="0" w:afterLines="50" w:after="120" w:afterAutospacing="0"/>
        <w:rPr>
          <w:rFonts w:eastAsiaTheme="minorEastAsia"/>
          <w:sz w:val="20"/>
          <w:szCs w:val="20"/>
        </w:rPr>
      </w:pPr>
    </w:p>
    <w:p w14:paraId="286A1DC3" w14:textId="77777777" w:rsidR="00555164" w:rsidRDefault="002C73C0">
      <w:pPr>
        <w:pStyle w:val="ad"/>
        <w:spacing w:beforeLines="50" w:before="120" w:beforeAutospacing="0" w:afterLines="50" w:after="120" w:afterAutospacing="0"/>
        <w:rPr>
          <w:b/>
          <w:sz w:val="20"/>
          <w:szCs w:val="20"/>
        </w:rPr>
      </w:pPr>
      <w:bookmarkStart w:id="243" w:name="_Toc44754988"/>
      <w:r>
        <w:rPr>
          <w:b/>
          <w:sz w:val="20"/>
          <w:szCs w:val="20"/>
        </w:rPr>
        <w:t xml:space="preserve">2. Outcomes </w:t>
      </w:r>
      <w:bookmarkEnd w:id="243"/>
    </w:p>
    <w:p w14:paraId="0A04885A" w14:textId="77777777" w:rsidR="00555164" w:rsidRDefault="00555164">
      <w:pPr>
        <w:pStyle w:val="ad"/>
        <w:spacing w:beforeLines="50" w:before="120" w:beforeAutospacing="0" w:afterLines="50" w:after="120" w:afterAutospacing="0"/>
        <w:rPr>
          <w:b/>
          <w:sz w:val="20"/>
          <w:szCs w:val="20"/>
        </w:rPr>
      </w:pPr>
    </w:p>
    <w:p w14:paraId="6AEF953F"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2.1 Primary outcome </w:t>
      </w:r>
    </w:p>
    <w:p w14:paraId="043D86B4" w14:textId="77777777" w:rsidR="00555164" w:rsidRDefault="002C73C0">
      <w:pPr>
        <w:pStyle w:val="ad"/>
        <w:spacing w:beforeLines="50" w:before="120" w:beforeAutospacing="0" w:afterLines="50" w:after="120" w:afterAutospacing="0"/>
        <w:rPr>
          <w:sz w:val="20"/>
          <w:szCs w:val="20"/>
        </w:rPr>
      </w:pPr>
      <w:r>
        <w:rPr>
          <w:sz w:val="20"/>
          <w:szCs w:val="20"/>
        </w:rPr>
        <w:t xml:space="preserve">Incidence of delirium within 7 days after surgery. </w:t>
      </w:r>
    </w:p>
    <w:p w14:paraId="476561C2" w14:textId="77777777" w:rsidR="00555164" w:rsidRDefault="00555164">
      <w:pPr>
        <w:pStyle w:val="ad"/>
        <w:spacing w:beforeLines="50" w:before="120" w:beforeAutospacing="0" w:afterLines="50" w:after="120" w:afterAutospacing="0"/>
        <w:rPr>
          <w:sz w:val="20"/>
          <w:szCs w:val="20"/>
        </w:rPr>
      </w:pPr>
    </w:p>
    <w:p w14:paraId="17643C6D"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2.2 Secondary outcomes </w:t>
      </w:r>
    </w:p>
    <w:p w14:paraId="7B6ED91E" w14:textId="77777777" w:rsidR="00555164" w:rsidRDefault="002C73C0">
      <w:pPr>
        <w:pStyle w:val="ad"/>
        <w:spacing w:beforeLines="50" w:before="120" w:beforeAutospacing="0" w:afterLines="50" w:after="120" w:afterAutospacing="0"/>
        <w:rPr>
          <w:sz w:val="20"/>
          <w:szCs w:val="20"/>
        </w:rPr>
      </w:pPr>
      <w:r>
        <w:rPr>
          <w:sz w:val="20"/>
          <w:szCs w:val="20"/>
        </w:rPr>
        <w:t>2.2.1 The percentage of intensive care unit (ICU) admission after surgery.</w:t>
      </w:r>
    </w:p>
    <w:p w14:paraId="668C4497" w14:textId="77777777" w:rsidR="00555164" w:rsidRDefault="002C73C0">
      <w:pPr>
        <w:pStyle w:val="ad"/>
        <w:spacing w:beforeLines="50" w:before="120" w:beforeAutospacing="0" w:afterLines="50" w:after="120" w:afterAutospacing="0"/>
        <w:rPr>
          <w:sz w:val="20"/>
          <w:szCs w:val="20"/>
        </w:rPr>
      </w:pPr>
      <w:r>
        <w:rPr>
          <w:sz w:val="20"/>
          <w:szCs w:val="20"/>
        </w:rPr>
        <w:t>2.2.2 The intensity of pain during the first three days after surgery.</w:t>
      </w:r>
    </w:p>
    <w:p w14:paraId="2E3035E4" w14:textId="77777777" w:rsidR="00555164" w:rsidRDefault="002C73C0">
      <w:pPr>
        <w:pStyle w:val="ad"/>
        <w:spacing w:beforeLines="50" w:before="120" w:beforeAutospacing="0" w:afterLines="50" w:after="120" w:afterAutospacing="0"/>
        <w:rPr>
          <w:sz w:val="20"/>
          <w:szCs w:val="20"/>
        </w:rPr>
      </w:pPr>
      <w:r>
        <w:rPr>
          <w:sz w:val="20"/>
          <w:szCs w:val="20"/>
        </w:rPr>
        <w:t>2.2.3 The severity of delirium within 7 days after surgery.</w:t>
      </w:r>
    </w:p>
    <w:p w14:paraId="0A9027ED" w14:textId="77777777" w:rsidR="00555164" w:rsidRDefault="002C73C0">
      <w:pPr>
        <w:pStyle w:val="ad"/>
        <w:spacing w:beforeLines="50" w:before="120" w:beforeAutospacing="0" w:afterLines="50" w:after="120" w:afterAutospacing="0"/>
        <w:rPr>
          <w:rFonts w:eastAsiaTheme="minorEastAsia"/>
          <w:sz w:val="20"/>
          <w:szCs w:val="20"/>
        </w:rPr>
      </w:pPr>
      <w:r>
        <w:rPr>
          <w:rFonts w:eastAsiaTheme="minorEastAsia"/>
          <w:sz w:val="20"/>
          <w:szCs w:val="20"/>
        </w:rPr>
        <w:t>2.2.4 The daily prevalence of delirium.</w:t>
      </w:r>
    </w:p>
    <w:p w14:paraId="57585622" w14:textId="77777777" w:rsidR="00555164" w:rsidRDefault="002C73C0">
      <w:pPr>
        <w:pStyle w:val="ad"/>
        <w:spacing w:beforeLines="50" w:before="120" w:beforeAutospacing="0" w:afterLines="50" w:after="120" w:afterAutospacing="0"/>
        <w:rPr>
          <w:sz w:val="20"/>
          <w:szCs w:val="20"/>
        </w:rPr>
      </w:pPr>
      <w:r>
        <w:rPr>
          <w:sz w:val="20"/>
          <w:szCs w:val="20"/>
        </w:rPr>
        <w:t>2.2.5 Time to onset of delirium.</w:t>
      </w:r>
    </w:p>
    <w:p w14:paraId="72ED488A" w14:textId="77777777" w:rsidR="00555164" w:rsidRDefault="002C73C0">
      <w:pPr>
        <w:pStyle w:val="ad"/>
        <w:spacing w:beforeLines="50" w:before="120" w:beforeAutospacing="0" w:afterLines="50" w:after="120" w:afterAutospacing="0"/>
        <w:rPr>
          <w:sz w:val="20"/>
          <w:szCs w:val="20"/>
        </w:rPr>
      </w:pPr>
      <w:r>
        <w:rPr>
          <w:sz w:val="20"/>
          <w:szCs w:val="20"/>
        </w:rPr>
        <w:t>2.2.6 Time to resume fluid/food intake.</w:t>
      </w:r>
    </w:p>
    <w:p w14:paraId="1404CF72" w14:textId="77777777" w:rsidR="00555164" w:rsidRDefault="002C73C0">
      <w:pPr>
        <w:pStyle w:val="ad"/>
        <w:spacing w:beforeLines="50" w:before="120" w:beforeAutospacing="0" w:afterLines="50" w:after="120" w:afterAutospacing="0"/>
        <w:rPr>
          <w:sz w:val="20"/>
          <w:szCs w:val="20"/>
        </w:rPr>
      </w:pPr>
      <w:r>
        <w:rPr>
          <w:sz w:val="20"/>
          <w:szCs w:val="20"/>
        </w:rPr>
        <w:t>2.2.7 The length of stay in hospital after surgery.</w:t>
      </w:r>
    </w:p>
    <w:p w14:paraId="1796FEE4" w14:textId="77777777" w:rsidR="00555164" w:rsidRDefault="002C73C0">
      <w:pPr>
        <w:pStyle w:val="ad"/>
        <w:spacing w:beforeLines="50" w:before="120" w:beforeAutospacing="0" w:afterLines="50" w:after="120" w:afterAutospacing="0"/>
        <w:rPr>
          <w:sz w:val="20"/>
          <w:szCs w:val="20"/>
        </w:rPr>
      </w:pPr>
      <w:r>
        <w:rPr>
          <w:sz w:val="20"/>
          <w:szCs w:val="20"/>
        </w:rPr>
        <w:t>2.2.8 The incidence of non-delirium major complications within 30 days after surgery.</w:t>
      </w:r>
    </w:p>
    <w:p w14:paraId="16BD2654" w14:textId="77777777" w:rsidR="00555164" w:rsidRDefault="002C73C0">
      <w:pPr>
        <w:pStyle w:val="ad"/>
        <w:spacing w:beforeLines="50" w:before="120" w:beforeAutospacing="0" w:afterLines="50" w:after="120" w:afterAutospacing="0"/>
        <w:rPr>
          <w:sz w:val="20"/>
          <w:szCs w:val="20"/>
        </w:rPr>
      </w:pPr>
      <w:r>
        <w:rPr>
          <w:sz w:val="20"/>
          <w:szCs w:val="20"/>
        </w:rPr>
        <w:t>2.2.9 The 30-day all-cause mortality.</w:t>
      </w:r>
    </w:p>
    <w:p w14:paraId="71743283" w14:textId="77777777" w:rsidR="00555164" w:rsidRDefault="00555164">
      <w:pPr>
        <w:pStyle w:val="ad"/>
        <w:spacing w:beforeLines="50" w:before="120" w:beforeAutospacing="0" w:afterLines="50" w:after="120" w:afterAutospacing="0"/>
        <w:rPr>
          <w:rFonts w:eastAsia="宋体"/>
          <w:sz w:val="20"/>
          <w:szCs w:val="20"/>
        </w:rPr>
      </w:pPr>
    </w:p>
    <w:p w14:paraId="11C2CF2B" w14:textId="77777777" w:rsidR="00555164" w:rsidRDefault="002C73C0">
      <w:pPr>
        <w:pStyle w:val="ad"/>
        <w:spacing w:beforeLines="50" w:before="120" w:beforeAutospacing="0" w:afterLines="50" w:after="120" w:afterAutospacing="0"/>
        <w:rPr>
          <w:b/>
          <w:i/>
          <w:sz w:val="20"/>
          <w:szCs w:val="20"/>
        </w:rPr>
      </w:pPr>
      <w:r>
        <w:rPr>
          <w:b/>
          <w:i/>
          <w:sz w:val="20"/>
          <w:szCs w:val="20"/>
        </w:rPr>
        <w:t>2.3 Other pre-specified outcomes</w:t>
      </w:r>
    </w:p>
    <w:p w14:paraId="79925698" w14:textId="77777777" w:rsidR="00555164" w:rsidRDefault="002C73C0">
      <w:pPr>
        <w:pStyle w:val="ad"/>
        <w:spacing w:beforeLines="50" w:before="120" w:beforeAutospacing="0" w:afterLines="50" w:after="120" w:afterAutospacing="0"/>
        <w:rPr>
          <w:sz w:val="20"/>
          <w:szCs w:val="20"/>
        </w:rPr>
      </w:pPr>
      <w:r>
        <w:rPr>
          <w:sz w:val="20"/>
          <w:szCs w:val="20"/>
        </w:rPr>
        <w:t>2.3.1 Serum cortisol concentration after surgery (selected patients).</w:t>
      </w:r>
    </w:p>
    <w:p w14:paraId="7E110B56" w14:textId="77777777" w:rsidR="00555164" w:rsidRDefault="002C73C0">
      <w:pPr>
        <w:pStyle w:val="ad"/>
        <w:spacing w:beforeLines="50" w:before="120" w:beforeAutospacing="0" w:afterLines="50" w:after="120" w:afterAutospacing="0"/>
        <w:rPr>
          <w:sz w:val="20"/>
          <w:szCs w:val="20"/>
        </w:rPr>
      </w:pPr>
      <w:r>
        <w:rPr>
          <w:sz w:val="20"/>
          <w:szCs w:val="20"/>
        </w:rPr>
        <w:t>2.3.2 Serum IL-6 concentration after surgery (selected patients).</w:t>
      </w:r>
    </w:p>
    <w:p w14:paraId="6EECE7D6" w14:textId="77777777" w:rsidR="00555164" w:rsidRDefault="002C73C0">
      <w:pPr>
        <w:pStyle w:val="ad"/>
        <w:spacing w:beforeLines="50" w:before="120" w:beforeAutospacing="0" w:afterLines="50" w:after="120" w:afterAutospacing="0"/>
        <w:rPr>
          <w:sz w:val="20"/>
          <w:szCs w:val="20"/>
        </w:rPr>
      </w:pPr>
      <w:r>
        <w:rPr>
          <w:sz w:val="20"/>
          <w:szCs w:val="20"/>
        </w:rPr>
        <w:t>2.3.3 Serum IL-8 concentration after surgery (selected patients).</w:t>
      </w:r>
    </w:p>
    <w:p w14:paraId="1186F7DA" w14:textId="77777777" w:rsidR="00555164" w:rsidRDefault="00555164">
      <w:pPr>
        <w:pStyle w:val="ad"/>
        <w:spacing w:beforeLines="50" w:before="120" w:beforeAutospacing="0" w:afterLines="50" w:after="120" w:afterAutospacing="0"/>
        <w:rPr>
          <w:rFonts w:eastAsiaTheme="minorEastAsia"/>
          <w:sz w:val="20"/>
          <w:szCs w:val="20"/>
        </w:rPr>
      </w:pPr>
    </w:p>
    <w:p w14:paraId="01DF2A76" w14:textId="77777777" w:rsidR="00555164" w:rsidRDefault="002C73C0">
      <w:pPr>
        <w:pStyle w:val="ad"/>
        <w:spacing w:beforeLines="50" w:before="120" w:beforeAutospacing="0" w:afterLines="50" w:after="120" w:afterAutospacing="0"/>
        <w:outlineLvl w:val="0"/>
        <w:rPr>
          <w:b/>
          <w:sz w:val="20"/>
          <w:szCs w:val="20"/>
        </w:rPr>
      </w:pPr>
      <w:bookmarkStart w:id="244" w:name="_Toc44796199"/>
      <w:r>
        <w:rPr>
          <w:b/>
          <w:sz w:val="20"/>
          <w:szCs w:val="20"/>
        </w:rPr>
        <w:t>3. Statistical analysis</w:t>
      </w:r>
      <w:bookmarkEnd w:id="244"/>
      <w:r>
        <w:rPr>
          <w:b/>
          <w:sz w:val="20"/>
          <w:szCs w:val="20"/>
        </w:rPr>
        <w:t xml:space="preserve"> </w:t>
      </w:r>
    </w:p>
    <w:p w14:paraId="696C902F" w14:textId="77777777" w:rsidR="00555164" w:rsidRDefault="00555164">
      <w:pPr>
        <w:pStyle w:val="ad"/>
        <w:spacing w:beforeLines="50" w:before="120" w:beforeAutospacing="0" w:afterLines="50" w:after="120" w:afterAutospacing="0"/>
        <w:rPr>
          <w:b/>
          <w:sz w:val="20"/>
          <w:szCs w:val="20"/>
        </w:rPr>
      </w:pPr>
    </w:p>
    <w:p w14:paraId="04E4586F"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3.1 General principles </w:t>
      </w:r>
    </w:p>
    <w:p w14:paraId="47216062" w14:textId="77777777" w:rsidR="00555164" w:rsidRDefault="002C73C0">
      <w:pPr>
        <w:pStyle w:val="ad"/>
        <w:spacing w:beforeLines="50" w:before="120" w:beforeAutospacing="0" w:afterLines="50" w:after="120" w:afterAutospacing="0"/>
        <w:rPr>
          <w:sz w:val="20"/>
          <w:szCs w:val="20"/>
        </w:rPr>
      </w:pPr>
      <w:r>
        <w:rPr>
          <w:sz w:val="20"/>
          <w:szCs w:val="20"/>
        </w:rPr>
        <w:t>3.1.1 Numeric variables will be presented as mean ± standard deviation or median (minimum, maximum; or interquartile range). Categorical variables will be presented as number of cases (percentage).</w:t>
      </w:r>
    </w:p>
    <w:p w14:paraId="667B6312" w14:textId="77777777" w:rsidR="00555164" w:rsidRDefault="002C73C0">
      <w:pPr>
        <w:pStyle w:val="ad"/>
        <w:spacing w:beforeLines="50" w:before="120" w:beforeAutospacing="0" w:afterLines="50" w:after="120" w:afterAutospacing="0"/>
        <w:rPr>
          <w:sz w:val="20"/>
          <w:szCs w:val="20"/>
        </w:rPr>
      </w:pPr>
      <w:r>
        <w:rPr>
          <w:sz w:val="20"/>
          <w:szCs w:val="20"/>
        </w:rPr>
        <w:lastRenderedPageBreak/>
        <w:t xml:space="preserve">3.1.2 For each hypothesis, two‐tailed tests will be used in all statistical analysis, and p &lt;0.05 will be considered statistically significant. </w:t>
      </w:r>
    </w:p>
    <w:p w14:paraId="269490B8" w14:textId="77777777" w:rsidR="00555164" w:rsidRDefault="002C73C0">
      <w:pPr>
        <w:pStyle w:val="ad"/>
        <w:spacing w:beforeLines="50" w:before="120" w:beforeAutospacing="0" w:afterLines="50" w:after="120" w:afterAutospacing="0"/>
        <w:rPr>
          <w:sz w:val="20"/>
          <w:szCs w:val="20"/>
        </w:rPr>
      </w:pPr>
      <w:r>
        <w:rPr>
          <w:sz w:val="20"/>
          <w:szCs w:val="20"/>
        </w:rPr>
        <w:t>3.1.3 The primary and secondary outcomes will be analyzed in an intention-to-treat population, i.e., all patients are analyzed in the group to which they are randomized and received at least part of study intervention. If epidural anesthesia and/or analgesia fail, these patients will be converted to general anesthesia and intravenous analgesia but will be analyzed in the group to which they are randomized. Also, we will do per-protocol analysis for the primary endpoint, in this case, drop-out patients will be excluded.</w:t>
      </w:r>
    </w:p>
    <w:p w14:paraId="2C809AE4" w14:textId="77777777" w:rsidR="00555164" w:rsidRDefault="00555164">
      <w:pPr>
        <w:pStyle w:val="ad"/>
        <w:spacing w:beforeLines="50" w:before="120" w:beforeAutospacing="0" w:afterLines="50" w:after="120" w:afterAutospacing="0"/>
        <w:rPr>
          <w:sz w:val="20"/>
          <w:szCs w:val="20"/>
        </w:rPr>
      </w:pPr>
    </w:p>
    <w:p w14:paraId="5CC2F192"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3.2 Patient recruitment and drop‐out status </w:t>
      </w:r>
    </w:p>
    <w:p w14:paraId="3DBA5896" w14:textId="77777777" w:rsidR="00555164" w:rsidRDefault="002C73C0">
      <w:pPr>
        <w:pStyle w:val="ad"/>
        <w:spacing w:beforeLines="50" w:before="120" w:beforeAutospacing="0" w:afterLines="50" w:after="120" w:afterAutospacing="0"/>
        <w:rPr>
          <w:sz w:val="20"/>
          <w:szCs w:val="20"/>
        </w:rPr>
      </w:pPr>
      <w:r>
        <w:rPr>
          <w:sz w:val="20"/>
          <w:szCs w:val="20"/>
        </w:rPr>
        <w:t xml:space="preserve">The status of patient recruitment and drop‐out will be summarized and listed. Comparison of the overall elimination/drop‐out rate between the two groups will be performed with </w:t>
      </w:r>
      <w:r>
        <w:rPr>
          <w:rFonts w:eastAsia="等线"/>
          <w:sz w:val="20"/>
          <w:szCs w:val="20"/>
        </w:rPr>
        <w:t>C</w:t>
      </w:r>
      <w:r>
        <w:rPr>
          <w:sz w:val="20"/>
          <w:szCs w:val="20"/>
        </w:rPr>
        <w:t xml:space="preserve">hi‐Square test. </w:t>
      </w:r>
    </w:p>
    <w:p w14:paraId="30E55792" w14:textId="77777777" w:rsidR="00555164" w:rsidRDefault="00555164">
      <w:pPr>
        <w:pStyle w:val="ad"/>
        <w:spacing w:beforeLines="50" w:before="120" w:beforeAutospacing="0" w:afterLines="50" w:after="120" w:afterAutospacing="0"/>
        <w:rPr>
          <w:sz w:val="20"/>
          <w:szCs w:val="20"/>
        </w:rPr>
      </w:pPr>
    </w:p>
    <w:p w14:paraId="695D5726"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3.3 Demographics and baseline characteristics </w:t>
      </w:r>
    </w:p>
    <w:p w14:paraId="3CE54836" w14:textId="77777777" w:rsidR="00555164" w:rsidRDefault="002C73C0">
      <w:pPr>
        <w:pStyle w:val="ad"/>
        <w:spacing w:beforeLines="50" w:before="120" w:beforeAutospacing="0" w:afterLines="50" w:after="120" w:afterAutospacing="0"/>
        <w:rPr>
          <w:sz w:val="20"/>
          <w:szCs w:val="20"/>
        </w:rPr>
      </w:pPr>
      <w:r>
        <w:rPr>
          <w:sz w:val="20"/>
          <w:szCs w:val="20"/>
        </w:rPr>
        <w:t xml:space="preserve">3.3.1 Demographics and baseline data will be presented. </w:t>
      </w:r>
    </w:p>
    <w:p w14:paraId="43101FAD" w14:textId="77777777" w:rsidR="00555164" w:rsidRDefault="002C73C0">
      <w:pPr>
        <w:pStyle w:val="ad"/>
        <w:spacing w:beforeLines="50" w:before="120" w:beforeAutospacing="0" w:afterLines="50" w:after="120" w:afterAutospacing="0"/>
        <w:rPr>
          <w:sz w:val="20"/>
          <w:szCs w:val="20"/>
        </w:rPr>
      </w:pPr>
      <w:r>
        <w:rPr>
          <w:sz w:val="20"/>
          <w:szCs w:val="20"/>
        </w:rPr>
        <w:t xml:space="preserve">3.3.2 For between-group differences, continuous variables will be analyzed using </w:t>
      </w:r>
      <w:r>
        <w:rPr>
          <w:rFonts w:eastAsia="等线"/>
          <w:sz w:val="20"/>
          <w:szCs w:val="20"/>
        </w:rPr>
        <w:t xml:space="preserve">independent-samples t test or Mann-Whitney U test; categorical variables will be analyzed using the Chi-Square test, continuity correction Chi-Square test or Fisher exact test. </w:t>
      </w:r>
    </w:p>
    <w:p w14:paraId="5C9C0471" w14:textId="77777777" w:rsidR="00555164" w:rsidRDefault="00555164">
      <w:pPr>
        <w:pStyle w:val="ad"/>
        <w:spacing w:beforeLines="50" w:before="120" w:beforeAutospacing="0" w:afterLines="50" w:after="120" w:afterAutospacing="0"/>
        <w:rPr>
          <w:sz w:val="20"/>
          <w:szCs w:val="20"/>
        </w:rPr>
      </w:pPr>
    </w:p>
    <w:p w14:paraId="68633FA9"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3.4 Efficacy analysis </w:t>
      </w:r>
    </w:p>
    <w:p w14:paraId="428E23B7" w14:textId="77777777" w:rsidR="00555164" w:rsidRDefault="002C73C0">
      <w:pPr>
        <w:pStyle w:val="ad"/>
        <w:spacing w:beforeLines="50" w:before="120" w:beforeAutospacing="0" w:afterLines="50" w:after="120" w:afterAutospacing="0"/>
        <w:rPr>
          <w:sz w:val="20"/>
          <w:szCs w:val="20"/>
        </w:rPr>
      </w:pPr>
      <w:r>
        <w:rPr>
          <w:sz w:val="20"/>
          <w:szCs w:val="20"/>
        </w:rPr>
        <w:t xml:space="preserve">3.4.1 Evaluation of primary endpoint </w:t>
      </w:r>
    </w:p>
    <w:p w14:paraId="61FCFDD8" w14:textId="77777777" w:rsidR="00555164" w:rsidRDefault="002C73C0">
      <w:pPr>
        <w:pStyle w:val="ad"/>
        <w:spacing w:beforeLines="50" w:before="120" w:beforeAutospacing="0" w:afterLines="50" w:after="120" w:afterAutospacing="0"/>
        <w:rPr>
          <w:sz w:val="20"/>
          <w:szCs w:val="20"/>
        </w:rPr>
      </w:pPr>
      <w:r>
        <w:rPr>
          <w:sz w:val="20"/>
          <w:szCs w:val="20"/>
        </w:rPr>
        <w:t>The incidence of delirium within 7 days after surgery will be calculated. Comparison between groups will be performed with Chi-Squared test. The difference of risk for postoperative delirium between two groups will be expressed as relative risk (RR) and 95% CI. For patients with missing data due to early hospital discharge or death, the last delirium assessment results will be considered as the missing data when calculating the incidence of delirium within 7 postoperative days; the missing data will not be replaced when calculating the daily prevalence of delirium.</w:t>
      </w:r>
    </w:p>
    <w:p w14:paraId="41A3238E" w14:textId="77777777" w:rsidR="00555164" w:rsidRDefault="002C73C0">
      <w:pPr>
        <w:pStyle w:val="ad"/>
        <w:spacing w:beforeLines="50" w:before="120" w:beforeAutospacing="0" w:afterLines="50" w:after="120" w:afterAutospacing="0"/>
        <w:rPr>
          <w:sz w:val="20"/>
          <w:szCs w:val="20"/>
        </w:rPr>
      </w:pPr>
      <w:r>
        <w:rPr>
          <w:sz w:val="20"/>
          <w:szCs w:val="20"/>
        </w:rPr>
        <w:t xml:space="preserve">3.4.2 Evaluation of secondary endpoints </w:t>
      </w:r>
    </w:p>
    <w:p w14:paraId="2A97E17E" w14:textId="77777777" w:rsidR="00555164" w:rsidRDefault="002C73C0">
      <w:pPr>
        <w:pStyle w:val="ad"/>
        <w:spacing w:beforeLines="50" w:before="120" w:beforeAutospacing="0" w:afterLines="50" w:after="120" w:afterAutospacing="0"/>
        <w:rPr>
          <w:sz w:val="20"/>
          <w:szCs w:val="20"/>
        </w:rPr>
      </w:pPr>
      <w:r>
        <w:rPr>
          <w:sz w:val="20"/>
          <w:szCs w:val="20"/>
        </w:rPr>
        <w:t xml:space="preserve">3.4.2.1 Time‐to‐event variables (time to the first onset of delirium, time to resume fluid/food intake, length of stay in hospital after surgery) will be calculated with Kaplan-Meier estimator, with differences between groups assessed by the log-rank test. The estimates hazard ratio (HR) and 95% CI will be provided. </w:t>
      </w:r>
    </w:p>
    <w:p w14:paraId="1FB26FA0" w14:textId="77777777" w:rsidR="00555164" w:rsidRDefault="002C73C0">
      <w:pPr>
        <w:pStyle w:val="ad"/>
        <w:spacing w:beforeLines="50" w:before="120" w:beforeAutospacing="0" w:afterLines="50" w:after="120" w:afterAutospacing="0"/>
        <w:rPr>
          <w:sz w:val="20"/>
          <w:szCs w:val="20"/>
        </w:rPr>
      </w:pPr>
      <w:r>
        <w:rPr>
          <w:sz w:val="20"/>
          <w:szCs w:val="20"/>
        </w:rPr>
        <w:t xml:space="preserve">3.4.2.2 Categorical variables (the incidences of major complications other than delirium, </w:t>
      </w:r>
      <w:bookmarkStart w:id="245" w:name="_Hlk44791146"/>
      <w:r>
        <w:rPr>
          <w:sz w:val="20"/>
          <w:szCs w:val="20"/>
        </w:rPr>
        <w:t>the daily prevalence of delirium</w:t>
      </w:r>
      <w:bookmarkEnd w:id="245"/>
      <w:r>
        <w:rPr>
          <w:sz w:val="20"/>
          <w:szCs w:val="20"/>
        </w:rPr>
        <w:t xml:space="preserve">, and the 30-day all-cause mortality rate) will be analyzed using the Chi-Square test, continuity correction Chi-Square test or Fisher exact test. The estimated relative risk (RR) and 95% CI will be provided. </w:t>
      </w:r>
    </w:p>
    <w:p w14:paraId="1B71003B" w14:textId="77777777" w:rsidR="00555164" w:rsidRDefault="002C73C0">
      <w:pPr>
        <w:pStyle w:val="ad"/>
        <w:spacing w:beforeLines="50" w:before="120" w:beforeAutospacing="0" w:afterLines="50" w:after="120" w:afterAutospacing="0"/>
        <w:rPr>
          <w:rFonts w:eastAsia="等线"/>
          <w:sz w:val="20"/>
          <w:szCs w:val="20"/>
        </w:rPr>
      </w:pPr>
      <w:r>
        <w:rPr>
          <w:sz w:val="20"/>
          <w:szCs w:val="20"/>
        </w:rPr>
        <w:t>3.4.2.3 Ranked variables (</w:t>
      </w:r>
      <w:bookmarkStart w:id="246" w:name="_Hlk44791229"/>
      <w:r>
        <w:rPr>
          <w:sz w:val="20"/>
          <w:szCs w:val="20"/>
        </w:rPr>
        <w:t>the severity of delirium</w:t>
      </w:r>
      <w:bookmarkEnd w:id="246"/>
      <w:r>
        <w:rPr>
          <w:sz w:val="20"/>
          <w:szCs w:val="20"/>
        </w:rPr>
        <w:t xml:space="preserve">, the NRS pain scores after surgery) will be analyzed using the Mann-Whitney U test. </w:t>
      </w:r>
      <w:r>
        <w:rPr>
          <w:rFonts w:eastAsia="等线"/>
          <w:sz w:val="20"/>
          <w:szCs w:val="20"/>
        </w:rPr>
        <w:t xml:space="preserve">The difference between two medians and 95% CI will be calculated with the Hodges-Lehmann estimator. </w:t>
      </w:r>
    </w:p>
    <w:p w14:paraId="59228643" w14:textId="77777777" w:rsidR="00555164" w:rsidRDefault="002C73C0">
      <w:pPr>
        <w:pStyle w:val="ad"/>
        <w:spacing w:beforeLines="50" w:before="120" w:beforeAutospacing="0" w:afterLines="50" w:after="120" w:afterAutospacing="0"/>
        <w:rPr>
          <w:sz w:val="20"/>
          <w:szCs w:val="20"/>
        </w:rPr>
      </w:pPr>
      <w:r>
        <w:rPr>
          <w:sz w:val="20"/>
          <w:szCs w:val="20"/>
        </w:rPr>
        <w:t xml:space="preserve">3.4.2.4 Numeric variables (serum concentrations of cortisol, IL-6 and IL-8) will be analyzed using the independent-samples t test or Mann-Whitney U test. Mean/median differences and 95% CI will be provided. </w:t>
      </w:r>
    </w:p>
    <w:p w14:paraId="1C85A656" w14:textId="77777777" w:rsidR="00555164" w:rsidRDefault="00555164">
      <w:pPr>
        <w:pStyle w:val="ad"/>
        <w:spacing w:beforeLines="50" w:before="120" w:beforeAutospacing="0" w:afterLines="50" w:after="120" w:afterAutospacing="0"/>
        <w:rPr>
          <w:rFonts w:eastAsia="等线"/>
          <w:sz w:val="20"/>
          <w:szCs w:val="20"/>
        </w:rPr>
      </w:pPr>
    </w:p>
    <w:p w14:paraId="4E4AFD98" w14:textId="77777777" w:rsidR="00555164" w:rsidRDefault="002C73C0">
      <w:pPr>
        <w:pStyle w:val="ad"/>
        <w:spacing w:beforeLines="50" w:before="120" w:beforeAutospacing="0" w:afterLines="50" w:after="120" w:afterAutospacing="0"/>
        <w:rPr>
          <w:rFonts w:eastAsia="等线"/>
          <w:b/>
          <w:bCs/>
          <w:i/>
          <w:iCs/>
          <w:sz w:val="20"/>
          <w:szCs w:val="20"/>
        </w:rPr>
      </w:pPr>
      <w:r>
        <w:rPr>
          <w:rFonts w:eastAsia="等线"/>
          <w:b/>
          <w:bCs/>
          <w:i/>
          <w:iCs/>
          <w:sz w:val="20"/>
          <w:szCs w:val="20"/>
        </w:rPr>
        <w:t>3.5 Safety analysis</w:t>
      </w:r>
    </w:p>
    <w:p w14:paraId="2DEF8D95"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3.5.1 Describe the occurrence of adverse events in each group.</w:t>
      </w:r>
    </w:p>
    <w:p w14:paraId="5A174D0B"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3.5.2 Describe the management of adverse events when appropriate.</w:t>
      </w:r>
    </w:p>
    <w:p w14:paraId="4AF37683"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 xml:space="preserve">3.5.3 Describe the occurrence of severe adverse events. </w:t>
      </w:r>
    </w:p>
    <w:p w14:paraId="79165F6C"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 xml:space="preserve">3.5.4 The rates of adverse events and/or managements between the two groups will be compared with Chi-Square test, continuity correction Chi-Square test or Fisher exact test. </w:t>
      </w:r>
    </w:p>
    <w:p w14:paraId="6A579849" w14:textId="77777777" w:rsidR="00555164" w:rsidRDefault="00555164">
      <w:pPr>
        <w:pStyle w:val="ad"/>
        <w:spacing w:beforeLines="50" w:before="120" w:beforeAutospacing="0" w:afterLines="50" w:after="120" w:afterAutospacing="0"/>
        <w:rPr>
          <w:rFonts w:eastAsia="等线"/>
          <w:sz w:val="20"/>
          <w:szCs w:val="20"/>
        </w:rPr>
      </w:pPr>
    </w:p>
    <w:p w14:paraId="3D7A11A5" w14:textId="77777777" w:rsidR="00555164" w:rsidRDefault="002C73C0">
      <w:pPr>
        <w:pStyle w:val="ad"/>
        <w:spacing w:beforeLines="50" w:before="120" w:beforeAutospacing="0" w:afterLines="50" w:after="120" w:afterAutospacing="0"/>
        <w:rPr>
          <w:rFonts w:eastAsiaTheme="minorEastAsia"/>
          <w:b/>
          <w:i/>
          <w:sz w:val="20"/>
          <w:szCs w:val="20"/>
        </w:rPr>
      </w:pPr>
      <w:r>
        <w:rPr>
          <w:rFonts w:eastAsiaTheme="minorEastAsia"/>
          <w:b/>
          <w:i/>
          <w:sz w:val="20"/>
          <w:szCs w:val="20"/>
        </w:rPr>
        <w:t>3.6 Missing data</w:t>
      </w:r>
    </w:p>
    <w:p w14:paraId="0F03BAB7" w14:textId="77777777" w:rsidR="00555164" w:rsidRDefault="002C73C0">
      <w:pPr>
        <w:pStyle w:val="ad"/>
        <w:spacing w:beforeLines="50" w:before="120" w:beforeAutospacing="0" w:afterLines="50" w:after="120" w:afterAutospacing="0"/>
        <w:rPr>
          <w:rFonts w:eastAsiaTheme="minorEastAsia"/>
          <w:sz w:val="20"/>
          <w:szCs w:val="20"/>
        </w:rPr>
      </w:pPr>
      <w:r>
        <w:rPr>
          <w:rFonts w:eastAsiaTheme="minorEastAsia"/>
          <w:sz w:val="20"/>
          <w:szCs w:val="20"/>
        </w:rPr>
        <w:lastRenderedPageBreak/>
        <w:t xml:space="preserve">Missing data or incomplete data will be marked in the </w:t>
      </w:r>
      <w:r>
        <w:rPr>
          <w:sz w:val="20"/>
          <w:szCs w:val="20"/>
        </w:rPr>
        <w:t>case report forms</w:t>
      </w:r>
      <w:r>
        <w:rPr>
          <w:rFonts w:eastAsiaTheme="minorEastAsia"/>
          <w:sz w:val="20"/>
          <w:szCs w:val="20"/>
        </w:rPr>
        <w:t xml:space="preserve">. The </w:t>
      </w:r>
      <w:proofErr w:type="gramStart"/>
      <w:r>
        <w:rPr>
          <w:rFonts w:eastAsiaTheme="minorEastAsia"/>
          <w:sz w:val="20"/>
          <w:szCs w:val="20"/>
        </w:rPr>
        <w:t>principle</w:t>
      </w:r>
      <w:proofErr w:type="gramEnd"/>
      <w:r>
        <w:rPr>
          <w:rFonts w:eastAsiaTheme="minorEastAsia"/>
          <w:sz w:val="20"/>
          <w:szCs w:val="20"/>
        </w:rPr>
        <w:t xml:space="preserve"> investigator and the statistician will discuss and determine the management of missing data. Details will be listed in the final statistical analysis plan. </w:t>
      </w:r>
    </w:p>
    <w:p w14:paraId="1D1EB4CE" w14:textId="77777777" w:rsidR="00555164" w:rsidRDefault="00555164">
      <w:pPr>
        <w:pStyle w:val="ad"/>
        <w:spacing w:beforeLines="50" w:before="120" w:beforeAutospacing="0" w:afterLines="50" w:after="120" w:afterAutospacing="0"/>
        <w:rPr>
          <w:rFonts w:eastAsiaTheme="minorEastAsia"/>
          <w:sz w:val="20"/>
          <w:szCs w:val="20"/>
        </w:rPr>
      </w:pPr>
    </w:p>
    <w:p w14:paraId="3E0B10C3" w14:textId="77777777" w:rsidR="00555164" w:rsidRDefault="002C73C0">
      <w:pPr>
        <w:pStyle w:val="ad"/>
        <w:spacing w:beforeLines="50" w:before="120" w:beforeAutospacing="0" w:afterLines="50" w:after="120" w:afterAutospacing="0"/>
        <w:rPr>
          <w:rFonts w:eastAsiaTheme="minorEastAsia"/>
          <w:b/>
          <w:bCs/>
          <w:sz w:val="20"/>
          <w:szCs w:val="20"/>
        </w:rPr>
      </w:pPr>
      <w:r>
        <w:rPr>
          <w:rFonts w:eastAsiaTheme="minorEastAsia"/>
          <w:b/>
          <w:bCs/>
          <w:sz w:val="20"/>
          <w:szCs w:val="20"/>
        </w:rPr>
        <w:t>4. References</w:t>
      </w:r>
    </w:p>
    <w:p w14:paraId="498EDF15" w14:textId="77777777" w:rsidR="00555164" w:rsidRDefault="00555164">
      <w:pPr>
        <w:pStyle w:val="ad"/>
        <w:spacing w:beforeLines="50" w:before="120" w:beforeAutospacing="0" w:afterLines="50" w:after="120" w:afterAutospacing="0"/>
        <w:rPr>
          <w:rFonts w:eastAsiaTheme="minorEastAsia"/>
          <w:sz w:val="20"/>
          <w:szCs w:val="20"/>
        </w:rPr>
      </w:pPr>
    </w:p>
    <w:p w14:paraId="09110518" w14:textId="77777777" w:rsidR="00555164" w:rsidRDefault="002C73C0">
      <w:pPr>
        <w:pStyle w:val="af7"/>
        <w:widowControl w:val="0"/>
        <w:numPr>
          <w:ilvl w:val="0"/>
          <w:numId w:val="3"/>
        </w:numPr>
        <w:autoSpaceDE w:val="0"/>
        <w:autoSpaceDN w:val="0"/>
        <w:adjustRightInd w:val="0"/>
        <w:spacing w:before="120" w:after="120"/>
        <w:rPr>
          <w:rFonts w:eastAsiaTheme="minorEastAsia"/>
          <w:sz w:val="20"/>
          <w:szCs w:val="20"/>
        </w:rPr>
      </w:pPr>
      <w:r>
        <w:rPr>
          <w:rFonts w:ascii="Times New Roman" w:eastAsiaTheme="minorEastAsia" w:hAnsi="Times New Roman"/>
          <w:sz w:val="20"/>
          <w:szCs w:val="20"/>
        </w:rPr>
        <w:t>Wang W, Li HL, Wang DX, Zhu X, Li SL, Yao GQ, Chen KS, Gu XE, Zhu SN: Haloperidol prophylaxis decreases delirium incidence in elderly patients after noncardiac surgery: A randomized controlled trial*(to be published)</w:t>
      </w:r>
    </w:p>
    <w:p w14:paraId="6CFD22BD" w14:textId="77777777" w:rsidR="00555164" w:rsidRDefault="002C73C0">
      <w:pPr>
        <w:rPr>
          <w:rFonts w:eastAsiaTheme="minorEastAsia"/>
          <w:sz w:val="20"/>
          <w:szCs w:val="20"/>
        </w:rPr>
      </w:pPr>
      <w:r>
        <w:rPr>
          <w:rFonts w:eastAsiaTheme="minorEastAsia"/>
          <w:sz w:val="20"/>
          <w:szCs w:val="20"/>
        </w:rPr>
        <w:br w:type="page"/>
      </w:r>
    </w:p>
    <w:p w14:paraId="462A8F44" w14:textId="77777777" w:rsidR="00555164" w:rsidRDefault="002C73C0">
      <w:pPr>
        <w:pStyle w:val="ad"/>
        <w:spacing w:beforeLines="50" w:before="120" w:beforeAutospacing="0" w:afterLines="50" w:after="120" w:afterAutospacing="0"/>
        <w:outlineLvl w:val="0"/>
        <w:rPr>
          <w:rFonts w:eastAsia="等线"/>
          <w:b/>
        </w:rPr>
      </w:pPr>
      <w:bookmarkStart w:id="247" w:name="_Toc44796200"/>
      <w:r>
        <w:rPr>
          <w:rFonts w:eastAsia="等线"/>
          <w:b/>
        </w:rPr>
        <w:lastRenderedPageBreak/>
        <w:t>Final statistical analysis plan</w:t>
      </w:r>
      <w:bookmarkEnd w:id="247"/>
    </w:p>
    <w:p w14:paraId="69C6FF0A" w14:textId="77777777" w:rsidR="00555164" w:rsidRDefault="00555164">
      <w:pPr>
        <w:pStyle w:val="ad"/>
        <w:spacing w:beforeLines="50" w:before="120" w:beforeAutospacing="0" w:afterLines="50" w:after="120" w:afterAutospacing="0"/>
        <w:rPr>
          <w:rFonts w:eastAsia="等线"/>
          <w:b/>
          <w:sz w:val="20"/>
          <w:szCs w:val="20"/>
        </w:rPr>
      </w:pPr>
    </w:p>
    <w:p w14:paraId="12330C96" w14:textId="77777777" w:rsidR="00555164" w:rsidRDefault="00555164">
      <w:pPr>
        <w:pStyle w:val="ad"/>
        <w:spacing w:beforeLines="50" w:before="120" w:beforeAutospacing="0" w:afterLines="50" w:after="120" w:afterAutospacing="0"/>
        <w:rPr>
          <w:rFonts w:eastAsia="等线"/>
          <w:b/>
          <w:sz w:val="20"/>
          <w:szCs w:val="20"/>
        </w:rPr>
      </w:pPr>
    </w:p>
    <w:p w14:paraId="4B7683D3"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Final statistical analysis plan as reported in the final trial protocol.</w:t>
      </w:r>
    </w:p>
    <w:p w14:paraId="1CAC0B5F" w14:textId="77777777" w:rsidR="00555164" w:rsidRDefault="00555164">
      <w:pPr>
        <w:pStyle w:val="ad"/>
        <w:spacing w:beforeLines="50" w:before="120" w:beforeAutospacing="0" w:afterLines="50" w:after="120" w:afterAutospacing="0"/>
        <w:rPr>
          <w:rFonts w:eastAsia="等线"/>
          <w:sz w:val="20"/>
          <w:szCs w:val="20"/>
        </w:rPr>
      </w:pPr>
    </w:p>
    <w:p w14:paraId="0F3D0D90" w14:textId="77777777" w:rsidR="00555164" w:rsidRDefault="002C73C0">
      <w:pPr>
        <w:pStyle w:val="ad"/>
        <w:spacing w:beforeLines="50" w:before="120" w:beforeAutospacing="0" w:afterLines="50" w:after="120" w:afterAutospacing="0"/>
        <w:rPr>
          <w:b/>
          <w:sz w:val="20"/>
          <w:szCs w:val="20"/>
        </w:rPr>
      </w:pPr>
      <w:r>
        <w:rPr>
          <w:b/>
          <w:sz w:val="20"/>
          <w:szCs w:val="20"/>
        </w:rPr>
        <w:t xml:space="preserve">1. Sample size calculation </w:t>
      </w:r>
    </w:p>
    <w:p w14:paraId="343DFCD1" w14:textId="77777777" w:rsidR="00555164" w:rsidRDefault="002C73C0">
      <w:pPr>
        <w:pStyle w:val="ad"/>
        <w:spacing w:beforeLines="50" w:before="120" w:beforeAutospacing="0" w:afterLines="50" w:after="120" w:afterAutospacing="0"/>
        <w:rPr>
          <w:sz w:val="20"/>
          <w:szCs w:val="20"/>
        </w:rPr>
      </w:pPr>
      <w:r>
        <w:rPr>
          <w:sz w:val="20"/>
          <w:szCs w:val="20"/>
        </w:rPr>
        <w:t>In a recent cohort study of our own, the incidence of postoperative delirium in elderly patients after major abdominal surgery (performed under general anesthesia followed by intravenous analgesia) was 13.1%. In our previous study, the incidence of delirium was reduced by roughly one-third when the intervention (haloperidol prophylaxis) was administered in elderly patients after noncardiac surgery</w:t>
      </w:r>
      <w:r>
        <w:rPr>
          <w:rFonts w:eastAsia="宋体"/>
          <w:sz w:val="20"/>
          <w:szCs w:val="20"/>
        </w:rPr>
        <w:t>.</w:t>
      </w:r>
      <w:r>
        <w:rPr>
          <w:sz w:val="20"/>
          <w:szCs w:val="20"/>
          <w:vertAlign w:val="superscript"/>
        </w:rPr>
        <w:t>1</w:t>
      </w:r>
      <w:r>
        <w:rPr>
          <w:sz w:val="20"/>
          <w:szCs w:val="20"/>
        </w:rPr>
        <w:t xml:space="preserve"> Assuming that the general anesthesia group (general anesthesia plus postoperative intravenous analgesia) in the present study will have a similar delirium incidence as in our previous study, a total of 1664 subjects (832 subjects in each group) are required to detect a one-third reduction in the incidence of postoperative delirium at an 80% power with a two-sided significance level of 0.05. Considering a dropout rate of about 7.5 %, we plan to enroll 1800 patients. </w:t>
      </w:r>
    </w:p>
    <w:p w14:paraId="4918BDE9" w14:textId="77777777" w:rsidR="00555164" w:rsidRDefault="00555164">
      <w:pPr>
        <w:pStyle w:val="ad"/>
        <w:spacing w:beforeLines="50" w:before="120" w:beforeAutospacing="0" w:afterLines="50" w:after="120" w:afterAutospacing="0"/>
        <w:rPr>
          <w:rFonts w:eastAsiaTheme="minorEastAsia"/>
          <w:sz w:val="20"/>
          <w:szCs w:val="20"/>
        </w:rPr>
      </w:pPr>
    </w:p>
    <w:p w14:paraId="553A6145" w14:textId="77777777" w:rsidR="00555164" w:rsidRDefault="002C73C0">
      <w:pPr>
        <w:pStyle w:val="ad"/>
        <w:spacing w:beforeLines="50" w:before="120" w:beforeAutospacing="0" w:afterLines="50" w:after="120" w:afterAutospacing="0"/>
        <w:rPr>
          <w:b/>
          <w:sz w:val="20"/>
          <w:szCs w:val="20"/>
        </w:rPr>
      </w:pPr>
      <w:bookmarkStart w:id="248" w:name="_Toc44754990"/>
      <w:r>
        <w:rPr>
          <w:b/>
          <w:sz w:val="20"/>
          <w:szCs w:val="20"/>
        </w:rPr>
        <w:t xml:space="preserve">2. Outcomes </w:t>
      </w:r>
      <w:bookmarkEnd w:id="248"/>
    </w:p>
    <w:p w14:paraId="3BB274CD" w14:textId="77777777" w:rsidR="00555164" w:rsidRDefault="00555164">
      <w:pPr>
        <w:pStyle w:val="ad"/>
        <w:spacing w:beforeLines="50" w:before="120" w:beforeAutospacing="0" w:afterLines="50" w:after="120" w:afterAutospacing="0"/>
        <w:rPr>
          <w:b/>
          <w:sz w:val="20"/>
          <w:szCs w:val="20"/>
        </w:rPr>
      </w:pPr>
    </w:p>
    <w:p w14:paraId="4837A30E"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2.1 Primary outcome </w:t>
      </w:r>
    </w:p>
    <w:p w14:paraId="19772DF9" w14:textId="77777777" w:rsidR="00555164" w:rsidRDefault="002C73C0">
      <w:pPr>
        <w:pStyle w:val="ad"/>
        <w:spacing w:beforeLines="50" w:before="120" w:beforeAutospacing="0" w:afterLines="50" w:after="120" w:afterAutospacing="0"/>
        <w:rPr>
          <w:sz w:val="20"/>
          <w:szCs w:val="20"/>
        </w:rPr>
      </w:pPr>
      <w:r>
        <w:rPr>
          <w:sz w:val="20"/>
          <w:szCs w:val="20"/>
        </w:rPr>
        <w:t xml:space="preserve">Incidence of delirium within 7 days after surgery. </w:t>
      </w:r>
    </w:p>
    <w:p w14:paraId="0C2B73CA" w14:textId="77777777" w:rsidR="00555164" w:rsidRDefault="00555164">
      <w:pPr>
        <w:pStyle w:val="ad"/>
        <w:spacing w:beforeLines="50" w:before="120" w:beforeAutospacing="0" w:afterLines="50" w:after="120" w:afterAutospacing="0"/>
        <w:rPr>
          <w:sz w:val="20"/>
          <w:szCs w:val="20"/>
        </w:rPr>
      </w:pPr>
    </w:p>
    <w:p w14:paraId="7A05C70C"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2.2 Secondary outcomes </w:t>
      </w:r>
    </w:p>
    <w:p w14:paraId="4AB2202E" w14:textId="77777777" w:rsidR="00555164" w:rsidRDefault="002C73C0">
      <w:pPr>
        <w:pStyle w:val="ad"/>
        <w:spacing w:beforeLines="50" w:before="120" w:beforeAutospacing="0" w:afterLines="50" w:after="120" w:afterAutospacing="0"/>
        <w:rPr>
          <w:sz w:val="20"/>
          <w:szCs w:val="20"/>
        </w:rPr>
      </w:pPr>
      <w:r>
        <w:rPr>
          <w:sz w:val="20"/>
          <w:szCs w:val="20"/>
        </w:rPr>
        <w:t>2.2.1 The percentage of intensive care unit (ICU) admission after surgery.</w:t>
      </w:r>
    </w:p>
    <w:p w14:paraId="2E895243" w14:textId="77777777" w:rsidR="00555164" w:rsidRDefault="002C73C0">
      <w:pPr>
        <w:pStyle w:val="ad"/>
        <w:spacing w:beforeLines="50" w:before="120" w:beforeAutospacing="0" w:afterLines="50" w:after="120" w:afterAutospacing="0"/>
        <w:rPr>
          <w:sz w:val="20"/>
          <w:szCs w:val="20"/>
        </w:rPr>
      </w:pPr>
      <w:r>
        <w:rPr>
          <w:sz w:val="20"/>
          <w:szCs w:val="20"/>
        </w:rPr>
        <w:t>2.2.1.1 The worst APACHE II score within 24 hours of ICU admission.</w:t>
      </w:r>
    </w:p>
    <w:p w14:paraId="6525AE1A" w14:textId="77777777" w:rsidR="00555164" w:rsidRDefault="002C73C0">
      <w:pPr>
        <w:pStyle w:val="ad"/>
        <w:spacing w:beforeLines="50" w:before="120" w:beforeAutospacing="0" w:afterLines="50" w:after="120" w:afterAutospacing="0"/>
        <w:rPr>
          <w:sz w:val="20"/>
          <w:szCs w:val="20"/>
        </w:rPr>
      </w:pPr>
      <w:r>
        <w:rPr>
          <w:sz w:val="20"/>
          <w:szCs w:val="20"/>
        </w:rPr>
        <w:t>2.2.1.2 The percentage of ICU admission with endotracheal intubation.</w:t>
      </w:r>
    </w:p>
    <w:p w14:paraId="71950C82" w14:textId="77777777" w:rsidR="00555164" w:rsidRDefault="002C73C0">
      <w:pPr>
        <w:pStyle w:val="ad"/>
        <w:spacing w:beforeLines="50" w:before="120" w:beforeAutospacing="0" w:afterLines="50" w:after="120" w:afterAutospacing="0"/>
        <w:rPr>
          <w:sz w:val="20"/>
          <w:szCs w:val="20"/>
        </w:rPr>
      </w:pPr>
      <w:r>
        <w:rPr>
          <w:sz w:val="20"/>
          <w:szCs w:val="20"/>
        </w:rPr>
        <w:t>2.2.1.3 The duration of mechanical ventilation in ICU.</w:t>
      </w:r>
    </w:p>
    <w:p w14:paraId="7E0DDB19" w14:textId="77777777" w:rsidR="00555164" w:rsidRDefault="002C73C0">
      <w:pPr>
        <w:pStyle w:val="ad"/>
        <w:spacing w:beforeLines="50" w:before="120" w:beforeAutospacing="0" w:afterLines="50" w:after="120" w:afterAutospacing="0"/>
        <w:rPr>
          <w:sz w:val="20"/>
          <w:szCs w:val="20"/>
        </w:rPr>
      </w:pPr>
      <w:r>
        <w:rPr>
          <w:sz w:val="20"/>
          <w:szCs w:val="20"/>
        </w:rPr>
        <w:t>2.2.1.4 The length of stay in ICU after surgery.</w:t>
      </w:r>
    </w:p>
    <w:p w14:paraId="749B424B" w14:textId="77777777" w:rsidR="00555164" w:rsidRDefault="002C73C0">
      <w:pPr>
        <w:pStyle w:val="ad"/>
        <w:spacing w:beforeLines="50" w:before="120" w:beforeAutospacing="0" w:afterLines="50" w:after="120" w:afterAutospacing="0"/>
        <w:rPr>
          <w:sz w:val="20"/>
          <w:szCs w:val="20"/>
        </w:rPr>
      </w:pPr>
      <w:r>
        <w:rPr>
          <w:sz w:val="20"/>
          <w:szCs w:val="20"/>
        </w:rPr>
        <w:t>2.2.2 The intensity of pain during the first three days after surgery.</w:t>
      </w:r>
    </w:p>
    <w:p w14:paraId="034B2CF6" w14:textId="77777777" w:rsidR="00555164" w:rsidRDefault="002C73C0">
      <w:pPr>
        <w:pStyle w:val="ad"/>
        <w:spacing w:beforeLines="50" w:before="120" w:beforeAutospacing="0" w:afterLines="50" w:after="120" w:afterAutospacing="0"/>
        <w:rPr>
          <w:rFonts w:eastAsiaTheme="minorEastAsia"/>
          <w:sz w:val="20"/>
          <w:szCs w:val="20"/>
        </w:rPr>
      </w:pPr>
      <w:r>
        <w:rPr>
          <w:rFonts w:eastAsiaTheme="minorEastAsia"/>
          <w:sz w:val="20"/>
          <w:szCs w:val="20"/>
        </w:rPr>
        <w:t>2.2.3 Time to onset of delirium.</w:t>
      </w:r>
    </w:p>
    <w:p w14:paraId="76089AA0" w14:textId="77777777" w:rsidR="00555164" w:rsidRDefault="002C73C0">
      <w:pPr>
        <w:pStyle w:val="ad"/>
        <w:spacing w:beforeLines="50" w:before="120" w:beforeAutospacing="0" w:afterLines="50" w:after="120" w:afterAutospacing="0"/>
        <w:rPr>
          <w:sz w:val="20"/>
          <w:szCs w:val="20"/>
        </w:rPr>
      </w:pPr>
      <w:r>
        <w:rPr>
          <w:sz w:val="20"/>
          <w:szCs w:val="20"/>
        </w:rPr>
        <w:t>2.2.4 Time to resume fluid/food intake.</w:t>
      </w:r>
    </w:p>
    <w:p w14:paraId="4320F459" w14:textId="77777777" w:rsidR="00555164" w:rsidRDefault="002C73C0">
      <w:pPr>
        <w:pStyle w:val="ad"/>
        <w:spacing w:beforeLines="50" w:before="120" w:beforeAutospacing="0" w:afterLines="50" w:after="120" w:afterAutospacing="0"/>
        <w:rPr>
          <w:sz w:val="20"/>
          <w:szCs w:val="20"/>
        </w:rPr>
      </w:pPr>
      <w:r>
        <w:rPr>
          <w:sz w:val="20"/>
          <w:szCs w:val="20"/>
        </w:rPr>
        <w:t>2.2.5 The length of stay in hospital after surgery.</w:t>
      </w:r>
    </w:p>
    <w:p w14:paraId="624ACD6D" w14:textId="77777777" w:rsidR="00555164" w:rsidRDefault="002C73C0">
      <w:pPr>
        <w:pStyle w:val="ad"/>
        <w:spacing w:beforeLines="50" w:before="120" w:beforeAutospacing="0" w:afterLines="50" w:after="120" w:afterAutospacing="0"/>
        <w:rPr>
          <w:sz w:val="20"/>
          <w:szCs w:val="20"/>
        </w:rPr>
      </w:pPr>
      <w:r>
        <w:rPr>
          <w:sz w:val="20"/>
          <w:szCs w:val="20"/>
        </w:rPr>
        <w:t>2.2.6 The incidence of non-delirium major complications within 30 days after surgery.</w:t>
      </w:r>
    </w:p>
    <w:p w14:paraId="6AB7B94B" w14:textId="77777777" w:rsidR="00555164" w:rsidRDefault="002C73C0">
      <w:pPr>
        <w:pStyle w:val="ad"/>
        <w:spacing w:beforeLines="50" w:before="120" w:beforeAutospacing="0" w:afterLines="50" w:after="120" w:afterAutospacing="0"/>
        <w:rPr>
          <w:sz w:val="20"/>
          <w:szCs w:val="20"/>
        </w:rPr>
      </w:pPr>
      <w:r>
        <w:rPr>
          <w:sz w:val="20"/>
          <w:szCs w:val="20"/>
        </w:rPr>
        <w:t>2.2.7 The 30-day all-cause mortality.</w:t>
      </w:r>
    </w:p>
    <w:p w14:paraId="254C6543" w14:textId="77777777" w:rsidR="00555164" w:rsidRDefault="00555164">
      <w:pPr>
        <w:pStyle w:val="ad"/>
        <w:spacing w:beforeLines="50" w:before="120" w:beforeAutospacing="0" w:afterLines="50" w:after="120" w:afterAutospacing="0"/>
        <w:rPr>
          <w:rFonts w:eastAsia="宋体"/>
          <w:sz w:val="20"/>
          <w:szCs w:val="20"/>
        </w:rPr>
      </w:pPr>
    </w:p>
    <w:p w14:paraId="7ED58E35" w14:textId="77777777" w:rsidR="00555164" w:rsidRDefault="002C73C0">
      <w:pPr>
        <w:pStyle w:val="ad"/>
        <w:spacing w:beforeLines="50" w:before="120" w:beforeAutospacing="0" w:afterLines="50" w:after="120" w:afterAutospacing="0"/>
        <w:rPr>
          <w:b/>
          <w:i/>
          <w:sz w:val="20"/>
          <w:szCs w:val="20"/>
        </w:rPr>
      </w:pPr>
      <w:r>
        <w:rPr>
          <w:b/>
          <w:i/>
          <w:sz w:val="20"/>
          <w:szCs w:val="20"/>
        </w:rPr>
        <w:t>3.3 Other pre-specified outcomes</w:t>
      </w:r>
    </w:p>
    <w:p w14:paraId="61BD8369" w14:textId="77777777" w:rsidR="00555164" w:rsidRDefault="002C73C0">
      <w:pPr>
        <w:pStyle w:val="ad"/>
        <w:spacing w:beforeLines="50" w:before="120" w:beforeAutospacing="0" w:afterLines="50" w:after="120" w:afterAutospacing="0"/>
        <w:rPr>
          <w:sz w:val="20"/>
          <w:szCs w:val="20"/>
        </w:rPr>
      </w:pPr>
      <w:r>
        <w:rPr>
          <w:sz w:val="20"/>
          <w:szCs w:val="20"/>
        </w:rPr>
        <w:t>3.3.1 Serum cortisol concentration after surgery (selected patients).</w:t>
      </w:r>
    </w:p>
    <w:p w14:paraId="3E672C3C" w14:textId="77777777" w:rsidR="00555164" w:rsidRDefault="002C73C0">
      <w:pPr>
        <w:pStyle w:val="ad"/>
        <w:spacing w:beforeLines="50" w:before="120" w:beforeAutospacing="0" w:afterLines="50" w:after="120" w:afterAutospacing="0"/>
        <w:rPr>
          <w:sz w:val="20"/>
          <w:szCs w:val="20"/>
        </w:rPr>
      </w:pPr>
      <w:r>
        <w:rPr>
          <w:sz w:val="20"/>
          <w:szCs w:val="20"/>
        </w:rPr>
        <w:t>3.3.2 Serum IL-6 concentration after surgery (selected patients).</w:t>
      </w:r>
    </w:p>
    <w:p w14:paraId="1718D284" w14:textId="77777777" w:rsidR="00555164" w:rsidRDefault="002C73C0">
      <w:pPr>
        <w:pStyle w:val="ad"/>
        <w:spacing w:beforeLines="50" w:before="120" w:beforeAutospacing="0" w:afterLines="50" w:after="120" w:afterAutospacing="0"/>
        <w:rPr>
          <w:sz w:val="20"/>
          <w:szCs w:val="20"/>
        </w:rPr>
      </w:pPr>
      <w:r>
        <w:rPr>
          <w:sz w:val="20"/>
          <w:szCs w:val="20"/>
        </w:rPr>
        <w:t>3.3.3 Serum IL-8 concentration after surgery (selected patients).</w:t>
      </w:r>
    </w:p>
    <w:p w14:paraId="2E50C7D4" w14:textId="77777777" w:rsidR="00555164" w:rsidRDefault="00555164">
      <w:pPr>
        <w:pStyle w:val="ad"/>
        <w:spacing w:beforeLines="50" w:before="120" w:beforeAutospacing="0" w:afterLines="50" w:after="120" w:afterAutospacing="0"/>
        <w:rPr>
          <w:rFonts w:eastAsiaTheme="minorEastAsia"/>
          <w:sz w:val="20"/>
          <w:szCs w:val="20"/>
        </w:rPr>
      </w:pPr>
    </w:p>
    <w:p w14:paraId="6C0EDA7E" w14:textId="77777777" w:rsidR="00555164" w:rsidRDefault="002C73C0">
      <w:pPr>
        <w:pStyle w:val="ad"/>
        <w:spacing w:beforeLines="50" w:before="120" w:beforeAutospacing="0" w:afterLines="50" w:after="120" w:afterAutospacing="0"/>
        <w:outlineLvl w:val="0"/>
        <w:rPr>
          <w:b/>
          <w:sz w:val="20"/>
          <w:szCs w:val="20"/>
        </w:rPr>
      </w:pPr>
      <w:bookmarkStart w:id="249" w:name="_Toc44796201"/>
      <w:bookmarkStart w:id="250" w:name="_Toc44754991"/>
      <w:r>
        <w:rPr>
          <w:b/>
          <w:sz w:val="20"/>
          <w:szCs w:val="20"/>
        </w:rPr>
        <w:t>3. Statistical analysis</w:t>
      </w:r>
      <w:bookmarkEnd w:id="249"/>
      <w:r>
        <w:rPr>
          <w:b/>
          <w:sz w:val="20"/>
          <w:szCs w:val="20"/>
        </w:rPr>
        <w:t xml:space="preserve"> </w:t>
      </w:r>
    </w:p>
    <w:p w14:paraId="10E102BF" w14:textId="77777777" w:rsidR="00555164" w:rsidRDefault="00555164">
      <w:pPr>
        <w:pStyle w:val="ad"/>
        <w:spacing w:beforeLines="50" w:before="120" w:beforeAutospacing="0" w:afterLines="50" w:after="120" w:afterAutospacing="0"/>
        <w:rPr>
          <w:b/>
          <w:sz w:val="20"/>
          <w:szCs w:val="20"/>
        </w:rPr>
      </w:pPr>
    </w:p>
    <w:p w14:paraId="23330D50"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3.1 General principles </w:t>
      </w:r>
    </w:p>
    <w:p w14:paraId="78928B2E" w14:textId="77777777" w:rsidR="00555164" w:rsidRDefault="002C73C0">
      <w:pPr>
        <w:pStyle w:val="ad"/>
        <w:spacing w:beforeLines="50" w:before="120" w:beforeAutospacing="0" w:afterLines="50" w:after="120" w:afterAutospacing="0"/>
        <w:rPr>
          <w:sz w:val="20"/>
          <w:szCs w:val="20"/>
        </w:rPr>
      </w:pPr>
      <w:r>
        <w:rPr>
          <w:sz w:val="20"/>
          <w:szCs w:val="20"/>
        </w:rPr>
        <w:lastRenderedPageBreak/>
        <w:t>3.1.1 Numeric variables will be presented as mean ± standard deviation or median (minimum, maximum; or interquartile range). Categorical variables will be presented as number of cases (percentage).</w:t>
      </w:r>
    </w:p>
    <w:p w14:paraId="28F24ABD" w14:textId="77777777" w:rsidR="00555164" w:rsidRDefault="002C73C0">
      <w:pPr>
        <w:pStyle w:val="ad"/>
        <w:spacing w:beforeLines="50" w:before="120" w:beforeAutospacing="0" w:afterLines="50" w:after="120" w:afterAutospacing="0"/>
        <w:rPr>
          <w:sz w:val="20"/>
          <w:szCs w:val="20"/>
        </w:rPr>
      </w:pPr>
      <w:r>
        <w:rPr>
          <w:sz w:val="20"/>
          <w:szCs w:val="20"/>
        </w:rPr>
        <w:t xml:space="preserve">3.1.2 For each hypothesis, two‐tailed tests will be used in all statistical analysis, and p &lt;0.05 will be considered statistically significant. </w:t>
      </w:r>
      <w:bookmarkStart w:id="251" w:name="_Hlk44790023"/>
      <w:r>
        <w:rPr>
          <w:sz w:val="20"/>
          <w:szCs w:val="20"/>
        </w:rPr>
        <w:t>For the treatment-by-covariate interaction in predefined subgroup analyses, a p&lt;0.10 will be defined as statistically significant</w:t>
      </w:r>
      <w:bookmarkEnd w:id="251"/>
      <w:r>
        <w:rPr>
          <w:sz w:val="20"/>
          <w:szCs w:val="20"/>
        </w:rPr>
        <w:t>.</w:t>
      </w:r>
    </w:p>
    <w:p w14:paraId="722A0535" w14:textId="77777777" w:rsidR="00555164" w:rsidRDefault="002C73C0">
      <w:pPr>
        <w:pStyle w:val="ad"/>
        <w:spacing w:beforeLines="50" w:before="120" w:beforeAutospacing="0" w:afterLines="50" w:after="120" w:afterAutospacing="0"/>
        <w:rPr>
          <w:sz w:val="20"/>
          <w:szCs w:val="20"/>
        </w:rPr>
      </w:pPr>
      <w:r>
        <w:rPr>
          <w:sz w:val="20"/>
          <w:szCs w:val="20"/>
        </w:rPr>
        <w:t>3.1.3 The primary and secondary outcomes will be analyzed in an intention-to-treat population, i.e., all patients are analyzed in the group to which they are randomized and received at least part of study intervention. If epidural anesthesia and/or analgesia fail, these patients will be converted to general anesthesia and intravenous analgesia but will be analyzed in the group to which they are randomized. Also, we will do per-protocol analysis for the primary endpoint, in this case, drop-out patients will be excluded.</w:t>
      </w:r>
    </w:p>
    <w:p w14:paraId="5116A635" w14:textId="77777777" w:rsidR="00555164" w:rsidRDefault="00555164">
      <w:pPr>
        <w:pStyle w:val="ad"/>
        <w:spacing w:beforeLines="50" w:before="120" w:beforeAutospacing="0" w:afterLines="50" w:after="120" w:afterAutospacing="0"/>
        <w:rPr>
          <w:sz w:val="20"/>
          <w:szCs w:val="20"/>
        </w:rPr>
      </w:pPr>
    </w:p>
    <w:p w14:paraId="6CF32514"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3.2 Patient recruitment and drop‐out status </w:t>
      </w:r>
    </w:p>
    <w:p w14:paraId="46E26AB3" w14:textId="77777777" w:rsidR="00555164" w:rsidRDefault="002C73C0">
      <w:pPr>
        <w:pStyle w:val="ad"/>
        <w:spacing w:beforeLines="50" w:before="120" w:beforeAutospacing="0" w:afterLines="50" w:after="120" w:afterAutospacing="0"/>
        <w:rPr>
          <w:sz w:val="20"/>
          <w:szCs w:val="20"/>
        </w:rPr>
      </w:pPr>
      <w:r>
        <w:rPr>
          <w:sz w:val="20"/>
          <w:szCs w:val="20"/>
        </w:rPr>
        <w:t xml:space="preserve">The status of patient recruitment and drop‐out will be summarized and listed. Comparison of the overall elimination/drop‐out rate between the two groups will be performed with </w:t>
      </w:r>
      <w:r>
        <w:rPr>
          <w:rFonts w:eastAsia="等线"/>
          <w:sz w:val="20"/>
          <w:szCs w:val="20"/>
        </w:rPr>
        <w:t>C</w:t>
      </w:r>
      <w:r>
        <w:rPr>
          <w:sz w:val="20"/>
          <w:szCs w:val="20"/>
        </w:rPr>
        <w:t xml:space="preserve">hi‐Square test. </w:t>
      </w:r>
    </w:p>
    <w:p w14:paraId="7724275F" w14:textId="77777777" w:rsidR="00555164" w:rsidRDefault="00555164">
      <w:pPr>
        <w:pStyle w:val="ad"/>
        <w:spacing w:beforeLines="50" w:before="120" w:beforeAutospacing="0" w:afterLines="50" w:after="120" w:afterAutospacing="0"/>
        <w:rPr>
          <w:sz w:val="20"/>
          <w:szCs w:val="20"/>
        </w:rPr>
      </w:pPr>
    </w:p>
    <w:p w14:paraId="41075941"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3.3 </w:t>
      </w:r>
      <w:bookmarkStart w:id="252" w:name="_Hlk44790377"/>
      <w:r>
        <w:rPr>
          <w:b/>
          <w:i/>
          <w:sz w:val="20"/>
          <w:szCs w:val="20"/>
        </w:rPr>
        <w:t>Demographics and baseline characteristics</w:t>
      </w:r>
      <w:bookmarkEnd w:id="252"/>
      <w:r>
        <w:rPr>
          <w:b/>
          <w:i/>
          <w:sz w:val="20"/>
          <w:szCs w:val="20"/>
        </w:rPr>
        <w:t xml:space="preserve"> </w:t>
      </w:r>
    </w:p>
    <w:p w14:paraId="51F7E243" w14:textId="77777777" w:rsidR="00555164" w:rsidRDefault="002C73C0">
      <w:pPr>
        <w:pStyle w:val="ad"/>
        <w:spacing w:beforeLines="50" w:before="120" w:beforeAutospacing="0" w:afterLines="50" w:after="120" w:afterAutospacing="0"/>
        <w:rPr>
          <w:sz w:val="20"/>
          <w:szCs w:val="20"/>
        </w:rPr>
      </w:pPr>
      <w:r>
        <w:rPr>
          <w:sz w:val="20"/>
          <w:szCs w:val="20"/>
        </w:rPr>
        <w:t xml:space="preserve">3.3.1 Demographics and baseline data will be presented. </w:t>
      </w:r>
    </w:p>
    <w:p w14:paraId="2DB00167" w14:textId="77777777" w:rsidR="00555164" w:rsidRDefault="002C73C0">
      <w:pPr>
        <w:pStyle w:val="ad"/>
        <w:spacing w:beforeLines="50" w:before="120" w:beforeAutospacing="0" w:afterLines="50" w:after="120" w:afterAutospacing="0"/>
        <w:rPr>
          <w:sz w:val="20"/>
          <w:szCs w:val="20"/>
        </w:rPr>
      </w:pPr>
      <w:r>
        <w:rPr>
          <w:sz w:val="20"/>
          <w:szCs w:val="20"/>
        </w:rPr>
        <w:t xml:space="preserve">3.3.2 </w:t>
      </w:r>
      <w:bookmarkStart w:id="253" w:name="_Hlk44790440"/>
      <w:r>
        <w:rPr>
          <w:sz w:val="20"/>
          <w:szCs w:val="20"/>
        </w:rPr>
        <w:t>Between-group differences are compared using the absolute standardized differences (ASDs), which are defined as the absolute difference in means, mean ranks or proportions divided by the pooled standard deviation and calculated with the formula published by Austin</w:t>
      </w:r>
      <w:r>
        <w:rPr>
          <w:rFonts w:eastAsia="宋体"/>
          <w:sz w:val="20"/>
          <w:szCs w:val="20"/>
        </w:rPr>
        <w:t>.</w:t>
      </w:r>
      <w:r>
        <w:rPr>
          <w:sz w:val="20"/>
          <w:szCs w:val="20"/>
          <w:vertAlign w:val="superscript"/>
        </w:rPr>
        <w:t>2</w:t>
      </w:r>
      <w:r>
        <w:rPr>
          <w:sz w:val="20"/>
          <w:szCs w:val="20"/>
        </w:rPr>
        <w:t xml:space="preserve"> Baseline variables with an absolute standardized </w:t>
      </w:r>
      <w:r>
        <w:rPr>
          <w:color w:val="000000"/>
          <w:sz w:val="20"/>
          <w:szCs w:val="20"/>
        </w:rPr>
        <w:t xml:space="preserve">difference </w:t>
      </w:r>
      <w:bookmarkStart w:id="254" w:name="_Hlk44793422"/>
      <w:r>
        <w:rPr>
          <w:color w:val="000000"/>
          <w:sz w:val="20"/>
          <w:szCs w:val="20"/>
        </w:rPr>
        <w:t>≥</w:t>
      </w:r>
      <m:oMath>
        <m:r>
          <m:rPr>
            <m:nor/>
          </m:rPr>
          <w:rPr>
            <w:color w:val="000000" w:themeColor="text1"/>
            <w:sz w:val="20"/>
            <w:szCs w:val="20"/>
          </w:rPr>
          <m:t>1</m:t>
        </m:r>
        <m:r>
          <m:rPr>
            <m:nor/>
          </m:rPr>
          <w:rPr>
            <w:sz w:val="20"/>
            <w:szCs w:val="20"/>
          </w:rPr>
          <m:t>.</m:t>
        </m:r>
        <m:r>
          <m:rPr>
            <m:nor/>
          </m:rPr>
          <w:rPr>
            <w:color w:val="000000" w:themeColor="text1"/>
            <w:sz w:val="20"/>
            <w:szCs w:val="20"/>
          </w:rPr>
          <m:t>96×</m:t>
        </m:r>
        <m:rad>
          <m:radPr>
            <m:degHide m:val="1"/>
            <m:ctrlPr>
              <w:rPr>
                <w:rFonts w:ascii="Cambria Math" w:hAnsi="Cambria Math"/>
                <w:i/>
                <w:color w:val="000000" w:themeColor="text1"/>
                <w:sz w:val="20"/>
                <w:szCs w:val="20"/>
              </w:rPr>
            </m:ctrlPr>
          </m:radPr>
          <m:deg/>
          <m:e>
            <m:r>
              <m:rPr>
                <m:nor/>
              </m:rPr>
              <w:rPr>
                <w:color w:val="000000" w:themeColor="text1"/>
                <w:sz w:val="20"/>
                <w:szCs w:val="20"/>
              </w:rPr>
              <m:t>(n1+n2)/(n1×n2)</m:t>
            </m:r>
          </m:e>
        </m:rad>
      </m:oMath>
      <w:r>
        <w:rPr>
          <w:color w:val="000000"/>
          <w:sz w:val="20"/>
          <w:szCs w:val="20"/>
        </w:rPr>
        <w:fldChar w:fldCharType="begin"/>
      </w:r>
      <w:r>
        <w:rPr>
          <w:color w:val="000000"/>
          <w:sz w:val="20"/>
          <w:szCs w:val="20"/>
        </w:rPr>
        <w:instrText xml:space="preserve"> QUOTE </w:instrText>
      </w:r>
      <w:r w:rsidR="00535581">
        <w:rPr>
          <w:position w:val="-34"/>
          <w:sz w:val="20"/>
          <w:szCs w:val="20"/>
        </w:rPr>
        <w:pict w14:anchorId="5DE07A34">
          <v:shape id="_x0000_i1026" type="#_x0000_t75" style="width:108.3pt;height:29.7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1&quot;/&gt;&lt;w:doNotEmbedSystemFonts/&gt;&lt;w:bordersDontSurroundHeader/&gt;&lt;w:bordersDontSurroundFooter/&gt;&lt;w:defaultTabStop w:val=&quot;720&quot;/&gt;&lt;w:drawingGridHorizontalSpacing w:val=&quot;120&quot;/&gt;&lt;w:drawingGridVerticalSpacing w:val=&quot;166&quot;/&gt;&lt;w:displayHorizontalDrawingGridEvery w:val=&quot;2&quot;/&gt;&lt;w:displayVerticalDrawingGridEvery w:val=&quot;2&quot;/&gt;&lt;w:characterSpacingControl w:val=&quot;DontCompress&quot;/&gt;&lt;w:validateAgainstSchema/&gt;&lt;w:saveInvalidXML w:val=&quot;off&quot;/&gt;&lt;w:ignoreMixedContent w:val=&quot;off&quot;/&gt;&lt;w:alwaysShowPlaceholderText w:val=&quot;off&quot;/&gt;&lt;w:compat&gt;&lt;w:doNotExpandShiftReturn/&gt;&lt;w:breakWrappedTables/&gt;&lt;w:snapToGridInCell/&gt;&lt;w:wrapTextWithPunct/&gt;&lt;w:useAsianBreakRules/&gt;&lt;w:dontGrowAutofit/&gt;&lt;w:useFELayout/&gt;&lt;/w:compat&gt;&lt;w:docVars&gt;&lt;w:docVar w:name=&quot;__Grammarly_42____i&quot; w:val=&quot;H4sIAAAAAAAEAKtWckksSQxILCpxzi/NK1GyMqwFAAEhoTITAAAA&quot;/&gt;&lt;w:docVar w:name=&quot;__Grammarly_42___1&quot; w:val=&quot;H4sIAAAAAAAEAKtWcslP9kxRslIyNDYyMjc2s7CwMDC0NDC3MDJU0lEKTi0uzszPAykwrAUAhf81JywAAAA=&quot;/&gt;&lt;w:docVar w:name=&quot;KY_MEDREF_DOCUID&quot; w:val=&quot;{88F5985D-ACEE-4DB8-8E2D-ECD834FF889E}&quot;/&gt;&lt;w:docVar w:name=&quot;KY_MEDREF_VERSION&quot; w:val=&quot;3&quot;/&gt;&lt;/w:docVars&gt;&lt;wsp:rsids&gt;&lt;wsp:rsidRoot wsp:val=&quot;00AE0BD4&quot;/&gt;&lt;wsp:rsid wsp:val=&quot;00012C83&quot;/&gt;&lt;wsp:rsid wsp:val=&quot;0002278C&quot;/&gt;&lt;wsp:rsid wsp:val=&quot;00025D4C&quot;/&gt;&lt;wsp:rsid wsp:val=&quot;0002650F&quot;/&gt;&lt;wsp:rsid wsp:val=&quot;0003199F&quot;/&gt;&lt;wsp:rsid wsp:val=&quot;00033856&quot;/&gt;&lt;wsp:rsid wsp:val=&quot;00037944&quot;/&gt;&lt;wsp:rsid wsp:val=&quot;00042489&quot;/&gt;&lt;wsp:rsid wsp:val=&quot;00043CC1&quot;/&gt;&lt;wsp:rsid wsp:val=&quot;00046920&quot;/&gt;&lt;wsp:rsid wsp:val=&quot;00046BE4&quot;/&gt;&lt;wsp:rsid wsp:val=&quot;0004795F&quot;/&gt;&lt;wsp:rsid wsp:val=&quot;000509EC&quot;/&gt;&lt;wsp:rsid wsp:val=&quot;00053833&quot;/&gt;&lt;wsp:rsid wsp:val=&quot;0005756A&quot;/&gt;&lt;wsp:rsid wsp:val=&quot;00061CC6&quot;/&gt;&lt;wsp:rsid wsp:val=&quot;0006350A&quot;/&gt;&lt;wsp:rsid wsp:val=&quot;0007232C&quot;/&gt;&lt;wsp:rsid wsp:val=&quot;00082288&quot;/&gt;&lt;wsp:rsid wsp:val=&quot;000853AE&quot;/&gt;&lt;wsp:rsid wsp:val=&quot;00085D66&quot;/&gt;&lt;wsp:rsid wsp:val=&quot;000937D3&quot;/&gt;&lt;wsp:rsid wsp:val=&quot;00096FBB&quot;/&gt;&lt;wsp:rsid wsp:val=&quot;00097E5B&quot;/&gt;&lt;wsp:rsid wsp:val=&quot;000A15C4&quot;/&gt;&lt;wsp:rsid wsp:val=&quot;000A2DF9&quot;/&gt;&lt;wsp:rsid wsp:val=&quot;000A2F27&quot;/&gt;&lt;wsp:rsid wsp:val=&quot;000A3BE9&quot;/&gt;&lt;wsp:rsid wsp:val=&quot;000A5AA0&quot;/&gt;&lt;wsp:rsid wsp:val=&quot;000A72F1&quot;/&gt;&lt;wsp:rsid wsp:val=&quot;000C001F&quot;/&gt;&lt;wsp:rsid wsp:val=&quot;000C3CB3&quot;/&gt;&lt;wsp:rsid wsp:val=&quot;000C485E&quot;/&gt;&lt;wsp:rsid wsp:val=&quot;000D3929&quot;/&gt;&lt;wsp:rsid wsp:val=&quot;000E2B3D&quot;/&gt;&lt;wsp:rsid wsp:val=&quot;000E38C7&quot;/&gt;&lt;wsp:rsid wsp:val=&quot;000E39D8&quot;/&gt;&lt;wsp:rsid wsp:val=&quot;000E4723&quot;/&gt;&lt;wsp:rsid wsp:val=&quot;000E6406&quot;/&gt;&lt;wsp:rsid wsp:val=&quot;000E7302&quot;/&gt;&lt;wsp:rsid wsp:val=&quot;000F35B4&quot;/&gt;&lt;wsp:rsid wsp:val=&quot;000F3FC9&quot;/&gt;&lt;wsp:rsid wsp:val=&quot;000F5385&quot;/&gt;&lt;wsp:rsid wsp:val=&quot;00100252&quot;/&gt;&lt;wsp:rsid wsp:val=&quot;001003AF&quot;/&gt;&lt;wsp:rsid wsp:val=&quot;0010230C&quot;/&gt;&lt;wsp:rsid wsp:val=&quot;00102EC6&quot;/&gt;&lt;wsp:rsid wsp:val=&quot;00105469&quot;/&gt;&lt;wsp:rsid wsp:val=&quot;00105D54&quot;/&gt;&lt;wsp:rsid wsp:val=&quot;00112E86&quot;/&gt;&lt;wsp:rsid wsp:val=&quot;00113D0B&quot;/&gt;&lt;wsp:rsid wsp:val=&quot;001141A4&quot;/&gt;&lt;wsp:rsid wsp:val=&quot;0011610A&quot;/&gt;&lt;wsp:rsid wsp:val=&quot;00117FDE&quot;/&gt;&lt;wsp:rsid wsp:val=&quot;001213AB&quot;/&gt;&lt;wsp:rsid wsp:val=&quot;001229A4&quot;/&gt;&lt;wsp:rsid wsp:val=&quot;00122D62&quot;/&gt;&lt;wsp:rsid wsp:val=&quot;00122F9C&quot;/&gt;&lt;wsp:rsid wsp:val=&quot;00123B21&quot;/&gt;&lt;wsp:rsid wsp:val=&quot;001250FE&quot;/&gt;&lt;wsp:rsid wsp:val=&quot;0012570A&quot;/&gt;&lt;wsp:rsid wsp:val=&quot;00126575&quot;/&gt;&lt;wsp:rsid wsp:val=&quot;00127519&quot;/&gt;&lt;wsp:rsid wsp:val=&quot;00135182&quot;/&gt;&lt;wsp:rsid wsp:val=&quot;00135763&quot;/&gt;&lt;wsp:rsid wsp:val=&quot;00142082&quot;/&gt;&lt;wsp:rsid wsp:val=&quot;001500BD&quot;/&gt;&lt;wsp:rsid wsp:val=&quot;001518A8&quot;/&gt;&lt;wsp:rsid wsp:val=&quot;00151F45&quot;/&gt;&lt;wsp:rsid wsp:val=&quot;00153F99&quot;/&gt;&lt;wsp:rsid wsp:val=&quot;00155AF9&quot;/&gt;&lt;wsp:rsid wsp:val=&quot;00161352&quot;/&gt;&lt;wsp:rsid wsp:val=&quot;00165FE6&quot;/&gt;&lt;wsp:rsid wsp:val=&quot;00166C18&quot;/&gt;&lt;wsp:rsid wsp:val=&quot;00181EEF&quot;/&gt;&lt;wsp:rsid wsp:val=&quot;00186F0D&quot;/&gt;&lt;wsp:rsid wsp:val=&quot;00190067&quot;/&gt;&lt;wsp:rsid wsp:val=&quot;001916F7&quot;/&gt;&lt;wsp:rsid wsp:val=&quot;00193D5B&quot;/&gt;&lt;wsp:rsid wsp:val=&quot;00195449&quot;/&gt;&lt;wsp:rsid wsp:val=&quot;001977D0&quot;/&gt;&lt;wsp:rsid wsp:val=&quot;001A0DAB&quot;/&gt;&lt;wsp:rsid wsp:val=&quot;001A1819&quot;/&gt;&lt;wsp:rsid wsp:val=&quot;001A501C&quot;/&gt;&lt;wsp:rsid wsp:val=&quot;001A55EA&quot;/&gt;&lt;wsp:rsid wsp:val=&quot;001B0E4B&quot;/&gt;&lt;wsp:rsid wsp:val=&quot;001B1F5A&quot;/&gt;&lt;wsp:rsid wsp:val=&quot;001B274F&quot;/&gt;&lt;wsp:rsid wsp:val=&quot;001B7B44&quot;/&gt;&lt;wsp:rsid wsp:val=&quot;001C0382&quot;/&gt;&lt;wsp:rsid wsp:val=&quot;001C0F5C&quot;/&gt;&lt;wsp:rsid wsp:val=&quot;001C0FD7&quot;/&gt;&lt;wsp:rsid wsp:val=&quot;001C0FF1&quot;/&gt;&lt;wsp:rsid wsp:val=&quot;001C14DE&quot;/&gt;&lt;wsp:rsid wsp:val=&quot;001C1A1F&quot;/&gt;&lt;wsp:rsid wsp:val=&quot;001C2DD8&quot;/&gt;&lt;wsp:rsid wsp:val=&quot;001C2EB2&quot;/&gt;&lt;wsp:rsid wsp:val=&quot;001C46FD&quot;/&gt;&lt;wsp:rsid wsp:val=&quot;001C4953&quot;/&gt;&lt;wsp:rsid wsp:val=&quot;001C7038&quot;/&gt;&lt;wsp:rsid wsp:val=&quot;001D07B1&quot;/&gt;&lt;wsp:rsid wsp:val=&quot;001D111B&quot;/&gt;&lt;wsp:rsid wsp:val=&quot;001D2784&quot;/&gt;&lt;wsp:rsid wsp:val=&quot;001D43C8&quot;/&gt;&lt;wsp:rsid wsp:val=&quot;001D7A1E&quot;/&gt;&lt;wsp:rsid wsp:val=&quot;001E36C0&quot;/&gt;&lt;wsp:rsid wsp:val=&quot;001E6271&quot;/&gt;&lt;wsp:rsid wsp:val=&quot;001E778A&quot;/&gt;&lt;wsp:rsid wsp:val=&quot;001F193E&quot;/&gt;&lt;wsp:rsid wsp:val=&quot;001F255B&quot;/&gt;&lt;wsp:rsid wsp:val=&quot;001F3AF7&quot;/&gt;&lt;wsp:rsid wsp:val=&quot;001F481C&quot;/&gt;&lt;wsp:rsid wsp:val=&quot;001F57AD&quot;/&gt;&lt;wsp:rsid wsp:val=&quot;001F60A1&quot;/&gt;&lt;wsp:rsid wsp:val=&quot;001F631C&quot;/&gt;&lt;wsp:rsid wsp:val=&quot;001F74E4&quot;/&gt;&lt;wsp:rsid wsp:val=&quot;00200327&quot;/&gt;&lt;wsp:rsid wsp:val=&quot;002003FE&quot;/&gt;&lt;wsp:rsid wsp:val=&quot;00201BC9&quot;/&gt;&lt;wsp:rsid wsp:val=&quot;0020248B&quot;/&gt;&lt;wsp:rsid wsp:val=&quot;0020254E&quot;/&gt;&lt;wsp:rsid wsp:val=&quot;0022050A&quot;/&gt;&lt;wsp:rsid wsp:val=&quot;0022702E&quot;/&gt;&lt;wsp:rsid wsp:val=&quot;00230E08&quot;/&gt;&lt;wsp:rsid wsp:val=&quot;00241A9B&quot;/&gt;&lt;wsp:rsid wsp:val=&quot;002423C4&quot;/&gt;&lt;wsp:rsid wsp:val=&quot;00253527&quot;/&gt;&lt;wsp:rsid wsp:val=&quot;00260428&quot;/&gt;&lt;wsp:rsid wsp:val=&quot;00260B42&quot;/&gt;&lt;wsp:rsid wsp:val=&quot;00266477&quot;/&gt;&lt;wsp:rsid wsp:val=&quot;0027733D&quot;/&gt;&lt;wsp:rsid wsp:val=&quot;002803FA&quot;/&gt;&lt;wsp:rsid wsp:val=&quot;002835A0&quot;/&gt;&lt;wsp:rsid wsp:val=&quot;00285880&quot;/&gt;&lt;wsp:rsid wsp:val=&quot;002866DE&quot;/&gt;&lt;wsp:rsid wsp:val=&quot;002904AF&quot;/&gt;&lt;wsp:rsid wsp:val=&quot;00290D04&quot;/&gt;&lt;wsp:rsid wsp:val=&quot;00290DCC&quot;/&gt;&lt;wsp:rsid wsp:val=&quot;00295D27&quot;/&gt;&lt;wsp:rsid wsp:val=&quot;002A06DD&quot;/&gt;&lt;wsp:rsid wsp:val=&quot;002A3BD0&quot;/&gt;&lt;wsp:rsid wsp:val=&quot;002A6D6A&quot;/&gt;&lt;wsp:rsid wsp:val=&quot;002B0E1E&quot;/&gt;&lt;wsp:rsid wsp:val=&quot;002B2E3A&quot;/&gt;&lt;wsp:rsid wsp:val=&quot;002B3C98&quot;/&gt;&lt;wsp:rsid wsp:val=&quot;002B621B&quot;/&gt;&lt;wsp:rsid wsp:val=&quot;002C380E&quot;/&gt;&lt;wsp:rsid wsp:val=&quot;002C5ED1&quot;/&gt;&lt;wsp:rsid wsp:val=&quot;002D6B2C&quot;/&gt;&lt;wsp:rsid wsp:val=&quot;002D6EF4&quot;/&gt;&lt;wsp:rsid wsp:val=&quot;002D711B&quot;/&gt;&lt;wsp:rsid wsp:val=&quot;002E1787&quot;/&gt;&lt;wsp:rsid wsp:val=&quot;002E56D6&quot;/&gt;&lt;wsp:rsid wsp:val=&quot;002F0D97&quot;/&gt;&lt;wsp:rsid wsp:val=&quot;00307730&quot;/&gt;&lt;wsp:rsid wsp:val=&quot;00314791&quot;/&gt;&lt;wsp:rsid wsp:val=&quot;00315C81&quot;/&gt;&lt;wsp:rsid wsp:val=&quot;00320FA4&quot;/&gt;&lt;wsp:rsid wsp:val=&quot;00322D9F&quot;/&gt;&lt;wsp:rsid wsp:val=&quot;003254F9&quot;/&gt;&lt;wsp:rsid wsp:val=&quot;00326012&quot;/&gt;&lt;wsp:rsid wsp:val=&quot;003274EB&quot;/&gt;&lt;wsp:rsid wsp:val=&quot;0033017B&quot;/&gt;&lt;wsp:rsid wsp:val=&quot;00330B10&quot;/&gt;&lt;wsp:rsid wsp:val=&quot;00330C09&quot;/&gt;&lt;wsp:rsid wsp:val=&quot;00334874&quot;/&gt;&lt;wsp:rsid wsp:val=&quot;00336D3E&quot;/&gt;&lt;wsp:rsid wsp:val=&quot;00343142&quot;/&gt;&lt;wsp:rsid wsp:val=&quot;003443B7&quot;/&gt;&lt;wsp:rsid wsp:val=&quot;00351CB2&quot;/&gt;&lt;wsp:rsid wsp:val=&quot;003542D4&quot;/&gt;&lt;wsp:rsid wsp:val=&quot;00357AC8&quot;/&gt;&lt;wsp:rsid wsp:val=&quot;0036186E&quot;/&gt;&lt;wsp:rsid wsp:val=&quot;00364598&quot;/&gt;&lt;wsp:rsid wsp:val=&quot;00371879&quot;/&gt;&lt;wsp:rsid wsp:val=&quot;003727D8&quot;/&gt;&lt;wsp:rsid wsp:val=&quot;0037306C&quot;/&gt;&lt;wsp:rsid wsp:val=&quot;00375538&quot;/&gt;&lt;wsp:rsid wsp:val=&quot;00375FE1&quot;/&gt;&lt;wsp:rsid wsp:val=&quot;00376D5B&quot;/&gt;&lt;wsp:rsid wsp:val=&quot;003827CE&quot;/&gt;&lt;wsp:rsid wsp:val=&quot;00382EA2&quot;/&gt;&lt;wsp:rsid wsp:val=&quot;00385B91&quot;/&gt;&lt;wsp:rsid wsp:val=&quot;00386B35&quot;/&gt;&lt;wsp:rsid wsp:val=&quot;00386BA8&quot;/&gt;&lt;wsp:rsid wsp:val=&quot;003878D3&quot;/&gt;&lt;wsp:rsid wsp:val=&quot;00394768&quot;/&gt;&lt;wsp:rsid wsp:val=&quot;003A062D&quot;/&gt;&lt;wsp:rsid wsp:val=&quot;003A210C&quot;/&gt;&lt;wsp:rsid wsp:val=&quot;003A3757&quot;/&gt;&lt;wsp:rsid wsp:val=&quot;003A5C21&quot;/&gt;&lt;wsp:rsid wsp:val=&quot;003A5DAC&quot;/&gt;&lt;wsp:rsid wsp:val=&quot;003A7C38&quot;/&gt;&lt;wsp:rsid wsp:val=&quot;003B51EA&quot;/&gt;&lt;wsp:rsid wsp:val=&quot;003B538F&quot;/&gt;&lt;wsp:rsid wsp:val=&quot;003B5E91&quot;/&gt;&lt;wsp:rsid wsp:val=&quot;003B5F33&quot;/&gt;&lt;wsp:rsid wsp:val=&quot;003C1696&quot;/&gt;&lt;wsp:rsid wsp:val=&quot;003C5455&quot;/&gt;&lt;wsp:rsid wsp:val=&quot;003C6C66&quot;/&gt;&lt;wsp:rsid wsp:val=&quot;003C75F2&quot;/&gt;&lt;wsp:rsid wsp:val=&quot;003D0194&quot;/&gt;&lt;wsp:rsid wsp:val=&quot;003D45F9&quot;/&gt;&lt;wsp:rsid wsp:val=&quot;003D50BF&quot;/&gt;&lt;wsp:rsid wsp:val=&quot;003E192D&quot;/&gt;&lt;wsp:rsid wsp:val=&quot;003E23AA&quot;/&gt;&lt;wsp:rsid wsp:val=&quot;003E2EAA&quot;/&gt;&lt;wsp:rsid wsp:val=&quot;003E364E&quot;/&gt;&lt;wsp:rsid wsp:val=&quot;003E4013&quot;/&gt;&lt;wsp:rsid wsp:val=&quot;003E517D&quot;/&gt;&lt;wsp:rsid wsp:val=&quot;003F4016&quot;/&gt;&lt;wsp:rsid wsp:val=&quot;003F6D90&quot;/&gt;&lt;wsp:rsid wsp:val=&quot;004012AB&quot;/&gt;&lt;wsp:rsid wsp:val=&quot;00402E01&quot;/&gt;&lt;wsp:rsid wsp:val=&quot;004038CB&quot;/&gt;&lt;wsp:rsid wsp:val=&quot;004127D3&quot;/&gt;&lt;wsp:rsid wsp:val=&quot;004134EA&quot;/&gt;&lt;wsp:rsid wsp:val=&quot;0041596D&quot;/&gt;&lt;wsp:rsid wsp:val=&quot;00416CA8&quot;/&gt;&lt;wsp:rsid wsp:val=&quot;0042241F&quot;/&gt;&lt;wsp:rsid wsp:val=&quot;004225DD&quot;/&gt;&lt;wsp:rsid wsp:val=&quot;004237E7&quot;/&gt;&lt;wsp:rsid wsp:val=&quot;004241CE&quot;/&gt;&lt;wsp:rsid wsp:val=&quot;00427925&quot;/&gt;&lt;wsp:rsid wsp:val=&quot;004310E3&quot;/&gt;&lt;wsp:rsid wsp:val=&quot;00431AD2&quot;/&gt;&lt;wsp:rsid wsp:val=&quot;0043640C&quot;/&gt;&lt;wsp:rsid wsp:val=&quot;00444698&quot;/&gt;&lt;wsp:rsid wsp:val=&quot;00445C55&quot;/&gt;&lt;wsp:rsid wsp:val=&quot;00451872&quot;/&gt;&lt;wsp:rsid wsp:val=&quot;00451CCD&quot;/&gt;&lt;wsp:rsid wsp:val=&quot;00452B3C&quot;/&gt;&lt;wsp:rsid wsp:val=&quot;00460BD9&quot;/&gt;&lt;wsp:rsid wsp:val=&quot;00466934&quot;/&gt;&lt;wsp:rsid wsp:val=&quot;00470617&quot;/&gt;&lt;wsp:rsid wsp:val=&quot;00471FA2&quot;/&gt;&lt;wsp:rsid wsp:val=&quot;00474215&quot;/&gt;&lt;wsp:rsid wsp:val=&quot;004746E2&quot;/&gt;&lt;wsp:rsid wsp:val=&quot;00474A3E&quot;/&gt;&lt;wsp:rsid wsp:val=&quot;00474F34&quot;/&gt;&lt;wsp:rsid wsp:val=&quot;00481EE3&quot;/&gt;&lt;wsp:rsid wsp:val=&quot;004832B1&quot;/&gt;&lt;wsp:rsid wsp:val=&quot;00485D1E&quot;/&gt;&lt;wsp:rsid wsp:val=&quot;00486422&quot;/&gt;&lt;wsp:rsid wsp:val=&quot;00491580&quot;/&gt;&lt;wsp:rsid wsp:val=&quot;004924B2&quot;/&gt;&lt;wsp:rsid wsp:val=&quot;004926D1&quot;/&gt;&lt;wsp:rsid wsp:val=&quot;00494287&quot;/&gt;&lt;wsp:rsid wsp:val=&quot;004965E0&quot;/&gt;&lt;wsp:rsid wsp:val=&quot;00496F05&quot;/&gt;&lt;wsp:rsid wsp:val=&quot;004A2B53&quot;/&gt;&lt;wsp:rsid wsp:val=&quot;004B2E70&quot;/&gt;&lt;wsp:rsid wsp:val=&quot;004B4F36&quot;/&gt;&lt;wsp:rsid wsp:val=&quot;004B5B59&quot;/&gt;&lt;wsp:rsid wsp:val=&quot;004B6D9C&quot;/&gt;&lt;wsp:rsid wsp:val=&quot;004C1F4F&quot;/&gt;&lt;wsp:rsid wsp:val=&quot;004C26BA&quot;/&gt;&lt;wsp:rsid wsp:val=&quot;004C7F4D&quot;/&gt;&lt;wsp:rsid wsp:val=&quot;004D4CBE&quot;/&gt;&lt;wsp:rsid wsp:val=&quot;004D59CB&quot;/&gt;&lt;wsp:rsid wsp:val=&quot;004D67EE&quot;/&gt;&lt;wsp:rsid wsp:val=&quot;004E00D3&quot;/&gt;&lt;wsp:rsid wsp:val=&quot;004E152B&quot;/&gt;&lt;wsp:rsid wsp:val=&quot;004E374B&quot;/&gt;&lt;wsp:rsid wsp:val=&quot;004E7C31&quot;/&gt;&lt;wsp:rsid wsp:val=&quot;004F06E2&quot;/&gt;&lt;wsp:rsid wsp:val=&quot;004F1C11&quot;/&gt;&lt;wsp:rsid wsp:val=&quot;004F25C6&quot;/&gt;&lt;wsp:rsid wsp:val=&quot;004F3C8D&quot;/&gt;&lt;wsp:rsid wsp:val=&quot;004F5421&quot;/&gt;&lt;wsp:rsid wsp:val=&quot;004F65BA&quot;/&gt;&lt;wsp:rsid wsp:val=&quot;004F7B3B&quot;/&gt;&lt;wsp:rsid wsp:val=&quot;00500403&quot;/&gt;&lt;wsp:rsid wsp:val=&quot;0050546E&quot;/&gt;&lt;wsp:rsid wsp:val=&quot;00506BD4&quot;/&gt;&lt;wsp:rsid wsp:val=&quot;00510BEB&quot;/&gt;&lt;wsp:rsid wsp:val=&quot;0051650A&quot;/&gt;&lt;wsp:rsid wsp:val=&quot;00516A83&quot;/&gt;&lt;wsp:rsid wsp:val=&quot;00520A71&quot;/&gt;&lt;wsp:rsid wsp:val=&quot;005249AB&quot;/&gt;&lt;wsp:rsid wsp:val=&quot;00536A07&quot;/&gt;&lt;wsp:rsid wsp:val=&quot;00541924&quot;/&gt;&lt;wsp:rsid wsp:val=&quot;00544339&quot;/&gt;&lt;wsp:rsid wsp:val=&quot;005478EC&quot;/&gt;&lt;wsp:rsid wsp:val=&quot;00547D51&quot;/&gt;&lt;wsp:rsid wsp:val=&quot;00551EB9&quot;/&gt;&lt;wsp:rsid wsp:val=&quot;005560C8&quot;/&gt;&lt;wsp:rsid wsp:val=&quot;0055691C&quot;/&gt;&lt;wsp:rsid wsp:val=&quot;0057077D&quot;/&gt;&lt;wsp:rsid wsp:val=&quot;0057269B&quot;/&gt;&lt;wsp:rsid wsp:val=&quot;00573E89&quot;/&gt;&lt;wsp:rsid wsp:val=&quot;00580652&quot;/&gt;&lt;wsp:rsid wsp:val=&quot;005810AF&quot;/&gt;&lt;wsp:rsid wsp:val=&quot;00582C77&quot;/&gt;&lt;wsp:rsid wsp:val=&quot;00586A68&quot;/&gt;&lt;wsp:rsid wsp:val=&quot;005A08E6&quot;/&gt;&lt;wsp:rsid wsp:val=&quot;005A3566&quot;/&gt;&lt;wsp:rsid wsp:val=&quot;005A3EE0&quot;/&gt;&lt;wsp:rsid wsp:val=&quot;005A69A2&quot;/&gt;&lt;wsp:rsid wsp:val=&quot;005B2006&quot;/&gt;&lt;wsp:rsid wsp:val=&quot;005B23BF&quot;/&gt;&lt;wsp:rsid wsp:val=&quot;005B64C5&quot;/&gt;&lt;wsp:rsid wsp:val=&quot;005B7130&quot;/&gt;&lt;wsp:rsid wsp:val=&quot;005C3821&quot;/&gt;&lt;wsp:rsid wsp:val=&quot;005D4DC2&quot;/&gt;&lt;wsp:rsid wsp:val=&quot;005E5EDD&quot;/&gt;&lt;wsp:rsid wsp:val=&quot;005F02EC&quot;/&gt;&lt;wsp:rsid wsp:val=&quot;005F0E4F&quot;/&gt;&lt;wsp:rsid wsp:val=&quot;005F3B69&quot;/&gt;&lt;wsp:rsid wsp:val=&quot;005F4F2C&quot;/&gt;&lt;wsp:rsid wsp:val=&quot;005F57F7&quot;/&gt;&lt;wsp:rsid wsp:val=&quot;005F5A6F&quot;/&gt;&lt;wsp:rsid wsp:val=&quot;00607F1E&quot;/&gt;&lt;wsp:rsid wsp:val=&quot;00610335&quot;/&gt;&lt;wsp:rsid wsp:val=&quot;00613327&quot;/&gt;&lt;wsp:rsid wsp:val=&quot;00623508&quot;/&gt;&lt;wsp:rsid wsp:val=&quot;006243FA&quot;/&gt;&lt;wsp:rsid wsp:val=&quot;00627B95&quot;/&gt;&lt;wsp:rsid wsp:val=&quot;00632F75&quot;/&gt;&lt;wsp:rsid wsp:val=&quot;006436FB&quot;/&gt;&lt;wsp:rsid wsp:val=&quot;00646109&quot;/&gt;&lt;wsp:rsid wsp:val=&quot;006469D5&quot;/&gt;&lt;wsp:rsid wsp:val=&quot;006501DD&quot;/&gt;&lt;wsp:rsid wsp:val=&quot;0065196D&quot;/&gt;&lt;wsp:rsid wsp:val=&quot;00651AB4&quot;/&gt;&lt;wsp:rsid wsp:val=&quot;00654463&quot;/&gt;&lt;wsp:rsid wsp:val=&quot;006560CF&quot;/&gt;&lt;wsp:rsid wsp:val=&quot;00660D08&quot;/&gt;&lt;wsp:rsid wsp:val=&quot;00662F2F&quot;/&gt;&lt;wsp:rsid wsp:val=&quot;00667B6B&quot;/&gt;&lt;wsp:rsid wsp:val=&quot;00667BA2&quot;/&gt;&lt;wsp:rsid wsp:val=&quot;0067208F&quot;/&gt;&lt;wsp:rsid wsp:val=&quot;00677808&quot;/&gt;&lt;wsp:rsid wsp:val=&quot;00681732&quot;/&gt;&lt;wsp:rsid wsp:val=&quot;006951CE&quot;/&gt;&lt;wsp:rsid wsp:val=&quot;006A1C14&quot;/&gt;&lt;wsp:rsid wsp:val=&quot;006A3A51&quot;/&gt;&lt;wsp:rsid wsp:val=&quot;006A4AB8&quot;/&gt;&lt;wsp:rsid wsp:val=&quot;006A5926&quot;/&gt;&lt;wsp:rsid wsp:val=&quot;006A5F9D&quot;/&gt;&lt;wsp:rsid wsp:val=&quot;006B0E93&quot;/&gt;&lt;wsp:rsid wsp:val=&quot;006B2DC1&quot;/&gt;&lt;wsp:rsid wsp:val=&quot;006B398B&quot;/&gt;&lt;wsp:rsid wsp:val=&quot;006C0C66&quot;/&gt;&lt;wsp:rsid wsp:val=&quot;006C2C0F&quot;/&gt;&lt;wsp:rsid wsp:val=&quot;006C4213&quot;/&gt;&lt;wsp:rsid wsp:val=&quot;006C5041&quot;/&gt;&lt;wsp:rsid wsp:val=&quot;006C5A49&quot;/&gt;&lt;wsp:rsid wsp:val=&quot;006C6439&quot;/&gt;&lt;wsp:rsid wsp:val=&quot;006D11BA&quot;/&gt;&lt;wsp:rsid wsp:val=&quot;006D29E1&quot;/&gt;&lt;wsp:rsid wsp:val=&quot;006D72D5&quot;/&gt;&lt;wsp:rsid wsp:val=&quot;006E7E8C&quot;/&gt;&lt;wsp:rsid wsp:val=&quot;006F14D1&quot;/&gt;&lt;wsp:rsid wsp:val=&quot;006F251E&quot;/&gt;&lt;wsp:rsid wsp:val=&quot;006F4A59&quot;/&gt;&lt;wsp:rsid wsp:val=&quot;006F69CC&quot;/&gt;&lt;wsp:rsid wsp:val=&quot;006F76A3&quot;/&gt;&lt;wsp:rsid wsp:val=&quot;00702684&quot;/&gt;&lt;wsp:rsid wsp:val=&quot;00702BD3&quot;/&gt;&lt;wsp:rsid wsp:val=&quot;00703C30&quot;/&gt;&lt;wsp:rsid wsp:val=&quot;0070647E&quot;/&gt;&lt;wsp:rsid wsp:val=&quot;00711670&quot;/&gt;&lt;wsp:rsid wsp:val=&quot;007216E5&quot;/&gt;&lt;wsp:rsid wsp:val=&quot;00725C80&quot;/&gt;&lt;wsp:rsid wsp:val=&quot;00725FD5&quot;/&gt;&lt;wsp:rsid wsp:val=&quot;00726A5C&quot;/&gt;&lt;wsp:rsid wsp:val=&quot;007270F5&quot;/&gt;&lt;wsp:rsid wsp:val=&quot;0072787B&quot;/&gt;&lt;wsp:rsid wsp:val=&quot;0073246B&quot;/&gt;&lt;wsp:rsid wsp:val=&quot;00736621&quot;/&gt;&lt;wsp:rsid wsp:val=&quot;00741C0D&quot;/&gt;&lt;wsp:rsid wsp:val=&quot;00743485&quot;/&gt;&lt;wsp:rsid wsp:val=&quot;00745E63&quot;/&gt;&lt;wsp:rsid wsp:val=&quot;0074627C&quot;/&gt;&lt;wsp:rsid wsp:val=&quot;0075006A&quot;/&gt;&lt;wsp:rsid wsp:val=&quot;00751673&quot;/&gt;&lt;wsp:rsid wsp:val=&quot;00752F2D&quot;/&gt;&lt;wsp:rsid wsp:val=&quot;00753187&quot;/&gt;&lt;wsp:rsid wsp:val=&quot;00753280&quot;/&gt;&lt;wsp:rsid wsp:val=&quot;00753959&quot;/&gt;&lt;wsp:rsid wsp:val=&quot;00755933&quot;/&gt;&lt;wsp:rsid wsp:val=&quot;00761DAD&quot;/&gt;&lt;wsp:rsid wsp:val=&quot;00762497&quot;/&gt;&lt;wsp:rsid wsp:val=&quot;00770943&quot;/&gt;&lt;wsp:rsid wsp:val=&quot;00775870&quot;/&gt;&lt;wsp:rsid wsp:val=&quot;00777DA9&quot;/&gt;&lt;wsp:rsid wsp:val=&quot;00785810&quot;/&gt;&lt;wsp:rsid wsp:val=&quot;00790B1A&quot;/&gt;&lt;wsp:rsid wsp:val=&quot;00792973&quot;/&gt;&lt;wsp:rsid wsp:val=&quot;007937D9&quot;/&gt;&lt;wsp:rsid wsp:val=&quot;00794323&quot;/&gt;&lt;wsp:rsid wsp:val=&quot;007A11CC&quot;/&gt;&lt;wsp:rsid wsp:val=&quot;007A150E&quot;/&gt;&lt;wsp:rsid wsp:val=&quot;007A273C&quot;/&gt;&lt;wsp:rsid wsp:val=&quot;007A30B9&quot;/&gt;&lt;wsp:rsid wsp:val=&quot;007A4648&quot;/&gt;&lt;wsp:rsid wsp:val=&quot;007A48EF&quot;/&gt;&lt;wsp:rsid wsp:val=&quot;007A6591&quot;/&gt;&lt;wsp:rsid wsp:val=&quot;007B28A0&quot;/&gt;&lt;wsp:rsid wsp:val=&quot;007B4202&quot;/&gt;&lt;wsp:rsid wsp:val=&quot;007C56D7&quot;/&gt;&lt;wsp:rsid wsp:val=&quot;007D2768&quot;/&gt;&lt;wsp:rsid wsp:val=&quot;007D4E8C&quot;/&gt;&lt;wsp:rsid wsp:val=&quot;007D4FD5&quot;/&gt;&lt;wsp:rsid wsp:val=&quot;007D697A&quot;/&gt;&lt;wsp:rsid wsp:val=&quot;007E484F&quot;/&gt;&lt;wsp:rsid wsp:val=&quot;007E68A0&quot;/&gt;&lt;wsp:rsid wsp:val=&quot;007F3B70&quot;/&gt;&lt;wsp:rsid wsp:val=&quot;007F3F04&quot;/&gt;&lt;wsp:rsid wsp:val=&quot;007F5061&quot;/&gt;&lt;wsp:rsid wsp:val=&quot;007F5E6C&quot;/&gt;&lt;wsp:rsid wsp:val=&quot;008017AA&quot;/&gt;&lt;wsp:rsid wsp:val=&quot;008075F9&quot;/&gt;&lt;wsp:rsid wsp:val=&quot;008076C5&quot;/&gt;&lt;wsp:rsid wsp:val=&quot;008125D8&quot;/&gt;&lt;wsp:rsid wsp:val=&quot;00812F2E&quot;/&gt;&lt;wsp:rsid wsp:val=&quot;008162B7&quot;/&gt;&lt;wsp:rsid wsp:val=&quot;00825A58&quot;/&gt;&lt;wsp:rsid wsp:val=&quot;0082654B&quot;/&gt;&lt;wsp:rsid wsp:val=&quot;00830DDB&quot;/&gt;&lt;wsp:rsid wsp:val=&quot;0084248B&quot;/&gt;&lt;wsp:rsid wsp:val=&quot;00842E3E&quot;/&gt;&lt;wsp:rsid wsp:val=&quot;00846C70&quot;/&gt;&lt;wsp:rsid wsp:val=&quot;00851B00&quot;/&gt;&lt;wsp:rsid wsp:val=&quot;00852A6D&quot;/&gt;&lt;wsp:rsid wsp:val=&quot;00853C9B&quot;/&gt;&lt;wsp:rsid wsp:val=&quot;00856214&quot;/&gt;&lt;wsp:rsid wsp:val=&quot;008602A3&quot;/&gt;&lt;wsp:rsid wsp:val=&quot;008617F2&quot;/&gt;&lt;wsp:rsid wsp:val=&quot;008636BD&quot;/&gt;&lt;wsp:rsid wsp:val=&quot;0086670E&quot;/&gt;&lt;wsp:rsid wsp:val=&quot;00871633&quot;/&gt;&lt;wsp:rsid wsp:val=&quot;0087487F&quot;/&gt;&lt;wsp:rsid wsp:val=&quot;00875571&quot;/&gt;&lt;wsp:rsid wsp:val=&quot;00876EC0&quot;/&gt;&lt;wsp:rsid wsp:val=&quot;008811E3&quot;/&gt;&lt;wsp:rsid wsp:val=&quot;00884CEF&quot;/&gt;&lt;wsp:rsid wsp:val=&quot;008875CB&quot;/&gt;&lt;wsp:rsid wsp:val=&quot;00887990&quot;/&gt;&lt;wsp:rsid wsp:val=&quot;00894E2D&quot;/&gt;&lt;wsp:rsid wsp:val=&quot;008A37C7&quot;/&gt;&lt;wsp:rsid wsp:val=&quot;008A41E8&quot;/&gt;&lt;wsp:rsid wsp:val=&quot;008A4919&quot;/&gt;&lt;wsp:rsid wsp:val=&quot;008B7EDC&quot;/&gt;&lt;wsp:rsid wsp:val=&quot;008C0527&quot;/&gt;&lt;wsp:rsid wsp:val=&quot;008C243F&quot;/&gt;&lt;wsp:rsid wsp:val=&quot;008C33A0&quot;/&gt;&lt;wsp:rsid wsp:val=&quot;008C43FB&quot;/&gt;&lt;wsp:rsid wsp:val=&quot;008C514E&quot;/&gt;&lt;wsp:rsid wsp:val=&quot;008C57FE&quot;/&gt;&lt;wsp:rsid wsp:val=&quot;008D1578&quot;/&gt;&lt;wsp:rsid wsp:val=&quot;008D15D0&quot;/&gt;&lt;wsp:rsid wsp:val=&quot;008D1E41&quot;/&gt;&lt;wsp:rsid wsp:val=&quot;008D2758&quot;/&gt;&lt;wsp:rsid wsp:val=&quot;008D4431&quot;/&gt;&lt;wsp:rsid wsp:val=&quot;008D468C&quot;/&gt;&lt;wsp:rsid wsp:val=&quot;008D49B2&quot;/&gt;&lt;wsp:rsid wsp:val=&quot;008D666C&quot;/&gt;&lt;wsp:rsid wsp:val=&quot;008E51EE&quot;/&gt;&lt;wsp:rsid wsp:val=&quot;008F6010&quot;/&gt;&lt;wsp:rsid wsp:val=&quot;008F6A0B&quot;/&gt;&lt;wsp:rsid wsp:val=&quot;008F6F4F&quot;/&gt;&lt;wsp:rsid wsp:val=&quot;00900093&quot;/&gt;&lt;wsp:rsid wsp:val=&quot;00903B9D&quot;/&gt;&lt;wsp:rsid wsp:val=&quot;009044B2&quot;/&gt;&lt;wsp:rsid wsp:val=&quot;0090483F&quot;/&gt;&lt;wsp:rsid wsp:val=&quot;00910904&quot;/&gt;&lt;wsp:rsid wsp:val=&quot;009201A1&quot;/&gt;&lt;wsp:rsid wsp:val=&quot;00923E16&quot;/&gt;&lt;wsp:rsid wsp:val=&quot;00926C8A&quot;/&gt;&lt;wsp:rsid wsp:val=&quot;009367B7&quot;/&gt;&lt;wsp:rsid wsp:val=&quot;00936C9F&quot;/&gt;&lt;wsp:rsid wsp:val=&quot;00936F73&quot;/&gt;&lt;wsp:rsid wsp:val=&quot;00943D15&quot;/&gt;&lt;wsp:rsid wsp:val=&quot;0094428A&quot;/&gt;&lt;wsp:rsid wsp:val=&quot;009447F9&quot;/&gt;&lt;wsp:rsid wsp:val=&quot;00951A24&quot;/&gt;&lt;wsp:rsid wsp:val=&quot;009523AB&quot;/&gt;&lt;wsp:rsid wsp:val=&quot;00953B1D&quot;/&gt;&lt;wsp:rsid wsp:val=&quot;00957F9B&quot;/&gt;&lt;wsp:rsid wsp:val=&quot;009612D0&quot;/&gt;&lt;wsp:rsid wsp:val=&quot;009647D5&quot;/&gt;&lt;wsp:rsid wsp:val=&quot;00971F5B&quot;/&gt;&lt;wsp:rsid wsp:val=&quot;00975EB0&quot;/&gt;&lt;wsp:rsid wsp:val=&quot;00977221&quot;/&gt;&lt;wsp:rsid wsp:val=&quot;00983EF8&quot;/&gt;&lt;wsp:rsid wsp:val=&quot;00984618&quot;/&gt;&lt;wsp:rsid wsp:val=&quot;00993DD0&quot;/&gt;&lt;wsp:rsid wsp:val=&quot;00994DF1&quot;/&gt;&lt;wsp:rsid wsp:val=&quot;00995172&quot;/&gt;&lt;wsp:rsid wsp:val=&quot;009A6381&quot;/&gt;&lt;wsp:rsid wsp:val=&quot;009A681E&quot;/&gt;&lt;wsp:rsid wsp:val=&quot;009A7F55&quot;/&gt;&lt;wsp:rsid wsp:val=&quot;009B1144&quot;/&gt;&lt;wsp:rsid wsp:val=&quot;009B44A0&quot;/&gt;&lt;wsp:rsid wsp:val=&quot;009B4F95&quot;/&gt;&lt;wsp:rsid wsp:val=&quot;009B6E2E&quot;/&gt;&lt;wsp:rsid wsp:val=&quot;009B73AA&quot;/&gt;&lt;wsp:rsid wsp:val=&quot;009C0B22&quot;/&gt;&lt;wsp:rsid wsp:val=&quot;009C0C4B&quot;/&gt;&lt;wsp:rsid wsp:val=&quot;009C24AD&quot;/&gt;&lt;wsp:rsid wsp:val=&quot;009C2A80&quot;/&gt;&lt;wsp:rsid wsp:val=&quot;009C39DB&quot;/&gt;&lt;wsp:rsid wsp:val=&quot;009C642F&quot;/&gt;&lt;wsp:rsid wsp:val=&quot;009D380A&quot;/&gt;&lt;wsp:rsid wsp:val=&quot;009D4108&quot;/&gt;&lt;wsp:rsid wsp:val=&quot;009D591E&quot;/&gt;&lt;wsp:rsid wsp:val=&quot;009E12A5&quot;/&gt;&lt;wsp:rsid wsp:val=&quot;009E3253&quot;/&gt;&lt;wsp:rsid wsp:val=&quot;009E32A0&quot;/&gt;&lt;wsp:rsid wsp:val=&quot;009E4C4E&quot;/&gt;&lt;wsp:rsid wsp:val=&quot;009E738B&quot;/&gt;&lt;wsp:rsid wsp:val=&quot;009F0982&quot;/&gt;&lt;wsp:rsid wsp:val=&quot;009F0E6D&quot;/&gt;&lt;wsp:rsid wsp:val=&quot;009F27D6&quot;/&gt;&lt;wsp:rsid wsp:val=&quot;009F3101&quot;/&gt;&lt;wsp:rsid wsp:val=&quot;009F3F7C&quot;/&gt;&lt;wsp:rsid wsp:val=&quot;00A005A3&quot;/&gt;&lt;wsp:rsid wsp:val=&quot;00A014F4&quot;/&gt;&lt;wsp:rsid wsp:val=&quot;00A0731C&quot;/&gt;&lt;wsp:rsid wsp:val=&quot;00A07C6F&quot;/&gt;&lt;wsp:rsid wsp:val=&quot;00A12D7F&quot;/&gt;&lt;wsp:rsid wsp:val=&quot;00A13DD1&quot;/&gt;&lt;wsp:rsid wsp:val=&quot;00A13ED6&quot;/&gt;&lt;wsp:rsid wsp:val=&quot;00A1614B&quot;/&gt;&lt;wsp:rsid wsp:val=&quot;00A169C6&quot;/&gt;&lt;wsp:rsid wsp:val=&quot;00A20180&quot;/&gt;&lt;wsp:rsid wsp:val=&quot;00A201A7&quot;/&gt;&lt;wsp:rsid wsp:val=&quot;00A2165C&quot;/&gt;&lt;wsp:rsid wsp:val=&quot;00A26082&quot;/&gt;&lt;wsp:rsid wsp:val=&quot;00A3460F&quot;/&gt;&lt;wsp:rsid wsp:val=&quot;00A41E82&quot;/&gt;&lt;wsp:rsid wsp:val=&quot;00A41F18&quot;/&gt;&lt;wsp:rsid wsp:val=&quot;00A42273&quot;/&gt;&lt;wsp:rsid wsp:val=&quot;00A444DD&quot;/&gt;&lt;wsp:rsid wsp:val=&quot;00A44FAB&quot;/&gt;&lt;wsp:rsid wsp:val=&quot;00A472B4&quot;/&gt;&lt;wsp:rsid wsp:val=&quot;00A51872&quot;/&gt;&lt;wsp:rsid wsp:val=&quot;00A53E1A&quot;/&gt;&lt;wsp:rsid wsp:val=&quot;00A54144&quot;/&gt;&lt;wsp:rsid wsp:val=&quot;00A606E8&quot;/&gt;&lt;wsp:rsid wsp:val=&quot;00A67729&quot;/&gt;&lt;wsp:rsid wsp:val=&quot;00A84BAD&quot;/&gt;&lt;wsp:rsid wsp:val=&quot;00A86236&quot;/&gt;&lt;wsp:rsid wsp:val=&quot;00A86794&quot;/&gt;&lt;wsp:rsid wsp:val=&quot;00A87A75&quot;/&gt;&lt;wsp:rsid wsp:val=&quot;00A9076B&quot;/&gt;&lt;wsp:rsid wsp:val=&quot;00A9082A&quot;/&gt;&lt;wsp:rsid wsp:val=&quot;00A92386&quot;/&gt;&lt;wsp:rsid wsp:val=&quot;00A96FE7&quot;/&gt;&lt;wsp:rsid wsp:val=&quot;00AA1D69&quot;/&gt;&lt;wsp:rsid wsp:val=&quot;00AA4EE7&quot;/&gt;&lt;wsp:rsid wsp:val=&quot;00AA5DA9&quot;/&gt;&lt;wsp:rsid wsp:val=&quot;00AB1DB6&quot;/&gt;&lt;wsp:rsid wsp:val=&quot;00AB1E23&quot;/&gt;&lt;wsp:rsid wsp:val=&quot;00AB733E&quot;/&gt;&lt;wsp:rsid wsp:val=&quot;00AC738E&quot;/&gt;&lt;wsp:rsid wsp:val=&quot;00AD4523&quot;/&gt;&lt;wsp:rsid wsp:val=&quot;00AE0443&quot;/&gt;&lt;wsp:rsid wsp:val=&quot;00AE0BD4&quot;/&gt;&lt;wsp:rsid wsp:val=&quot;00AE2BAF&quot;/&gt;&lt;wsp:rsid wsp:val=&quot;00AE3CF0&quot;/&gt;&lt;wsp:rsid wsp:val=&quot;00AE5CFB&quot;/&gt;&lt;wsp:rsid wsp:val=&quot;00AE6878&quot;/&gt;&lt;wsp:rsid wsp:val=&quot;00AE7CD1&quot;/&gt;&lt;wsp:rsid wsp:val=&quot;00AF685B&quot;/&gt;&lt;wsp:rsid wsp:val=&quot;00AF6C9E&quot;/&gt;&lt;wsp:rsid wsp:val=&quot;00B103D4&quot;/&gt;&lt;wsp:rsid wsp:val=&quot;00B10406&quot;/&gt;&lt;wsp:rsid wsp:val=&quot;00B14680&quot;/&gt;&lt;wsp:rsid wsp:val=&quot;00B166EA&quot;/&gt;&lt;wsp:rsid wsp:val=&quot;00B17044&quot;/&gt;&lt;wsp:rsid wsp:val=&quot;00B21167&quot;/&gt;&lt;wsp:rsid wsp:val=&quot;00B22D13&quot;/&gt;&lt;wsp:rsid wsp:val=&quot;00B24E2B&quot;/&gt;&lt;wsp:rsid wsp:val=&quot;00B260C5&quot;/&gt;&lt;wsp:rsid wsp:val=&quot;00B301AC&quot;/&gt;&lt;wsp:rsid wsp:val=&quot;00B30423&quot;/&gt;&lt;wsp:rsid wsp:val=&quot;00B30E9D&quot;/&gt;&lt;wsp:rsid wsp:val=&quot;00B315F4&quot;/&gt;&lt;wsp:rsid wsp:val=&quot;00B31CED&quot;/&gt;&lt;wsp:rsid wsp:val=&quot;00B31D7A&quot;/&gt;&lt;wsp:rsid wsp:val=&quot;00B31F98&quot;/&gt;&lt;wsp:rsid wsp:val=&quot;00B32452&quot;/&gt;&lt;wsp:rsid wsp:val=&quot;00B34591&quot;/&gt;&lt;wsp:rsid wsp:val=&quot;00B44F2B&quot;/&gt;&lt;wsp:rsid wsp:val=&quot;00B470A0&quot;/&gt;&lt;wsp:rsid wsp:val=&quot;00B57407&quot;/&gt;&lt;wsp:rsid wsp:val=&quot;00B61B78&quot;/&gt;&lt;wsp:rsid wsp:val=&quot;00B64F97&quot;/&gt;&lt;wsp:rsid wsp:val=&quot;00B717EB&quot;/&gt;&lt;wsp:rsid wsp:val=&quot;00B7215C&quot;/&gt;&lt;wsp:rsid wsp:val=&quot;00B7731C&quot;/&gt;&lt;wsp:rsid wsp:val=&quot;00B77705&quot;/&gt;&lt;wsp:rsid wsp:val=&quot;00B81A06&quot;/&gt;&lt;wsp:rsid wsp:val=&quot;00B837AA&quot;/&gt;&lt;wsp:rsid wsp:val=&quot;00B844F4&quot;/&gt;&lt;wsp:rsid wsp:val=&quot;00B85075&quot;/&gt;&lt;wsp:rsid wsp:val=&quot;00B906F2&quot;/&gt;&lt;wsp:rsid wsp:val=&quot;00B90A85&quot;/&gt;&lt;wsp:rsid wsp:val=&quot;00B918F4&quot;/&gt;&lt;wsp:rsid wsp:val=&quot;00B94CB1&quot;/&gt;&lt;wsp:rsid wsp:val=&quot;00BA0C9B&quot;/&gt;&lt;wsp:rsid wsp:val=&quot;00BA6EB7&quot;/&gt;&lt;wsp:rsid wsp:val=&quot;00BB4D00&quot;/&gt;&lt;wsp:rsid wsp:val=&quot;00BB67B1&quot;/&gt;&lt;wsp:rsid wsp:val=&quot;00BC1E5E&quot;/&gt;&lt;wsp:rsid wsp:val=&quot;00BC57A2&quot;/&gt;&lt;wsp:rsid wsp:val=&quot;00BD3EE7&quot;/&gt;&lt;wsp:rsid wsp:val=&quot;00BD4A34&quot;/&gt;&lt;wsp:rsid wsp:val=&quot;00BE0DAC&quot;/&gt;&lt;wsp:rsid wsp:val=&quot;00BE1CF5&quot;/&gt;&lt;wsp:rsid wsp:val=&quot;00BE2A9F&quot;/&gt;&lt;wsp:rsid wsp:val=&quot;00BE5148&quot;/&gt;&lt;wsp:rsid wsp:val=&quot;00BE67A8&quot;/&gt;&lt;wsp:rsid wsp:val=&quot;00BE7045&quot;/&gt;&lt;wsp:rsid wsp:val=&quot;00BF12DE&quot;/&gt;&lt;wsp:rsid wsp:val=&quot;00BF1FFD&quot;/&gt;&lt;wsp:rsid wsp:val=&quot;00BF2AC8&quot;/&gt;&lt;wsp:rsid wsp:val=&quot;00BF6417&quot;/&gt;&lt;wsp:rsid wsp:val=&quot;00C00BFD&quot;/&gt;&lt;wsp:rsid wsp:val=&quot;00C01A29&quot;/&gt;&lt;wsp:rsid wsp:val=&quot;00C06B11&quot;/&gt;&lt;wsp:rsid wsp:val=&quot;00C1433C&quot;/&gt;&lt;wsp:rsid wsp:val=&quot;00C159B9&quot;/&gt;&lt;wsp:rsid wsp:val=&quot;00C17EBF&quot;/&gt;&lt;wsp:rsid wsp:val=&quot;00C2280D&quot;/&gt;&lt;wsp:rsid wsp:val=&quot;00C22BAE&quot;/&gt;&lt;wsp:rsid wsp:val=&quot;00C31F71&quot;/&gt;&lt;wsp:rsid wsp:val=&quot;00C3318E&quot;/&gt;&lt;wsp:rsid wsp:val=&quot;00C36896&quot;/&gt;&lt;wsp:rsid wsp:val=&quot;00C37777&quot;/&gt;&lt;wsp:rsid wsp:val=&quot;00C43DBF&quot;/&gt;&lt;wsp:rsid wsp:val=&quot;00C450AD&quot;/&gt;&lt;wsp:rsid wsp:val=&quot;00C45585&quot;/&gt;&lt;wsp:rsid wsp:val=&quot;00C4753C&quot;/&gt;&lt;wsp:rsid wsp:val=&quot;00C50526&quot;/&gt;&lt;wsp:rsid wsp:val=&quot;00C51888&quot;/&gt;&lt;wsp:rsid wsp:val=&quot;00C53549&quot;/&gt;&lt;wsp:rsid wsp:val=&quot;00C60120&quot;/&gt;&lt;wsp:rsid wsp:val=&quot;00C74A9F&quot;/&gt;&lt;wsp:rsid wsp:val=&quot;00C74BB0&quot;/&gt;&lt;wsp:rsid wsp:val=&quot;00C75602&quot;/&gt;&lt;wsp:rsid wsp:val=&quot;00C7560E&quot;/&gt;&lt;wsp:rsid wsp:val=&quot;00C84773&quot;/&gt;&lt;wsp:rsid wsp:val=&quot;00C95056&quot;/&gt;&lt;wsp:rsid wsp:val=&quot;00C9512F&quot;/&gt;&lt;wsp:rsid wsp:val=&quot;00CA185D&quot;/&gt;&lt;wsp:rsid wsp:val=&quot;00CA32F1&quot;/&gt;&lt;wsp:rsid wsp:val=&quot;00CA3362&quot;/&gt;&lt;wsp:rsid wsp:val=&quot;00CA5F3F&quot;/&gt;&lt;wsp:rsid wsp:val=&quot;00CA6042&quot;/&gt;&lt;wsp:rsid wsp:val=&quot;00CA65EB&quot;/&gt;&lt;wsp:rsid wsp:val=&quot;00CB05F5&quot;/&gt;&lt;wsp:rsid wsp:val=&quot;00CB0B32&quot;/&gt;&lt;wsp:rsid wsp:val=&quot;00CB31A6&quot;/&gt;&lt;wsp:rsid wsp:val=&quot;00CB579F&quot;/&gt;&lt;wsp:rsid wsp:val=&quot;00CC0204&quot;/&gt;&lt;wsp:rsid wsp:val=&quot;00CC046E&quot;/&gt;&lt;wsp:rsid wsp:val=&quot;00CC39E6&quot;/&gt;&lt;wsp:rsid wsp:val=&quot;00CC48CE&quot;/&gt;&lt;wsp:rsid wsp:val=&quot;00CD03AD&quot;/&gt;&lt;wsp:rsid wsp:val=&quot;00CD0764&quot;/&gt;&lt;wsp:rsid wsp:val=&quot;00CD66CC&quot;/&gt;&lt;wsp:rsid wsp:val=&quot;00CD757D&quot;/&gt;&lt;wsp:rsid wsp:val=&quot;00CE07AC&quot;/&gt;&lt;wsp:rsid wsp:val=&quot;00CE6148&quot;/&gt;&lt;wsp:rsid wsp:val=&quot;00CE6FEA&quot;/&gt;&lt;wsp:rsid wsp:val=&quot;00CF50B1&quot;/&gt;&lt;wsp:rsid wsp:val=&quot;00CF69E1&quot;/&gt;&lt;wsp:rsid wsp:val=&quot;00CF799D&quot;/&gt;&lt;wsp:rsid wsp:val=&quot;00D03F30&quot;/&gt;&lt;wsp:rsid wsp:val=&quot;00D03F81&quot;/&gt;&lt;wsp:rsid wsp:val=&quot;00D05501&quot;/&gt;&lt;wsp:rsid wsp:val=&quot;00D10839&quot;/&gt;&lt;wsp:rsid wsp:val=&quot;00D11FEA&quot;/&gt;&lt;wsp:rsid wsp:val=&quot;00D13022&quot;/&gt;&lt;wsp:rsid wsp:val=&quot;00D1580D&quot;/&gt;&lt;wsp:rsid wsp:val=&quot;00D15EFB&quot;/&gt;&lt;wsp:rsid wsp:val=&quot;00D160D1&quot;/&gt;&lt;wsp:rsid wsp:val=&quot;00D20492&quot;/&gt;&lt;wsp:rsid wsp:val=&quot;00D2295B&quot;/&gt;&lt;wsp:rsid wsp:val=&quot;00D26067&quot;/&gt;&lt;wsp:rsid wsp:val=&quot;00D26C14&quot;/&gt;&lt;wsp:rsid wsp:val=&quot;00D31C70&quot;/&gt;&lt;wsp:rsid wsp:val=&quot;00D363A5&quot;/&gt;&lt;wsp:rsid wsp:val=&quot;00D41EC6&quot;/&gt;&lt;wsp:rsid wsp:val=&quot;00D43B3B&quot;/&gt;&lt;wsp:rsid wsp:val=&quot;00D45F32&quot;/&gt;&lt;wsp:rsid wsp:val=&quot;00D471E3&quot;/&gt;&lt;wsp:rsid wsp:val=&quot;00D52B81&quot;/&gt;&lt;wsp:rsid wsp:val=&quot;00D61252&quot;/&gt;&lt;wsp:rsid wsp:val=&quot;00D70B41&quot;/&gt;&lt;wsp:rsid wsp:val=&quot;00D7247B&quot;/&gt;&lt;wsp:rsid wsp:val=&quot;00D73202&quot;/&gt;&lt;wsp:rsid wsp:val=&quot;00D7571D&quot;/&gt;&lt;wsp:rsid wsp:val=&quot;00D8165D&quot;/&gt;&lt;wsp:rsid wsp:val=&quot;00D81BBF&quot;/&gt;&lt;wsp:rsid wsp:val=&quot;00D81E46&quot;/&gt;&lt;wsp:rsid wsp:val=&quot;00D8419F&quot;/&gt;&lt;wsp:rsid wsp:val=&quot;00D84DE0&quot;/&gt;&lt;wsp:rsid wsp:val=&quot;00D85A59&quot;/&gt;&lt;wsp:rsid wsp:val=&quot;00D90426&quot;/&gt;&lt;wsp:rsid wsp:val=&quot;00D9064F&quot;/&gt;&lt;wsp:rsid wsp:val=&quot;00D92731&quot;/&gt;&lt;wsp:rsid wsp:val=&quot;00D935AD&quot;/&gt;&lt;wsp:rsid wsp:val=&quot;00D93957&quot;/&gt;&lt;wsp:rsid wsp:val=&quot;00D9436E&quot;/&gt;&lt;wsp:rsid wsp:val=&quot;00D95433&quot;/&gt;&lt;wsp:rsid wsp:val=&quot;00D955BE&quot;/&gt;&lt;wsp:rsid wsp:val=&quot;00DA257E&quot;/&gt;&lt;wsp:rsid wsp:val=&quot;00DA3E39&quot;/&gt;&lt;wsp:rsid wsp:val=&quot;00DA628B&quot;/&gt;&lt;wsp:rsid wsp:val=&quot;00DA6880&quot;/&gt;&lt;wsp:rsid wsp:val=&quot;00DA715F&quot;/&gt;&lt;wsp:rsid wsp:val=&quot;00DB56AA&quot;/&gt;&lt;wsp:rsid wsp:val=&quot;00DC01A0&quot;/&gt;&lt;wsp:rsid wsp:val=&quot;00DC2201&quot;/&gt;&lt;wsp:rsid wsp:val=&quot;00DC3584&quot;/&gt;&lt;wsp:rsid wsp:val=&quot;00DD2544&quot;/&gt;&lt;wsp:rsid wsp:val=&quot;00DD3521&quot;/&gt;&lt;wsp:rsid wsp:val=&quot;00DE336D&quot;/&gt;&lt;wsp:rsid wsp:val=&quot;00DE5216&quot;/&gt;&lt;wsp:rsid wsp:val=&quot;00DF3B6F&quot;/&gt;&lt;wsp:rsid wsp:val=&quot;00DF4637&quot;/&gt;&lt;wsp:rsid wsp:val=&quot;00DF47DD&quot;/&gt;&lt;wsp:rsid wsp:val=&quot;00DF5044&quot;/&gt;&lt;wsp:rsid wsp:val=&quot;00DF5ED5&quot;/&gt;&lt;wsp:rsid wsp:val=&quot;00E02C5E&quot;/&gt;&lt;wsp:rsid wsp:val=&quot;00E02DEA&quot;/&gt;&lt;wsp:rsid wsp:val=&quot;00E02FBA&quot;/&gt;&lt;wsp:rsid wsp:val=&quot;00E063B2&quot;/&gt;&lt;wsp:rsid wsp:val=&quot;00E155B1&quot;/&gt;&lt;wsp:rsid wsp:val=&quot;00E16067&quot;/&gt;&lt;wsp:rsid wsp:val=&quot;00E22154&quot;/&gt;&lt;wsp:rsid wsp:val=&quot;00E224CB&quot;/&gt;&lt;wsp:rsid wsp:val=&quot;00E23F92&quot;/&gt;&lt;wsp:rsid wsp:val=&quot;00E24180&quot;/&gt;&lt;wsp:rsid wsp:val=&quot;00E26BBD&quot;/&gt;&lt;wsp:rsid wsp:val=&quot;00E2730C&quot;/&gt;&lt;wsp:rsid wsp:val=&quot;00E35504&quot;/&gt;&lt;wsp:rsid wsp:val=&quot;00E41C3E&quot;/&gt;&lt;wsp:rsid wsp:val=&quot;00E44A40&quot;/&gt;&lt;wsp:rsid wsp:val=&quot;00E456F7&quot;/&gt;&lt;wsp:rsid wsp:val=&quot;00E45CE9&quot;/&gt;&lt;wsp:rsid wsp:val=&quot;00E46911&quot;/&gt;&lt;wsp:rsid wsp:val=&quot;00E50F4B&quot;/&gt;&lt;wsp:rsid wsp:val=&quot;00E51E6B&quot;/&gt;&lt;wsp:rsid wsp:val=&quot;00E553C9&quot;/&gt;&lt;wsp:rsid wsp:val=&quot;00E56398&quot;/&gt;&lt;wsp:rsid wsp:val=&quot;00E57398&quot;/&gt;&lt;wsp:rsid wsp:val=&quot;00E6135C&quot;/&gt;&lt;wsp:rsid wsp:val=&quot;00E63A4A&quot;/&gt;&lt;wsp:rsid wsp:val=&quot;00E64843&quot;/&gt;&lt;wsp:rsid wsp:val=&quot;00E670B7&quot;/&gt;&lt;wsp:rsid wsp:val=&quot;00E675B5&quot;/&gt;&lt;wsp:rsid wsp:val=&quot;00E67CBC&quot;/&gt;&lt;wsp:rsid wsp:val=&quot;00E703EE&quot;/&gt;&lt;wsp:rsid wsp:val=&quot;00E7048F&quot;/&gt;&lt;wsp:rsid wsp:val=&quot;00E70EA3&quot;/&gt;&lt;wsp:rsid wsp:val=&quot;00E73211&quot;/&gt;&lt;wsp:rsid wsp:val=&quot;00E8234E&quot;/&gt;&lt;wsp:rsid wsp:val=&quot;00E831B5&quot;/&gt;&lt;wsp:rsid wsp:val=&quot;00E92998&quot;/&gt;&lt;wsp:rsid wsp:val=&quot;00E96C1E&quot;/&gt;&lt;wsp:rsid wsp:val=&quot;00EA22D3&quot;/&gt;&lt;wsp:rsid wsp:val=&quot;00EA3E4B&quot;/&gt;&lt;wsp:rsid wsp:val=&quot;00EA4C1A&quot;/&gt;&lt;wsp:rsid wsp:val=&quot;00EA71AF&quot;/&gt;&lt;wsp:rsid wsp:val=&quot;00EB06BA&quot;/&gt;&lt;wsp:rsid wsp:val=&quot;00EB100A&quot;/&gt;&lt;wsp:rsid wsp:val=&quot;00EB2EC0&quot;/&gt;&lt;wsp:rsid wsp:val=&quot;00EB37F2&quot;/&gt;&lt;wsp:rsid wsp:val=&quot;00EB6975&quot;/&gt;&lt;wsp:rsid wsp:val=&quot;00EC25DA&quot;/&gt;&lt;wsp:rsid wsp:val=&quot;00EC4D23&quot;/&gt;&lt;wsp:rsid wsp:val=&quot;00EC57C5&quot;/&gt;&lt;wsp:rsid wsp:val=&quot;00ED3A5A&quot;/&gt;&lt;wsp:rsid wsp:val=&quot;00ED3C3B&quot;/&gt;&lt;wsp:rsid wsp:val=&quot;00ED6751&quot;/&gt;&lt;wsp:rsid wsp:val=&quot;00ED6E44&quot;/&gt;&lt;wsp:rsid wsp:val=&quot;00EE1A40&quot;/&gt;&lt;wsp:rsid wsp:val=&quot;00EE598D&quot;/&gt;&lt;wsp:rsid wsp:val=&quot;00EF0A1F&quot;/&gt;&lt;wsp:rsid wsp:val=&quot;00EF71B2&quot;/&gt;&lt;wsp:rsid wsp:val=&quot;00F034B1&quot;/&gt;&lt;wsp:rsid wsp:val=&quot;00F07788&quot;/&gt;&lt;wsp:rsid wsp:val=&quot;00F07B3B&quot;/&gt;&lt;wsp:rsid wsp:val=&quot;00F147CB&quot;/&gt;&lt;wsp:rsid wsp:val=&quot;00F15DC9&quot;/&gt;&lt;wsp:rsid wsp:val=&quot;00F17806&quot;/&gt;&lt;wsp:rsid wsp:val=&quot;00F217D6&quot;/&gt;&lt;wsp:rsid wsp:val=&quot;00F2422B&quot;/&gt;&lt;wsp:rsid wsp:val=&quot;00F25938&quot;/&gt;&lt;wsp:rsid wsp:val=&quot;00F27C4F&quot;/&gt;&lt;wsp:rsid wsp:val=&quot;00F33497&quot;/&gt;&lt;wsp:rsid wsp:val=&quot;00F34EA4&quot;/&gt;&lt;wsp:rsid wsp:val=&quot;00F40362&quot;/&gt;&lt;wsp:rsid wsp:val=&quot;00F4094A&quot;/&gt;&lt;wsp:rsid wsp:val=&quot;00F41A0E&quot;/&gt;&lt;wsp:rsid wsp:val=&quot;00F41DD2&quot;/&gt;&lt;wsp:rsid wsp:val=&quot;00F43F45&quot;/&gt;&lt;wsp:rsid wsp:val=&quot;00F467DB&quot;/&gt;&lt;wsp:rsid wsp:val=&quot;00F46E15&quot;/&gt;&lt;wsp:rsid wsp:val=&quot;00F47A9D&quot;/&gt;&lt;wsp:rsid wsp:val=&quot;00F50B82&quot;/&gt;&lt;wsp:rsid wsp:val=&quot;00F522F4&quot;/&gt;&lt;wsp:rsid wsp:val=&quot;00F53046&quot;/&gt;&lt;wsp:rsid wsp:val=&quot;00F54198&quot;/&gt;&lt;wsp:rsid wsp:val=&quot;00F558CB&quot;/&gt;&lt;wsp:rsid wsp:val=&quot;00F5734B&quot;/&gt;&lt;wsp:rsid wsp:val=&quot;00F57AD0&quot;/&gt;&lt;wsp:rsid wsp:val=&quot;00F60F2F&quot;/&gt;&lt;wsp:rsid wsp:val=&quot;00F62BA2&quot;/&gt;&lt;wsp:rsid wsp:val=&quot;00F66CC3&quot;/&gt;&lt;wsp:rsid wsp:val=&quot;00F70BF0&quot;/&gt;&lt;wsp:rsid wsp:val=&quot;00F763A6&quot;/&gt;&lt;wsp:rsid wsp:val=&quot;00F833A3&quot;/&gt;&lt;wsp:rsid wsp:val=&quot;00F83845&quot;/&gt;&lt;wsp:rsid wsp:val=&quot;00F83A6F&quot;/&gt;&lt;wsp:rsid wsp:val=&quot;00F843BA&quot;/&gt;&lt;wsp:rsid wsp:val=&quot;00F86EAF&quot;/&gt;&lt;wsp:rsid wsp:val=&quot;00F8798C&quot;/&gt;&lt;wsp:rsid wsp:val=&quot;00F94B1D&quot;/&gt;&lt;wsp:rsid wsp:val=&quot;00F9653E&quot;/&gt;&lt;wsp:rsid wsp:val=&quot;00F969C7&quot;/&gt;&lt;wsp:rsid wsp:val=&quot;00F97014&quot;/&gt;&lt;wsp:rsid wsp:val=&quot;00FA068F&quot;/&gt;&lt;wsp:rsid wsp:val=&quot;00FA23FD&quot;/&gt;&lt;wsp:rsid wsp:val=&quot;00FA4956&quot;/&gt;&lt;wsp:rsid wsp:val=&quot;00FB0BFF&quot;/&gt;&lt;wsp:rsid wsp:val=&quot;00FB2530&quot;/&gt;&lt;wsp:rsid wsp:val=&quot;00FB2A35&quot;/&gt;&lt;wsp:rsid wsp:val=&quot;00FB32D4&quot;/&gt;&lt;wsp:rsid wsp:val=&quot;00FC0986&quot;/&gt;&lt;wsp:rsid wsp:val=&quot;00FC7CFD&quot;/&gt;&lt;wsp:rsid wsp:val=&quot;00FD007F&quot;/&gt;&lt;wsp:rsid wsp:val=&quot;00FD01F3&quot;/&gt;&lt;wsp:rsid wsp:val=&quot;00FE0DFF&quot;/&gt;&lt;wsp:rsid wsp:val=&quot;00FE1A3C&quot;/&gt;&lt;wsp:rsid wsp:val=&quot;00FE2A13&quot;/&gt;&lt;wsp:rsid wsp:val=&quot;00FF217A&quot;/&gt;&lt;wsp:rsid wsp:val=&quot;00FF22AB&quot;/&gt;&lt;wsp:rsid wsp:val=&quot;00FF2DB2&quot;/&gt;&lt;wsp:rsid wsp:val=&quot;00FF72C5&quot;/&gt;&lt;wsp:rsid wsp:val=&quot;00FF7A23&quot;/&gt;&lt;wsp:rsid wsp:val=&quot;36257002&quot;/&gt;&lt;wsp:rsid wsp:val=&quot;40393C72&quot;/&gt;&lt;wsp:rsid wsp:val=&quot;56725384&quot;/&gt;&lt;wsp:rsid wsp:val=&quot;5DE36CD9&quot;/&gt;&lt;/wsp:rsids&gt;&lt;/w:docPr&gt;&lt;w:body&gt;&lt;wx:sect&gt;&lt;w:p wsp:rsidR=&quot;00000000&quot; wsp:rsidRDefault=&quot;006951CE&quot; wsp:rsidP=&quot;006951CE&quot;&gt;&lt;m:oMathPara&gt;&lt;m:oMath&gt;&lt;m:r&gt;&lt;m:rPr&gt;&lt;m:nor/&gt;&lt;/m:rPr&gt;&lt;w:rPr&gt;&lt;w:color w:val=&quot;000000&quot;/&gt;&lt;w:sz w:val=&quot;22&quot;/&gt;&lt;w:sz-cs w:val=&quot;22&quot;/&gt;&lt;/w:rPr&gt;&lt;m:t&gt;1&lt;/m:t&gt;&lt;/m:r&gt;&lt;m:r&gt;&lt;m:rPr&gt;&lt;m:nor/&gt;&lt;/m:rPr&gt;&lt;w:rPr&gt;&lt;w:sz w:val=&quot;22&quot;/&gt;&lt;w:sz-cs w:val=&quot;22&quot;/&gt;&lt;/w:rPr&gt;&lt;m:t&gt;.&lt;/m:t&gt;&lt;/m:r&gt;&lt;m:r&gt;&lt;m:rPr&gt;&lt;m:nor/&gt;&lt;/m:rPr&gt;&lt;w:rPr&gt;&lt;w:color w:val=&quot;000000&quot;/&gt;&lt;w:sz w:val=&quot;22&quot;/&gt;&lt;w:sz-cs w:val=&quot;22&quot;/&gt;&lt;/w:rPr&gt;&lt;m:t&gt;96√ó&lt;/m:t&gt;&lt;/m:r&gt;&lt;m:rad&gt;&lt;m:radPr&gt;&lt;m:de&lt;/gHide &lt;m&lt;m&lt;mm:val=&quot;1&quot;/&gt;&lt;m:ctrlPr&gt;&lt;w:rPr&gt;&lt;w:rFonts w:ascii=&quot;C22ambria :vMath&quot; w:h-ansi=&quot;Cambria Math&quot;/&gt;&lt;wx:font wm:m:m:x:val=&quot;Cambria Math&quot;/&gt;&lt;w&lt;/:i/&gt;&lt;w:color w:val=&quot;000&gt;&lt; w w w w w w w w w w w000&quot;/&gt;&lt;w:2&quot;sz w0&quot;:va-c-c-c-cl=&quot;22&quot;/&gt;va&lt;w:sz-c2&quot;s w:va:sl=&quot;2cs2&quot;/&gt;&lt;/w:rPr&gt;&lt;/m:ctrlPr&gt;&lt;/m:radPr&gt;&lt;m:deg/&gt;&lt;m:e&gt;&lt;m:r&gt;&lt;m:rPr&gt;&lt;m:nor/&gt;&lt;/m:rPr&gt;&lt;w:rPr&gt;&lt;w:color w:val=&quot;000000&quot;/&gt;&lt;w:sz w:val=&quot;22&quot;/&gt;&lt;w:sz-cs w:val=&quot;22&quot;/&gt;&lt;/w:rPr&gt;&lt;m:t&gt;(n1+n2)/(n1√ón w2) w&lt;/ wm: wt&gt; w&lt;&lt; w// wm: wr&gt; w&lt;/ wm: we&gt;&lt;/m:rad&gt;&lt;2&quot;/&gt;&lt;m:oMath&gt;-c&lt;/-cm:-coM-cath0&quot;Para&gt;va&lt;/w:p&gt;&lt;w:sectPr2&quot; wsp:rsi:sdR=&quot;00cs000000&quot;&gt;&lt;w:pgSz w:w=&quot;&lt;m12240&quot; w:h=&quot;15840&quot;m:/&gt;r&gt;&lt;w&lt;m:pgMar w:top=&quot;1440&quot; w:right=&quot;1440&quot; w:bottom=&quot;14&lt;w40&quot;00 w:left=&quot;1440&quot; w:header=&quot;720&quot; w:footer=&quot;720&quot; w:gutr&gt;te&lt;mr=:t&quot;0&quot;/&gt;&lt;w:cols w:space=&quot;720&quot;/&gt;&lt;/w:sectPr&gt;&lt;/wx:sect&gt;&lt;/w:body&gt;&lt;/w:wordDocument&gt;">
            <v:imagedata r:id="rId9" o:title="" chromakey="white"/>
          </v:shape>
        </w:pict>
      </w:r>
      <w:r>
        <w:rPr>
          <w:color w:val="000000"/>
          <w:sz w:val="20"/>
          <w:szCs w:val="20"/>
        </w:rPr>
        <w:instrText xml:space="preserve"> </w:instrText>
      </w:r>
      <w:r>
        <w:rPr>
          <w:color w:val="000000"/>
          <w:sz w:val="20"/>
          <w:szCs w:val="20"/>
        </w:rPr>
        <w:fldChar w:fldCharType="end"/>
      </w:r>
      <w:r>
        <w:rPr>
          <w:color w:val="000000"/>
          <w:sz w:val="20"/>
          <w:szCs w:val="20"/>
        </w:rPr>
        <w:t xml:space="preserve"> </w:t>
      </w:r>
      <w:bookmarkEnd w:id="254"/>
      <w:r>
        <w:rPr>
          <w:color w:val="000000"/>
          <w:sz w:val="20"/>
          <w:szCs w:val="20"/>
        </w:rPr>
        <w:t xml:space="preserve">will be considered imbalanced between the two groups and adjusted for in </w:t>
      </w:r>
      <w:r>
        <w:rPr>
          <w:sz w:val="20"/>
          <w:szCs w:val="20"/>
        </w:rPr>
        <w:t>all analyses if considered necessary.</w:t>
      </w:r>
      <w:bookmarkEnd w:id="253"/>
    </w:p>
    <w:p w14:paraId="543296D2" w14:textId="77777777" w:rsidR="00555164" w:rsidRDefault="00555164">
      <w:pPr>
        <w:pStyle w:val="ad"/>
        <w:spacing w:beforeLines="50" w:before="120" w:beforeAutospacing="0" w:afterLines="50" w:after="120" w:afterAutospacing="0"/>
        <w:rPr>
          <w:rFonts w:eastAsiaTheme="minorEastAsia"/>
          <w:sz w:val="20"/>
          <w:szCs w:val="20"/>
        </w:rPr>
      </w:pPr>
    </w:p>
    <w:p w14:paraId="33D0DE4A" w14:textId="77777777" w:rsidR="00555164" w:rsidRDefault="002C73C0">
      <w:pPr>
        <w:pStyle w:val="af9"/>
        <w:snapToGrid w:val="0"/>
        <w:spacing w:beforeLines="50" w:before="120" w:afterLines="50" w:after="120"/>
        <w:jc w:val="left"/>
        <w:rPr>
          <w:b/>
          <w:bCs/>
          <w:i/>
          <w:iCs/>
          <w:kern w:val="28"/>
          <w:sz w:val="20"/>
          <w:szCs w:val="20"/>
        </w:rPr>
      </w:pPr>
      <w:r>
        <w:rPr>
          <w:b/>
          <w:bCs/>
          <w:i/>
          <w:iCs/>
          <w:color w:val="333333"/>
          <w:sz w:val="20"/>
          <w:szCs w:val="20"/>
          <w:shd w:val="clear" w:color="auto" w:fill="FFFFFF"/>
        </w:rPr>
        <w:t xml:space="preserve">3.4 </w:t>
      </w:r>
      <w:r>
        <w:rPr>
          <w:b/>
          <w:bCs/>
          <w:i/>
          <w:iCs/>
          <w:sz w:val="20"/>
          <w:szCs w:val="20"/>
        </w:rPr>
        <w:t>Intra- and postoperative variables</w:t>
      </w:r>
    </w:p>
    <w:p w14:paraId="6EEC9B37" w14:textId="77777777" w:rsidR="00555164" w:rsidRDefault="002C73C0">
      <w:pPr>
        <w:pStyle w:val="ad"/>
        <w:snapToGrid w:val="0"/>
        <w:spacing w:beforeLines="50" w:before="120" w:beforeAutospacing="0" w:afterLines="50" w:after="120" w:afterAutospacing="0"/>
        <w:rPr>
          <w:rFonts w:eastAsiaTheme="minorEastAsia"/>
          <w:sz w:val="20"/>
          <w:szCs w:val="20"/>
        </w:rPr>
      </w:pPr>
      <w:r>
        <w:rPr>
          <w:rFonts w:eastAsiaTheme="minorEastAsia"/>
          <w:sz w:val="20"/>
          <w:szCs w:val="20"/>
        </w:rPr>
        <w:t xml:space="preserve">Numeric variables will be analyzed using the independent-samples t test or Mann-Whitney U test; categorical variables will be analyzed using the chi square test, continuity correction chi square test or Fisher exact test. Missing data will not be replaced. </w:t>
      </w:r>
    </w:p>
    <w:p w14:paraId="060B8120" w14:textId="77777777" w:rsidR="00555164" w:rsidRDefault="00555164">
      <w:pPr>
        <w:pStyle w:val="ad"/>
        <w:spacing w:beforeLines="50" w:before="120" w:beforeAutospacing="0" w:afterLines="50" w:after="120" w:afterAutospacing="0"/>
        <w:rPr>
          <w:rFonts w:eastAsiaTheme="minorEastAsia"/>
          <w:sz w:val="20"/>
          <w:szCs w:val="20"/>
        </w:rPr>
      </w:pPr>
    </w:p>
    <w:p w14:paraId="02654AB9" w14:textId="77777777" w:rsidR="00555164" w:rsidRDefault="002C73C0">
      <w:pPr>
        <w:pStyle w:val="ad"/>
        <w:spacing w:beforeLines="50" w:before="120" w:beforeAutospacing="0" w:afterLines="50" w:after="120" w:afterAutospacing="0"/>
        <w:rPr>
          <w:b/>
          <w:i/>
          <w:sz w:val="20"/>
          <w:szCs w:val="20"/>
        </w:rPr>
      </w:pPr>
      <w:r>
        <w:rPr>
          <w:b/>
          <w:i/>
          <w:sz w:val="20"/>
          <w:szCs w:val="20"/>
        </w:rPr>
        <w:t xml:space="preserve">3.5 Efficacy analysis </w:t>
      </w:r>
    </w:p>
    <w:p w14:paraId="02F04120" w14:textId="77777777" w:rsidR="00555164" w:rsidRDefault="002C73C0">
      <w:pPr>
        <w:pStyle w:val="ad"/>
        <w:spacing w:beforeLines="50" w:before="120" w:beforeAutospacing="0" w:afterLines="50" w:after="120" w:afterAutospacing="0"/>
        <w:rPr>
          <w:sz w:val="20"/>
          <w:szCs w:val="20"/>
        </w:rPr>
      </w:pPr>
      <w:r>
        <w:rPr>
          <w:sz w:val="20"/>
          <w:szCs w:val="20"/>
        </w:rPr>
        <w:t xml:space="preserve">3.5.1 </w:t>
      </w:r>
      <w:bookmarkStart w:id="255" w:name="_Hlk44790550"/>
      <w:r>
        <w:rPr>
          <w:sz w:val="20"/>
          <w:szCs w:val="20"/>
        </w:rPr>
        <w:t>Evaluation of primary endpoint</w:t>
      </w:r>
      <w:bookmarkEnd w:id="255"/>
      <w:r>
        <w:rPr>
          <w:sz w:val="20"/>
          <w:szCs w:val="20"/>
        </w:rPr>
        <w:t xml:space="preserve"> </w:t>
      </w:r>
    </w:p>
    <w:p w14:paraId="55FF18A8" w14:textId="77777777" w:rsidR="00555164" w:rsidRDefault="002C73C0">
      <w:pPr>
        <w:pStyle w:val="ad"/>
        <w:spacing w:beforeLines="50" w:before="120" w:beforeAutospacing="0" w:afterLines="50" w:after="120" w:afterAutospacing="0"/>
        <w:rPr>
          <w:sz w:val="20"/>
          <w:szCs w:val="20"/>
        </w:rPr>
      </w:pPr>
      <w:r>
        <w:rPr>
          <w:sz w:val="20"/>
          <w:szCs w:val="20"/>
        </w:rPr>
        <w:t xml:space="preserve">3.5.1.1 The incidence of delirium within 7 days after surgery will be calculated. Comparison between groups will be performed with Chi-Squared test. The difference of risk for postoperative delirium between two groups will be expressed as relative risk (RR) and 95% CI. For patients with missing data due to early hospital discharge or death, the last delirium assessment results will be considered as the missing data when calculating the incidence of delirium within 7 postoperative days. </w:t>
      </w:r>
    </w:p>
    <w:p w14:paraId="3661C011" w14:textId="77777777" w:rsidR="00555164" w:rsidRDefault="002C73C0">
      <w:pPr>
        <w:pStyle w:val="ad"/>
        <w:spacing w:beforeLines="50" w:before="120" w:beforeAutospacing="0" w:afterLines="50" w:after="120" w:afterAutospacing="0"/>
        <w:rPr>
          <w:sz w:val="20"/>
          <w:szCs w:val="20"/>
        </w:rPr>
      </w:pPr>
      <w:r>
        <w:rPr>
          <w:sz w:val="20"/>
          <w:szCs w:val="20"/>
        </w:rPr>
        <w:t xml:space="preserve">3.5.1.2 </w:t>
      </w:r>
      <w:bookmarkStart w:id="256" w:name="_Hlk44790685"/>
      <w:r>
        <w:rPr>
          <w:sz w:val="20"/>
          <w:szCs w:val="20"/>
        </w:rPr>
        <w:t>Unadjusted relative risks and corresponding 95% CI are calculated to assess the treatment effect in predefined subgroups. The interactions between the treatment effect and each predefined factor will be assessed separately using logistic regression. The predefined factors include study center (center 1 vs. others), age (&lt;70 years vs. ≥70 years), sex (female vs. male), education (≤9 years vs. &gt;9 years), body mass index (≤24 kg/m</w:t>
      </w:r>
      <w:r>
        <w:rPr>
          <w:sz w:val="20"/>
          <w:szCs w:val="20"/>
          <w:vertAlign w:val="superscript"/>
        </w:rPr>
        <w:t>2</w:t>
      </w:r>
      <w:r>
        <w:rPr>
          <w:sz w:val="20"/>
          <w:szCs w:val="20"/>
        </w:rPr>
        <w:t xml:space="preserve"> vs. &gt;24 kg/m</w:t>
      </w:r>
      <w:r>
        <w:rPr>
          <w:sz w:val="20"/>
          <w:szCs w:val="20"/>
          <w:vertAlign w:val="superscript"/>
        </w:rPr>
        <w:t>2</w:t>
      </w:r>
      <w:r>
        <w:rPr>
          <w:sz w:val="20"/>
          <w:szCs w:val="20"/>
        </w:rPr>
        <w:t>), duration of surgery (&lt;240 min vs. ≥240 min), location of surgery (thoracic vs. abdominal), type of surgery (mini-invasive vs. open)</w:t>
      </w:r>
      <w:r>
        <w:rPr>
          <w:rFonts w:eastAsia="宋体"/>
          <w:sz w:val="20"/>
          <w:szCs w:val="20"/>
        </w:rPr>
        <w:t>,</w:t>
      </w:r>
      <w:r>
        <w:rPr>
          <w:sz w:val="20"/>
          <w:szCs w:val="20"/>
        </w:rPr>
        <w:t xml:space="preserve"> and ICU admission (no vs. yes). The relative risk (95% CI) for each subgroup and the p values of treat-by-covariate interactions will be displayed in a forest plot. </w:t>
      </w:r>
      <w:bookmarkEnd w:id="256"/>
    </w:p>
    <w:p w14:paraId="5F12129B" w14:textId="77777777" w:rsidR="00555164" w:rsidRDefault="002C73C0">
      <w:pPr>
        <w:pStyle w:val="ad"/>
        <w:spacing w:beforeLines="50" w:before="120" w:beforeAutospacing="0" w:afterLines="50" w:after="120" w:afterAutospacing="0"/>
        <w:rPr>
          <w:sz w:val="20"/>
          <w:szCs w:val="20"/>
        </w:rPr>
      </w:pPr>
      <w:r>
        <w:rPr>
          <w:sz w:val="20"/>
          <w:szCs w:val="20"/>
        </w:rPr>
        <w:t xml:space="preserve">3.5.2 </w:t>
      </w:r>
      <w:bookmarkStart w:id="257" w:name="_Hlk44791016"/>
      <w:r>
        <w:rPr>
          <w:sz w:val="20"/>
          <w:szCs w:val="20"/>
        </w:rPr>
        <w:t>Evaluation of secondary endpoints</w:t>
      </w:r>
      <w:bookmarkEnd w:id="257"/>
      <w:r>
        <w:rPr>
          <w:sz w:val="20"/>
          <w:szCs w:val="20"/>
        </w:rPr>
        <w:t xml:space="preserve"> </w:t>
      </w:r>
    </w:p>
    <w:p w14:paraId="5360BA9F" w14:textId="77777777" w:rsidR="00555164" w:rsidRDefault="002C73C0">
      <w:pPr>
        <w:pStyle w:val="ad"/>
        <w:spacing w:beforeLines="50" w:before="120" w:beforeAutospacing="0" w:afterLines="50" w:after="120" w:afterAutospacing="0"/>
        <w:rPr>
          <w:sz w:val="20"/>
          <w:szCs w:val="20"/>
        </w:rPr>
      </w:pPr>
      <w:r>
        <w:rPr>
          <w:sz w:val="20"/>
          <w:szCs w:val="20"/>
        </w:rPr>
        <w:t>3.5.2.1 Time‐to‐event variables (</w:t>
      </w:r>
      <w:bookmarkStart w:id="258" w:name="_Hlk44791184"/>
      <w:r>
        <w:rPr>
          <w:sz w:val="20"/>
          <w:szCs w:val="20"/>
        </w:rPr>
        <w:t>time to onset of delirium</w:t>
      </w:r>
      <w:bookmarkEnd w:id="258"/>
      <w:r>
        <w:rPr>
          <w:sz w:val="20"/>
          <w:szCs w:val="20"/>
        </w:rPr>
        <w:t xml:space="preserve">, </w:t>
      </w:r>
      <w:bookmarkStart w:id="259" w:name="_Hlk44791063"/>
      <w:r>
        <w:rPr>
          <w:sz w:val="20"/>
          <w:szCs w:val="20"/>
        </w:rPr>
        <w:t>time to extubation, length of stay in ICU</w:t>
      </w:r>
      <w:bookmarkEnd w:id="259"/>
      <w:r>
        <w:rPr>
          <w:sz w:val="20"/>
          <w:szCs w:val="20"/>
        </w:rPr>
        <w:t>, time to resume fluid/food intake, length of stay in hospital after surgery) will be calculated with the Kaplan-Meier estimator, with differences between groups assessed by the log-rank test. The estimates hazard ratio (HR) and 95% CI will be provided. Patients who die within 30 days after surgery will be censored at the time of death.</w:t>
      </w:r>
    </w:p>
    <w:p w14:paraId="40E43855" w14:textId="77777777" w:rsidR="00555164" w:rsidRDefault="002C73C0">
      <w:pPr>
        <w:pStyle w:val="ad"/>
        <w:spacing w:beforeLines="50" w:before="120" w:beforeAutospacing="0" w:afterLines="50" w:after="120" w:afterAutospacing="0"/>
        <w:rPr>
          <w:sz w:val="20"/>
          <w:szCs w:val="20"/>
        </w:rPr>
      </w:pPr>
      <w:r>
        <w:rPr>
          <w:sz w:val="20"/>
          <w:szCs w:val="20"/>
        </w:rPr>
        <w:t>3.5.2.2 Categorical variables (</w:t>
      </w:r>
      <w:bookmarkStart w:id="260" w:name="_Hlk44793204"/>
      <w:r>
        <w:rPr>
          <w:sz w:val="20"/>
          <w:szCs w:val="20"/>
        </w:rPr>
        <w:t xml:space="preserve">percentage with endotracheal intubation at ICU admission, </w:t>
      </w:r>
      <w:bookmarkEnd w:id="260"/>
      <w:r>
        <w:rPr>
          <w:sz w:val="20"/>
          <w:szCs w:val="20"/>
        </w:rPr>
        <w:t xml:space="preserve">incidence of non-delirium complications within 30 days, 30-day all-cause mortality rate, percentage with moderate to severe pain, and percentage of motoric delirium subtypes) will be analyzed using the Chi-Square test, continuity correction </w:t>
      </w:r>
      <w:r>
        <w:rPr>
          <w:sz w:val="20"/>
          <w:szCs w:val="20"/>
        </w:rPr>
        <w:lastRenderedPageBreak/>
        <w:t xml:space="preserve">Chi-Square test or Fisher exact test. The estimated relative risk (RR) and 95% CI will be provided when possible. Missing data will not be replaced. </w:t>
      </w:r>
    </w:p>
    <w:p w14:paraId="0E51F52A" w14:textId="77777777" w:rsidR="00555164" w:rsidRDefault="002C73C0">
      <w:pPr>
        <w:pStyle w:val="ad"/>
        <w:spacing w:beforeLines="50" w:before="120" w:beforeAutospacing="0" w:afterLines="50" w:after="120" w:afterAutospacing="0"/>
        <w:rPr>
          <w:rFonts w:eastAsia="等线"/>
          <w:sz w:val="20"/>
          <w:szCs w:val="20"/>
        </w:rPr>
      </w:pPr>
      <w:r>
        <w:rPr>
          <w:sz w:val="20"/>
          <w:szCs w:val="20"/>
        </w:rPr>
        <w:t xml:space="preserve">3.5.2.3 </w:t>
      </w:r>
      <w:r>
        <w:rPr>
          <w:rFonts w:eastAsia="等线"/>
          <w:sz w:val="20"/>
          <w:szCs w:val="20"/>
        </w:rPr>
        <w:t>Numeric variable (</w:t>
      </w:r>
      <w:bookmarkStart w:id="261" w:name="_Hlk44793219"/>
      <w:r>
        <w:rPr>
          <w:rFonts w:eastAsia="等线"/>
          <w:sz w:val="20"/>
          <w:szCs w:val="20"/>
        </w:rPr>
        <w:t>APACHE II score at ICU admission</w:t>
      </w:r>
      <w:bookmarkEnd w:id="261"/>
      <w:r>
        <w:rPr>
          <w:rFonts w:eastAsia="等线"/>
          <w:sz w:val="20"/>
          <w:szCs w:val="20"/>
        </w:rPr>
        <w:t xml:space="preserve">, serum concentrations of cortisol, IL-6 and IL-8) will be analyzed using the independent-samples t test or Mann-Whitney U test. The mean/median difference and 95% CI will be provided. The difference between two medians (and 95% CI) will be calculated with the Hodges-Lehmann estimator. Missing data will not be replaced.  </w:t>
      </w:r>
    </w:p>
    <w:p w14:paraId="79370F64" w14:textId="77777777" w:rsidR="00555164" w:rsidRDefault="00555164">
      <w:pPr>
        <w:pStyle w:val="ad"/>
        <w:spacing w:beforeLines="50" w:before="120" w:beforeAutospacing="0" w:afterLines="50" w:after="120" w:afterAutospacing="0"/>
        <w:rPr>
          <w:rFonts w:eastAsia="等线"/>
          <w:sz w:val="20"/>
          <w:szCs w:val="20"/>
        </w:rPr>
      </w:pPr>
    </w:p>
    <w:p w14:paraId="505665F0" w14:textId="77777777" w:rsidR="00555164" w:rsidRDefault="002C73C0">
      <w:pPr>
        <w:pStyle w:val="ad"/>
        <w:spacing w:beforeLines="50" w:before="120" w:beforeAutospacing="0" w:afterLines="50" w:after="120" w:afterAutospacing="0"/>
        <w:rPr>
          <w:rFonts w:eastAsia="等线"/>
          <w:b/>
          <w:bCs/>
          <w:i/>
          <w:iCs/>
          <w:sz w:val="20"/>
          <w:szCs w:val="20"/>
        </w:rPr>
      </w:pPr>
      <w:r>
        <w:rPr>
          <w:rFonts w:eastAsia="等线"/>
          <w:b/>
          <w:bCs/>
          <w:i/>
          <w:iCs/>
          <w:sz w:val="20"/>
          <w:szCs w:val="20"/>
        </w:rPr>
        <w:t>3.6 Safety analysis</w:t>
      </w:r>
    </w:p>
    <w:p w14:paraId="1D9196B6"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3.6.1 Describe the occurrence of adverse events in each group.</w:t>
      </w:r>
    </w:p>
    <w:p w14:paraId="754F7485"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3.6.2 Describe the management of adverse events when appropriate.</w:t>
      </w:r>
    </w:p>
    <w:p w14:paraId="0435F932"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 xml:space="preserve">3.6.3 Describe the occurrence of severe adverse events. </w:t>
      </w:r>
    </w:p>
    <w:p w14:paraId="25A5B5C7"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 xml:space="preserve">3.6.4 The rates of adverse events and/or managements between the two groups will be compared with Chi-Square test, continuity correction Chi-Square test or Fisher exact test. </w:t>
      </w:r>
    </w:p>
    <w:p w14:paraId="613B5920" w14:textId="77777777" w:rsidR="00555164" w:rsidRDefault="002C73C0">
      <w:pPr>
        <w:pStyle w:val="ad"/>
        <w:spacing w:beforeLines="50" w:before="120" w:beforeAutospacing="0" w:afterLines="50" w:after="120" w:afterAutospacing="0"/>
        <w:rPr>
          <w:rFonts w:eastAsia="等线"/>
          <w:sz w:val="20"/>
          <w:szCs w:val="20"/>
        </w:rPr>
      </w:pPr>
      <w:r>
        <w:rPr>
          <w:rFonts w:eastAsia="等线"/>
          <w:sz w:val="20"/>
          <w:szCs w:val="20"/>
        </w:rPr>
        <w:t xml:space="preserve">3.6.5 Missing data will not be replaced. </w:t>
      </w:r>
    </w:p>
    <w:p w14:paraId="3CD7058E" w14:textId="77777777" w:rsidR="00555164" w:rsidRDefault="00555164">
      <w:pPr>
        <w:pStyle w:val="ad"/>
        <w:spacing w:beforeLines="50" w:before="120" w:beforeAutospacing="0" w:afterLines="50" w:after="120" w:afterAutospacing="0"/>
        <w:rPr>
          <w:rFonts w:eastAsia="等线"/>
          <w:sz w:val="20"/>
          <w:szCs w:val="20"/>
        </w:rPr>
      </w:pPr>
    </w:p>
    <w:p w14:paraId="1FFCE5C4" w14:textId="77777777" w:rsidR="00555164" w:rsidRDefault="002C73C0">
      <w:pPr>
        <w:pStyle w:val="ad"/>
        <w:spacing w:beforeLines="50" w:before="120" w:beforeAutospacing="0" w:afterLines="50" w:after="120" w:afterAutospacing="0"/>
        <w:rPr>
          <w:rFonts w:eastAsia="等线"/>
          <w:b/>
          <w:bCs/>
          <w:sz w:val="20"/>
          <w:szCs w:val="20"/>
        </w:rPr>
      </w:pPr>
      <w:r>
        <w:rPr>
          <w:rFonts w:eastAsia="等线"/>
          <w:b/>
          <w:bCs/>
          <w:sz w:val="20"/>
          <w:szCs w:val="20"/>
        </w:rPr>
        <w:t>4. References</w:t>
      </w:r>
    </w:p>
    <w:p w14:paraId="44074720" w14:textId="77777777" w:rsidR="00555164" w:rsidRDefault="00555164">
      <w:pPr>
        <w:pStyle w:val="ad"/>
        <w:spacing w:beforeLines="50" w:before="120" w:beforeAutospacing="0" w:afterLines="50" w:after="120" w:afterAutospacing="0"/>
        <w:rPr>
          <w:rFonts w:eastAsia="等线"/>
          <w:sz w:val="20"/>
          <w:szCs w:val="20"/>
        </w:rPr>
      </w:pPr>
    </w:p>
    <w:p w14:paraId="664075EF" w14:textId="77777777" w:rsidR="00555164" w:rsidRDefault="002C73C0">
      <w:pPr>
        <w:pStyle w:val="af7"/>
        <w:widowControl w:val="0"/>
        <w:numPr>
          <w:ilvl w:val="0"/>
          <w:numId w:val="4"/>
        </w:numPr>
        <w:autoSpaceDE w:val="0"/>
        <w:autoSpaceDN w:val="0"/>
        <w:adjustRightInd w:val="0"/>
        <w:spacing w:before="120" w:after="120"/>
        <w:rPr>
          <w:sz w:val="20"/>
          <w:szCs w:val="20"/>
        </w:rPr>
      </w:pPr>
      <w:r>
        <w:rPr>
          <w:rFonts w:ascii="Times New Roman" w:hAnsi="Times New Roman"/>
          <w:sz w:val="20"/>
          <w:szCs w:val="20"/>
        </w:rPr>
        <w:t>Wang W, Li HL, Wang DX, Zhu X, Li SL, Yao GQ, Chen KS, Gu XE, Zhu SN: Haloperidol prophylaxis decreases delirium incidence in elderly patients after noncardiac surgery: A randomized controlled trial*. Crit Care Med 2012; 40:731–9</w:t>
      </w:r>
    </w:p>
    <w:p w14:paraId="51F92D76" w14:textId="77777777" w:rsidR="00555164" w:rsidRDefault="002C73C0">
      <w:pPr>
        <w:pStyle w:val="af7"/>
        <w:widowControl w:val="0"/>
        <w:numPr>
          <w:ilvl w:val="0"/>
          <w:numId w:val="4"/>
        </w:numPr>
        <w:autoSpaceDE w:val="0"/>
        <w:autoSpaceDN w:val="0"/>
        <w:adjustRightInd w:val="0"/>
        <w:spacing w:before="120" w:after="120"/>
        <w:rPr>
          <w:rFonts w:ascii="Times New Roman" w:hAnsi="Times New Roman"/>
          <w:sz w:val="20"/>
          <w:szCs w:val="20"/>
        </w:rPr>
      </w:pPr>
      <w:r>
        <w:rPr>
          <w:rFonts w:ascii="Times New Roman" w:hAnsi="Times New Roman"/>
          <w:sz w:val="20"/>
          <w:szCs w:val="20"/>
        </w:rPr>
        <w:t>Austin PC: Balance diagnostics for comparing the distribution of baseline covariates between treatment groups in propensity-score matched samples. Stat Med 2009; 28:3083–107</w:t>
      </w:r>
    </w:p>
    <w:bookmarkEnd w:id="250"/>
    <w:p w14:paraId="5F51E753" w14:textId="77777777" w:rsidR="00555164" w:rsidRDefault="00555164">
      <w:pPr>
        <w:pStyle w:val="ad"/>
        <w:rPr>
          <w:sz w:val="20"/>
          <w:szCs w:val="20"/>
        </w:rPr>
      </w:pPr>
    </w:p>
    <w:p w14:paraId="642444B9" w14:textId="77777777" w:rsidR="00555164" w:rsidRDefault="002C73C0">
      <w:pPr>
        <w:pStyle w:val="ad"/>
        <w:rPr>
          <w:rFonts w:eastAsia="宋体"/>
          <w:sz w:val="20"/>
          <w:szCs w:val="20"/>
        </w:rPr>
      </w:pPr>
      <w:r>
        <w:rPr>
          <w:rFonts w:eastAsia="宋体"/>
          <w:sz w:val="20"/>
          <w:szCs w:val="20"/>
        </w:rPr>
        <w:br w:type="page"/>
      </w:r>
    </w:p>
    <w:p w14:paraId="5E6D6AC9" w14:textId="77777777" w:rsidR="00555164" w:rsidRDefault="002C73C0">
      <w:pPr>
        <w:pStyle w:val="ad"/>
        <w:spacing w:beforeLines="50" w:before="120" w:beforeAutospacing="0" w:afterLines="50" w:after="120" w:afterAutospacing="0"/>
        <w:outlineLvl w:val="0"/>
        <w:rPr>
          <w:rFonts w:eastAsiaTheme="minorEastAsia"/>
          <w:b/>
          <w:sz w:val="22"/>
          <w:szCs w:val="22"/>
        </w:rPr>
      </w:pPr>
      <w:bookmarkStart w:id="262" w:name="_Toc44796202"/>
      <w:bookmarkStart w:id="263" w:name="_Hlk44788388"/>
      <w:r>
        <w:rPr>
          <w:rFonts w:eastAsiaTheme="minorEastAsia"/>
          <w:b/>
          <w:sz w:val="22"/>
          <w:szCs w:val="22"/>
        </w:rPr>
        <w:lastRenderedPageBreak/>
        <w:t>Summary of changes from the original statistical analysis plan</w:t>
      </w:r>
      <w:bookmarkEnd w:id="262"/>
    </w:p>
    <w:p w14:paraId="26A68B58" w14:textId="77777777" w:rsidR="00555164" w:rsidRDefault="00555164">
      <w:pPr>
        <w:pStyle w:val="ad"/>
        <w:spacing w:beforeLines="50" w:before="120" w:beforeAutospacing="0" w:afterLines="50" w:after="120" w:afterAutospacing="0"/>
        <w:rPr>
          <w:rFonts w:eastAsia="宋体"/>
          <w:sz w:val="20"/>
          <w:szCs w:val="20"/>
        </w:rPr>
      </w:pPr>
    </w:p>
    <w:p w14:paraId="5E3C7F24" w14:textId="77777777" w:rsidR="00555164" w:rsidRDefault="00555164">
      <w:pPr>
        <w:pStyle w:val="ad"/>
        <w:spacing w:beforeLines="50" w:before="120" w:beforeAutospacing="0" w:afterLines="50" w:after="120" w:afterAutospacing="0"/>
        <w:rPr>
          <w:rFonts w:eastAsia="宋体"/>
          <w:sz w:val="20"/>
          <w:szCs w:val="20"/>
        </w:rPr>
      </w:pPr>
    </w:p>
    <w:p w14:paraId="51E66F8E" w14:textId="77777777" w:rsidR="00555164" w:rsidRDefault="002C73C0">
      <w:pPr>
        <w:spacing w:beforeLines="50" w:before="120" w:afterLines="50" w:after="120"/>
        <w:rPr>
          <w:sz w:val="20"/>
          <w:szCs w:val="20"/>
        </w:rPr>
      </w:pPr>
      <w:r>
        <w:rPr>
          <w:sz w:val="20"/>
          <w:szCs w:val="20"/>
        </w:rPr>
        <w:t>In “General principles” section, we added the significant level for treat-by-covariate interaction: “For the treatment-by-covariate interaction in predefined subgroup analyses, a p&lt;0.10 will be defined as statistically significant” (clause 3.1.2).</w:t>
      </w:r>
    </w:p>
    <w:p w14:paraId="10526E82" w14:textId="77777777" w:rsidR="00555164" w:rsidRDefault="002C73C0">
      <w:pPr>
        <w:spacing w:beforeLines="50" w:before="120" w:afterLines="50" w:after="120"/>
        <w:rPr>
          <w:sz w:val="20"/>
          <w:szCs w:val="20"/>
        </w:rPr>
      </w:pPr>
      <w:r>
        <w:rPr>
          <w:sz w:val="20"/>
          <w:szCs w:val="20"/>
        </w:rPr>
        <w:t>In “Demographics and baseline characteristics” section, we changed the method to compare between-group differences: “Between-group differences are compared using the absolute standardized differences (ASDs), which are defined as the absolute difference in means, mean ranks or proportions divided by the pooled standard deviation and calculated with the formula published by Austin.</w:t>
      </w:r>
      <w:r>
        <w:rPr>
          <w:sz w:val="20"/>
          <w:szCs w:val="20"/>
          <w:vertAlign w:val="superscript"/>
        </w:rPr>
        <w:t>1</w:t>
      </w:r>
      <w:r>
        <w:rPr>
          <w:sz w:val="20"/>
          <w:szCs w:val="20"/>
        </w:rPr>
        <w:t xml:space="preserve"> Baseline variables with an absolute standardized difference </w:t>
      </w:r>
      <w:r>
        <w:rPr>
          <w:color w:val="000000"/>
          <w:sz w:val="20"/>
          <w:szCs w:val="20"/>
        </w:rPr>
        <w:t>≥</w:t>
      </w:r>
      <m:oMath>
        <m:r>
          <m:rPr>
            <m:nor/>
          </m:rPr>
          <w:rPr>
            <w:color w:val="000000" w:themeColor="text1"/>
            <w:sz w:val="20"/>
            <w:szCs w:val="20"/>
          </w:rPr>
          <m:t>1</m:t>
        </m:r>
        <m:r>
          <m:rPr>
            <m:nor/>
          </m:rPr>
          <w:rPr>
            <w:sz w:val="20"/>
            <w:szCs w:val="20"/>
          </w:rPr>
          <m:t>.</m:t>
        </m:r>
        <m:r>
          <m:rPr>
            <m:nor/>
          </m:rPr>
          <w:rPr>
            <w:color w:val="000000" w:themeColor="text1"/>
            <w:sz w:val="20"/>
            <w:szCs w:val="20"/>
          </w:rPr>
          <m:t>96×</m:t>
        </m:r>
        <m:rad>
          <m:radPr>
            <m:degHide m:val="1"/>
            <m:ctrlPr>
              <w:rPr>
                <w:rFonts w:ascii="Cambria Math" w:hAnsi="Cambria Math"/>
                <w:i/>
                <w:color w:val="000000" w:themeColor="text1"/>
                <w:sz w:val="20"/>
                <w:szCs w:val="20"/>
              </w:rPr>
            </m:ctrlPr>
          </m:radPr>
          <m:deg/>
          <m:e>
            <m:r>
              <m:rPr>
                <m:nor/>
              </m:rPr>
              <w:rPr>
                <w:color w:val="000000" w:themeColor="text1"/>
                <w:sz w:val="20"/>
                <w:szCs w:val="20"/>
              </w:rPr>
              <m:t>(n1+n2)/(n1×n2)</m:t>
            </m:r>
          </m:e>
        </m:rad>
      </m:oMath>
      <w:r>
        <w:rPr>
          <w:color w:val="000000"/>
          <w:sz w:val="20"/>
          <w:szCs w:val="20"/>
        </w:rPr>
        <w:fldChar w:fldCharType="begin"/>
      </w:r>
      <w:r>
        <w:rPr>
          <w:color w:val="000000"/>
          <w:sz w:val="20"/>
          <w:szCs w:val="20"/>
        </w:rPr>
        <w:instrText xml:space="preserve"> QUOTE </w:instrText>
      </w:r>
      <w:r w:rsidR="00535581">
        <w:rPr>
          <w:position w:val="-34"/>
          <w:sz w:val="20"/>
          <w:szCs w:val="20"/>
        </w:rPr>
        <w:pict w14:anchorId="07BCF708">
          <v:shape id="_x0000_i1027" type="#_x0000_t75" style="width:108.3pt;height:29.7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1&quot;/&gt;&lt;w:doNotEmbedSystemFonts/&gt;&lt;w:bordersDontSurroundHeader/&gt;&lt;w:bordersDontSurroundFooter/&gt;&lt;w:defaultTabStop w:val=&quot;720&quot;/&gt;&lt;w:drawingGridHorizontalSpacing w:val=&quot;120&quot;/&gt;&lt;w:drawingGridVerticalSpacing w:val=&quot;166&quot;/&gt;&lt;w:displayHorizontalDrawingGridEvery w:val=&quot;2&quot;/&gt;&lt;w:displayVerticalDrawingGridEvery w:val=&quot;2&quot;/&gt;&lt;w:characterSpacingControl w:val=&quot;DontCompress&quot;/&gt;&lt;w:validateAgainstSchema/&gt;&lt;w:saveInvalidXML w:val=&quot;off&quot;/&gt;&lt;w:ignoreMixedContent w:val=&quot;off&quot;/&gt;&lt;w:alwaysShowPlaceholderText w:val=&quot;off&quot;/&gt;&lt;w:compat&gt;&lt;w:doNotExpandShiftReturn/&gt;&lt;w:breakWrappedTables/&gt;&lt;w:snapToGridInCell/&gt;&lt;w:wrapTextWithPunct/&gt;&lt;w:useAsianBreakRules/&gt;&lt;w:dontGrowAutofit/&gt;&lt;w:useFELayout/&gt;&lt;/w:compat&gt;&lt;w:docVars&gt;&lt;w:docVar w:name=&quot;__Grammarly_42____i&quot; w:val=&quot;H4sIAAAAAAAEAKtWckksSQxILCpxzi/NK1GyMqwFAAEhoTITAAAA&quot;/&gt;&lt;w:docVar w:name=&quot;__Grammarly_42___1&quot; w:val=&quot;H4sIAAAAAAAEAKtWcslP9kxRslIyNDYyMjc2s7CwMDC0NDC3MDJU0lEKTi0uzszPAykwrAUAhf81JywAAAA=&quot;/&gt;&lt;w:docVar w:name=&quot;KY_MEDREF_DOCUID&quot; w:val=&quot;{88F5985D-ACEE-4DB8-8E2D-ECD834FF889E}&quot;/&gt;&lt;w:docVar w:name=&quot;KY_MEDREF_VERSION&quot; w:val=&quot;3&quot;/&gt;&lt;/w:docVars&gt;&lt;wsp:rsids&gt;&lt;wsp:rsidRoot wsp:val=&quot;00AE0BD4&quot;/&gt;&lt;wsp:rsid wsp:val=&quot;00012C83&quot;/&gt;&lt;wsp:rsid wsp:val=&quot;0002278C&quot;/&gt;&lt;wsp:rsid wsp:val=&quot;00025D4C&quot;/&gt;&lt;wsp:rsid wsp:val=&quot;0002650F&quot;/&gt;&lt;wsp:rsid wsp:val=&quot;0003199F&quot;/&gt;&lt;wsp:rsid wsp:val=&quot;00033856&quot;/&gt;&lt;wsp:rsid wsp:val=&quot;00037944&quot;/&gt;&lt;wsp:rsid wsp:val=&quot;00042489&quot;/&gt;&lt;wsp:rsid wsp:val=&quot;00043CC1&quot;/&gt;&lt;wsp:rsid wsp:val=&quot;00046920&quot;/&gt;&lt;wsp:rsid wsp:val=&quot;00046BE4&quot;/&gt;&lt;wsp:rsid wsp:val=&quot;0004795F&quot;/&gt;&lt;wsp:rsid wsp:val=&quot;000509EC&quot;/&gt;&lt;wsp:rsid wsp:val=&quot;00053833&quot;/&gt;&lt;wsp:rsid wsp:val=&quot;0005756A&quot;/&gt;&lt;wsp:rsid wsp:val=&quot;00061CC6&quot;/&gt;&lt;wsp:rsid wsp:val=&quot;0006350A&quot;/&gt;&lt;wsp:rsid wsp:val=&quot;0007232C&quot;/&gt;&lt;wsp:rsid wsp:val=&quot;00082288&quot;/&gt;&lt;wsp:rsid wsp:val=&quot;000853AE&quot;/&gt;&lt;wsp:rsid wsp:val=&quot;00085D66&quot;/&gt;&lt;wsp:rsid wsp:val=&quot;000937D3&quot;/&gt;&lt;wsp:rsid wsp:val=&quot;00096FBB&quot;/&gt;&lt;wsp:rsid wsp:val=&quot;00097E5B&quot;/&gt;&lt;wsp:rsid wsp:val=&quot;000A15C4&quot;/&gt;&lt;wsp:rsid wsp:val=&quot;000A2DF9&quot;/&gt;&lt;wsp:rsid wsp:val=&quot;000A2F27&quot;/&gt;&lt;wsp:rsid wsp:val=&quot;000A3BE9&quot;/&gt;&lt;wsp:rsid wsp:val=&quot;000A5AA0&quot;/&gt;&lt;wsp:rsid wsp:val=&quot;000A72F1&quot;/&gt;&lt;wsp:rsid wsp:val=&quot;000C001F&quot;/&gt;&lt;wsp:rsid wsp:val=&quot;000C3CB3&quot;/&gt;&lt;wsp:rsid wsp:val=&quot;000C485E&quot;/&gt;&lt;wsp:rsid wsp:val=&quot;000D3929&quot;/&gt;&lt;wsp:rsid wsp:val=&quot;000E2B3D&quot;/&gt;&lt;wsp:rsid wsp:val=&quot;000E38C7&quot;/&gt;&lt;wsp:rsid wsp:val=&quot;000E39D8&quot;/&gt;&lt;wsp:rsid wsp:val=&quot;000E4723&quot;/&gt;&lt;wsp:rsid wsp:val=&quot;000E6406&quot;/&gt;&lt;wsp:rsid wsp:val=&quot;000E7302&quot;/&gt;&lt;wsp:rsid wsp:val=&quot;000F35B4&quot;/&gt;&lt;wsp:rsid wsp:val=&quot;000F3FC9&quot;/&gt;&lt;wsp:rsid wsp:val=&quot;000F5385&quot;/&gt;&lt;wsp:rsid wsp:val=&quot;00100252&quot;/&gt;&lt;wsp:rsid wsp:val=&quot;001003AF&quot;/&gt;&lt;wsp:rsid wsp:val=&quot;0010230C&quot;/&gt;&lt;wsp:rsid wsp:val=&quot;00102EC6&quot;/&gt;&lt;wsp:rsid wsp:val=&quot;00105469&quot;/&gt;&lt;wsp:rsid wsp:val=&quot;00105D54&quot;/&gt;&lt;wsp:rsid wsp:val=&quot;00112E86&quot;/&gt;&lt;wsp:rsid wsp:val=&quot;00113D0B&quot;/&gt;&lt;wsp:rsid wsp:val=&quot;001141A4&quot;/&gt;&lt;wsp:rsid wsp:val=&quot;0011610A&quot;/&gt;&lt;wsp:rsid wsp:val=&quot;00117FDE&quot;/&gt;&lt;wsp:rsid wsp:val=&quot;001213AB&quot;/&gt;&lt;wsp:rsid wsp:val=&quot;001229A4&quot;/&gt;&lt;wsp:rsid wsp:val=&quot;00122D62&quot;/&gt;&lt;wsp:rsid wsp:val=&quot;00122F9C&quot;/&gt;&lt;wsp:rsid wsp:val=&quot;00123B21&quot;/&gt;&lt;wsp:rsid wsp:val=&quot;001250FE&quot;/&gt;&lt;wsp:rsid wsp:val=&quot;0012570A&quot;/&gt;&lt;wsp:rsid wsp:val=&quot;00126575&quot;/&gt;&lt;wsp:rsid wsp:val=&quot;00127519&quot;/&gt;&lt;wsp:rsid wsp:val=&quot;00135182&quot;/&gt;&lt;wsp:rsid wsp:val=&quot;00135763&quot;/&gt;&lt;wsp:rsid wsp:val=&quot;00142082&quot;/&gt;&lt;wsp:rsid wsp:val=&quot;001500BD&quot;/&gt;&lt;wsp:rsid wsp:val=&quot;001518A8&quot;/&gt;&lt;wsp:rsid wsp:val=&quot;00151F45&quot;/&gt;&lt;wsp:rsid wsp:val=&quot;00153F99&quot;/&gt;&lt;wsp:rsid wsp:val=&quot;00155AF9&quot;/&gt;&lt;wsp:rsid wsp:val=&quot;00161352&quot;/&gt;&lt;wsp:rsid wsp:val=&quot;00165FE6&quot;/&gt;&lt;wsp:rsid wsp:val=&quot;00166C18&quot;/&gt;&lt;wsp:rsid wsp:val=&quot;00181EEF&quot;/&gt;&lt;wsp:rsid wsp:val=&quot;00186F0D&quot;/&gt;&lt;wsp:rsid wsp:val=&quot;00190067&quot;/&gt;&lt;wsp:rsid wsp:val=&quot;001916F7&quot;/&gt;&lt;wsp:rsid wsp:val=&quot;00193D5B&quot;/&gt;&lt;wsp:rsid wsp:val=&quot;00195449&quot;/&gt;&lt;wsp:rsid wsp:val=&quot;001977D0&quot;/&gt;&lt;wsp:rsid wsp:val=&quot;001A0DAB&quot;/&gt;&lt;wsp:rsid wsp:val=&quot;001A1819&quot;/&gt;&lt;wsp:rsid wsp:val=&quot;001A501C&quot;/&gt;&lt;wsp:rsid wsp:val=&quot;001A55EA&quot;/&gt;&lt;wsp:rsid wsp:val=&quot;001B0E4B&quot;/&gt;&lt;wsp:rsid wsp:val=&quot;001B1F5A&quot;/&gt;&lt;wsp:rsid wsp:val=&quot;001B274F&quot;/&gt;&lt;wsp:rsid wsp:val=&quot;001B7B44&quot;/&gt;&lt;wsp:rsid wsp:val=&quot;001C0382&quot;/&gt;&lt;wsp:rsid wsp:val=&quot;001C0F5C&quot;/&gt;&lt;wsp:rsid wsp:val=&quot;001C0FD7&quot;/&gt;&lt;wsp:rsid wsp:val=&quot;001C0FF1&quot;/&gt;&lt;wsp:rsid wsp:val=&quot;001C14DE&quot;/&gt;&lt;wsp:rsid wsp:val=&quot;001C1A1F&quot;/&gt;&lt;wsp:rsid wsp:val=&quot;001C2DD8&quot;/&gt;&lt;wsp:rsid wsp:val=&quot;001C2EB2&quot;/&gt;&lt;wsp:rsid wsp:val=&quot;001C46FD&quot;/&gt;&lt;wsp:rsid wsp:val=&quot;001C4953&quot;/&gt;&lt;wsp:rsid wsp:val=&quot;001C7038&quot;/&gt;&lt;wsp:rsid wsp:val=&quot;001D07B1&quot;/&gt;&lt;wsp:rsid wsp:val=&quot;001D111B&quot;/&gt;&lt;wsp:rsid wsp:val=&quot;001D2784&quot;/&gt;&lt;wsp:rsid wsp:val=&quot;001D43C8&quot;/&gt;&lt;wsp:rsid wsp:val=&quot;001D7A1E&quot;/&gt;&lt;wsp:rsid wsp:val=&quot;001E36C0&quot;/&gt;&lt;wsp:rsid wsp:val=&quot;001E6271&quot;/&gt;&lt;wsp:rsid wsp:val=&quot;001E778A&quot;/&gt;&lt;wsp:rsid wsp:val=&quot;001F193E&quot;/&gt;&lt;wsp:rsid wsp:val=&quot;001F255B&quot;/&gt;&lt;wsp:rsid wsp:val=&quot;001F3AF7&quot;/&gt;&lt;wsp:rsid wsp:val=&quot;001F481C&quot;/&gt;&lt;wsp:rsid wsp:val=&quot;001F57AD&quot;/&gt;&lt;wsp:rsid wsp:val=&quot;001F60A1&quot;/&gt;&lt;wsp:rsid wsp:val=&quot;001F631C&quot;/&gt;&lt;wsp:rsid wsp:val=&quot;001F74E4&quot;/&gt;&lt;wsp:rsid wsp:val=&quot;00200327&quot;/&gt;&lt;wsp:rsid wsp:val=&quot;002003FE&quot;/&gt;&lt;wsp:rsid wsp:val=&quot;00201BC9&quot;/&gt;&lt;wsp:rsid wsp:val=&quot;0020248B&quot;/&gt;&lt;wsp:rsid wsp:val=&quot;0020254E&quot;/&gt;&lt;wsp:rsid wsp:val=&quot;0022050A&quot;/&gt;&lt;wsp:rsid wsp:val=&quot;0022702E&quot;/&gt;&lt;wsp:rsid wsp:val=&quot;00230E08&quot;/&gt;&lt;wsp:rsid wsp:val=&quot;00241A9B&quot;/&gt;&lt;wsp:rsid wsp:val=&quot;002423C4&quot;/&gt;&lt;wsp:rsid wsp:val=&quot;00253527&quot;/&gt;&lt;wsp:rsid wsp:val=&quot;00260428&quot;/&gt;&lt;wsp:rsid wsp:val=&quot;00260B42&quot;/&gt;&lt;wsp:rsid wsp:val=&quot;00266477&quot;/&gt;&lt;wsp:rsid wsp:val=&quot;0027733D&quot;/&gt;&lt;wsp:rsid wsp:val=&quot;002803FA&quot;/&gt;&lt;wsp:rsid wsp:val=&quot;002835A0&quot;/&gt;&lt;wsp:rsid wsp:val=&quot;00285880&quot;/&gt;&lt;wsp:rsid wsp:val=&quot;002866DE&quot;/&gt;&lt;wsp:rsid wsp:val=&quot;002904AF&quot;/&gt;&lt;wsp:rsid wsp:val=&quot;00290D04&quot;/&gt;&lt;wsp:rsid wsp:val=&quot;00290DCC&quot;/&gt;&lt;wsp:rsid wsp:val=&quot;00295D27&quot;/&gt;&lt;wsp:rsid wsp:val=&quot;002A06DD&quot;/&gt;&lt;wsp:rsid wsp:val=&quot;002A3BD0&quot;/&gt;&lt;wsp:rsid wsp:val=&quot;002A6D6A&quot;/&gt;&lt;wsp:rsid wsp:val=&quot;002B0E1E&quot;/&gt;&lt;wsp:rsid wsp:val=&quot;002B2E3A&quot;/&gt;&lt;wsp:rsid wsp:val=&quot;002B3C98&quot;/&gt;&lt;wsp:rsid wsp:val=&quot;002B621B&quot;/&gt;&lt;wsp:rsid wsp:val=&quot;002C380E&quot;/&gt;&lt;wsp:rsid wsp:val=&quot;002C5ED1&quot;/&gt;&lt;wsp:rsid wsp:val=&quot;002D6B2C&quot;/&gt;&lt;wsp:rsid wsp:val=&quot;002D6EF4&quot;/&gt;&lt;wsp:rsid wsp:val=&quot;002D711B&quot;/&gt;&lt;wsp:rsid wsp:val=&quot;002E1787&quot;/&gt;&lt;wsp:rsid wsp:val=&quot;002E56D6&quot;/&gt;&lt;wsp:rsid wsp:val=&quot;002F0D97&quot;/&gt;&lt;wsp:rsid wsp:val=&quot;00307730&quot;/&gt;&lt;wsp:rsid wsp:val=&quot;00314791&quot;/&gt;&lt;wsp:rsid wsp:val=&quot;00315C81&quot;/&gt;&lt;wsp:rsid wsp:val=&quot;00320FA4&quot;/&gt;&lt;wsp:rsid wsp:val=&quot;00322D9F&quot;/&gt;&lt;wsp:rsid wsp:val=&quot;003254F9&quot;/&gt;&lt;wsp:rsid wsp:val=&quot;00326012&quot;/&gt;&lt;wsp:rsid wsp:val=&quot;003274EB&quot;/&gt;&lt;wsp:rsid wsp:val=&quot;0033017B&quot;/&gt;&lt;wsp:rsid wsp:val=&quot;00330B10&quot;/&gt;&lt;wsp:rsid wsp:val=&quot;00330C09&quot;/&gt;&lt;wsp:rsid wsp:val=&quot;00334874&quot;/&gt;&lt;wsp:rsid wsp:val=&quot;00336D3E&quot;/&gt;&lt;wsp:rsid wsp:val=&quot;00343142&quot;/&gt;&lt;wsp:rsid wsp:val=&quot;003443B7&quot;/&gt;&lt;wsp:rsid wsp:val=&quot;00351CB2&quot;/&gt;&lt;wsp:rsid wsp:val=&quot;003542D4&quot;/&gt;&lt;wsp:rsid wsp:val=&quot;00357AC8&quot;/&gt;&lt;wsp:rsid wsp:val=&quot;0036186E&quot;/&gt;&lt;wsp:rsid wsp:val=&quot;00364598&quot;/&gt;&lt;wsp:rsid wsp:val=&quot;00371879&quot;/&gt;&lt;wsp:rsid wsp:val=&quot;003727D8&quot;/&gt;&lt;wsp:rsid wsp:val=&quot;0037306C&quot;/&gt;&lt;wsp:rsid wsp:val=&quot;00375538&quot;/&gt;&lt;wsp:rsid wsp:val=&quot;00375FE1&quot;/&gt;&lt;wsp:rsid wsp:val=&quot;00376D5B&quot;/&gt;&lt;wsp:rsid wsp:val=&quot;003827CE&quot;/&gt;&lt;wsp:rsid wsp:val=&quot;00382EA2&quot;/&gt;&lt;wsp:rsid wsp:val=&quot;00385B91&quot;/&gt;&lt;wsp:rsid wsp:val=&quot;00386B35&quot;/&gt;&lt;wsp:rsid wsp:val=&quot;00386BA8&quot;/&gt;&lt;wsp:rsid wsp:val=&quot;003878D3&quot;/&gt;&lt;wsp:rsid wsp:val=&quot;00394768&quot;/&gt;&lt;wsp:rsid wsp:val=&quot;003A062D&quot;/&gt;&lt;wsp:rsid wsp:val=&quot;003A210C&quot;/&gt;&lt;wsp:rsid wsp:val=&quot;003A3757&quot;/&gt;&lt;wsp:rsid wsp:val=&quot;003A5C21&quot;/&gt;&lt;wsp:rsid wsp:val=&quot;003A5DAC&quot;/&gt;&lt;wsp:rsid wsp:val=&quot;003A7C38&quot;/&gt;&lt;wsp:rsid wsp:val=&quot;003B51EA&quot;/&gt;&lt;wsp:rsid wsp:val=&quot;003B538F&quot;/&gt;&lt;wsp:rsid wsp:val=&quot;003B5E91&quot;/&gt;&lt;wsp:rsid wsp:val=&quot;003B5F33&quot;/&gt;&lt;wsp:rsid wsp:val=&quot;003C1696&quot;/&gt;&lt;wsp:rsid wsp:val=&quot;003C5455&quot;/&gt;&lt;wsp:rsid wsp:val=&quot;003C6C66&quot;/&gt;&lt;wsp:rsid wsp:val=&quot;003C75F2&quot;/&gt;&lt;wsp:rsid wsp:val=&quot;003D0194&quot;/&gt;&lt;wsp:rsid wsp:val=&quot;003D45F9&quot;/&gt;&lt;wsp:rsid wsp:val=&quot;003D50BF&quot;/&gt;&lt;wsp:rsid wsp:val=&quot;003E192D&quot;/&gt;&lt;wsp:rsid wsp:val=&quot;003E23AA&quot;/&gt;&lt;wsp:rsid wsp:val=&quot;003E2EAA&quot;/&gt;&lt;wsp:rsid wsp:val=&quot;003E364E&quot;/&gt;&lt;wsp:rsid wsp:val=&quot;003E4013&quot;/&gt;&lt;wsp:rsid wsp:val=&quot;003E517D&quot;/&gt;&lt;wsp:rsid wsp:val=&quot;003F4016&quot;/&gt;&lt;wsp:rsid wsp:val=&quot;003F6D90&quot;/&gt;&lt;wsp:rsid wsp:val=&quot;004012AB&quot;/&gt;&lt;wsp:rsid wsp:val=&quot;00402E01&quot;/&gt;&lt;wsp:rsid wsp:val=&quot;004038CB&quot;/&gt;&lt;wsp:rsid wsp:val=&quot;004127D3&quot;/&gt;&lt;wsp:rsid wsp:val=&quot;004134EA&quot;/&gt;&lt;wsp:rsid wsp:val=&quot;0041596D&quot;/&gt;&lt;wsp:rsid wsp:val=&quot;00416CA8&quot;/&gt;&lt;wsp:rsid wsp:val=&quot;0042241F&quot;/&gt;&lt;wsp:rsid wsp:val=&quot;004225DD&quot;/&gt;&lt;wsp:rsid wsp:val=&quot;004237E7&quot;/&gt;&lt;wsp:rsid wsp:val=&quot;004241CE&quot;/&gt;&lt;wsp:rsid wsp:val=&quot;00427925&quot;/&gt;&lt;wsp:rsid wsp:val=&quot;004310E3&quot;/&gt;&lt;wsp:rsid wsp:val=&quot;00431AD2&quot;/&gt;&lt;wsp:rsid wsp:val=&quot;0043640C&quot;/&gt;&lt;wsp:rsid wsp:val=&quot;00444698&quot;/&gt;&lt;wsp:rsid wsp:val=&quot;00445C55&quot;/&gt;&lt;wsp:rsid wsp:val=&quot;00451872&quot;/&gt;&lt;wsp:rsid wsp:val=&quot;00451CCD&quot;/&gt;&lt;wsp:rsid wsp:val=&quot;00452B3C&quot;/&gt;&lt;wsp:rsid wsp:val=&quot;00460BD9&quot;/&gt;&lt;wsp:rsid wsp:val=&quot;00466934&quot;/&gt;&lt;wsp:rsid wsp:val=&quot;00470617&quot;/&gt;&lt;wsp:rsid wsp:val=&quot;00471FA2&quot;/&gt;&lt;wsp:rsid wsp:val=&quot;00474215&quot;/&gt;&lt;wsp:rsid wsp:val=&quot;004746E2&quot;/&gt;&lt;wsp:rsid wsp:val=&quot;00474A3E&quot;/&gt;&lt;wsp:rsid wsp:val=&quot;00474F34&quot;/&gt;&lt;wsp:rsid wsp:val=&quot;00481EE3&quot;/&gt;&lt;wsp:rsid wsp:val=&quot;004832B1&quot;/&gt;&lt;wsp:rsid wsp:val=&quot;00485D1E&quot;/&gt;&lt;wsp:rsid wsp:val=&quot;00486422&quot;/&gt;&lt;wsp:rsid wsp:val=&quot;00491580&quot;/&gt;&lt;wsp:rsid wsp:val=&quot;004924B2&quot;/&gt;&lt;wsp:rsid wsp:val=&quot;004926D1&quot;/&gt;&lt;wsp:rsid wsp:val=&quot;00494287&quot;/&gt;&lt;wsp:rsid wsp:val=&quot;004965E0&quot;/&gt;&lt;wsp:rsid wsp:val=&quot;00496F05&quot;/&gt;&lt;wsp:rsid wsp:val=&quot;004A2B53&quot;/&gt;&lt;wsp:rsid wsp:val=&quot;004B2E70&quot;/&gt;&lt;wsp:rsid wsp:val=&quot;004B4F36&quot;/&gt;&lt;wsp:rsid wsp:val=&quot;004B5B59&quot;/&gt;&lt;wsp:rsid wsp:val=&quot;004B6D9C&quot;/&gt;&lt;wsp:rsid wsp:val=&quot;004C1F4F&quot;/&gt;&lt;wsp:rsid wsp:val=&quot;004C26BA&quot;/&gt;&lt;wsp:rsid wsp:val=&quot;004C7F4D&quot;/&gt;&lt;wsp:rsid wsp:val=&quot;004D4CBE&quot;/&gt;&lt;wsp:rsid wsp:val=&quot;004D59CB&quot;/&gt;&lt;wsp:rsid wsp:val=&quot;004D67EE&quot;/&gt;&lt;wsp:rsid wsp:val=&quot;004E00D3&quot;/&gt;&lt;wsp:rsid wsp:val=&quot;004E152B&quot;/&gt;&lt;wsp:rsid wsp:val=&quot;004E374B&quot;/&gt;&lt;wsp:rsid wsp:val=&quot;004E7C31&quot;/&gt;&lt;wsp:rsid wsp:val=&quot;004F06E2&quot;/&gt;&lt;wsp:rsid wsp:val=&quot;004F1C11&quot;/&gt;&lt;wsp:rsid wsp:val=&quot;004F25C6&quot;/&gt;&lt;wsp:rsid wsp:val=&quot;004F3C8D&quot;/&gt;&lt;wsp:rsid wsp:val=&quot;004F5421&quot;/&gt;&lt;wsp:rsid wsp:val=&quot;004F65BA&quot;/&gt;&lt;wsp:rsid wsp:val=&quot;004F7B3B&quot;/&gt;&lt;wsp:rsid wsp:val=&quot;00500403&quot;/&gt;&lt;wsp:rsid wsp:val=&quot;0050546E&quot;/&gt;&lt;wsp:rsid wsp:val=&quot;00506BD4&quot;/&gt;&lt;wsp:rsid wsp:val=&quot;00510BEB&quot;/&gt;&lt;wsp:rsid wsp:val=&quot;0051650A&quot;/&gt;&lt;wsp:rsid wsp:val=&quot;00516A83&quot;/&gt;&lt;wsp:rsid wsp:val=&quot;00520A71&quot;/&gt;&lt;wsp:rsid wsp:val=&quot;005249AB&quot;/&gt;&lt;wsp:rsid wsp:val=&quot;00536A07&quot;/&gt;&lt;wsp:rsid wsp:val=&quot;00541924&quot;/&gt;&lt;wsp:rsid wsp:val=&quot;00544339&quot;/&gt;&lt;wsp:rsid wsp:val=&quot;005478EC&quot;/&gt;&lt;wsp:rsid wsp:val=&quot;00547D51&quot;/&gt;&lt;wsp:rsid wsp:val=&quot;00551EB9&quot;/&gt;&lt;wsp:rsid wsp:val=&quot;005560C8&quot;/&gt;&lt;wsp:rsid wsp:val=&quot;0055691C&quot;/&gt;&lt;wsp:rsid wsp:val=&quot;0057077D&quot;/&gt;&lt;wsp:rsid wsp:val=&quot;0057269B&quot;/&gt;&lt;wsp:rsid wsp:val=&quot;00573E89&quot;/&gt;&lt;wsp:rsid wsp:val=&quot;00580652&quot;/&gt;&lt;wsp:rsid wsp:val=&quot;005810AF&quot;/&gt;&lt;wsp:rsid wsp:val=&quot;00582C77&quot;/&gt;&lt;wsp:rsid wsp:val=&quot;00586A68&quot;/&gt;&lt;wsp:rsid wsp:val=&quot;005A08E6&quot;/&gt;&lt;wsp:rsid wsp:val=&quot;005A3566&quot;/&gt;&lt;wsp:rsid wsp:val=&quot;005A3EE0&quot;/&gt;&lt;wsp:rsid wsp:val=&quot;005A69A2&quot;/&gt;&lt;wsp:rsid wsp:val=&quot;005B2006&quot;/&gt;&lt;wsp:rsid wsp:val=&quot;005B23BF&quot;/&gt;&lt;wsp:rsid wsp:val=&quot;005B64C5&quot;/&gt;&lt;wsp:rsid wsp:val=&quot;005B7130&quot;/&gt;&lt;wsp:rsid wsp:val=&quot;005C3821&quot;/&gt;&lt;wsp:rsid wsp:val=&quot;005D4DC2&quot;/&gt;&lt;wsp:rsid wsp:val=&quot;005E5EDD&quot;/&gt;&lt;wsp:rsid wsp:val=&quot;005F02EC&quot;/&gt;&lt;wsp:rsid wsp:val=&quot;005F0E4F&quot;/&gt;&lt;wsp:rsid wsp:val=&quot;005F3B69&quot;/&gt;&lt;wsp:rsid wsp:val=&quot;005F4F2C&quot;/&gt;&lt;wsp:rsid wsp:val=&quot;005F57F7&quot;/&gt;&lt;wsp:rsid wsp:val=&quot;005F5A6F&quot;/&gt;&lt;wsp:rsid wsp:val=&quot;00607F1E&quot;/&gt;&lt;wsp:rsid wsp:val=&quot;00610335&quot;/&gt;&lt;wsp:rsid wsp:val=&quot;00613327&quot;/&gt;&lt;wsp:rsid wsp:val=&quot;00623508&quot;/&gt;&lt;wsp:rsid wsp:val=&quot;006243FA&quot;/&gt;&lt;wsp:rsid wsp:val=&quot;00627B95&quot;/&gt;&lt;wsp:rsid wsp:val=&quot;00632F75&quot;/&gt;&lt;wsp:rsid wsp:val=&quot;006436FB&quot;/&gt;&lt;wsp:rsid wsp:val=&quot;00646109&quot;/&gt;&lt;wsp:rsid wsp:val=&quot;006469D5&quot;/&gt;&lt;wsp:rsid wsp:val=&quot;006501DD&quot;/&gt;&lt;wsp:rsid wsp:val=&quot;0065196D&quot;/&gt;&lt;wsp:rsid wsp:val=&quot;00651AB4&quot;/&gt;&lt;wsp:rsid wsp:val=&quot;00654463&quot;/&gt;&lt;wsp:rsid wsp:val=&quot;006560CF&quot;/&gt;&lt;wsp:rsid wsp:val=&quot;00660D08&quot;/&gt;&lt;wsp:rsid wsp:val=&quot;00662F2F&quot;/&gt;&lt;wsp:rsid wsp:val=&quot;00667B6B&quot;/&gt;&lt;wsp:rsid wsp:val=&quot;00667BA2&quot;/&gt;&lt;wsp:rsid wsp:val=&quot;0067208F&quot;/&gt;&lt;wsp:rsid wsp:val=&quot;00677808&quot;/&gt;&lt;wsp:rsid wsp:val=&quot;00681732&quot;/&gt;&lt;wsp:rsid wsp:val=&quot;006951CE&quot;/&gt;&lt;wsp:rsid wsp:val=&quot;006A1C14&quot;/&gt;&lt;wsp:rsid wsp:val=&quot;006A3A51&quot;/&gt;&lt;wsp:rsid wsp:val=&quot;006A4AB8&quot;/&gt;&lt;wsp:rsid wsp:val=&quot;006A5926&quot;/&gt;&lt;wsp:rsid wsp:val=&quot;006A5F9D&quot;/&gt;&lt;wsp:rsid wsp:val=&quot;006B0E93&quot;/&gt;&lt;wsp:rsid wsp:val=&quot;006B2DC1&quot;/&gt;&lt;wsp:rsid wsp:val=&quot;006B398B&quot;/&gt;&lt;wsp:rsid wsp:val=&quot;006C0C66&quot;/&gt;&lt;wsp:rsid wsp:val=&quot;006C2C0F&quot;/&gt;&lt;wsp:rsid wsp:val=&quot;006C4213&quot;/&gt;&lt;wsp:rsid wsp:val=&quot;006C5041&quot;/&gt;&lt;wsp:rsid wsp:val=&quot;006C5A49&quot;/&gt;&lt;wsp:rsid wsp:val=&quot;006C6439&quot;/&gt;&lt;wsp:rsid wsp:val=&quot;006D11BA&quot;/&gt;&lt;wsp:rsid wsp:val=&quot;006D29E1&quot;/&gt;&lt;wsp:rsid wsp:val=&quot;006D72D5&quot;/&gt;&lt;wsp:rsid wsp:val=&quot;006E7E8C&quot;/&gt;&lt;wsp:rsid wsp:val=&quot;006F14D1&quot;/&gt;&lt;wsp:rsid wsp:val=&quot;006F251E&quot;/&gt;&lt;wsp:rsid wsp:val=&quot;006F4A59&quot;/&gt;&lt;wsp:rsid wsp:val=&quot;006F69CC&quot;/&gt;&lt;wsp:rsid wsp:val=&quot;006F76A3&quot;/&gt;&lt;wsp:rsid wsp:val=&quot;00702684&quot;/&gt;&lt;wsp:rsid wsp:val=&quot;00702BD3&quot;/&gt;&lt;wsp:rsid wsp:val=&quot;00703C30&quot;/&gt;&lt;wsp:rsid wsp:val=&quot;0070647E&quot;/&gt;&lt;wsp:rsid wsp:val=&quot;00711670&quot;/&gt;&lt;wsp:rsid wsp:val=&quot;007216E5&quot;/&gt;&lt;wsp:rsid wsp:val=&quot;00725C80&quot;/&gt;&lt;wsp:rsid wsp:val=&quot;00725FD5&quot;/&gt;&lt;wsp:rsid wsp:val=&quot;00726A5C&quot;/&gt;&lt;wsp:rsid wsp:val=&quot;007270F5&quot;/&gt;&lt;wsp:rsid wsp:val=&quot;0072787B&quot;/&gt;&lt;wsp:rsid wsp:val=&quot;0073246B&quot;/&gt;&lt;wsp:rsid wsp:val=&quot;00736621&quot;/&gt;&lt;wsp:rsid wsp:val=&quot;00741C0D&quot;/&gt;&lt;wsp:rsid wsp:val=&quot;00743485&quot;/&gt;&lt;wsp:rsid wsp:val=&quot;00745E63&quot;/&gt;&lt;wsp:rsid wsp:val=&quot;0074627C&quot;/&gt;&lt;wsp:rsid wsp:val=&quot;0075006A&quot;/&gt;&lt;wsp:rsid wsp:val=&quot;00751673&quot;/&gt;&lt;wsp:rsid wsp:val=&quot;00752F2D&quot;/&gt;&lt;wsp:rsid wsp:val=&quot;00753187&quot;/&gt;&lt;wsp:rsid wsp:val=&quot;00753280&quot;/&gt;&lt;wsp:rsid wsp:val=&quot;00753959&quot;/&gt;&lt;wsp:rsid wsp:val=&quot;00755933&quot;/&gt;&lt;wsp:rsid wsp:val=&quot;00761DAD&quot;/&gt;&lt;wsp:rsid wsp:val=&quot;00762497&quot;/&gt;&lt;wsp:rsid wsp:val=&quot;00770943&quot;/&gt;&lt;wsp:rsid wsp:val=&quot;00775870&quot;/&gt;&lt;wsp:rsid wsp:val=&quot;00777DA9&quot;/&gt;&lt;wsp:rsid wsp:val=&quot;00785810&quot;/&gt;&lt;wsp:rsid wsp:val=&quot;00790B1A&quot;/&gt;&lt;wsp:rsid wsp:val=&quot;00792973&quot;/&gt;&lt;wsp:rsid wsp:val=&quot;007937D9&quot;/&gt;&lt;wsp:rsid wsp:val=&quot;00794323&quot;/&gt;&lt;wsp:rsid wsp:val=&quot;007A11CC&quot;/&gt;&lt;wsp:rsid wsp:val=&quot;007A150E&quot;/&gt;&lt;wsp:rsid wsp:val=&quot;007A273C&quot;/&gt;&lt;wsp:rsid wsp:val=&quot;007A30B9&quot;/&gt;&lt;wsp:rsid wsp:val=&quot;007A4648&quot;/&gt;&lt;wsp:rsid wsp:val=&quot;007A48EF&quot;/&gt;&lt;wsp:rsid wsp:val=&quot;007A6591&quot;/&gt;&lt;wsp:rsid wsp:val=&quot;007B28A0&quot;/&gt;&lt;wsp:rsid wsp:val=&quot;007B4202&quot;/&gt;&lt;wsp:rsid wsp:val=&quot;007C56D7&quot;/&gt;&lt;wsp:rsid wsp:val=&quot;007D2768&quot;/&gt;&lt;wsp:rsid wsp:val=&quot;007D4E8C&quot;/&gt;&lt;wsp:rsid wsp:val=&quot;007D4FD5&quot;/&gt;&lt;wsp:rsid wsp:val=&quot;007D697A&quot;/&gt;&lt;wsp:rsid wsp:val=&quot;007E484F&quot;/&gt;&lt;wsp:rsid wsp:val=&quot;007E68A0&quot;/&gt;&lt;wsp:rsid wsp:val=&quot;007F3B70&quot;/&gt;&lt;wsp:rsid wsp:val=&quot;007F3F04&quot;/&gt;&lt;wsp:rsid wsp:val=&quot;007F5061&quot;/&gt;&lt;wsp:rsid wsp:val=&quot;007F5E6C&quot;/&gt;&lt;wsp:rsid wsp:val=&quot;008017AA&quot;/&gt;&lt;wsp:rsid wsp:val=&quot;008075F9&quot;/&gt;&lt;wsp:rsid wsp:val=&quot;008076C5&quot;/&gt;&lt;wsp:rsid wsp:val=&quot;008125D8&quot;/&gt;&lt;wsp:rsid wsp:val=&quot;00812F2E&quot;/&gt;&lt;wsp:rsid wsp:val=&quot;008162B7&quot;/&gt;&lt;wsp:rsid wsp:val=&quot;00825A58&quot;/&gt;&lt;wsp:rsid wsp:val=&quot;0082654B&quot;/&gt;&lt;wsp:rsid wsp:val=&quot;00830DDB&quot;/&gt;&lt;wsp:rsid wsp:val=&quot;0084248B&quot;/&gt;&lt;wsp:rsid wsp:val=&quot;00842E3E&quot;/&gt;&lt;wsp:rsid wsp:val=&quot;00846C70&quot;/&gt;&lt;wsp:rsid wsp:val=&quot;00851B00&quot;/&gt;&lt;wsp:rsid wsp:val=&quot;00852A6D&quot;/&gt;&lt;wsp:rsid wsp:val=&quot;00853C9B&quot;/&gt;&lt;wsp:rsid wsp:val=&quot;00856214&quot;/&gt;&lt;wsp:rsid wsp:val=&quot;008602A3&quot;/&gt;&lt;wsp:rsid wsp:val=&quot;008617F2&quot;/&gt;&lt;wsp:rsid wsp:val=&quot;008636BD&quot;/&gt;&lt;wsp:rsid wsp:val=&quot;0086670E&quot;/&gt;&lt;wsp:rsid wsp:val=&quot;00871633&quot;/&gt;&lt;wsp:rsid wsp:val=&quot;0087487F&quot;/&gt;&lt;wsp:rsid wsp:val=&quot;00875571&quot;/&gt;&lt;wsp:rsid wsp:val=&quot;00876EC0&quot;/&gt;&lt;wsp:rsid wsp:val=&quot;008811E3&quot;/&gt;&lt;wsp:rsid wsp:val=&quot;00884CEF&quot;/&gt;&lt;wsp:rsid wsp:val=&quot;008875CB&quot;/&gt;&lt;wsp:rsid wsp:val=&quot;00887990&quot;/&gt;&lt;wsp:rsid wsp:val=&quot;00894E2D&quot;/&gt;&lt;wsp:rsid wsp:val=&quot;008A37C7&quot;/&gt;&lt;wsp:rsid wsp:val=&quot;008A41E8&quot;/&gt;&lt;wsp:rsid wsp:val=&quot;008A4919&quot;/&gt;&lt;wsp:rsid wsp:val=&quot;008B7EDC&quot;/&gt;&lt;wsp:rsid wsp:val=&quot;008C0527&quot;/&gt;&lt;wsp:rsid wsp:val=&quot;008C243F&quot;/&gt;&lt;wsp:rsid wsp:val=&quot;008C33A0&quot;/&gt;&lt;wsp:rsid wsp:val=&quot;008C43FB&quot;/&gt;&lt;wsp:rsid wsp:val=&quot;008C514E&quot;/&gt;&lt;wsp:rsid wsp:val=&quot;008C57FE&quot;/&gt;&lt;wsp:rsid wsp:val=&quot;008D1578&quot;/&gt;&lt;wsp:rsid wsp:val=&quot;008D15D0&quot;/&gt;&lt;wsp:rsid wsp:val=&quot;008D1E41&quot;/&gt;&lt;wsp:rsid wsp:val=&quot;008D2758&quot;/&gt;&lt;wsp:rsid wsp:val=&quot;008D4431&quot;/&gt;&lt;wsp:rsid wsp:val=&quot;008D468C&quot;/&gt;&lt;wsp:rsid wsp:val=&quot;008D49B2&quot;/&gt;&lt;wsp:rsid wsp:val=&quot;008D666C&quot;/&gt;&lt;wsp:rsid wsp:val=&quot;008E51EE&quot;/&gt;&lt;wsp:rsid wsp:val=&quot;008F6010&quot;/&gt;&lt;wsp:rsid wsp:val=&quot;008F6A0B&quot;/&gt;&lt;wsp:rsid wsp:val=&quot;008F6F4F&quot;/&gt;&lt;wsp:rsid wsp:val=&quot;00900093&quot;/&gt;&lt;wsp:rsid wsp:val=&quot;00903B9D&quot;/&gt;&lt;wsp:rsid wsp:val=&quot;009044B2&quot;/&gt;&lt;wsp:rsid wsp:val=&quot;0090483F&quot;/&gt;&lt;wsp:rsid wsp:val=&quot;00910904&quot;/&gt;&lt;wsp:rsid wsp:val=&quot;009201A1&quot;/&gt;&lt;wsp:rsid wsp:val=&quot;00923E16&quot;/&gt;&lt;wsp:rsid wsp:val=&quot;00926C8A&quot;/&gt;&lt;wsp:rsid wsp:val=&quot;009367B7&quot;/&gt;&lt;wsp:rsid wsp:val=&quot;00936C9F&quot;/&gt;&lt;wsp:rsid wsp:val=&quot;00936F73&quot;/&gt;&lt;wsp:rsid wsp:val=&quot;00943D15&quot;/&gt;&lt;wsp:rsid wsp:val=&quot;0094428A&quot;/&gt;&lt;wsp:rsid wsp:val=&quot;009447F9&quot;/&gt;&lt;wsp:rsid wsp:val=&quot;00951A24&quot;/&gt;&lt;wsp:rsid wsp:val=&quot;009523AB&quot;/&gt;&lt;wsp:rsid wsp:val=&quot;00953B1D&quot;/&gt;&lt;wsp:rsid wsp:val=&quot;00957F9B&quot;/&gt;&lt;wsp:rsid wsp:val=&quot;009612D0&quot;/&gt;&lt;wsp:rsid wsp:val=&quot;009647D5&quot;/&gt;&lt;wsp:rsid wsp:val=&quot;00971F5B&quot;/&gt;&lt;wsp:rsid wsp:val=&quot;00975EB0&quot;/&gt;&lt;wsp:rsid wsp:val=&quot;00977221&quot;/&gt;&lt;wsp:rsid wsp:val=&quot;00983EF8&quot;/&gt;&lt;wsp:rsid wsp:val=&quot;00984618&quot;/&gt;&lt;wsp:rsid wsp:val=&quot;00993DD0&quot;/&gt;&lt;wsp:rsid wsp:val=&quot;00994DF1&quot;/&gt;&lt;wsp:rsid wsp:val=&quot;00995172&quot;/&gt;&lt;wsp:rsid wsp:val=&quot;009A6381&quot;/&gt;&lt;wsp:rsid wsp:val=&quot;009A681E&quot;/&gt;&lt;wsp:rsid wsp:val=&quot;009A7F55&quot;/&gt;&lt;wsp:rsid wsp:val=&quot;009B1144&quot;/&gt;&lt;wsp:rsid wsp:val=&quot;009B44A0&quot;/&gt;&lt;wsp:rsid wsp:val=&quot;009B4F95&quot;/&gt;&lt;wsp:rsid wsp:val=&quot;009B6E2E&quot;/&gt;&lt;wsp:rsid wsp:val=&quot;009B73AA&quot;/&gt;&lt;wsp:rsid wsp:val=&quot;009C0B22&quot;/&gt;&lt;wsp:rsid wsp:val=&quot;009C0C4B&quot;/&gt;&lt;wsp:rsid wsp:val=&quot;009C24AD&quot;/&gt;&lt;wsp:rsid wsp:val=&quot;009C2A80&quot;/&gt;&lt;wsp:rsid wsp:val=&quot;009C39DB&quot;/&gt;&lt;wsp:rsid wsp:val=&quot;009C642F&quot;/&gt;&lt;wsp:rsid wsp:val=&quot;009D380A&quot;/&gt;&lt;wsp:rsid wsp:val=&quot;009D4108&quot;/&gt;&lt;wsp:rsid wsp:val=&quot;009D591E&quot;/&gt;&lt;wsp:rsid wsp:val=&quot;009E12A5&quot;/&gt;&lt;wsp:rsid wsp:val=&quot;009E3253&quot;/&gt;&lt;wsp:rsid wsp:val=&quot;009E32A0&quot;/&gt;&lt;wsp:rsid wsp:val=&quot;009E4C4E&quot;/&gt;&lt;wsp:rsid wsp:val=&quot;009E738B&quot;/&gt;&lt;wsp:rsid wsp:val=&quot;009F0982&quot;/&gt;&lt;wsp:rsid wsp:val=&quot;009F0E6D&quot;/&gt;&lt;wsp:rsid wsp:val=&quot;009F27D6&quot;/&gt;&lt;wsp:rsid wsp:val=&quot;009F3101&quot;/&gt;&lt;wsp:rsid wsp:val=&quot;009F3F7C&quot;/&gt;&lt;wsp:rsid wsp:val=&quot;00A005A3&quot;/&gt;&lt;wsp:rsid wsp:val=&quot;00A014F4&quot;/&gt;&lt;wsp:rsid wsp:val=&quot;00A0731C&quot;/&gt;&lt;wsp:rsid wsp:val=&quot;00A07C6F&quot;/&gt;&lt;wsp:rsid wsp:val=&quot;00A12D7F&quot;/&gt;&lt;wsp:rsid wsp:val=&quot;00A13DD1&quot;/&gt;&lt;wsp:rsid wsp:val=&quot;00A13ED6&quot;/&gt;&lt;wsp:rsid wsp:val=&quot;00A1614B&quot;/&gt;&lt;wsp:rsid wsp:val=&quot;00A169C6&quot;/&gt;&lt;wsp:rsid wsp:val=&quot;00A20180&quot;/&gt;&lt;wsp:rsid wsp:val=&quot;00A201A7&quot;/&gt;&lt;wsp:rsid wsp:val=&quot;00A2165C&quot;/&gt;&lt;wsp:rsid wsp:val=&quot;00A26082&quot;/&gt;&lt;wsp:rsid wsp:val=&quot;00A3460F&quot;/&gt;&lt;wsp:rsid wsp:val=&quot;00A41E82&quot;/&gt;&lt;wsp:rsid wsp:val=&quot;00A41F18&quot;/&gt;&lt;wsp:rsid wsp:val=&quot;00A42273&quot;/&gt;&lt;wsp:rsid wsp:val=&quot;00A444DD&quot;/&gt;&lt;wsp:rsid wsp:val=&quot;00A44FAB&quot;/&gt;&lt;wsp:rsid wsp:val=&quot;00A472B4&quot;/&gt;&lt;wsp:rsid wsp:val=&quot;00A51872&quot;/&gt;&lt;wsp:rsid wsp:val=&quot;00A53E1A&quot;/&gt;&lt;wsp:rsid wsp:val=&quot;00A54144&quot;/&gt;&lt;wsp:rsid wsp:val=&quot;00A606E8&quot;/&gt;&lt;wsp:rsid wsp:val=&quot;00A67729&quot;/&gt;&lt;wsp:rsid wsp:val=&quot;00A84BAD&quot;/&gt;&lt;wsp:rsid wsp:val=&quot;00A86236&quot;/&gt;&lt;wsp:rsid wsp:val=&quot;00A86794&quot;/&gt;&lt;wsp:rsid wsp:val=&quot;00A87A75&quot;/&gt;&lt;wsp:rsid wsp:val=&quot;00A9076B&quot;/&gt;&lt;wsp:rsid wsp:val=&quot;00A9082A&quot;/&gt;&lt;wsp:rsid wsp:val=&quot;00A92386&quot;/&gt;&lt;wsp:rsid wsp:val=&quot;00A96FE7&quot;/&gt;&lt;wsp:rsid wsp:val=&quot;00AA1D69&quot;/&gt;&lt;wsp:rsid wsp:val=&quot;00AA4EE7&quot;/&gt;&lt;wsp:rsid wsp:val=&quot;00AA5DA9&quot;/&gt;&lt;wsp:rsid wsp:val=&quot;00AB1DB6&quot;/&gt;&lt;wsp:rsid wsp:val=&quot;00AB1E23&quot;/&gt;&lt;wsp:rsid wsp:val=&quot;00AB733E&quot;/&gt;&lt;wsp:rsid wsp:val=&quot;00AC738E&quot;/&gt;&lt;wsp:rsid wsp:val=&quot;00AD4523&quot;/&gt;&lt;wsp:rsid wsp:val=&quot;00AE0443&quot;/&gt;&lt;wsp:rsid wsp:val=&quot;00AE0BD4&quot;/&gt;&lt;wsp:rsid wsp:val=&quot;00AE2BAF&quot;/&gt;&lt;wsp:rsid wsp:val=&quot;00AE3CF0&quot;/&gt;&lt;wsp:rsid wsp:val=&quot;00AE5CFB&quot;/&gt;&lt;wsp:rsid wsp:val=&quot;00AE6878&quot;/&gt;&lt;wsp:rsid wsp:val=&quot;00AE7CD1&quot;/&gt;&lt;wsp:rsid wsp:val=&quot;00AF685B&quot;/&gt;&lt;wsp:rsid wsp:val=&quot;00AF6C9E&quot;/&gt;&lt;wsp:rsid wsp:val=&quot;00B103D4&quot;/&gt;&lt;wsp:rsid wsp:val=&quot;00B10406&quot;/&gt;&lt;wsp:rsid wsp:val=&quot;00B14680&quot;/&gt;&lt;wsp:rsid wsp:val=&quot;00B166EA&quot;/&gt;&lt;wsp:rsid wsp:val=&quot;00B17044&quot;/&gt;&lt;wsp:rsid wsp:val=&quot;00B21167&quot;/&gt;&lt;wsp:rsid wsp:val=&quot;00B22D13&quot;/&gt;&lt;wsp:rsid wsp:val=&quot;00B24E2B&quot;/&gt;&lt;wsp:rsid wsp:val=&quot;00B260C5&quot;/&gt;&lt;wsp:rsid wsp:val=&quot;00B301AC&quot;/&gt;&lt;wsp:rsid wsp:val=&quot;00B30423&quot;/&gt;&lt;wsp:rsid wsp:val=&quot;00B30E9D&quot;/&gt;&lt;wsp:rsid wsp:val=&quot;00B315F4&quot;/&gt;&lt;wsp:rsid wsp:val=&quot;00B31CED&quot;/&gt;&lt;wsp:rsid wsp:val=&quot;00B31D7A&quot;/&gt;&lt;wsp:rsid wsp:val=&quot;00B31F98&quot;/&gt;&lt;wsp:rsid wsp:val=&quot;00B32452&quot;/&gt;&lt;wsp:rsid wsp:val=&quot;00B34591&quot;/&gt;&lt;wsp:rsid wsp:val=&quot;00B44F2B&quot;/&gt;&lt;wsp:rsid wsp:val=&quot;00B470A0&quot;/&gt;&lt;wsp:rsid wsp:val=&quot;00B57407&quot;/&gt;&lt;wsp:rsid wsp:val=&quot;00B61B78&quot;/&gt;&lt;wsp:rsid wsp:val=&quot;00B64F97&quot;/&gt;&lt;wsp:rsid wsp:val=&quot;00B717EB&quot;/&gt;&lt;wsp:rsid wsp:val=&quot;00B7215C&quot;/&gt;&lt;wsp:rsid wsp:val=&quot;00B7731C&quot;/&gt;&lt;wsp:rsid wsp:val=&quot;00B77705&quot;/&gt;&lt;wsp:rsid wsp:val=&quot;00B81A06&quot;/&gt;&lt;wsp:rsid wsp:val=&quot;00B837AA&quot;/&gt;&lt;wsp:rsid wsp:val=&quot;00B844F4&quot;/&gt;&lt;wsp:rsid wsp:val=&quot;00B85075&quot;/&gt;&lt;wsp:rsid wsp:val=&quot;00B906F2&quot;/&gt;&lt;wsp:rsid wsp:val=&quot;00B90A85&quot;/&gt;&lt;wsp:rsid wsp:val=&quot;00B918F4&quot;/&gt;&lt;wsp:rsid wsp:val=&quot;00B94CB1&quot;/&gt;&lt;wsp:rsid wsp:val=&quot;00BA0C9B&quot;/&gt;&lt;wsp:rsid wsp:val=&quot;00BA6EB7&quot;/&gt;&lt;wsp:rsid wsp:val=&quot;00BB4D00&quot;/&gt;&lt;wsp:rsid wsp:val=&quot;00BB67B1&quot;/&gt;&lt;wsp:rsid wsp:val=&quot;00BC1E5E&quot;/&gt;&lt;wsp:rsid wsp:val=&quot;00BC57A2&quot;/&gt;&lt;wsp:rsid wsp:val=&quot;00BD3EE7&quot;/&gt;&lt;wsp:rsid wsp:val=&quot;00BD4A34&quot;/&gt;&lt;wsp:rsid wsp:val=&quot;00BE0DAC&quot;/&gt;&lt;wsp:rsid wsp:val=&quot;00BE1CF5&quot;/&gt;&lt;wsp:rsid wsp:val=&quot;00BE2A9F&quot;/&gt;&lt;wsp:rsid wsp:val=&quot;00BE5148&quot;/&gt;&lt;wsp:rsid wsp:val=&quot;00BE67A8&quot;/&gt;&lt;wsp:rsid wsp:val=&quot;00BE7045&quot;/&gt;&lt;wsp:rsid wsp:val=&quot;00BF12DE&quot;/&gt;&lt;wsp:rsid wsp:val=&quot;00BF1FFD&quot;/&gt;&lt;wsp:rsid wsp:val=&quot;00BF2AC8&quot;/&gt;&lt;wsp:rsid wsp:val=&quot;00BF6417&quot;/&gt;&lt;wsp:rsid wsp:val=&quot;00C00BFD&quot;/&gt;&lt;wsp:rsid wsp:val=&quot;00C01A29&quot;/&gt;&lt;wsp:rsid wsp:val=&quot;00C06B11&quot;/&gt;&lt;wsp:rsid wsp:val=&quot;00C1433C&quot;/&gt;&lt;wsp:rsid wsp:val=&quot;00C159B9&quot;/&gt;&lt;wsp:rsid wsp:val=&quot;00C17EBF&quot;/&gt;&lt;wsp:rsid wsp:val=&quot;00C2280D&quot;/&gt;&lt;wsp:rsid wsp:val=&quot;00C22BAE&quot;/&gt;&lt;wsp:rsid wsp:val=&quot;00C31F71&quot;/&gt;&lt;wsp:rsid wsp:val=&quot;00C3318E&quot;/&gt;&lt;wsp:rsid wsp:val=&quot;00C36896&quot;/&gt;&lt;wsp:rsid wsp:val=&quot;00C37777&quot;/&gt;&lt;wsp:rsid wsp:val=&quot;00C43DBF&quot;/&gt;&lt;wsp:rsid wsp:val=&quot;00C450AD&quot;/&gt;&lt;wsp:rsid wsp:val=&quot;00C45585&quot;/&gt;&lt;wsp:rsid wsp:val=&quot;00C4753C&quot;/&gt;&lt;wsp:rsid wsp:val=&quot;00C50526&quot;/&gt;&lt;wsp:rsid wsp:val=&quot;00C51888&quot;/&gt;&lt;wsp:rsid wsp:val=&quot;00C53549&quot;/&gt;&lt;wsp:rsid wsp:val=&quot;00C60120&quot;/&gt;&lt;wsp:rsid wsp:val=&quot;00C74A9F&quot;/&gt;&lt;wsp:rsid wsp:val=&quot;00C74BB0&quot;/&gt;&lt;wsp:rsid wsp:val=&quot;00C75602&quot;/&gt;&lt;wsp:rsid wsp:val=&quot;00C7560E&quot;/&gt;&lt;wsp:rsid wsp:val=&quot;00C84773&quot;/&gt;&lt;wsp:rsid wsp:val=&quot;00C95056&quot;/&gt;&lt;wsp:rsid wsp:val=&quot;00C9512F&quot;/&gt;&lt;wsp:rsid wsp:val=&quot;00CA185D&quot;/&gt;&lt;wsp:rsid wsp:val=&quot;00CA32F1&quot;/&gt;&lt;wsp:rsid wsp:val=&quot;00CA3362&quot;/&gt;&lt;wsp:rsid wsp:val=&quot;00CA5F3F&quot;/&gt;&lt;wsp:rsid wsp:val=&quot;00CA6042&quot;/&gt;&lt;wsp:rsid wsp:val=&quot;00CA65EB&quot;/&gt;&lt;wsp:rsid wsp:val=&quot;00CB05F5&quot;/&gt;&lt;wsp:rsid wsp:val=&quot;00CB0B32&quot;/&gt;&lt;wsp:rsid wsp:val=&quot;00CB31A6&quot;/&gt;&lt;wsp:rsid wsp:val=&quot;00CB579F&quot;/&gt;&lt;wsp:rsid wsp:val=&quot;00CC0204&quot;/&gt;&lt;wsp:rsid wsp:val=&quot;00CC046E&quot;/&gt;&lt;wsp:rsid wsp:val=&quot;00CC39E6&quot;/&gt;&lt;wsp:rsid wsp:val=&quot;00CC48CE&quot;/&gt;&lt;wsp:rsid wsp:val=&quot;00CD03AD&quot;/&gt;&lt;wsp:rsid wsp:val=&quot;00CD0764&quot;/&gt;&lt;wsp:rsid wsp:val=&quot;00CD66CC&quot;/&gt;&lt;wsp:rsid wsp:val=&quot;00CD757D&quot;/&gt;&lt;wsp:rsid wsp:val=&quot;00CE07AC&quot;/&gt;&lt;wsp:rsid wsp:val=&quot;00CE6148&quot;/&gt;&lt;wsp:rsid wsp:val=&quot;00CE6FEA&quot;/&gt;&lt;wsp:rsid wsp:val=&quot;00CF50B1&quot;/&gt;&lt;wsp:rsid wsp:val=&quot;00CF69E1&quot;/&gt;&lt;wsp:rsid wsp:val=&quot;00CF799D&quot;/&gt;&lt;wsp:rsid wsp:val=&quot;00D03F30&quot;/&gt;&lt;wsp:rsid wsp:val=&quot;00D03F81&quot;/&gt;&lt;wsp:rsid wsp:val=&quot;00D05501&quot;/&gt;&lt;wsp:rsid wsp:val=&quot;00D10839&quot;/&gt;&lt;wsp:rsid wsp:val=&quot;00D11FEA&quot;/&gt;&lt;wsp:rsid wsp:val=&quot;00D13022&quot;/&gt;&lt;wsp:rsid wsp:val=&quot;00D1580D&quot;/&gt;&lt;wsp:rsid wsp:val=&quot;00D15EFB&quot;/&gt;&lt;wsp:rsid wsp:val=&quot;00D160D1&quot;/&gt;&lt;wsp:rsid wsp:val=&quot;00D20492&quot;/&gt;&lt;wsp:rsid wsp:val=&quot;00D2295B&quot;/&gt;&lt;wsp:rsid wsp:val=&quot;00D26067&quot;/&gt;&lt;wsp:rsid wsp:val=&quot;00D26C14&quot;/&gt;&lt;wsp:rsid wsp:val=&quot;00D31C70&quot;/&gt;&lt;wsp:rsid wsp:val=&quot;00D363A5&quot;/&gt;&lt;wsp:rsid wsp:val=&quot;00D41EC6&quot;/&gt;&lt;wsp:rsid wsp:val=&quot;00D43B3B&quot;/&gt;&lt;wsp:rsid wsp:val=&quot;00D45F32&quot;/&gt;&lt;wsp:rsid wsp:val=&quot;00D471E3&quot;/&gt;&lt;wsp:rsid wsp:val=&quot;00D52B81&quot;/&gt;&lt;wsp:rsid wsp:val=&quot;00D61252&quot;/&gt;&lt;wsp:rsid wsp:val=&quot;00D70B41&quot;/&gt;&lt;wsp:rsid wsp:val=&quot;00D7247B&quot;/&gt;&lt;wsp:rsid wsp:val=&quot;00D73202&quot;/&gt;&lt;wsp:rsid wsp:val=&quot;00D7571D&quot;/&gt;&lt;wsp:rsid wsp:val=&quot;00D8165D&quot;/&gt;&lt;wsp:rsid wsp:val=&quot;00D81BBF&quot;/&gt;&lt;wsp:rsid wsp:val=&quot;00D81E46&quot;/&gt;&lt;wsp:rsid wsp:val=&quot;00D8419F&quot;/&gt;&lt;wsp:rsid wsp:val=&quot;00D84DE0&quot;/&gt;&lt;wsp:rsid wsp:val=&quot;00D85A59&quot;/&gt;&lt;wsp:rsid wsp:val=&quot;00D90426&quot;/&gt;&lt;wsp:rsid wsp:val=&quot;00D9064F&quot;/&gt;&lt;wsp:rsid wsp:val=&quot;00D92731&quot;/&gt;&lt;wsp:rsid wsp:val=&quot;00D935AD&quot;/&gt;&lt;wsp:rsid wsp:val=&quot;00D93957&quot;/&gt;&lt;wsp:rsid wsp:val=&quot;00D9436E&quot;/&gt;&lt;wsp:rsid wsp:val=&quot;00D95433&quot;/&gt;&lt;wsp:rsid wsp:val=&quot;00D955BE&quot;/&gt;&lt;wsp:rsid wsp:val=&quot;00DA257E&quot;/&gt;&lt;wsp:rsid wsp:val=&quot;00DA3E39&quot;/&gt;&lt;wsp:rsid wsp:val=&quot;00DA628B&quot;/&gt;&lt;wsp:rsid wsp:val=&quot;00DA6880&quot;/&gt;&lt;wsp:rsid wsp:val=&quot;00DA715F&quot;/&gt;&lt;wsp:rsid wsp:val=&quot;00DB56AA&quot;/&gt;&lt;wsp:rsid wsp:val=&quot;00DC01A0&quot;/&gt;&lt;wsp:rsid wsp:val=&quot;00DC2201&quot;/&gt;&lt;wsp:rsid wsp:val=&quot;00DC3584&quot;/&gt;&lt;wsp:rsid wsp:val=&quot;00DD2544&quot;/&gt;&lt;wsp:rsid wsp:val=&quot;00DD3521&quot;/&gt;&lt;wsp:rsid wsp:val=&quot;00DE336D&quot;/&gt;&lt;wsp:rsid wsp:val=&quot;00DE5216&quot;/&gt;&lt;wsp:rsid wsp:val=&quot;00DF3B6F&quot;/&gt;&lt;wsp:rsid wsp:val=&quot;00DF4637&quot;/&gt;&lt;wsp:rsid wsp:val=&quot;00DF47DD&quot;/&gt;&lt;wsp:rsid wsp:val=&quot;00DF5044&quot;/&gt;&lt;wsp:rsid wsp:val=&quot;00DF5ED5&quot;/&gt;&lt;wsp:rsid wsp:val=&quot;00E02C5E&quot;/&gt;&lt;wsp:rsid wsp:val=&quot;00E02DEA&quot;/&gt;&lt;wsp:rsid wsp:val=&quot;00E02FBA&quot;/&gt;&lt;wsp:rsid wsp:val=&quot;00E063B2&quot;/&gt;&lt;wsp:rsid wsp:val=&quot;00E155B1&quot;/&gt;&lt;wsp:rsid wsp:val=&quot;00E16067&quot;/&gt;&lt;wsp:rsid wsp:val=&quot;00E22154&quot;/&gt;&lt;wsp:rsid wsp:val=&quot;00E224CB&quot;/&gt;&lt;wsp:rsid wsp:val=&quot;00E23F92&quot;/&gt;&lt;wsp:rsid wsp:val=&quot;00E24180&quot;/&gt;&lt;wsp:rsid wsp:val=&quot;00E26BBD&quot;/&gt;&lt;wsp:rsid wsp:val=&quot;00E2730C&quot;/&gt;&lt;wsp:rsid wsp:val=&quot;00E35504&quot;/&gt;&lt;wsp:rsid wsp:val=&quot;00E41C3E&quot;/&gt;&lt;wsp:rsid wsp:val=&quot;00E44A40&quot;/&gt;&lt;wsp:rsid wsp:val=&quot;00E456F7&quot;/&gt;&lt;wsp:rsid wsp:val=&quot;00E45CE9&quot;/&gt;&lt;wsp:rsid wsp:val=&quot;00E46911&quot;/&gt;&lt;wsp:rsid wsp:val=&quot;00E50F4B&quot;/&gt;&lt;wsp:rsid wsp:val=&quot;00E51E6B&quot;/&gt;&lt;wsp:rsid wsp:val=&quot;00E553C9&quot;/&gt;&lt;wsp:rsid wsp:val=&quot;00E56398&quot;/&gt;&lt;wsp:rsid wsp:val=&quot;00E57398&quot;/&gt;&lt;wsp:rsid wsp:val=&quot;00E6135C&quot;/&gt;&lt;wsp:rsid wsp:val=&quot;00E63A4A&quot;/&gt;&lt;wsp:rsid wsp:val=&quot;00E64843&quot;/&gt;&lt;wsp:rsid wsp:val=&quot;00E670B7&quot;/&gt;&lt;wsp:rsid wsp:val=&quot;00E675B5&quot;/&gt;&lt;wsp:rsid wsp:val=&quot;00E67CBC&quot;/&gt;&lt;wsp:rsid wsp:val=&quot;00E703EE&quot;/&gt;&lt;wsp:rsid wsp:val=&quot;00E7048F&quot;/&gt;&lt;wsp:rsid wsp:val=&quot;00E70EA3&quot;/&gt;&lt;wsp:rsid wsp:val=&quot;00E73211&quot;/&gt;&lt;wsp:rsid wsp:val=&quot;00E8234E&quot;/&gt;&lt;wsp:rsid wsp:val=&quot;00E831B5&quot;/&gt;&lt;wsp:rsid wsp:val=&quot;00E92998&quot;/&gt;&lt;wsp:rsid wsp:val=&quot;00E96C1E&quot;/&gt;&lt;wsp:rsid wsp:val=&quot;00EA22D3&quot;/&gt;&lt;wsp:rsid wsp:val=&quot;00EA3E4B&quot;/&gt;&lt;wsp:rsid wsp:val=&quot;00EA4C1A&quot;/&gt;&lt;wsp:rsid wsp:val=&quot;00EA71AF&quot;/&gt;&lt;wsp:rsid wsp:val=&quot;00EB06BA&quot;/&gt;&lt;wsp:rsid wsp:val=&quot;00EB100A&quot;/&gt;&lt;wsp:rsid wsp:val=&quot;00EB2EC0&quot;/&gt;&lt;wsp:rsid wsp:val=&quot;00EB37F2&quot;/&gt;&lt;wsp:rsid wsp:val=&quot;00EB6975&quot;/&gt;&lt;wsp:rsid wsp:val=&quot;00EC25DA&quot;/&gt;&lt;wsp:rsid wsp:val=&quot;00EC4D23&quot;/&gt;&lt;wsp:rsid wsp:val=&quot;00EC57C5&quot;/&gt;&lt;wsp:rsid wsp:val=&quot;00ED3A5A&quot;/&gt;&lt;wsp:rsid wsp:val=&quot;00ED3C3B&quot;/&gt;&lt;wsp:rsid wsp:val=&quot;00ED6751&quot;/&gt;&lt;wsp:rsid wsp:val=&quot;00ED6E44&quot;/&gt;&lt;wsp:rsid wsp:val=&quot;00EE1A40&quot;/&gt;&lt;wsp:rsid wsp:val=&quot;00EE598D&quot;/&gt;&lt;wsp:rsid wsp:val=&quot;00EF0A1F&quot;/&gt;&lt;wsp:rsid wsp:val=&quot;00EF71B2&quot;/&gt;&lt;wsp:rsid wsp:val=&quot;00F034B1&quot;/&gt;&lt;wsp:rsid wsp:val=&quot;00F07788&quot;/&gt;&lt;wsp:rsid wsp:val=&quot;00F07B3B&quot;/&gt;&lt;wsp:rsid wsp:val=&quot;00F147CB&quot;/&gt;&lt;wsp:rsid wsp:val=&quot;00F15DC9&quot;/&gt;&lt;wsp:rsid wsp:val=&quot;00F17806&quot;/&gt;&lt;wsp:rsid wsp:val=&quot;00F217D6&quot;/&gt;&lt;wsp:rsid wsp:val=&quot;00F2422B&quot;/&gt;&lt;wsp:rsid wsp:val=&quot;00F25938&quot;/&gt;&lt;wsp:rsid wsp:val=&quot;00F27C4F&quot;/&gt;&lt;wsp:rsid wsp:val=&quot;00F33497&quot;/&gt;&lt;wsp:rsid wsp:val=&quot;00F34EA4&quot;/&gt;&lt;wsp:rsid wsp:val=&quot;00F40362&quot;/&gt;&lt;wsp:rsid wsp:val=&quot;00F4094A&quot;/&gt;&lt;wsp:rsid wsp:val=&quot;00F41A0E&quot;/&gt;&lt;wsp:rsid wsp:val=&quot;00F41DD2&quot;/&gt;&lt;wsp:rsid wsp:val=&quot;00F43F45&quot;/&gt;&lt;wsp:rsid wsp:val=&quot;00F467DB&quot;/&gt;&lt;wsp:rsid wsp:val=&quot;00F46E15&quot;/&gt;&lt;wsp:rsid wsp:val=&quot;00F47A9D&quot;/&gt;&lt;wsp:rsid wsp:val=&quot;00F50B82&quot;/&gt;&lt;wsp:rsid wsp:val=&quot;00F522F4&quot;/&gt;&lt;wsp:rsid wsp:val=&quot;00F53046&quot;/&gt;&lt;wsp:rsid wsp:val=&quot;00F54198&quot;/&gt;&lt;wsp:rsid wsp:val=&quot;00F558CB&quot;/&gt;&lt;wsp:rsid wsp:val=&quot;00F5734B&quot;/&gt;&lt;wsp:rsid wsp:val=&quot;00F57AD0&quot;/&gt;&lt;wsp:rsid wsp:val=&quot;00F60F2F&quot;/&gt;&lt;wsp:rsid wsp:val=&quot;00F62BA2&quot;/&gt;&lt;wsp:rsid wsp:val=&quot;00F66CC3&quot;/&gt;&lt;wsp:rsid wsp:val=&quot;00F70BF0&quot;/&gt;&lt;wsp:rsid wsp:val=&quot;00F763A6&quot;/&gt;&lt;wsp:rsid wsp:val=&quot;00F833A3&quot;/&gt;&lt;wsp:rsid wsp:val=&quot;00F83845&quot;/&gt;&lt;wsp:rsid wsp:val=&quot;00F83A6F&quot;/&gt;&lt;wsp:rsid wsp:val=&quot;00F843BA&quot;/&gt;&lt;wsp:rsid wsp:val=&quot;00F86EAF&quot;/&gt;&lt;wsp:rsid wsp:val=&quot;00F8798C&quot;/&gt;&lt;wsp:rsid wsp:val=&quot;00F94B1D&quot;/&gt;&lt;wsp:rsid wsp:val=&quot;00F9653E&quot;/&gt;&lt;wsp:rsid wsp:val=&quot;00F969C7&quot;/&gt;&lt;wsp:rsid wsp:val=&quot;00F97014&quot;/&gt;&lt;wsp:rsid wsp:val=&quot;00FA068F&quot;/&gt;&lt;wsp:rsid wsp:val=&quot;00FA23FD&quot;/&gt;&lt;wsp:rsid wsp:val=&quot;00FA4956&quot;/&gt;&lt;wsp:rsid wsp:val=&quot;00FB0BFF&quot;/&gt;&lt;wsp:rsid wsp:val=&quot;00FB2530&quot;/&gt;&lt;wsp:rsid wsp:val=&quot;00FB2A35&quot;/&gt;&lt;wsp:rsid wsp:val=&quot;00FB32D4&quot;/&gt;&lt;wsp:rsid wsp:val=&quot;00FC0986&quot;/&gt;&lt;wsp:rsid wsp:val=&quot;00FC7CFD&quot;/&gt;&lt;wsp:rsid wsp:val=&quot;00FD007F&quot;/&gt;&lt;wsp:rsid wsp:val=&quot;00FD01F3&quot;/&gt;&lt;wsp:rsid wsp:val=&quot;00FE0DFF&quot;/&gt;&lt;wsp:rsid wsp:val=&quot;00FE1A3C&quot;/&gt;&lt;wsp:rsid wsp:val=&quot;00FE2A13&quot;/&gt;&lt;wsp:rsid wsp:val=&quot;00FF217A&quot;/&gt;&lt;wsp:rsid wsp:val=&quot;00FF22AB&quot;/&gt;&lt;wsp:rsid wsp:val=&quot;00FF2DB2&quot;/&gt;&lt;wsp:rsid wsp:val=&quot;00FF72C5&quot;/&gt;&lt;wsp:rsid wsp:val=&quot;00FF7A23&quot;/&gt;&lt;wsp:rsid wsp:val=&quot;36257002&quot;/&gt;&lt;wsp:rsid wsp:val=&quot;40393C72&quot;/&gt;&lt;wsp:rsid wsp:val=&quot;56725384&quot;/&gt;&lt;wsp:rsid wsp:val=&quot;5DE36CD9&quot;/&gt;&lt;/wsp:rsids&gt;&lt;/w:docPr&gt;&lt;w:body&gt;&lt;wx:sect&gt;&lt;w:p wsp:rsidR=&quot;00000000&quot; wsp:rsidRDefault=&quot;006951CE&quot; wsp:rsidP=&quot;006951CE&quot;&gt;&lt;m:oMathPara&gt;&lt;m:oMath&gt;&lt;m:r&gt;&lt;m:rPr&gt;&lt;m:nor/&gt;&lt;/m:rPr&gt;&lt;w:rPr&gt;&lt;w:color w:val=&quot;000000&quot;/&gt;&lt;w:sz w:val=&quot;22&quot;/&gt;&lt;w:sz-cs w:val=&quot;22&quot;/&gt;&lt;/w:rPr&gt;&lt;m:t&gt;1&lt;/m:t&gt;&lt;/m:r&gt;&lt;m:r&gt;&lt;m:rPr&gt;&lt;m:nor/&gt;&lt;/m:rPr&gt;&lt;w:rPr&gt;&lt;w:sz w:val=&quot;22&quot;/&gt;&lt;w:sz-cs w:val=&quot;22&quot;/&gt;&lt;/w:rPr&gt;&lt;m:t&gt;.&lt;/m:t&gt;&lt;/m:r&gt;&lt;m:r&gt;&lt;m:rPr&gt;&lt;m:nor/&gt;&lt;/m:rPr&gt;&lt;w:rPr&gt;&lt;w:color w:val=&quot;000000&quot;/&gt;&lt;w:sz w:val=&quot;22&quot;/&gt;&lt;w:sz-cs w:val=&quot;22&quot;/&gt;&lt;/w:rPr&gt;&lt;m:t&gt;96√ó&lt;/m:t&gt;&lt;/m:r&gt;&lt;m:rad&gt;&lt;m:radPr&gt;&lt;m:de&lt;/gHide &lt;m&lt;m&lt;mm:val=&quot;1&quot;/&gt;&lt;m:ctrlPr&gt;&lt;w:rPr&gt;&lt;w:rFonts w:ascii=&quot;C22ambria :vMath&quot; w:h-ansi=&quot;Cambria Math&quot;/&gt;&lt;wx:font wm:m:m:x:val=&quot;Cambria Math&quot;/&gt;&lt;w&lt;/:i/&gt;&lt;w:color w:val=&quot;000&gt;&lt; w w w w w w w w w w w000&quot;/&gt;&lt;w:2&quot;sz w0&quot;:va-c-c-c-cl=&quot;22&quot;/&gt;va&lt;w:sz-c2&quot;s w:va:sl=&quot;2cs2&quot;/&gt;&lt;/w:rPr&gt;&lt;/m:ctrlPr&gt;&lt;/m:radPr&gt;&lt;m:deg/&gt;&lt;m:e&gt;&lt;m:r&gt;&lt;m:rPr&gt;&lt;m:nor/&gt;&lt;/m:rPr&gt;&lt;w:rPr&gt;&lt;w:color w:val=&quot;000000&quot;/&gt;&lt;w:sz w:val=&quot;22&quot;/&gt;&lt;w:sz-cs w:val=&quot;22&quot;/&gt;&lt;/w:rPr&gt;&lt;m:t&gt;(n1+n2)/(n1√ón w2) w&lt;/ wm: wt&gt; w&lt;&lt; w// wm: wr&gt; w&lt;/ wm: we&gt;&lt;/m:rad&gt;&lt;2&quot;/&gt;&lt;m:oMath&gt;-c&lt;/-cm:-coM-cath0&quot;Para&gt;va&lt;/w:p&gt;&lt;w:sectPr2&quot; wsp:rsi:sdR=&quot;00cs000000&quot;&gt;&lt;w:pgSz w:w=&quot;&lt;m12240&quot; w:h=&quot;15840&quot;m:/&gt;r&gt;&lt;w&lt;m:pgMar w:top=&quot;1440&quot; w:right=&quot;1440&quot; w:bottom=&quot;14&lt;w40&quot;00 w:left=&quot;1440&quot; w:header=&quot;720&quot; w:footer=&quot;720&quot; w:gutr&gt;te&lt;mr=:t&quot;0&quot;/&gt;&lt;w:cols w:space=&quot;720&quot;/&gt;&lt;/w:sectPr&gt;&lt;/wx:sect&gt;&lt;/w:body&gt;&lt;/w:wordDocument&gt;">
            <v:imagedata r:id="rId9" o:title="" chromakey="white"/>
          </v:shape>
        </w:pict>
      </w:r>
      <w:r>
        <w:rPr>
          <w:color w:val="000000"/>
          <w:sz w:val="20"/>
          <w:szCs w:val="20"/>
        </w:rPr>
        <w:instrText xml:space="preserve"> </w:instrText>
      </w:r>
      <w:r>
        <w:rPr>
          <w:color w:val="000000"/>
          <w:sz w:val="20"/>
          <w:szCs w:val="20"/>
        </w:rPr>
        <w:fldChar w:fldCharType="end"/>
      </w:r>
      <w:r>
        <w:rPr>
          <w:sz w:val="20"/>
          <w:szCs w:val="20"/>
        </w:rPr>
        <w:t xml:space="preserve"> will be considered imbalanced between the two groups and adjusted for in all analyses if considered necessary (clause 3.3.2).”</w:t>
      </w:r>
    </w:p>
    <w:p w14:paraId="4566357C" w14:textId="77777777" w:rsidR="00555164" w:rsidRDefault="002C73C0">
      <w:pPr>
        <w:spacing w:beforeLines="50" w:before="120" w:afterLines="50" w:after="120"/>
        <w:rPr>
          <w:sz w:val="20"/>
          <w:szCs w:val="20"/>
        </w:rPr>
      </w:pPr>
      <w:r>
        <w:rPr>
          <w:sz w:val="20"/>
          <w:szCs w:val="20"/>
        </w:rPr>
        <w:t>We added a “Intra- and postoperative variables” section to describe methods to compare between-group differences regarding intra- and postoperative variables: “Numeric variables will be analyzed using the independent-samples t test or Mann-Whitney U test; categorical variables will be analyzed using the chi square test, continuity correction chi square test or Fisher exact test. Missing data will not be replaced” (clause 3.4).</w:t>
      </w:r>
    </w:p>
    <w:p w14:paraId="7D1EC217" w14:textId="77777777" w:rsidR="00555164" w:rsidRDefault="002C73C0">
      <w:pPr>
        <w:spacing w:beforeLines="50" w:before="120" w:afterLines="50" w:after="120"/>
        <w:rPr>
          <w:sz w:val="20"/>
          <w:szCs w:val="20"/>
        </w:rPr>
      </w:pPr>
      <w:r>
        <w:rPr>
          <w:sz w:val="20"/>
          <w:szCs w:val="20"/>
        </w:rPr>
        <w:t>In the “Evaluation of primary endpoint” section, we added methods to assess treatment effect in predefined subgroups and treat-by-covariate interactions: “Unadjusted relative risks and corresponding 95% CI are calculated to assess the treatment effect in predefined subgroups. The interactions between the treatment effect and each predefined factor will be assessed separately using logistic regression. The predefined factors include study center (center 1 vs. others), age (&lt;70 years vs. ≥70 years), sex (female vs. male), education (≤9 years vs. &gt;9 years), body mass index (≤24 kg/m2 vs. &gt;24 kg/m2), duration of surgery (&lt;240 min vs. ≥240 min), location of surgery (thoracic vs. abdominal), type of surgery (mini-invasive vs. open), and ICU admission (no vs. yes). The relative risk (95% CI) for each subgroup and the p values of treat-by-covariate interactions will be displayed in a forest plot (3.5.1.2).”</w:t>
      </w:r>
    </w:p>
    <w:p w14:paraId="2008E9B6" w14:textId="77777777" w:rsidR="00555164" w:rsidRDefault="002C73C0">
      <w:pPr>
        <w:spacing w:beforeLines="50" w:before="120" w:afterLines="50" w:after="120"/>
        <w:rPr>
          <w:sz w:val="20"/>
          <w:szCs w:val="20"/>
        </w:rPr>
      </w:pPr>
      <w:r>
        <w:rPr>
          <w:sz w:val="20"/>
          <w:szCs w:val="20"/>
        </w:rPr>
        <w:t xml:space="preserve">In the “Evaluation of secondary endpoints”, we added “time to extubation, length of stay in ICU, percentage with endotracheal intubation at ICU admission, and APACHE II score at ICU admission” for patients admitted to the ICU after surgery; we deleted “the daily prevalence of delirium” because we provided “time to the first onset of delirium”; we deleted “the severity of delirium” because this variable was deleted in the protocol (clause 3.5.2). </w:t>
      </w:r>
    </w:p>
    <w:p w14:paraId="10FAC09D" w14:textId="77777777" w:rsidR="00555164" w:rsidRDefault="002C73C0">
      <w:pPr>
        <w:spacing w:beforeLines="50" w:before="120" w:afterLines="50" w:after="120"/>
        <w:rPr>
          <w:sz w:val="20"/>
          <w:szCs w:val="20"/>
        </w:rPr>
      </w:pPr>
      <w:r>
        <w:rPr>
          <w:sz w:val="20"/>
          <w:szCs w:val="20"/>
        </w:rPr>
        <w:t xml:space="preserve">We provided management of missing data in each paragraph. </w:t>
      </w:r>
    </w:p>
    <w:p w14:paraId="7EBC042C" w14:textId="77777777" w:rsidR="00555164" w:rsidRDefault="00555164">
      <w:pPr>
        <w:pStyle w:val="ad"/>
        <w:spacing w:beforeLines="50" w:before="120" w:beforeAutospacing="0" w:afterLines="50" w:after="120" w:afterAutospacing="0"/>
        <w:rPr>
          <w:rFonts w:eastAsia="宋体"/>
          <w:sz w:val="20"/>
          <w:szCs w:val="20"/>
        </w:rPr>
      </w:pPr>
    </w:p>
    <w:p w14:paraId="0DF91495" w14:textId="77777777" w:rsidR="00555164" w:rsidRDefault="002C73C0">
      <w:pPr>
        <w:pStyle w:val="ad"/>
        <w:spacing w:beforeLines="50" w:before="120" w:beforeAutospacing="0" w:afterLines="50" w:after="120" w:afterAutospacing="0"/>
        <w:rPr>
          <w:rFonts w:eastAsia="宋体"/>
          <w:sz w:val="20"/>
          <w:szCs w:val="20"/>
        </w:rPr>
      </w:pPr>
      <w:r>
        <w:rPr>
          <w:rFonts w:eastAsia="等线"/>
          <w:b/>
          <w:bCs/>
          <w:sz w:val="20"/>
          <w:szCs w:val="20"/>
        </w:rPr>
        <w:t>References</w:t>
      </w:r>
    </w:p>
    <w:bookmarkEnd w:id="263"/>
    <w:p w14:paraId="279750B4" w14:textId="77777777" w:rsidR="00555164" w:rsidRDefault="00555164">
      <w:pPr>
        <w:widowControl w:val="0"/>
        <w:autoSpaceDE w:val="0"/>
        <w:autoSpaceDN w:val="0"/>
        <w:adjustRightInd w:val="0"/>
        <w:spacing w:before="120" w:after="120"/>
        <w:rPr>
          <w:sz w:val="20"/>
          <w:szCs w:val="20"/>
        </w:rPr>
      </w:pPr>
    </w:p>
    <w:p w14:paraId="72FFC22F" w14:textId="77777777" w:rsidR="00555164" w:rsidRDefault="002C73C0">
      <w:pPr>
        <w:widowControl w:val="0"/>
        <w:autoSpaceDE w:val="0"/>
        <w:autoSpaceDN w:val="0"/>
        <w:adjustRightInd w:val="0"/>
        <w:spacing w:before="120" w:after="120"/>
        <w:rPr>
          <w:sz w:val="20"/>
          <w:szCs w:val="20"/>
        </w:rPr>
      </w:pPr>
      <w:r>
        <w:rPr>
          <w:sz w:val="20"/>
          <w:szCs w:val="20"/>
        </w:rPr>
        <w:t>1.Austin PC: Balance diagnostics for comparing the distribution of baseline covariates between treatment groups in propensity-score matched samples. Stat Med 2009; 28:3083–107</w:t>
      </w:r>
    </w:p>
    <w:p w14:paraId="58C97923" w14:textId="77777777" w:rsidR="00555164" w:rsidRDefault="00555164">
      <w:pPr>
        <w:pStyle w:val="ad"/>
        <w:spacing w:beforeLines="50" w:before="120" w:beforeAutospacing="0" w:afterLines="50" w:after="120" w:afterAutospacing="0"/>
        <w:ind w:left="360"/>
        <w:rPr>
          <w:sz w:val="20"/>
          <w:szCs w:val="20"/>
        </w:rPr>
      </w:pPr>
    </w:p>
    <w:sectPr w:rsidR="00555164">
      <w:headerReference w:type="even" r:id="rId10"/>
      <w:headerReference w:type="default" r:id="rId11"/>
      <w:pgSz w:w="11900" w:h="16840"/>
      <w:pgMar w:top="1440" w:right="1440" w:bottom="1440" w:left="1440" w:header="709" w:footer="709" w:gutter="0"/>
      <w:pgNumType w:start="1"/>
      <w:cols w:space="708"/>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7EC24" w14:textId="77777777" w:rsidR="003D1D26" w:rsidRDefault="003D1D26">
      <w:r>
        <w:separator/>
      </w:r>
    </w:p>
  </w:endnote>
  <w:endnote w:type="continuationSeparator" w:id="0">
    <w:p w14:paraId="17EFCF9C" w14:textId="77777777" w:rsidR="003D1D26" w:rsidRDefault="003D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20EBF" w14:textId="77777777" w:rsidR="003D1D26" w:rsidRDefault="003D1D26">
      <w:r>
        <w:separator/>
      </w:r>
    </w:p>
  </w:footnote>
  <w:footnote w:type="continuationSeparator" w:id="0">
    <w:p w14:paraId="41B4814B" w14:textId="77777777" w:rsidR="003D1D26" w:rsidRDefault="003D1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2"/>
      </w:rPr>
      <w:id w:val="-817190355"/>
      <w:docPartObj>
        <w:docPartGallery w:val="AutoText"/>
      </w:docPartObj>
    </w:sdtPr>
    <w:sdtEndPr>
      <w:rPr>
        <w:rStyle w:val="af2"/>
      </w:rPr>
    </w:sdtEndPr>
    <w:sdtContent>
      <w:p w14:paraId="7BAEC80A" w14:textId="77777777" w:rsidR="00555164" w:rsidRDefault="002C73C0">
        <w:pPr>
          <w:pStyle w:val="ab"/>
          <w:framePr w:wrap="around"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14:paraId="7B3D0F7B" w14:textId="77777777" w:rsidR="00555164" w:rsidRDefault="00555164">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2"/>
      </w:rPr>
      <w:id w:val="-560710077"/>
      <w:docPartObj>
        <w:docPartGallery w:val="AutoText"/>
      </w:docPartObj>
    </w:sdtPr>
    <w:sdtEndPr>
      <w:rPr>
        <w:rStyle w:val="af2"/>
      </w:rPr>
    </w:sdtEndPr>
    <w:sdtContent>
      <w:p w14:paraId="268D2340" w14:textId="77777777" w:rsidR="00555164" w:rsidRPr="00D44254" w:rsidRDefault="002C73C0" w:rsidP="00535581">
        <w:pPr>
          <w:pStyle w:val="ab"/>
          <w:framePr w:wrap="around" w:vAnchor="text" w:hAnchor="margin" w:xAlign="right" w:y="1"/>
          <w:pBdr>
            <w:bottom w:val="none" w:sz="0" w:space="0" w:color="auto"/>
          </w:pBdr>
          <w:rPr>
            <w:rStyle w:val="af2"/>
          </w:rPr>
        </w:pPr>
        <w:r w:rsidRPr="00D44254">
          <w:rPr>
            <w:rStyle w:val="af2"/>
          </w:rPr>
          <w:fldChar w:fldCharType="begin"/>
        </w:r>
        <w:r w:rsidRPr="00D44254">
          <w:rPr>
            <w:rStyle w:val="af2"/>
          </w:rPr>
          <w:instrText xml:space="preserve"> PAGE </w:instrText>
        </w:r>
        <w:r w:rsidRPr="00D44254">
          <w:rPr>
            <w:rStyle w:val="af2"/>
          </w:rPr>
          <w:fldChar w:fldCharType="separate"/>
        </w:r>
        <w:r w:rsidRPr="00D44254">
          <w:rPr>
            <w:rStyle w:val="af2"/>
          </w:rPr>
          <w:t>1</w:t>
        </w:r>
        <w:r w:rsidRPr="00D44254">
          <w:rPr>
            <w:rStyle w:val="af2"/>
          </w:rPr>
          <w:fldChar w:fldCharType="end"/>
        </w:r>
      </w:p>
    </w:sdtContent>
  </w:sdt>
  <w:p w14:paraId="0F8E149C" w14:textId="77777777" w:rsidR="00555164" w:rsidRDefault="00555164">
    <w:pPr>
      <w:pStyle w:val="ab"/>
      <w:pBdr>
        <w:bottom w:val="none" w:sz="0" w:space="0"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03E9B"/>
    <w:multiLevelType w:val="multilevel"/>
    <w:tmpl w:val="38803E9B"/>
    <w:lvl w:ilvl="0">
      <w:start w:val="1"/>
      <w:numFmt w:val="decimal"/>
      <w:lvlText w:val="%1."/>
      <w:lvlJc w:val="left"/>
      <w:pPr>
        <w:ind w:left="528" w:hanging="528"/>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3605000"/>
    <w:multiLevelType w:val="multilevel"/>
    <w:tmpl w:val="5360500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9AB31A2"/>
    <w:multiLevelType w:val="multilevel"/>
    <w:tmpl w:val="59AB31A2"/>
    <w:lvl w:ilvl="0">
      <w:start w:val="1"/>
      <w:numFmt w:val="decimal"/>
      <w:lvlText w:val="%1."/>
      <w:lvlJc w:val="left"/>
      <w:pPr>
        <w:ind w:left="360" w:hanging="360"/>
      </w:pPr>
      <w:rPr>
        <w:rFonts w:ascii="Times New Roman" w:hAnsi="Times New Roman" w:hint="default"/>
        <w:b w:val="0"/>
        <w:i w:val="0"/>
        <w:sz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A9A122D"/>
    <w:multiLevelType w:val="multilevel"/>
    <w:tmpl w:val="5A9A122D"/>
    <w:lvl w:ilvl="0">
      <w:start w:val="1"/>
      <w:numFmt w:val="decimal"/>
      <w:lvlText w:val="%1."/>
      <w:lvlJc w:val="left"/>
      <w:pPr>
        <w:ind w:left="420" w:hanging="420"/>
      </w:pPr>
      <w:rPr>
        <w:rFonts w:ascii="Times New Roman" w:hAnsi="Times New Roman" w:hint="default"/>
        <w:b w:val="0"/>
        <w:i w:val="0"/>
        <w:sz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20"/>
  <w:drawingGridVerticalSpacing w:val="16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s7CwMDC0NDC3MDJU0lEKTi0uzszPAykwrAUAhf81JywAAAA="/>
    <w:docVar w:name="KY_MEDREF_DOCUID" w:val="{88F5985D-ACEE-4DB8-8E2D-ECD834FF889E}"/>
    <w:docVar w:name="KY_MEDREF_VERSION" w:val="3"/>
  </w:docVars>
  <w:rsids>
    <w:rsidRoot w:val="00AE0BD4"/>
    <w:rsid w:val="00000D6F"/>
    <w:rsid w:val="00012C83"/>
    <w:rsid w:val="0002278C"/>
    <w:rsid w:val="00025D4C"/>
    <w:rsid w:val="0002650F"/>
    <w:rsid w:val="0002654B"/>
    <w:rsid w:val="0003199F"/>
    <w:rsid w:val="00032876"/>
    <w:rsid w:val="00033856"/>
    <w:rsid w:val="00037944"/>
    <w:rsid w:val="00042489"/>
    <w:rsid w:val="00043493"/>
    <w:rsid w:val="00043CC1"/>
    <w:rsid w:val="00046920"/>
    <w:rsid w:val="00046BE4"/>
    <w:rsid w:val="0004795F"/>
    <w:rsid w:val="000509EC"/>
    <w:rsid w:val="00053833"/>
    <w:rsid w:val="0005756A"/>
    <w:rsid w:val="00061CC6"/>
    <w:rsid w:val="0006350A"/>
    <w:rsid w:val="000713B8"/>
    <w:rsid w:val="0007232C"/>
    <w:rsid w:val="0007784E"/>
    <w:rsid w:val="00082288"/>
    <w:rsid w:val="00083A79"/>
    <w:rsid w:val="000853AE"/>
    <w:rsid w:val="00085D66"/>
    <w:rsid w:val="000918BC"/>
    <w:rsid w:val="00092D2C"/>
    <w:rsid w:val="000937D3"/>
    <w:rsid w:val="000958B8"/>
    <w:rsid w:val="00096FBB"/>
    <w:rsid w:val="00097E5B"/>
    <w:rsid w:val="000A050E"/>
    <w:rsid w:val="000A15C4"/>
    <w:rsid w:val="000A2DF9"/>
    <w:rsid w:val="000A2F27"/>
    <w:rsid w:val="000A3BE9"/>
    <w:rsid w:val="000A5AA0"/>
    <w:rsid w:val="000A72F1"/>
    <w:rsid w:val="000B505C"/>
    <w:rsid w:val="000B5795"/>
    <w:rsid w:val="000C001F"/>
    <w:rsid w:val="000C0AD9"/>
    <w:rsid w:val="000C2AA9"/>
    <w:rsid w:val="000C3CB3"/>
    <w:rsid w:val="000C485E"/>
    <w:rsid w:val="000C5CC1"/>
    <w:rsid w:val="000D3929"/>
    <w:rsid w:val="000D51D3"/>
    <w:rsid w:val="000E2B3D"/>
    <w:rsid w:val="000E3134"/>
    <w:rsid w:val="000E38C7"/>
    <w:rsid w:val="000E39D8"/>
    <w:rsid w:val="000E40E6"/>
    <w:rsid w:val="000E4723"/>
    <w:rsid w:val="000E5544"/>
    <w:rsid w:val="000E6406"/>
    <w:rsid w:val="000E7302"/>
    <w:rsid w:val="000F35B4"/>
    <w:rsid w:val="000F3FC9"/>
    <w:rsid w:val="000F5385"/>
    <w:rsid w:val="00100252"/>
    <w:rsid w:val="001003AF"/>
    <w:rsid w:val="0010230C"/>
    <w:rsid w:val="00102EC6"/>
    <w:rsid w:val="001035ED"/>
    <w:rsid w:val="00104E21"/>
    <w:rsid w:val="00105469"/>
    <w:rsid w:val="00105D54"/>
    <w:rsid w:val="00112E86"/>
    <w:rsid w:val="00113D0B"/>
    <w:rsid w:val="001141A4"/>
    <w:rsid w:val="00114C5E"/>
    <w:rsid w:val="0011610A"/>
    <w:rsid w:val="00117FDE"/>
    <w:rsid w:val="001213AB"/>
    <w:rsid w:val="001229A4"/>
    <w:rsid w:val="00122D62"/>
    <w:rsid w:val="00122F9C"/>
    <w:rsid w:val="00123B21"/>
    <w:rsid w:val="001250FE"/>
    <w:rsid w:val="0012570A"/>
    <w:rsid w:val="00126575"/>
    <w:rsid w:val="00126D8E"/>
    <w:rsid w:val="00127519"/>
    <w:rsid w:val="001340DE"/>
    <w:rsid w:val="00135182"/>
    <w:rsid w:val="00135763"/>
    <w:rsid w:val="001414E1"/>
    <w:rsid w:val="00142082"/>
    <w:rsid w:val="0014322C"/>
    <w:rsid w:val="001450F8"/>
    <w:rsid w:val="001500BD"/>
    <w:rsid w:val="001518A8"/>
    <w:rsid w:val="00151F45"/>
    <w:rsid w:val="001533B8"/>
    <w:rsid w:val="00153F99"/>
    <w:rsid w:val="00155AF9"/>
    <w:rsid w:val="00160B37"/>
    <w:rsid w:val="00161352"/>
    <w:rsid w:val="00165FE6"/>
    <w:rsid w:val="00166C18"/>
    <w:rsid w:val="00172488"/>
    <w:rsid w:val="00181EEF"/>
    <w:rsid w:val="00186F0D"/>
    <w:rsid w:val="00190067"/>
    <w:rsid w:val="001916F7"/>
    <w:rsid w:val="00193D5B"/>
    <w:rsid w:val="00195449"/>
    <w:rsid w:val="001977D0"/>
    <w:rsid w:val="001A0DAB"/>
    <w:rsid w:val="001A1819"/>
    <w:rsid w:val="001A501C"/>
    <w:rsid w:val="001A55EA"/>
    <w:rsid w:val="001B0E4B"/>
    <w:rsid w:val="001B1F5A"/>
    <w:rsid w:val="001B274F"/>
    <w:rsid w:val="001B7B44"/>
    <w:rsid w:val="001C0382"/>
    <w:rsid w:val="001C0F5C"/>
    <w:rsid w:val="001C0FD7"/>
    <w:rsid w:val="001C0FF1"/>
    <w:rsid w:val="001C14DE"/>
    <w:rsid w:val="001C1A1F"/>
    <w:rsid w:val="001C2DD8"/>
    <w:rsid w:val="001C2EB2"/>
    <w:rsid w:val="001C3F57"/>
    <w:rsid w:val="001C46FD"/>
    <w:rsid w:val="001C4953"/>
    <w:rsid w:val="001C7038"/>
    <w:rsid w:val="001D07B1"/>
    <w:rsid w:val="001D111B"/>
    <w:rsid w:val="001D2784"/>
    <w:rsid w:val="001D43C8"/>
    <w:rsid w:val="001D7A1E"/>
    <w:rsid w:val="001E36C0"/>
    <w:rsid w:val="001E6271"/>
    <w:rsid w:val="001E778A"/>
    <w:rsid w:val="001F193E"/>
    <w:rsid w:val="001F255B"/>
    <w:rsid w:val="001F3AF7"/>
    <w:rsid w:val="001F481C"/>
    <w:rsid w:val="001F57AD"/>
    <w:rsid w:val="001F60A1"/>
    <w:rsid w:val="001F631C"/>
    <w:rsid w:val="001F74E4"/>
    <w:rsid w:val="00200327"/>
    <w:rsid w:val="002003FE"/>
    <w:rsid w:val="00201BC9"/>
    <w:rsid w:val="0020248B"/>
    <w:rsid w:val="0020254E"/>
    <w:rsid w:val="0021182E"/>
    <w:rsid w:val="00212833"/>
    <w:rsid w:val="0022050A"/>
    <w:rsid w:val="0022274E"/>
    <w:rsid w:val="00225E85"/>
    <w:rsid w:val="0022702E"/>
    <w:rsid w:val="00230E08"/>
    <w:rsid w:val="00241A9B"/>
    <w:rsid w:val="002423C4"/>
    <w:rsid w:val="00253527"/>
    <w:rsid w:val="00254190"/>
    <w:rsid w:val="00260428"/>
    <w:rsid w:val="00260B42"/>
    <w:rsid w:val="00261324"/>
    <w:rsid w:val="00262694"/>
    <w:rsid w:val="00263BFE"/>
    <w:rsid w:val="00266135"/>
    <w:rsid w:val="00266477"/>
    <w:rsid w:val="00274B26"/>
    <w:rsid w:val="00274DD5"/>
    <w:rsid w:val="0027733D"/>
    <w:rsid w:val="002803FA"/>
    <w:rsid w:val="002810F1"/>
    <w:rsid w:val="002835A0"/>
    <w:rsid w:val="00285880"/>
    <w:rsid w:val="002866DE"/>
    <w:rsid w:val="002904AF"/>
    <w:rsid w:val="00290D04"/>
    <w:rsid w:val="00290DCC"/>
    <w:rsid w:val="00295D27"/>
    <w:rsid w:val="002A06DD"/>
    <w:rsid w:val="002A3BD0"/>
    <w:rsid w:val="002A6D6A"/>
    <w:rsid w:val="002B0E1E"/>
    <w:rsid w:val="002B2E3A"/>
    <w:rsid w:val="002B3C98"/>
    <w:rsid w:val="002B56C1"/>
    <w:rsid w:val="002B621B"/>
    <w:rsid w:val="002B6223"/>
    <w:rsid w:val="002C380E"/>
    <w:rsid w:val="002C5ED1"/>
    <w:rsid w:val="002C72E6"/>
    <w:rsid w:val="002C73C0"/>
    <w:rsid w:val="002D1228"/>
    <w:rsid w:val="002D4446"/>
    <w:rsid w:val="002D6B2C"/>
    <w:rsid w:val="002D6EF4"/>
    <w:rsid w:val="002D711B"/>
    <w:rsid w:val="002E1787"/>
    <w:rsid w:val="002E56D6"/>
    <w:rsid w:val="002F0D97"/>
    <w:rsid w:val="002F5FB3"/>
    <w:rsid w:val="00301C83"/>
    <w:rsid w:val="00306067"/>
    <w:rsid w:val="00307730"/>
    <w:rsid w:val="00314791"/>
    <w:rsid w:val="00315C81"/>
    <w:rsid w:val="00320FA4"/>
    <w:rsid w:val="00322D9F"/>
    <w:rsid w:val="003254F9"/>
    <w:rsid w:val="00326012"/>
    <w:rsid w:val="003274EB"/>
    <w:rsid w:val="0033017B"/>
    <w:rsid w:val="00330B10"/>
    <w:rsid w:val="00330C09"/>
    <w:rsid w:val="00331FD3"/>
    <w:rsid w:val="00334874"/>
    <w:rsid w:val="00336D3E"/>
    <w:rsid w:val="00343142"/>
    <w:rsid w:val="003443B7"/>
    <w:rsid w:val="00351CB2"/>
    <w:rsid w:val="003542D4"/>
    <w:rsid w:val="003560C2"/>
    <w:rsid w:val="00357AC8"/>
    <w:rsid w:val="0036186E"/>
    <w:rsid w:val="00361A81"/>
    <w:rsid w:val="00363FC0"/>
    <w:rsid w:val="00364598"/>
    <w:rsid w:val="003651F7"/>
    <w:rsid w:val="003677A0"/>
    <w:rsid w:val="00371879"/>
    <w:rsid w:val="003727D8"/>
    <w:rsid w:val="0037306C"/>
    <w:rsid w:val="00375538"/>
    <w:rsid w:val="00375FE1"/>
    <w:rsid w:val="00376CBF"/>
    <w:rsid w:val="00376D5B"/>
    <w:rsid w:val="003800FE"/>
    <w:rsid w:val="00381A0D"/>
    <w:rsid w:val="003827CE"/>
    <w:rsid w:val="00382EA2"/>
    <w:rsid w:val="00385B91"/>
    <w:rsid w:val="00386B35"/>
    <w:rsid w:val="00386BA8"/>
    <w:rsid w:val="003878D3"/>
    <w:rsid w:val="0039402C"/>
    <w:rsid w:val="00394768"/>
    <w:rsid w:val="003A062D"/>
    <w:rsid w:val="003A210C"/>
    <w:rsid w:val="003A3757"/>
    <w:rsid w:val="003A5C21"/>
    <w:rsid w:val="003A5DAC"/>
    <w:rsid w:val="003A7C38"/>
    <w:rsid w:val="003B231A"/>
    <w:rsid w:val="003B51EA"/>
    <w:rsid w:val="003B538F"/>
    <w:rsid w:val="003B5E91"/>
    <w:rsid w:val="003B5F33"/>
    <w:rsid w:val="003C1696"/>
    <w:rsid w:val="003C5455"/>
    <w:rsid w:val="003C58D5"/>
    <w:rsid w:val="003C6C66"/>
    <w:rsid w:val="003C75F2"/>
    <w:rsid w:val="003D0194"/>
    <w:rsid w:val="003D1D26"/>
    <w:rsid w:val="003D45F9"/>
    <w:rsid w:val="003D50BF"/>
    <w:rsid w:val="003E192D"/>
    <w:rsid w:val="003E23AA"/>
    <w:rsid w:val="003E2EAA"/>
    <w:rsid w:val="003E364E"/>
    <w:rsid w:val="003E4013"/>
    <w:rsid w:val="003E517D"/>
    <w:rsid w:val="003F4016"/>
    <w:rsid w:val="003F6D90"/>
    <w:rsid w:val="004012AB"/>
    <w:rsid w:val="00402E01"/>
    <w:rsid w:val="004038CB"/>
    <w:rsid w:val="004127D3"/>
    <w:rsid w:val="004134EA"/>
    <w:rsid w:val="0041478D"/>
    <w:rsid w:val="0041596D"/>
    <w:rsid w:val="00416CA8"/>
    <w:rsid w:val="0042241F"/>
    <w:rsid w:val="004225DD"/>
    <w:rsid w:val="004237E7"/>
    <w:rsid w:val="004241CE"/>
    <w:rsid w:val="00427925"/>
    <w:rsid w:val="00427B93"/>
    <w:rsid w:val="004310E3"/>
    <w:rsid w:val="00431458"/>
    <w:rsid w:val="00431AD2"/>
    <w:rsid w:val="00433654"/>
    <w:rsid w:val="0043640C"/>
    <w:rsid w:val="00444698"/>
    <w:rsid w:val="00445C55"/>
    <w:rsid w:val="00451872"/>
    <w:rsid w:val="00451CCD"/>
    <w:rsid w:val="00452B3C"/>
    <w:rsid w:val="0045326A"/>
    <w:rsid w:val="00457438"/>
    <w:rsid w:val="004603F6"/>
    <w:rsid w:val="00460BD9"/>
    <w:rsid w:val="00466934"/>
    <w:rsid w:val="00470617"/>
    <w:rsid w:val="00471FA2"/>
    <w:rsid w:val="00474215"/>
    <w:rsid w:val="004746E2"/>
    <w:rsid w:val="00474A3E"/>
    <w:rsid w:val="00474F34"/>
    <w:rsid w:val="004757EE"/>
    <w:rsid w:val="00481EE3"/>
    <w:rsid w:val="004832B1"/>
    <w:rsid w:val="00484284"/>
    <w:rsid w:val="00485D1E"/>
    <w:rsid w:val="00486422"/>
    <w:rsid w:val="00491580"/>
    <w:rsid w:val="004924B2"/>
    <w:rsid w:val="004926D1"/>
    <w:rsid w:val="00494287"/>
    <w:rsid w:val="00495B3D"/>
    <w:rsid w:val="004965E0"/>
    <w:rsid w:val="00496F05"/>
    <w:rsid w:val="004A1854"/>
    <w:rsid w:val="004A2B53"/>
    <w:rsid w:val="004B2DFE"/>
    <w:rsid w:val="004B2E70"/>
    <w:rsid w:val="004B4F36"/>
    <w:rsid w:val="004B5B59"/>
    <w:rsid w:val="004B6D9C"/>
    <w:rsid w:val="004C1F4F"/>
    <w:rsid w:val="004C26BA"/>
    <w:rsid w:val="004C6306"/>
    <w:rsid w:val="004C7F4D"/>
    <w:rsid w:val="004D47DC"/>
    <w:rsid w:val="004D4CBE"/>
    <w:rsid w:val="004D59CB"/>
    <w:rsid w:val="004D67EE"/>
    <w:rsid w:val="004E00D3"/>
    <w:rsid w:val="004E152B"/>
    <w:rsid w:val="004E374B"/>
    <w:rsid w:val="004E7C31"/>
    <w:rsid w:val="004F06E2"/>
    <w:rsid w:val="004F1C11"/>
    <w:rsid w:val="004F25C6"/>
    <w:rsid w:val="004F3C8D"/>
    <w:rsid w:val="004F5421"/>
    <w:rsid w:val="004F54FF"/>
    <w:rsid w:val="004F65BA"/>
    <w:rsid w:val="004F7B3B"/>
    <w:rsid w:val="00500165"/>
    <w:rsid w:val="00500403"/>
    <w:rsid w:val="0050546E"/>
    <w:rsid w:val="00505B94"/>
    <w:rsid w:val="00506BD4"/>
    <w:rsid w:val="00510BEB"/>
    <w:rsid w:val="0051650A"/>
    <w:rsid w:val="00516A83"/>
    <w:rsid w:val="00520A71"/>
    <w:rsid w:val="005249AB"/>
    <w:rsid w:val="00530CAD"/>
    <w:rsid w:val="0053448C"/>
    <w:rsid w:val="00535581"/>
    <w:rsid w:val="00535AE5"/>
    <w:rsid w:val="00536A07"/>
    <w:rsid w:val="00541924"/>
    <w:rsid w:val="00544339"/>
    <w:rsid w:val="00546FED"/>
    <w:rsid w:val="005478EC"/>
    <w:rsid w:val="00547D51"/>
    <w:rsid w:val="00551EB9"/>
    <w:rsid w:val="00555164"/>
    <w:rsid w:val="005560C8"/>
    <w:rsid w:val="0055691C"/>
    <w:rsid w:val="0057077D"/>
    <w:rsid w:val="0057269B"/>
    <w:rsid w:val="0057318F"/>
    <w:rsid w:val="00573E89"/>
    <w:rsid w:val="0057675E"/>
    <w:rsid w:val="00580652"/>
    <w:rsid w:val="005810AF"/>
    <w:rsid w:val="00582C77"/>
    <w:rsid w:val="00583926"/>
    <w:rsid w:val="00586A68"/>
    <w:rsid w:val="005A08E6"/>
    <w:rsid w:val="005A1BA7"/>
    <w:rsid w:val="005A293D"/>
    <w:rsid w:val="005A3566"/>
    <w:rsid w:val="005A3EE0"/>
    <w:rsid w:val="005A69A2"/>
    <w:rsid w:val="005A6D01"/>
    <w:rsid w:val="005B1EB1"/>
    <w:rsid w:val="005B2006"/>
    <w:rsid w:val="005B23BF"/>
    <w:rsid w:val="005B4797"/>
    <w:rsid w:val="005B5A97"/>
    <w:rsid w:val="005B64C5"/>
    <w:rsid w:val="005B7130"/>
    <w:rsid w:val="005B74C6"/>
    <w:rsid w:val="005C0B46"/>
    <w:rsid w:val="005C381F"/>
    <w:rsid w:val="005C3821"/>
    <w:rsid w:val="005C64EB"/>
    <w:rsid w:val="005D4DC2"/>
    <w:rsid w:val="005E5EDD"/>
    <w:rsid w:val="005F02EC"/>
    <w:rsid w:val="005F0E4F"/>
    <w:rsid w:val="005F29DC"/>
    <w:rsid w:val="005F3B69"/>
    <w:rsid w:val="005F4F2C"/>
    <w:rsid w:val="005F57F7"/>
    <w:rsid w:val="005F5A6F"/>
    <w:rsid w:val="005F7E0E"/>
    <w:rsid w:val="00607F1E"/>
    <w:rsid w:val="00610335"/>
    <w:rsid w:val="00611C93"/>
    <w:rsid w:val="00613327"/>
    <w:rsid w:val="00623508"/>
    <w:rsid w:val="006243FA"/>
    <w:rsid w:val="00627B95"/>
    <w:rsid w:val="00632F75"/>
    <w:rsid w:val="00642776"/>
    <w:rsid w:val="006436FB"/>
    <w:rsid w:val="00646109"/>
    <w:rsid w:val="006469D5"/>
    <w:rsid w:val="006501DD"/>
    <w:rsid w:val="0065196D"/>
    <w:rsid w:val="00651AB4"/>
    <w:rsid w:val="00654463"/>
    <w:rsid w:val="006551D1"/>
    <w:rsid w:val="006560CF"/>
    <w:rsid w:val="00660D08"/>
    <w:rsid w:val="00662F2F"/>
    <w:rsid w:val="00667B6B"/>
    <w:rsid w:val="00667BA2"/>
    <w:rsid w:val="006711C4"/>
    <w:rsid w:val="0067208F"/>
    <w:rsid w:val="00673228"/>
    <w:rsid w:val="006745CA"/>
    <w:rsid w:val="00677808"/>
    <w:rsid w:val="00681732"/>
    <w:rsid w:val="006838B8"/>
    <w:rsid w:val="00695CEA"/>
    <w:rsid w:val="006A06B5"/>
    <w:rsid w:val="006A1C14"/>
    <w:rsid w:val="006A3A51"/>
    <w:rsid w:val="006A4AB8"/>
    <w:rsid w:val="006A5926"/>
    <w:rsid w:val="006A5F9D"/>
    <w:rsid w:val="006A6907"/>
    <w:rsid w:val="006B0E93"/>
    <w:rsid w:val="006B2DC1"/>
    <w:rsid w:val="006B398B"/>
    <w:rsid w:val="006C02B5"/>
    <w:rsid w:val="006C07E3"/>
    <w:rsid w:val="006C0A6C"/>
    <w:rsid w:val="006C0C66"/>
    <w:rsid w:val="006C2C0F"/>
    <w:rsid w:val="006C4213"/>
    <w:rsid w:val="006C5041"/>
    <w:rsid w:val="006C5A49"/>
    <w:rsid w:val="006C6439"/>
    <w:rsid w:val="006D11BA"/>
    <w:rsid w:val="006D1DF9"/>
    <w:rsid w:val="006D29E1"/>
    <w:rsid w:val="006D72D5"/>
    <w:rsid w:val="006E55B8"/>
    <w:rsid w:val="006E6470"/>
    <w:rsid w:val="006E7E8C"/>
    <w:rsid w:val="006F14D1"/>
    <w:rsid w:val="006F251E"/>
    <w:rsid w:val="006F4A59"/>
    <w:rsid w:val="006F69CC"/>
    <w:rsid w:val="006F76A3"/>
    <w:rsid w:val="006F76A5"/>
    <w:rsid w:val="00702684"/>
    <w:rsid w:val="00702BD3"/>
    <w:rsid w:val="00703C30"/>
    <w:rsid w:val="0070647E"/>
    <w:rsid w:val="00707BDB"/>
    <w:rsid w:val="00711670"/>
    <w:rsid w:val="007147C4"/>
    <w:rsid w:val="007157AB"/>
    <w:rsid w:val="007216E5"/>
    <w:rsid w:val="00725C80"/>
    <w:rsid w:val="00725FD5"/>
    <w:rsid w:val="00726A5C"/>
    <w:rsid w:val="007270F5"/>
    <w:rsid w:val="0072787B"/>
    <w:rsid w:val="0073246B"/>
    <w:rsid w:val="00736212"/>
    <w:rsid w:val="00736621"/>
    <w:rsid w:val="00741C0D"/>
    <w:rsid w:val="00743485"/>
    <w:rsid w:val="00745E63"/>
    <w:rsid w:val="0074627C"/>
    <w:rsid w:val="0075006A"/>
    <w:rsid w:val="00751673"/>
    <w:rsid w:val="00752F2D"/>
    <w:rsid w:val="00753187"/>
    <w:rsid w:val="00753280"/>
    <w:rsid w:val="00753959"/>
    <w:rsid w:val="0075418F"/>
    <w:rsid w:val="007557CC"/>
    <w:rsid w:val="00755933"/>
    <w:rsid w:val="00761DAD"/>
    <w:rsid w:val="00762497"/>
    <w:rsid w:val="00770943"/>
    <w:rsid w:val="00775870"/>
    <w:rsid w:val="00777DA9"/>
    <w:rsid w:val="00781281"/>
    <w:rsid w:val="00785810"/>
    <w:rsid w:val="00787F08"/>
    <w:rsid w:val="00790B1A"/>
    <w:rsid w:val="00792973"/>
    <w:rsid w:val="007937D9"/>
    <w:rsid w:val="00794323"/>
    <w:rsid w:val="007978F6"/>
    <w:rsid w:val="007A11CC"/>
    <w:rsid w:val="007A150E"/>
    <w:rsid w:val="007A1A73"/>
    <w:rsid w:val="007A273C"/>
    <w:rsid w:val="007A30B9"/>
    <w:rsid w:val="007A420A"/>
    <w:rsid w:val="007A4648"/>
    <w:rsid w:val="007A48EF"/>
    <w:rsid w:val="007A6591"/>
    <w:rsid w:val="007B28A0"/>
    <w:rsid w:val="007B4202"/>
    <w:rsid w:val="007C31F1"/>
    <w:rsid w:val="007C56D7"/>
    <w:rsid w:val="007C7CB5"/>
    <w:rsid w:val="007D1D75"/>
    <w:rsid w:val="007D2768"/>
    <w:rsid w:val="007D2DB8"/>
    <w:rsid w:val="007D4E8C"/>
    <w:rsid w:val="007D4FD5"/>
    <w:rsid w:val="007D697A"/>
    <w:rsid w:val="007E484F"/>
    <w:rsid w:val="007E4EF9"/>
    <w:rsid w:val="007E68A0"/>
    <w:rsid w:val="007F3B70"/>
    <w:rsid w:val="007F3F04"/>
    <w:rsid w:val="007F5061"/>
    <w:rsid w:val="007F5E6C"/>
    <w:rsid w:val="008017AA"/>
    <w:rsid w:val="008056EB"/>
    <w:rsid w:val="008075F9"/>
    <w:rsid w:val="008076C5"/>
    <w:rsid w:val="008125D8"/>
    <w:rsid w:val="00812F2E"/>
    <w:rsid w:val="008162B7"/>
    <w:rsid w:val="00825A58"/>
    <w:rsid w:val="0082654B"/>
    <w:rsid w:val="00830DDB"/>
    <w:rsid w:val="0084248B"/>
    <w:rsid w:val="00842E3E"/>
    <w:rsid w:val="00846C70"/>
    <w:rsid w:val="008478C2"/>
    <w:rsid w:val="00851B00"/>
    <w:rsid w:val="00852A6D"/>
    <w:rsid w:val="00853C9B"/>
    <w:rsid w:val="00856214"/>
    <w:rsid w:val="008602A3"/>
    <w:rsid w:val="008617F2"/>
    <w:rsid w:val="008636BD"/>
    <w:rsid w:val="0086670E"/>
    <w:rsid w:val="00871633"/>
    <w:rsid w:val="0087487F"/>
    <w:rsid w:val="00875571"/>
    <w:rsid w:val="00876EC0"/>
    <w:rsid w:val="008811E3"/>
    <w:rsid w:val="00884CEF"/>
    <w:rsid w:val="008875CB"/>
    <w:rsid w:val="00887990"/>
    <w:rsid w:val="00894E2D"/>
    <w:rsid w:val="00896F1A"/>
    <w:rsid w:val="008A37C7"/>
    <w:rsid w:val="008A41E8"/>
    <w:rsid w:val="008A4919"/>
    <w:rsid w:val="008A4E1D"/>
    <w:rsid w:val="008A54FA"/>
    <w:rsid w:val="008B0772"/>
    <w:rsid w:val="008B7EDC"/>
    <w:rsid w:val="008C0527"/>
    <w:rsid w:val="008C243F"/>
    <w:rsid w:val="008C33A0"/>
    <w:rsid w:val="008C43FB"/>
    <w:rsid w:val="008C514E"/>
    <w:rsid w:val="008C57FE"/>
    <w:rsid w:val="008D1578"/>
    <w:rsid w:val="008D15D0"/>
    <w:rsid w:val="008D1E41"/>
    <w:rsid w:val="008D2758"/>
    <w:rsid w:val="008D4431"/>
    <w:rsid w:val="008D468C"/>
    <w:rsid w:val="008D49B2"/>
    <w:rsid w:val="008D666C"/>
    <w:rsid w:val="008E150A"/>
    <w:rsid w:val="008E456F"/>
    <w:rsid w:val="008E4917"/>
    <w:rsid w:val="008E51EE"/>
    <w:rsid w:val="008F6010"/>
    <w:rsid w:val="008F6A0B"/>
    <w:rsid w:val="008F6F4F"/>
    <w:rsid w:val="00900093"/>
    <w:rsid w:val="00903B9D"/>
    <w:rsid w:val="009044B2"/>
    <w:rsid w:val="0090483F"/>
    <w:rsid w:val="00910904"/>
    <w:rsid w:val="00911E85"/>
    <w:rsid w:val="009201A1"/>
    <w:rsid w:val="00923A7E"/>
    <w:rsid w:val="00923E16"/>
    <w:rsid w:val="0092693C"/>
    <w:rsid w:val="00926C8A"/>
    <w:rsid w:val="0093133D"/>
    <w:rsid w:val="009367B7"/>
    <w:rsid w:val="00936C9F"/>
    <w:rsid w:val="00936F73"/>
    <w:rsid w:val="00943D15"/>
    <w:rsid w:val="0094428A"/>
    <w:rsid w:val="009447F9"/>
    <w:rsid w:val="00950CBA"/>
    <w:rsid w:val="00951A24"/>
    <w:rsid w:val="009523AB"/>
    <w:rsid w:val="00953B1D"/>
    <w:rsid w:val="00957F79"/>
    <w:rsid w:val="00957F9B"/>
    <w:rsid w:val="009612D0"/>
    <w:rsid w:val="00962527"/>
    <w:rsid w:val="009647D5"/>
    <w:rsid w:val="00971F5B"/>
    <w:rsid w:val="00975308"/>
    <w:rsid w:val="00975EB0"/>
    <w:rsid w:val="00977221"/>
    <w:rsid w:val="00983260"/>
    <w:rsid w:val="00983EF8"/>
    <w:rsid w:val="00984618"/>
    <w:rsid w:val="00993A5D"/>
    <w:rsid w:val="00993DD0"/>
    <w:rsid w:val="00994DF1"/>
    <w:rsid w:val="00995172"/>
    <w:rsid w:val="009A25D0"/>
    <w:rsid w:val="009A6381"/>
    <w:rsid w:val="009A681E"/>
    <w:rsid w:val="009A7F55"/>
    <w:rsid w:val="009B1144"/>
    <w:rsid w:val="009B24A1"/>
    <w:rsid w:val="009B44A0"/>
    <w:rsid w:val="009B4F95"/>
    <w:rsid w:val="009B5C1B"/>
    <w:rsid w:val="009B6E2E"/>
    <w:rsid w:val="009B73AA"/>
    <w:rsid w:val="009C0B22"/>
    <w:rsid w:val="009C0C4B"/>
    <w:rsid w:val="009C24AD"/>
    <w:rsid w:val="009C2A80"/>
    <w:rsid w:val="009C39DB"/>
    <w:rsid w:val="009C642F"/>
    <w:rsid w:val="009D380A"/>
    <w:rsid w:val="009D4108"/>
    <w:rsid w:val="009D591E"/>
    <w:rsid w:val="009E12A5"/>
    <w:rsid w:val="009E3253"/>
    <w:rsid w:val="009E32A0"/>
    <w:rsid w:val="009E4C4E"/>
    <w:rsid w:val="009E738B"/>
    <w:rsid w:val="009F0982"/>
    <w:rsid w:val="009F0E6D"/>
    <w:rsid w:val="009F1FBF"/>
    <w:rsid w:val="009F27D6"/>
    <w:rsid w:val="009F3101"/>
    <w:rsid w:val="009F3F7C"/>
    <w:rsid w:val="00A005A3"/>
    <w:rsid w:val="00A00637"/>
    <w:rsid w:val="00A014F4"/>
    <w:rsid w:val="00A0731C"/>
    <w:rsid w:val="00A07C6F"/>
    <w:rsid w:val="00A12D7F"/>
    <w:rsid w:val="00A1377F"/>
    <w:rsid w:val="00A13DD1"/>
    <w:rsid w:val="00A13ED6"/>
    <w:rsid w:val="00A1614B"/>
    <w:rsid w:val="00A16367"/>
    <w:rsid w:val="00A169C6"/>
    <w:rsid w:val="00A20180"/>
    <w:rsid w:val="00A201A7"/>
    <w:rsid w:val="00A2165C"/>
    <w:rsid w:val="00A26082"/>
    <w:rsid w:val="00A278D2"/>
    <w:rsid w:val="00A30B8A"/>
    <w:rsid w:val="00A32C46"/>
    <w:rsid w:val="00A3460F"/>
    <w:rsid w:val="00A41E82"/>
    <w:rsid w:val="00A41F18"/>
    <w:rsid w:val="00A42273"/>
    <w:rsid w:val="00A444DD"/>
    <w:rsid w:val="00A44FAB"/>
    <w:rsid w:val="00A472B4"/>
    <w:rsid w:val="00A51872"/>
    <w:rsid w:val="00A53E1A"/>
    <w:rsid w:val="00A54144"/>
    <w:rsid w:val="00A56E0B"/>
    <w:rsid w:val="00A606E8"/>
    <w:rsid w:val="00A67729"/>
    <w:rsid w:val="00A84BAD"/>
    <w:rsid w:val="00A86236"/>
    <w:rsid w:val="00A86794"/>
    <w:rsid w:val="00A87A75"/>
    <w:rsid w:val="00A9076B"/>
    <w:rsid w:val="00A9082A"/>
    <w:rsid w:val="00A92386"/>
    <w:rsid w:val="00A950D4"/>
    <w:rsid w:val="00A96351"/>
    <w:rsid w:val="00A96FE7"/>
    <w:rsid w:val="00AA1D69"/>
    <w:rsid w:val="00AA4EE7"/>
    <w:rsid w:val="00AA5D54"/>
    <w:rsid w:val="00AA5DA9"/>
    <w:rsid w:val="00AB00D5"/>
    <w:rsid w:val="00AB1DB6"/>
    <w:rsid w:val="00AB1E23"/>
    <w:rsid w:val="00AB733E"/>
    <w:rsid w:val="00AB7BEB"/>
    <w:rsid w:val="00AC738E"/>
    <w:rsid w:val="00AD4523"/>
    <w:rsid w:val="00AD5391"/>
    <w:rsid w:val="00AE0443"/>
    <w:rsid w:val="00AE0BD4"/>
    <w:rsid w:val="00AE2021"/>
    <w:rsid w:val="00AE2BAF"/>
    <w:rsid w:val="00AE3CF0"/>
    <w:rsid w:val="00AE5CFB"/>
    <w:rsid w:val="00AE6878"/>
    <w:rsid w:val="00AE7CD1"/>
    <w:rsid w:val="00AF2073"/>
    <w:rsid w:val="00AF685B"/>
    <w:rsid w:val="00AF6C9E"/>
    <w:rsid w:val="00B03E9E"/>
    <w:rsid w:val="00B103D4"/>
    <w:rsid w:val="00B10406"/>
    <w:rsid w:val="00B14680"/>
    <w:rsid w:val="00B166EA"/>
    <w:rsid w:val="00B16EDD"/>
    <w:rsid w:val="00B17044"/>
    <w:rsid w:val="00B209CD"/>
    <w:rsid w:val="00B21167"/>
    <w:rsid w:val="00B22D13"/>
    <w:rsid w:val="00B24E2B"/>
    <w:rsid w:val="00B256F2"/>
    <w:rsid w:val="00B260C5"/>
    <w:rsid w:val="00B301AC"/>
    <w:rsid w:val="00B30423"/>
    <w:rsid w:val="00B30E9D"/>
    <w:rsid w:val="00B315F4"/>
    <w:rsid w:val="00B31CED"/>
    <w:rsid w:val="00B31D7A"/>
    <w:rsid w:val="00B31F98"/>
    <w:rsid w:val="00B32452"/>
    <w:rsid w:val="00B34591"/>
    <w:rsid w:val="00B408EF"/>
    <w:rsid w:val="00B4247D"/>
    <w:rsid w:val="00B44F2B"/>
    <w:rsid w:val="00B470A0"/>
    <w:rsid w:val="00B53153"/>
    <w:rsid w:val="00B555BE"/>
    <w:rsid w:val="00B57407"/>
    <w:rsid w:val="00B61B78"/>
    <w:rsid w:val="00B64F97"/>
    <w:rsid w:val="00B650F3"/>
    <w:rsid w:val="00B717EB"/>
    <w:rsid w:val="00B7215C"/>
    <w:rsid w:val="00B7731C"/>
    <w:rsid w:val="00B77705"/>
    <w:rsid w:val="00B81A06"/>
    <w:rsid w:val="00B837AA"/>
    <w:rsid w:val="00B844F4"/>
    <w:rsid w:val="00B85075"/>
    <w:rsid w:val="00B906F2"/>
    <w:rsid w:val="00B90A85"/>
    <w:rsid w:val="00B918F4"/>
    <w:rsid w:val="00B94CB1"/>
    <w:rsid w:val="00BA0C9B"/>
    <w:rsid w:val="00BA6EB7"/>
    <w:rsid w:val="00BB4D00"/>
    <w:rsid w:val="00BB67B1"/>
    <w:rsid w:val="00BC1E5E"/>
    <w:rsid w:val="00BC57A2"/>
    <w:rsid w:val="00BD06ED"/>
    <w:rsid w:val="00BD1597"/>
    <w:rsid w:val="00BD3EE7"/>
    <w:rsid w:val="00BD4A34"/>
    <w:rsid w:val="00BE0DAC"/>
    <w:rsid w:val="00BE1504"/>
    <w:rsid w:val="00BE1CF5"/>
    <w:rsid w:val="00BE252A"/>
    <w:rsid w:val="00BE2A9F"/>
    <w:rsid w:val="00BE5148"/>
    <w:rsid w:val="00BE67A8"/>
    <w:rsid w:val="00BE7045"/>
    <w:rsid w:val="00BF0E36"/>
    <w:rsid w:val="00BF12DE"/>
    <w:rsid w:val="00BF1FFD"/>
    <w:rsid w:val="00BF2AC8"/>
    <w:rsid w:val="00BF6417"/>
    <w:rsid w:val="00C00BFD"/>
    <w:rsid w:val="00C01A29"/>
    <w:rsid w:val="00C06B11"/>
    <w:rsid w:val="00C074F7"/>
    <w:rsid w:val="00C1433C"/>
    <w:rsid w:val="00C15906"/>
    <w:rsid w:val="00C159B9"/>
    <w:rsid w:val="00C16C9F"/>
    <w:rsid w:val="00C17EBF"/>
    <w:rsid w:val="00C21ADA"/>
    <w:rsid w:val="00C2280D"/>
    <w:rsid w:val="00C22BAE"/>
    <w:rsid w:val="00C31F71"/>
    <w:rsid w:val="00C32A91"/>
    <w:rsid w:val="00C3318E"/>
    <w:rsid w:val="00C36896"/>
    <w:rsid w:val="00C37777"/>
    <w:rsid w:val="00C43DBF"/>
    <w:rsid w:val="00C450AD"/>
    <w:rsid w:val="00C45585"/>
    <w:rsid w:val="00C4753C"/>
    <w:rsid w:val="00C50526"/>
    <w:rsid w:val="00C51888"/>
    <w:rsid w:val="00C53549"/>
    <w:rsid w:val="00C60120"/>
    <w:rsid w:val="00C657E5"/>
    <w:rsid w:val="00C67D13"/>
    <w:rsid w:val="00C74A9F"/>
    <w:rsid w:val="00C74BB0"/>
    <w:rsid w:val="00C75602"/>
    <w:rsid w:val="00C7560E"/>
    <w:rsid w:val="00C832DA"/>
    <w:rsid w:val="00C8342F"/>
    <w:rsid w:val="00C84773"/>
    <w:rsid w:val="00C902DC"/>
    <w:rsid w:val="00C93F06"/>
    <w:rsid w:val="00C95056"/>
    <w:rsid w:val="00C9512F"/>
    <w:rsid w:val="00CA185D"/>
    <w:rsid w:val="00CA32F1"/>
    <w:rsid w:val="00CA3362"/>
    <w:rsid w:val="00CA5F3F"/>
    <w:rsid w:val="00CA6042"/>
    <w:rsid w:val="00CA65EB"/>
    <w:rsid w:val="00CA7887"/>
    <w:rsid w:val="00CB05F5"/>
    <w:rsid w:val="00CB0B32"/>
    <w:rsid w:val="00CB31A6"/>
    <w:rsid w:val="00CB579F"/>
    <w:rsid w:val="00CC0204"/>
    <w:rsid w:val="00CC046E"/>
    <w:rsid w:val="00CC2B7E"/>
    <w:rsid w:val="00CC39E6"/>
    <w:rsid w:val="00CC48CE"/>
    <w:rsid w:val="00CD03AD"/>
    <w:rsid w:val="00CD0764"/>
    <w:rsid w:val="00CD66CC"/>
    <w:rsid w:val="00CD757D"/>
    <w:rsid w:val="00CE07AC"/>
    <w:rsid w:val="00CE6148"/>
    <w:rsid w:val="00CE6FEA"/>
    <w:rsid w:val="00CF14E3"/>
    <w:rsid w:val="00CF50B1"/>
    <w:rsid w:val="00CF532F"/>
    <w:rsid w:val="00CF69E1"/>
    <w:rsid w:val="00CF799D"/>
    <w:rsid w:val="00D0381C"/>
    <w:rsid w:val="00D03F30"/>
    <w:rsid w:val="00D03F81"/>
    <w:rsid w:val="00D05501"/>
    <w:rsid w:val="00D10839"/>
    <w:rsid w:val="00D11FEA"/>
    <w:rsid w:val="00D13022"/>
    <w:rsid w:val="00D1383F"/>
    <w:rsid w:val="00D1580D"/>
    <w:rsid w:val="00D15EFB"/>
    <w:rsid w:val="00D160D1"/>
    <w:rsid w:val="00D20201"/>
    <w:rsid w:val="00D20492"/>
    <w:rsid w:val="00D2295B"/>
    <w:rsid w:val="00D26067"/>
    <w:rsid w:val="00D26C14"/>
    <w:rsid w:val="00D31C70"/>
    <w:rsid w:val="00D363A5"/>
    <w:rsid w:val="00D41EC6"/>
    <w:rsid w:val="00D428F8"/>
    <w:rsid w:val="00D43B3B"/>
    <w:rsid w:val="00D44254"/>
    <w:rsid w:val="00D45F32"/>
    <w:rsid w:val="00D471E3"/>
    <w:rsid w:val="00D50711"/>
    <w:rsid w:val="00D52513"/>
    <w:rsid w:val="00D52B81"/>
    <w:rsid w:val="00D61252"/>
    <w:rsid w:val="00D65F19"/>
    <w:rsid w:val="00D70B41"/>
    <w:rsid w:val="00D71B28"/>
    <w:rsid w:val="00D7247B"/>
    <w:rsid w:val="00D73202"/>
    <w:rsid w:val="00D7571D"/>
    <w:rsid w:val="00D7590D"/>
    <w:rsid w:val="00D8165D"/>
    <w:rsid w:val="00D81BBF"/>
    <w:rsid w:val="00D81E46"/>
    <w:rsid w:val="00D8419F"/>
    <w:rsid w:val="00D84DE0"/>
    <w:rsid w:val="00D85A59"/>
    <w:rsid w:val="00D90426"/>
    <w:rsid w:val="00D9064F"/>
    <w:rsid w:val="00D92731"/>
    <w:rsid w:val="00D92DCE"/>
    <w:rsid w:val="00D935AD"/>
    <w:rsid w:val="00D93957"/>
    <w:rsid w:val="00D9436E"/>
    <w:rsid w:val="00D95433"/>
    <w:rsid w:val="00D955BE"/>
    <w:rsid w:val="00DA257E"/>
    <w:rsid w:val="00DA3E39"/>
    <w:rsid w:val="00DA628B"/>
    <w:rsid w:val="00DA65B8"/>
    <w:rsid w:val="00DA6880"/>
    <w:rsid w:val="00DA715F"/>
    <w:rsid w:val="00DB1D65"/>
    <w:rsid w:val="00DB1E68"/>
    <w:rsid w:val="00DB56AA"/>
    <w:rsid w:val="00DC01A0"/>
    <w:rsid w:val="00DC2201"/>
    <w:rsid w:val="00DC2E8D"/>
    <w:rsid w:val="00DC3584"/>
    <w:rsid w:val="00DD2544"/>
    <w:rsid w:val="00DD3521"/>
    <w:rsid w:val="00DE0140"/>
    <w:rsid w:val="00DE08FF"/>
    <w:rsid w:val="00DE336D"/>
    <w:rsid w:val="00DE5216"/>
    <w:rsid w:val="00DF12B8"/>
    <w:rsid w:val="00DF3B6F"/>
    <w:rsid w:val="00DF4637"/>
    <w:rsid w:val="00DF47DD"/>
    <w:rsid w:val="00DF5044"/>
    <w:rsid w:val="00DF5ED5"/>
    <w:rsid w:val="00E02C5E"/>
    <w:rsid w:val="00E02DEA"/>
    <w:rsid w:val="00E02FBA"/>
    <w:rsid w:val="00E063B2"/>
    <w:rsid w:val="00E07A85"/>
    <w:rsid w:val="00E155B1"/>
    <w:rsid w:val="00E16067"/>
    <w:rsid w:val="00E22154"/>
    <w:rsid w:val="00E224CB"/>
    <w:rsid w:val="00E23F92"/>
    <w:rsid w:val="00E24180"/>
    <w:rsid w:val="00E26BBD"/>
    <w:rsid w:val="00E2730C"/>
    <w:rsid w:val="00E35504"/>
    <w:rsid w:val="00E41C3E"/>
    <w:rsid w:val="00E4473D"/>
    <w:rsid w:val="00E44A40"/>
    <w:rsid w:val="00E456F7"/>
    <w:rsid w:val="00E45CE9"/>
    <w:rsid w:val="00E46911"/>
    <w:rsid w:val="00E474A9"/>
    <w:rsid w:val="00E50F4B"/>
    <w:rsid w:val="00E51E6B"/>
    <w:rsid w:val="00E553C9"/>
    <w:rsid w:val="00E56398"/>
    <w:rsid w:val="00E57398"/>
    <w:rsid w:val="00E6135C"/>
    <w:rsid w:val="00E63A4A"/>
    <w:rsid w:val="00E64843"/>
    <w:rsid w:val="00E670B7"/>
    <w:rsid w:val="00E675B5"/>
    <w:rsid w:val="00E67CBC"/>
    <w:rsid w:val="00E700A8"/>
    <w:rsid w:val="00E703EE"/>
    <w:rsid w:val="00E7048F"/>
    <w:rsid w:val="00E70EA3"/>
    <w:rsid w:val="00E73211"/>
    <w:rsid w:val="00E8234E"/>
    <w:rsid w:val="00E831B5"/>
    <w:rsid w:val="00E84115"/>
    <w:rsid w:val="00E92998"/>
    <w:rsid w:val="00E96C1E"/>
    <w:rsid w:val="00EA22D3"/>
    <w:rsid w:val="00EA3534"/>
    <w:rsid w:val="00EA3E4B"/>
    <w:rsid w:val="00EA4C1A"/>
    <w:rsid w:val="00EA5BD5"/>
    <w:rsid w:val="00EA71AF"/>
    <w:rsid w:val="00EB06BA"/>
    <w:rsid w:val="00EB100A"/>
    <w:rsid w:val="00EB2EC0"/>
    <w:rsid w:val="00EB37F2"/>
    <w:rsid w:val="00EB6975"/>
    <w:rsid w:val="00EC25DA"/>
    <w:rsid w:val="00EC40BE"/>
    <w:rsid w:val="00EC4D23"/>
    <w:rsid w:val="00EC57C5"/>
    <w:rsid w:val="00ED3A5A"/>
    <w:rsid w:val="00ED3C3B"/>
    <w:rsid w:val="00ED6751"/>
    <w:rsid w:val="00ED6E44"/>
    <w:rsid w:val="00ED793D"/>
    <w:rsid w:val="00EE0F43"/>
    <w:rsid w:val="00EE1A40"/>
    <w:rsid w:val="00EE205D"/>
    <w:rsid w:val="00EE598D"/>
    <w:rsid w:val="00EF085B"/>
    <w:rsid w:val="00EF0A1F"/>
    <w:rsid w:val="00EF71B2"/>
    <w:rsid w:val="00F034B1"/>
    <w:rsid w:val="00F07788"/>
    <w:rsid w:val="00F07B3B"/>
    <w:rsid w:val="00F147CB"/>
    <w:rsid w:val="00F15DC9"/>
    <w:rsid w:val="00F17806"/>
    <w:rsid w:val="00F17D04"/>
    <w:rsid w:val="00F217D6"/>
    <w:rsid w:val="00F2422B"/>
    <w:rsid w:val="00F25938"/>
    <w:rsid w:val="00F264B5"/>
    <w:rsid w:val="00F27C4A"/>
    <w:rsid w:val="00F27C4F"/>
    <w:rsid w:val="00F33497"/>
    <w:rsid w:val="00F34EA4"/>
    <w:rsid w:val="00F40362"/>
    <w:rsid w:val="00F4094A"/>
    <w:rsid w:val="00F41A0E"/>
    <w:rsid w:val="00F41DD2"/>
    <w:rsid w:val="00F43F45"/>
    <w:rsid w:val="00F467DB"/>
    <w:rsid w:val="00F46E15"/>
    <w:rsid w:val="00F47A9D"/>
    <w:rsid w:val="00F50B82"/>
    <w:rsid w:val="00F522F4"/>
    <w:rsid w:val="00F526A9"/>
    <w:rsid w:val="00F52D8F"/>
    <w:rsid w:val="00F53046"/>
    <w:rsid w:val="00F54198"/>
    <w:rsid w:val="00F548C9"/>
    <w:rsid w:val="00F558CB"/>
    <w:rsid w:val="00F5734B"/>
    <w:rsid w:val="00F57AD0"/>
    <w:rsid w:val="00F60F2F"/>
    <w:rsid w:val="00F62BA2"/>
    <w:rsid w:val="00F66CC3"/>
    <w:rsid w:val="00F70BF0"/>
    <w:rsid w:val="00F763A6"/>
    <w:rsid w:val="00F833A3"/>
    <w:rsid w:val="00F83845"/>
    <w:rsid w:val="00F83A6F"/>
    <w:rsid w:val="00F843BA"/>
    <w:rsid w:val="00F86EAF"/>
    <w:rsid w:val="00F8798C"/>
    <w:rsid w:val="00F94B1D"/>
    <w:rsid w:val="00F9653E"/>
    <w:rsid w:val="00F969C7"/>
    <w:rsid w:val="00F97014"/>
    <w:rsid w:val="00FA068F"/>
    <w:rsid w:val="00FA1251"/>
    <w:rsid w:val="00FA23FD"/>
    <w:rsid w:val="00FA4956"/>
    <w:rsid w:val="00FA7B60"/>
    <w:rsid w:val="00FB0BFF"/>
    <w:rsid w:val="00FB2530"/>
    <w:rsid w:val="00FB2A35"/>
    <w:rsid w:val="00FB32D4"/>
    <w:rsid w:val="00FC0986"/>
    <w:rsid w:val="00FC7CFD"/>
    <w:rsid w:val="00FD007F"/>
    <w:rsid w:val="00FD01F3"/>
    <w:rsid w:val="00FE0DFF"/>
    <w:rsid w:val="00FE1A3C"/>
    <w:rsid w:val="00FE2A13"/>
    <w:rsid w:val="00FE397C"/>
    <w:rsid w:val="00FF217A"/>
    <w:rsid w:val="00FF22AB"/>
    <w:rsid w:val="00FF2DB2"/>
    <w:rsid w:val="00FF33EA"/>
    <w:rsid w:val="00FF56B0"/>
    <w:rsid w:val="00FF72C5"/>
    <w:rsid w:val="00FF7A23"/>
    <w:rsid w:val="36257002"/>
    <w:rsid w:val="39D7593C"/>
    <w:rsid w:val="40393C72"/>
    <w:rsid w:val="56725384"/>
    <w:rsid w:val="5DE36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98E8A"/>
  <w15:docId w15:val="{560DB27D-CAE5-4201-AD48-FE891796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4"/>
      <w:szCs w:val="24"/>
    </w:rPr>
  </w:style>
  <w:style w:type="paragraph" w:styleId="1">
    <w:name w:val="heading 1"/>
    <w:basedOn w:val="a"/>
    <w:next w:val="a"/>
    <w:link w:val="10"/>
    <w:uiPriority w:val="9"/>
    <w:qFormat/>
    <w:pPr>
      <w:spacing w:before="100" w:beforeAutospacing="1" w:after="100" w:afterAutospacing="1"/>
      <w:outlineLvl w:val="0"/>
    </w:pPr>
    <w:rPr>
      <w:rFonts w:ascii="宋体" w:eastAsia="宋体" w:hAnsi="宋体" w:cs="宋体"/>
      <w:b/>
      <w:bCs/>
      <w:kern w:val="36"/>
      <w:sz w:val="48"/>
      <w:szCs w:val="48"/>
    </w:rPr>
  </w:style>
  <w:style w:type="paragraph" w:styleId="2">
    <w:name w:val="heading 2"/>
    <w:basedOn w:val="a"/>
    <w:next w:val="a"/>
    <w:uiPriority w:val="9"/>
    <w:semiHidden/>
    <w:unhideWhenUsed/>
    <w:qFormat/>
    <w:pPr>
      <w:spacing w:beforeAutospacing="1" w:afterAutospacing="1"/>
      <w:outlineLvl w:val="1"/>
    </w:pPr>
    <w:rPr>
      <w:rFonts w:ascii="宋体" w:eastAsia="宋体" w:hAnsi="宋体" w:hint="eastAsia"/>
      <w:b/>
      <w:sz w:val="36"/>
      <w:szCs w:val="36"/>
    </w:rPr>
  </w:style>
  <w:style w:type="paragraph" w:styleId="4">
    <w:name w:val="heading 4"/>
    <w:basedOn w:val="a"/>
    <w:next w:val="a"/>
    <w:link w:val="40"/>
    <w:uiPriority w:val="9"/>
    <w:semiHidden/>
    <w:unhideWhenUsed/>
    <w:qFormat/>
    <w:pPr>
      <w:keepNext/>
      <w:keepLines/>
      <w:spacing w:before="40"/>
      <w:outlineLvl w:val="3"/>
    </w:pPr>
    <w:rPr>
      <w:rFonts w:ascii="Calibri Light" w:eastAsia="等线 Light" w:hAnsi="Calibri Light"/>
      <w:i/>
      <w:iCs/>
      <w:color w:val="2F54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pPr>
      <w:ind w:left="1440"/>
    </w:pPr>
    <w:rPr>
      <w:rFonts w:asciiTheme="minorHAnsi" w:hAnsiTheme="minorHAnsi"/>
      <w:sz w:val="20"/>
      <w:szCs w:val="20"/>
    </w:rPr>
  </w:style>
  <w:style w:type="paragraph" w:styleId="a3">
    <w:name w:val="annotation text"/>
    <w:basedOn w:val="a"/>
    <w:link w:val="a4"/>
    <w:uiPriority w:val="99"/>
    <w:semiHidden/>
    <w:unhideWhenUsed/>
    <w:qFormat/>
    <w:rPr>
      <w:sz w:val="20"/>
      <w:szCs w:val="20"/>
    </w:rPr>
  </w:style>
  <w:style w:type="paragraph" w:styleId="TOC5">
    <w:name w:val="toc 5"/>
    <w:basedOn w:val="a"/>
    <w:next w:val="a"/>
    <w:uiPriority w:val="39"/>
    <w:unhideWhenUsed/>
    <w:pPr>
      <w:ind w:left="960"/>
    </w:pPr>
    <w:rPr>
      <w:rFonts w:asciiTheme="minorHAnsi" w:hAnsiTheme="minorHAnsi"/>
      <w:sz w:val="20"/>
      <w:szCs w:val="20"/>
    </w:rPr>
  </w:style>
  <w:style w:type="paragraph" w:styleId="TOC3">
    <w:name w:val="toc 3"/>
    <w:basedOn w:val="a"/>
    <w:next w:val="a"/>
    <w:uiPriority w:val="39"/>
    <w:unhideWhenUsed/>
    <w:pPr>
      <w:ind w:left="480"/>
    </w:pPr>
    <w:rPr>
      <w:rFonts w:asciiTheme="minorHAnsi" w:hAnsiTheme="minorHAnsi"/>
      <w:sz w:val="20"/>
      <w:szCs w:val="20"/>
    </w:rPr>
  </w:style>
  <w:style w:type="paragraph" w:styleId="TOC8">
    <w:name w:val="toc 8"/>
    <w:basedOn w:val="a"/>
    <w:next w:val="a"/>
    <w:uiPriority w:val="39"/>
    <w:unhideWhenUsed/>
    <w:pPr>
      <w:ind w:left="1680"/>
    </w:pPr>
    <w:rPr>
      <w:rFonts w:asciiTheme="minorHAnsi" w:hAnsiTheme="minorHAnsi"/>
      <w:sz w:val="20"/>
      <w:szCs w:val="20"/>
    </w:rPr>
  </w:style>
  <w:style w:type="paragraph" w:styleId="a5">
    <w:name w:val="Date"/>
    <w:basedOn w:val="a"/>
    <w:next w:val="a"/>
    <w:link w:val="a6"/>
    <w:uiPriority w:val="99"/>
    <w:semiHidden/>
    <w:unhideWhenUsed/>
    <w:rPr>
      <w:rFonts w:ascii="Calibri" w:eastAsia="等线" w:hAnsi="Calibri"/>
    </w:r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pPr>
      <w:spacing w:before="240" w:after="120"/>
    </w:pPr>
    <w:rPr>
      <w:rFonts w:asciiTheme="minorHAnsi" w:hAnsiTheme="minorHAnsi"/>
      <w:b/>
      <w:bCs/>
      <w:sz w:val="20"/>
      <w:szCs w:val="20"/>
    </w:rPr>
  </w:style>
  <w:style w:type="paragraph" w:styleId="TOC4">
    <w:name w:val="toc 4"/>
    <w:basedOn w:val="a"/>
    <w:next w:val="a"/>
    <w:uiPriority w:val="39"/>
    <w:unhideWhenUsed/>
    <w:pPr>
      <w:ind w:left="720"/>
    </w:pPr>
    <w:rPr>
      <w:rFonts w:asciiTheme="minorHAnsi" w:hAnsiTheme="minorHAnsi"/>
      <w:sz w:val="20"/>
      <w:szCs w:val="20"/>
    </w:rPr>
  </w:style>
  <w:style w:type="paragraph" w:styleId="TOC6">
    <w:name w:val="toc 6"/>
    <w:basedOn w:val="a"/>
    <w:next w:val="a"/>
    <w:uiPriority w:val="39"/>
    <w:unhideWhenUsed/>
    <w:pPr>
      <w:ind w:left="1200"/>
    </w:pPr>
    <w:rPr>
      <w:rFonts w:asciiTheme="minorHAnsi" w:hAnsiTheme="minorHAnsi"/>
      <w:sz w:val="20"/>
      <w:szCs w:val="20"/>
    </w:rPr>
  </w:style>
  <w:style w:type="paragraph" w:styleId="TOC2">
    <w:name w:val="toc 2"/>
    <w:basedOn w:val="a"/>
    <w:next w:val="a"/>
    <w:uiPriority w:val="39"/>
    <w:unhideWhenUsed/>
    <w:pPr>
      <w:spacing w:before="120"/>
      <w:ind w:left="240"/>
    </w:pPr>
    <w:rPr>
      <w:rFonts w:asciiTheme="minorHAnsi" w:hAnsiTheme="minorHAnsi"/>
      <w:i/>
      <w:iCs/>
      <w:sz w:val="20"/>
      <w:szCs w:val="20"/>
    </w:rPr>
  </w:style>
  <w:style w:type="paragraph" w:styleId="TOC9">
    <w:name w:val="toc 9"/>
    <w:basedOn w:val="a"/>
    <w:next w:val="a"/>
    <w:uiPriority w:val="39"/>
    <w:unhideWhenUsed/>
    <w:pPr>
      <w:ind w:left="1920"/>
    </w:pPr>
    <w:rPr>
      <w:rFonts w:asciiTheme="minorHAnsi" w:hAnsiTheme="minorHAnsi"/>
      <w:sz w:val="20"/>
      <w:szCs w:val="20"/>
    </w:rPr>
  </w:style>
  <w:style w:type="paragraph" w:styleId="ad">
    <w:name w:val="Normal (Web)"/>
    <w:basedOn w:val="a"/>
    <w:uiPriority w:val="99"/>
    <w:unhideWhenUsed/>
    <w:qFormat/>
    <w:pPr>
      <w:spacing w:before="100" w:beforeAutospacing="1" w:after="100" w:afterAutospacing="1"/>
    </w:pPr>
  </w:style>
  <w:style w:type="paragraph" w:styleId="ae">
    <w:name w:val="annotation subject"/>
    <w:basedOn w:val="a3"/>
    <w:next w:val="a3"/>
    <w:link w:val="af"/>
    <w:uiPriority w:val="99"/>
    <w:semiHidden/>
    <w:unhideWhenUsed/>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Pr>
      <w:b/>
      <w:bCs/>
    </w:rPr>
  </w:style>
  <w:style w:type="character" w:styleId="af2">
    <w:name w:val="page number"/>
    <w:basedOn w:val="a0"/>
    <w:uiPriority w:val="99"/>
    <w:semiHidden/>
    <w:unhideWhenUsed/>
  </w:style>
  <w:style w:type="character" w:styleId="af3">
    <w:name w:val="Emphasis"/>
    <w:qFormat/>
    <w:rPr>
      <w:color w:val="CC0033"/>
    </w:rPr>
  </w:style>
  <w:style w:type="character" w:styleId="af4">
    <w:name w:val="line number"/>
    <w:basedOn w:val="a0"/>
    <w:uiPriority w:val="99"/>
    <w:semiHidden/>
    <w:unhideWhenUsed/>
  </w:style>
  <w:style w:type="character" w:styleId="af5">
    <w:name w:val="Hyperlink"/>
    <w:uiPriority w:val="99"/>
    <w:unhideWhenUsed/>
    <w:qFormat/>
    <w:rPr>
      <w:color w:val="0000FF"/>
      <w:u w:val="single"/>
    </w:rPr>
  </w:style>
  <w:style w:type="character" w:styleId="af6">
    <w:name w:val="annotation reference"/>
    <w:uiPriority w:val="99"/>
    <w:unhideWhenUsed/>
    <w:qFormat/>
    <w:rPr>
      <w:sz w:val="16"/>
      <w:szCs w:val="16"/>
    </w:rPr>
  </w:style>
  <w:style w:type="character" w:customStyle="1" w:styleId="a6">
    <w:name w:val="日期 字符"/>
    <w:basedOn w:val="a0"/>
    <w:link w:val="a5"/>
    <w:uiPriority w:val="99"/>
    <w:semiHidden/>
    <w:qFormat/>
  </w:style>
  <w:style w:type="paragraph" w:styleId="af7">
    <w:name w:val="List Paragraph"/>
    <w:basedOn w:val="a"/>
    <w:uiPriority w:val="34"/>
    <w:qFormat/>
    <w:pPr>
      <w:ind w:left="720"/>
      <w:contextualSpacing/>
    </w:pPr>
    <w:rPr>
      <w:rFonts w:ascii="Calibri" w:eastAsia="等线" w:hAnsi="Calibri"/>
    </w:rPr>
  </w:style>
  <w:style w:type="character" w:customStyle="1" w:styleId="a4">
    <w:name w:val="批注文字 字符"/>
    <w:link w:val="a3"/>
    <w:uiPriority w:val="99"/>
    <w:semiHidden/>
    <w:qFormat/>
    <w:rPr>
      <w:rFonts w:ascii="Times New Roman" w:eastAsia="Times New Roman" w:hAnsi="Times New Roman" w:cs="Times New Roman"/>
      <w:sz w:val="20"/>
      <w:szCs w:val="20"/>
    </w:rPr>
  </w:style>
  <w:style w:type="character" w:customStyle="1" w:styleId="af">
    <w:name w:val="批注主题 字符"/>
    <w:link w:val="ae"/>
    <w:uiPriority w:val="99"/>
    <w:semiHidden/>
    <w:rPr>
      <w:rFonts w:ascii="Times New Roman" w:eastAsia="Times New Roman" w:hAnsi="Times New Roman" w:cs="Times New Roman"/>
      <w:b/>
      <w:bCs/>
      <w:sz w:val="20"/>
      <w:szCs w:val="20"/>
    </w:rPr>
  </w:style>
  <w:style w:type="character" w:customStyle="1" w:styleId="a8">
    <w:name w:val="批注框文本 字符"/>
    <w:link w:val="a7"/>
    <w:uiPriority w:val="99"/>
    <w:semiHidden/>
    <w:rPr>
      <w:rFonts w:ascii="Times New Roman" w:eastAsia="Times New Roman" w:hAnsi="Times New Roman" w:cs="Times New Roman"/>
      <w:sz w:val="18"/>
      <w:szCs w:val="18"/>
    </w:rPr>
  </w:style>
  <w:style w:type="character" w:customStyle="1" w:styleId="ac">
    <w:name w:val="页眉 字符"/>
    <w:link w:val="ab"/>
    <w:uiPriority w:val="99"/>
    <w:rPr>
      <w:rFonts w:ascii="Times New Roman" w:eastAsia="Times New Roman" w:hAnsi="Times New Roman" w:cs="Times New Roman"/>
      <w:sz w:val="18"/>
      <w:szCs w:val="18"/>
    </w:rPr>
  </w:style>
  <w:style w:type="character" w:customStyle="1" w:styleId="aa">
    <w:name w:val="页脚 字符"/>
    <w:link w:val="a9"/>
    <w:uiPriority w:val="99"/>
    <w:rPr>
      <w:rFonts w:ascii="Times New Roman" w:eastAsia="Times New Roman" w:hAnsi="Times New Roman" w:cs="Times New Roman"/>
      <w:sz w:val="18"/>
      <w:szCs w:val="18"/>
    </w:rPr>
  </w:style>
  <w:style w:type="paragraph" w:customStyle="1" w:styleId="11">
    <w:name w:val="修订1"/>
    <w:hidden/>
    <w:uiPriority w:val="99"/>
    <w:semiHidden/>
    <w:rPr>
      <w:rFonts w:eastAsia="Times New Roman"/>
      <w:sz w:val="24"/>
      <w:szCs w:val="24"/>
    </w:rPr>
  </w:style>
  <w:style w:type="character" w:styleId="af8">
    <w:name w:val="Placeholder Text"/>
    <w:uiPriority w:val="99"/>
    <w:semiHidden/>
    <w:rPr>
      <w:color w:val="808080"/>
    </w:rPr>
  </w:style>
  <w:style w:type="character" w:customStyle="1" w:styleId="10">
    <w:name w:val="标题 1 字符"/>
    <w:link w:val="1"/>
    <w:uiPriority w:val="9"/>
    <w:rPr>
      <w:rFonts w:ascii="宋体" w:eastAsia="宋体" w:hAnsi="宋体" w:cs="宋体"/>
      <w:b/>
      <w:bCs/>
      <w:kern w:val="36"/>
      <w:sz w:val="48"/>
      <w:szCs w:val="48"/>
    </w:rPr>
  </w:style>
  <w:style w:type="character" w:customStyle="1" w:styleId="40">
    <w:name w:val="标题 4 字符"/>
    <w:link w:val="4"/>
    <w:uiPriority w:val="9"/>
    <w:semiHidden/>
    <w:rPr>
      <w:rFonts w:ascii="Calibri Light" w:eastAsia="等线 Light" w:hAnsi="Calibri Light" w:cs="Times New Roman"/>
      <w:i/>
      <w:iCs/>
      <w:color w:val="2F5496"/>
    </w:rPr>
  </w:style>
  <w:style w:type="paragraph" w:customStyle="1" w:styleId="TOC10">
    <w:name w:val="TOC 标题1"/>
    <w:basedOn w:val="1"/>
    <w:next w:val="a"/>
    <w:uiPriority w:val="39"/>
    <w:unhideWhenUsed/>
    <w:qFormat/>
    <w:pPr>
      <w:keepNext/>
      <w:keepLines/>
      <w:spacing w:before="240" w:beforeAutospacing="0" w:after="0" w:afterAutospacing="0" w:line="259" w:lineRule="auto"/>
      <w:outlineLvl w:val="9"/>
    </w:pPr>
    <w:rPr>
      <w:rFonts w:ascii="Calibri Light" w:eastAsia="等线 Light" w:hAnsi="Calibri Light" w:cs="Times New Roman"/>
      <w:b w:val="0"/>
      <w:bCs w:val="0"/>
      <w:color w:val="2F5496"/>
      <w:kern w:val="0"/>
      <w:sz w:val="32"/>
      <w:szCs w:val="32"/>
    </w:rPr>
  </w:style>
  <w:style w:type="paragraph" w:customStyle="1" w:styleId="20">
    <w:name w:val="修订2"/>
    <w:hidden/>
    <w:uiPriority w:val="99"/>
    <w:semiHidden/>
    <w:rPr>
      <w:rFonts w:eastAsia="Times New Roman"/>
      <w:sz w:val="24"/>
      <w:szCs w:val="24"/>
    </w:rPr>
  </w:style>
  <w:style w:type="paragraph" w:customStyle="1" w:styleId="af9">
    <w:name w:val="无间距"/>
    <w:uiPriority w:val="1"/>
    <w:qFormat/>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B9CCCD-CA67-964B-B4F1-8A61538B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44623</Words>
  <Characters>254354</Characters>
  <Application>Microsoft Office Word</Application>
  <DocSecurity>0</DocSecurity>
  <Lines>2119</Lines>
  <Paragraphs>596</Paragraphs>
  <ScaleCrop>false</ScaleCrop>
  <Company/>
  <LinksUpToDate>false</LinksUpToDate>
  <CharactersWithSpaces>298381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Dong-Xin Wang</cp:lastModifiedBy>
  <cp:revision>4</cp:revision>
  <dcterms:created xsi:type="dcterms:W3CDTF">2021-02-20T11:14:00Z</dcterms:created>
  <dcterms:modified xsi:type="dcterms:W3CDTF">2021-02-20T11:17:00Z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http://www.zotero.org/styles/anesthesiology</vt:lpwstr>
  </property>
  <property fmtid="{D5CDD505-2E9C-101B-9397-08002B2CF9AE}" pid="7" name="Mendeley Recent Style Name 2_1">
    <vt:lpwstr>Anesthesiology</vt:lpwstr>
  </property>
  <property fmtid="{D5CDD505-2E9C-101B-9397-08002B2CF9AE}" pid="8" name="Mendeley Recent Style Id 3_1">
    <vt:lpwstr>http://www.zotero.org/styles/china-national-standard-gb-t-7714-2015-author-date</vt:lpwstr>
  </property>
  <property fmtid="{D5CDD505-2E9C-101B-9397-08002B2CF9AE}" pid="9" name="Mendeley Recent Style Name 3_1">
    <vt:lpwstr>China National Standard GB/T 7714-2015 (author-date, Chinese)</vt:lpwstr>
  </property>
  <property fmtid="{D5CDD505-2E9C-101B-9397-08002B2CF9AE}" pid="10" name="Mendeley Recent Style Id 4_1">
    <vt:lpwstr>http://www.zotero.org/styles/china-national-standard-gb-t-7714-2015-note</vt:lpwstr>
  </property>
  <property fmtid="{D5CDD505-2E9C-101B-9397-08002B2CF9AE}" pid="11" name="Mendeley Recent Style Name 4_1">
    <vt:lpwstr>China National Standard GB/T 7714-2015 (note, Chinese)</vt:lpwstr>
  </property>
  <property fmtid="{D5CDD505-2E9C-101B-9397-08002B2CF9AE}" pid="12" name="Mendeley Recent Style Id 5_1">
    <vt:lpwstr>http://www.zotero.org/styles/china-national-standard-gb-t-7714-2015-numeric</vt:lpwstr>
  </property>
  <property fmtid="{D5CDD505-2E9C-101B-9397-08002B2CF9AE}" pid="13" name="Mendeley Recent Style Name 5_1">
    <vt:lpwstr>China National Standard GB/T 7714-2015 (numeric, Chinese)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http://www.zotero.org/styles/graefes-archive-for-clinical-and-experimental-ophthalmology</vt:lpwstr>
  </property>
  <property fmtid="{D5CDD505-2E9C-101B-9397-08002B2CF9AE}" pid="17" name="Mendeley Recent Style Name 7_1">
    <vt:lpwstr>Graefe's Archive for Clinical and Experimental Ophthalmology</vt:lpwstr>
  </property>
  <property fmtid="{D5CDD505-2E9C-101B-9397-08002B2CF9AE}" pid="18" name="Mendeley Recent Style Id 8_1">
    <vt:lpwstr>http://www.zotero.org/styles/jama</vt:lpwstr>
  </property>
  <property fmtid="{D5CDD505-2E9C-101B-9397-08002B2CF9AE}" pid="19" name="Mendeley Recent Style Name 8_1">
    <vt:lpwstr>JAMA (The Journal of the American Medical Association)</vt:lpwstr>
  </property>
  <property fmtid="{D5CDD505-2E9C-101B-9397-08002B2CF9AE}" pid="20" name="Mendeley Recent Style Id 9_1">
    <vt:lpwstr>http://www.zotero.org/styles/the-new-england-journal-of-medicine</vt:lpwstr>
  </property>
  <property fmtid="{D5CDD505-2E9C-101B-9397-08002B2CF9AE}" pid="21" name="Mendeley Recent Style Name 9_1">
    <vt:lpwstr>The New England Journal of Medicine</vt:lpwstr>
  </property>
  <property fmtid="{D5CDD505-2E9C-101B-9397-08002B2CF9AE}" pid="22" name="KSOProductBuildVer">
    <vt:lpwstr>2052-11.1.0.9999</vt:lpwstr>
  </property>
  <property fmtid="{D5CDD505-2E9C-101B-9397-08002B2CF9AE}" pid="23" name="Mendeley Document_1">
    <vt:lpwstr>True</vt:lpwstr>
  </property>
  <property fmtid="{D5CDD505-2E9C-101B-9397-08002B2CF9AE}" pid="24" name="Mendeley Unique User Id_1">
    <vt:lpwstr>ff864eb3-7bc5-3f68-9694-815ccb8b161d</vt:lpwstr>
  </property>
  <property fmtid="{D5CDD505-2E9C-101B-9397-08002B2CF9AE}" pid="25" name="Mendeley Citation Style_1">
    <vt:lpwstr>http://www.zotero.org/styles/anesthesiology</vt:lpwstr>
  </property>
</Properties>
</file>