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582A8" w14:textId="77777777" w:rsidR="00EC492A" w:rsidRPr="00763BBF" w:rsidRDefault="00EC492A" w:rsidP="00EC492A">
      <w:pPr>
        <w:pStyle w:val="CSText"/>
        <w:spacing w:before="100" w:beforeAutospacing="1" w:after="100" w:afterAutospacing="1" w:line="480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 w:rsidRPr="00763BBF">
        <w:rPr>
          <w:rFonts w:asciiTheme="minorHAnsi" w:hAnsiTheme="minorHAnsi" w:cstheme="minorHAnsi"/>
          <w:b/>
          <w:sz w:val="28"/>
          <w:szCs w:val="22"/>
        </w:rPr>
        <w:t xml:space="preserve">Supplement </w:t>
      </w:r>
      <w:r>
        <w:rPr>
          <w:rFonts w:asciiTheme="minorHAnsi" w:hAnsiTheme="minorHAnsi" w:cstheme="minorHAnsi"/>
          <w:b/>
          <w:sz w:val="28"/>
          <w:szCs w:val="22"/>
        </w:rPr>
        <w:t>Digital Content</w:t>
      </w:r>
    </w:p>
    <w:p w14:paraId="60B221A0" w14:textId="77777777" w:rsidR="00EC492A" w:rsidRPr="00584661" w:rsidRDefault="00EC492A" w:rsidP="00EC492A">
      <w:pPr>
        <w:pStyle w:val="CSText"/>
        <w:spacing w:before="100" w:beforeAutospacing="1" w:after="100" w:afterAutospacing="1" w:line="480" w:lineRule="auto"/>
        <w:jc w:val="both"/>
        <w:rPr>
          <w:rFonts w:asciiTheme="minorHAnsi" w:hAnsiTheme="minorHAnsi" w:cstheme="minorHAnsi"/>
          <w:b/>
        </w:rPr>
      </w:pPr>
      <w:r w:rsidRPr="00584661">
        <w:rPr>
          <w:rFonts w:asciiTheme="minorHAnsi" w:hAnsiTheme="minorHAnsi" w:cstheme="minorHAnsi"/>
          <w:b/>
        </w:rPr>
        <w:t>Animal preparation and anesthesia</w:t>
      </w:r>
    </w:p>
    <w:p w14:paraId="618DB835" w14:textId="69E73EDF" w:rsidR="00E146FC" w:rsidRPr="00584661" w:rsidRDefault="00EC492A" w:rsidP="00956AAF">
      <w:pPr>
        <w:pStyle w:val="CSText"/>
        <w:spacing w:before="100" w:beforeAutospacing="1" w:after="100" w:afterAutospacing="1" w:line="480" w:lineRule="auto"/>
        <w:jc w:val="both"/>
        <w:rPr>
          <w:rFonts w:asciiTheme="minorHAnsi" w:hAnsiTheme="minorHAnsi" w:cstheme="minorHAnsi"/>
        </w:rPr>
      </w:pPr>
      <w:r w:rsidRPr="00C57924">
        <w:rPr>
          <w:rFonts w:asciiTheme="minorHAnsi" w:hAnsiTheme="minorHAnsi" w:cstheme="minorHAnsi"/>
        </w:rPr>
        <w:t>All animals (</w:t>
      </w:r>
      <w:r>
        <w:rPr>
          <w:rFonts w:asciiTheme="minorHAnsi" w:hAnsiTheme="minorHAnsi" w:cstheme="minorHAnsi"/>
        </w:rPr>
        <w:t xml:space="preserve">German landrace pigs, male, </w:t>
      </w:r>
      <w:r w:rsidRPr="00C57924">
        <w:rPr>
          <w:rFonts w:asciiTheme="minorHAnsi" w:hAnsiTheme="minorHAnsi" w:cstheme="minorHAnsi"/>
          <w:color w:val="383636"/>
          <w:shd w:val="clear" w:color="auto" w:fill="FFFFFF"/>
        </w:rPr>
        <w:t>weight [mean ± SD]: 41.3 ± 3.8 kg</w:t>
      </w:r>
      <w:r>
        <w:rPr>
          <w:rFonts w:asciiTheme="minorHAnsi" w:hAnsiTheme="minorHAnsi" w:cstheme="minorHAnsi"/>
          <w:color w:val="383636"/>
          <w:shd w:val="clear" w:color="auto" w:fill="FFFFFF"/>
        </w:rPr>
        <w:t>; age range: 3-4 months</w:t>
      </w:r>
      <w:r w:rsidRPr="00C57924">
        <w:rPr>
          <w:rFonts w:asciiTheme="minorHAnsi" w:hAnsiTheme="minorHAnsi" w:cstheme="minorHAnsi"/>
          <w:color w:val="383636"/>
          <w:shd w:val="clear" w:color="auto" w:fill="FFFFFF"/>
        </w:rPr>
        <w:t xml:space="preserve">) </w:t>
      </w:r>
      <w:r w:rsidRPr="004657C0">
        <w:rPr>
          <w:rFonts w:asciiTheme="minorHAnsi" w:hAnsiTheme="minorHAnsi" w:cstheme="minorHAnsi"/>
        </w:rPr>
        <w:t>were anestheti</w:t>
      </w:r>
      <w:r>
        <w:rPr>
          <w:rFonts w:asciiTheme="minorHAnsi" w:hAnsiTheme="minorHAnsi" w:cstheme="minorHAnsi"/>
        </w:rPr>
        <w:t>z</w:t>
      </w:r>
      <w:r w:rsidRPr="004657C0">
        <w:rPr>
          <w:rFonts w:asciiTheme="minorHAnsi" w:hAnsiTheme="minorHAnsi" w:cstheme="minorHAnsi"/>
        </w:rPr>
        <w:t xml:space="preserve">ed </w:t>
      </w:r>
      <w:r>
        <w:rPr>
          <w:rFonts w:asciiTheme="minorHAnsi" w:hAnsiTheme="minorHAnsi" w:cstheme="minorHAnsi"/>
        </w:rPr>
        <w:t xml:space="preserve">in the morning of the experiment day </w:t>
      </w:r>
      <w:r w:rsidRPr="004657C0">
        <w:rPr>
          <w:rFonts w:asciiTheme="minorHAnsi" w:hAnsiTheme="minorHAnsi" w:cstheme="minorHAnsi"/>
        </w:rPr>
        <w:t>by receiving the azaperone (4 mg</w:t>
      </w:r>
      <w:r w:rsidRPr="004657C0">
        <w:rPr>
          <w:rFonts w:asciiTheme="minorHAnsi" w:hAnsiTheme="minorHAnsi" w:cstheme="minorHAnsi"/>
          <w:color w:val="222222"/>
          <w:shd w:val="clear" w:color="auto" w:fill="FFFFFF"/>
        </w:rPr>
        <w:t xml:space="preserve"> kg</w:t>
      </w:r>
      <w:r w:rsidRPr="004657C0">
        <w:rPr>
          <w:rFonts w:asciiTheme="minorHAnsi" w:hAnsiTheme="minorHAnsi" w:cstheme="minorHAnsi"/>
          <w:color w:val="222222"/>
          <w:shd w:val="clear" w:color="auto" w:fill="FFFFFF"/>
          <w:vertAlign w:val="superscript"/>
        </w:rPr>
        <w:t>-1</w:t>
      </w:r>
      <w:r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4657C0">
        <w:rPr>
          <w:rFonts w:asciiTheme="minorHAnsi" w:hAnsiTheme="minorHAnsi" w:cstheme="minorHAnsi"/>
          <w:color w:val="222222"/>
          <w:shd w:val="clear" w:color="auto" w:fill="FFFFFF"/>
          <w:vertAlign w:val="superscript"/>
        </w:rPr>
        <w:t xml:space="preserve"> </w:t>
      </w:r>
      <w:r w:rsidRPr="004657C0">
        <w:rPr>
          <w:rFonts w:asciiTheme="minorHAnsi" w:hAnsiTheme="minorHAnsi" w:cstheme="minorHAnsi"/>
        </w:rPr>
        <w:t>i.m.), atropine (0.1 mg</w:t>
      </w:r>
      <w:r w:rsidRPr="004657C0">
        <w:rPr>
          <w:rFonts w:asciiTheme="minorHAnsi" w:hAnsiTheme="minorHAnsi" w:cstheme="minorHAnsi"/>
          <w:color w:val="222222"/>
          <w:shd w:val="clear" w:color="auto" w:fill="FFFFFF"/>
        </w:rPr>
        <w:t xml:space="preserve"> kg</w:t>
      </w:r>
      <w:r w:rsidRPr="004657C0">
        <w:rPr>
          <w:rFonts w:asciiTheme="minorHAnsi" w:hAnsiTheme="minorHAnsi" w:cstheme="minorHAnsi"/>
          <w:color w:val="222222"/>
          <w:shd w:val="clear" w:color="auto" w:fill="FFFFFF"/>
          <w:vertAlign w:val="superscript"/>
        </w:rPr>
        <w:t>-1</w:t>
      </w:r>
      <w:r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4657C0">
        <w:rPr>
          <w:rFonts w:asciiTheme="minorHAnsi" w:hAnsiTheme="minorHAnsi" w:cstheme="minorHAnsi"/>
          <w:color w:val="222222"/>
          <w:shd w:val="clear" w:color="auto" w:fill="FFFFFF"/>
          <w:vertAlign w:val="superscript"/>
        </w:rPr>
        <w:t xml:space="preserve"> </w:t>
      </w:r>
      <w:r w:rsidRPr="004657C0">
        <w:rPr>
          <w:rFonts w:asciiTheme="minorHAnsi" w:hAnsiTheme="minorHAnsi" w:cstheme="minorHAnsi"/>
        </w:rPr>
        <w:t>i.m.), and propofol (3 mg</w:t>
      </w:r>
      <w:r w:rsidRPr="004657C0">
        <w:rPr>
          <w:rFonts w:asciiTheme="minorHAnsi" w:hAnsiTheme="minorHAnsi" w:cstheme="minorHAnsi"/>
          <w:color w:val="222222"/>
          <w:shd w:val="clear" w:color="auto" w:fill="FFFFFF"/>
        </w:rPr>
        <w:t xml:space="preserve"> kg</w:t>
      </w:r>
      <w:r w:rsidRPr="004657C0">
        <w:rPr>
          <w:rFonts w:asciiTheme="minorHAnsi" w:hAnsiTheme="minorHAnsi" w:cstheme="minorHAnsi"/>
          <w:color w:val="222222"/>
          <w:shd w:val="clear" w:color="auto" w:fill="FFFFFF"/>
          <w:vertAlign w:val="superscript"/>
        </w:rPr>
        <w:t>-1</w:t>
      </w:r>
      <w:r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4657C0">
        <w:rPr>
          <w:rFonts w:asciiTheme="minorHAnsi" w:hAnsiTheme="minorHAnsi" w:cstheme="minorHAnsi"/>
          <w:color w:val="222222"/>
          <w:shd w:val="clear" w:color="auto" w:fill="FFFFFF"/>
          <w:vertAlign w:val="superscript"/>
        </w:rPr>
        <w:t xml:space="preserve"> </w:t>
      </w:r>
      <w:r w:rsidRPr="004657C0">
        <w:rPr>
          <w:rFonts w:asciiTheme="minorHAnsi" w:hAnsiTheme="minorHAnsi" w:cstheme="minorHAnsi"/>
        </w:rPr>
        <w:t>i.v.)</w:t>
      </w:r>
      <w:r>
        <w:rPr>
          <w:rFonts w:asciiTheme="minorHAnsi" w:hAnsiTheme="minorHAnsi" w:cstheme="minorHAnsi"/>
        </w:rPr>
        <w:t xml:space="preserve">, got </w:t>
      </w:r>
      <w:r>
        <w:rPr>
          <w:rFonts w:asciiTheme="minorHAnsi" w:hAnsiTheme="minorHAnsi" w:cstheme="minorHAnsi"/>
          <w:color w:val="222222"/>
          <w:shd w:val="clear" w:color="auto" w:fill="FFFFFF"/>
        </w:rPr>
        <w:t>orotracheal intubated</w:t>
      </w:r>
      <w:r w:rsidRPr="004657C0">
        <w:rPr>
          <w:rFonts w:asciiTheme="minorHAnsi" w:hAnsiTheme="minorHAnsi" w:cstheme="minorHAnsi"/>
          <w:color w:val="222222"/>
          <w:shd w:val="clear" w:color="auto" w:fill="FFFFFF"/>
        </w:rPr>
        <w:t xml:space="preserve"> and mechanical ventilation</w:t>
      </w:r>
      <w:r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Pr="004657C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All animals received intravenous maintenance fluid </w:t>
      </w:r>
      <w:r w:rsidRPr="006B4A28">
        <w:rPr>
          <w:rFonts w:asciiTheme="minorHAnsi" w:hAnsiTheme="minorHAnsi" w:cstheme="minorHAnsi"/>
          <w:color w:val="222222"/>
          <w:shd w:val="clear" w:color="auto" w:fill="FFFFFF"/>
        </w:rPr>
        <w:t>(crystalloid fluid</w:t>
      </w:r>
      <w:r w:rsidRPr="006B4A28">
        <w:rPr>
          <w:rFonts w:asciiTheme="minorHAnsi" w:hAnsiTheme="minorHAnsi" w:cstheme="minorHAnsi"/>
        </w:rPr>
        <w:t>;</w:t>
      </w:r>
      <w:r w:rsidRPr="006B4A28">
        <w:rPr>
          <w:rFonts w:asciiTheme="minorHAnsi" w:hAnsiTheme="minorHAnsi" w:cstheme="minorHAnsi"/>
          <w:color w:val="000000"/>
          <w:shd w:val="clear" w:color="auto" w:fill="FFFFFF"/>
        </w:rPr>
        <w:t xml:space="preserve"> Sterofundin ISO®</w:t>
      </w:r>
      <w:r w:rsidRPr="006B4A28">
        <w:rPr>
          <w:rFonts w:asciiTheme="minorHAnsi" w:hAnsiTheme="minorHAnsi" w:cstheme="minorHAnsi"/>
        </w:rPr>
        <w:t xml:space="preserve">; </w:t>
      </w:r>
      <w:r w:rsidRPr="006B4A28">
        <w:rPr>
          <w:rFonts w:asciiTheme="minorHAnsi" w:hAnsiTheme="minorHAnsi" w:cstheme="minorHAnsi"/>
          <w:color w:val="222222"/>
          <w:shd w:val="clear" w:color="auto" w:fill="FFFFFF"/>
        </w:rPr>
        <w:t>2</w:t>
      </w:r>
      <w:r w:rsidRPr="006B4A28">
        <w:rPr>
          <w:rFonts w:asciiTheme="minorHAnsi" w:eastAsiaTheme="minorHAnsi" w:hAnsiTheme="minorHAnsi" w:cstheme="minorHAnsi"/>
        </w:rPr>
        <w:t xml:space="preserve"> </w:t>
      </w:r>
      <w:r w:rsidR="004224E0">
        <w:rPr>
          <w:rFonts w:asciiTheme="minorHAnsi" w:eastAsiaTheme="minorHAnsi" w:hAnsiTheme="minorHAnsi" w:cstheme="minorHAnsi"/>
        </w:rPr>
        <w:t>ml</w:t>
      </w:r>
      <w:r w:rsidRPr="006B4A28">
        <w:rPr>
          <w:rFonts w:asciiTheme="minorHAnsi" w:hAnsiTheme="minorHAnsi" w:cstheme="minorHAnsi"/>
          <w:color w:val="222222"/>
          <w:shd w:val="clear" w:color="auto" w:fill="FFFFFF"/>
        </w:rPr>
        <w:t xml:space="preserve"> kg</w:t>
      </w:r>
      <w:r w:rsidRPr="006B4A28">
        <w:rPr>
          <w:rFonts w:asciiTheme="minorHAnsi" w:hAnsiTheme="minorHAnsi" w:cstheme="minorHAnsi"/>
          <w:color w:val="222222"/>
          <w:shd w:val="clear" w:color="auto" w:fill="FFFFFF"/>
          <w:vertAlign w:val="superscript"/>
        </w:rPr>
        <w:t xml:space="preserve">-1 </w:t>
      </w:r>
      <w:r w:rsidRPr="006B4A28">
        <w:rPr>
          <w:rFonts w:asciiTheme="minorHAnsi" w:hAnsiTheme="minorHAnsi" w:cstheme="minorHAnsi"/>
          <w:color w:val="222222"/>
          <w:shd w:val="clear" w:color="auto" w:fill="FFFFFF"/>
        </w:rPr>
        <w:t>h</w:t>
      </w:r>
      <w:r w:rsidRPr="006B4A28">
        <w:rPr>
          <w:rFonts w:asciiTheme="minorHAnsi" w:hAnsiTheme="minorHAnsi" w:cstheme="minorHAnsi"/>
          <w:color w:val="222222"/>
          <w:shd w:val="clear" w:color="auto" w:fill="FFFFFF"/>
          <w:vertAlign w:val="superscript"/>
        </w:rPr>
        <w:t>-1</w:t>
      </w:r>
      <w:r w:rsidRPr="006B4A28">
        <w:rPr>
          <w:rFonts w:asciiTheme="minorHAnsi" w:hAnsiTheme="minorHAnsi" w:cstheme="minorHAnsi"/>
          <w:color w:val="222222"/>
          <w:shd w:val="clear" w:color="auto" w:fill="FFFFFF"/>
        </w:rPr>
        <w:t>)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before trauma induction and after trauma. A</w:t>
      </w:r>
      <w:r w:rsidRPr="004657C0">
        <w:rPr>
          <w:rFonts w:asciiTheme="minorHAnsi" w:hAnsiTheme="minorHAnsi" w:cstheme="minorHAnsi"/>
          <w:color w:val="222222"/>
          <w:shd w:val="clear" w:color="auto" w:fill="FFFFFF"/>
        </w:rPr>
        <w:t>nesthesia and analgesia were maintained during the entire study period by utilizing isoflurane (1.2-1.4%) and fentanyl (3</w:t>
      </w:r>
      <w:r w:rsidRPr="004657C0">
        <w:rPr>
          <w:rFonts w:asciiTheme="minorHAnsi" w:eastAsiaTheme="minorHAnsi" w:hAnsiTheme="minorHAnsi" w:cs="AdvP3F4C13"/>
        </w:rPr>
        <w:t xml:space="preserve"> µg</w:t>
      </w:r>
      <w:r w:rsidRPr="004657C0">
        <w:rPr>
          <w:rFonts w:asciiTheme="minorHAnsi" w:hAnsiTheme="minorHAnsi" w:cstheme="minorHAnsi"/>
          <w:color w:val="222222"/>
          <w:shd w:val="clear" w:color="auto" w:fill="FFFFFF"/>
        </w:rPr>
        <w:t xml:space="preserve"> kg</w:t>
      </w:r>
      <w:r w:rsidRPr="004657C0">
        <w:rPr>
          <w:rFonts w:asciiTheme="minorHAnsi" w:hAnsiTheme="minorHAnsi" w:cstheme="minorHAnsi"/>
          <w:color w:val="222222"/>
          <w:shd w:val="clear" w:color="auto" w:fill="FFFFFF"/>
          <w:vertAlign w:val="superscript"/>
        </w:rPr>
        <w:t xml:space="preserve">-1 </w:t>
      </w:r>
      <w:r w:rsidRPr="004657C0">
        <w:rPr>
          <w:rFonts w:asciiTheme="minorHAnsi" w:hAnsiTheme="minorHAnsi" w:cstheme="minorHAnsi"/>
          <w:color w:val="222222"/>
          <w:shd w:val="clear" w:color="auto" w:fill="FFFFFF"/>
        </w:rPr>
        <w:t>h</w:t>
      </w:r>
      <w:r w:rsidRPr="004657C0">
        <w:rPr>
          <w:rFonts w:asciiTheme="minorHAnsi" w:hAnsiTheme="minorHAnsi" w:cstheme="minorHAnsi"/>
          <w:color w:val="222222"/>
          <w:shd w:val="clear" w:color="auto" w:fill="FFFFFF"/>
          <w:vertAlign w:val="superscript"/>
        </w:rPr>
        <w:t>-1</w:t>
      </w:r>
      <w:r w:rsidRPr="004657C0">
        <w:rPr>
          <w:rFonts w:asciiTheme="minorHAnsi" w:hAnsiTheme="minorHAnsi" w:cstheme="minorHAnsi"/>
          <w:color w:val="222222"/>
          <w:shd w:val="clear" w:color="auto" w:fill="FFFFFF"/>
        </w:rPr>
        <w:t>).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4657C0">
        <w:rPr>
          <w:rFonts w:asciiTheme="minorHAnsi" w:eastAsiaTheme="minorHAnsi" w:hAnsiTheme="minorHAnsi" w:cs="AdvCaeciliaRm"/>
        </w:rPr>
        <w:t>AS/3 device (Datex Ohmeda, Helsinki, Finland) was used to monitor all vital parameters (</w:t>
      </w:r>
      <w:r>
        <w:rPr>
          <w:rFonts w:asciiTheme="minorHAnsi" w:eastAsiaTheme="minorHAnsi" w:hAnsiTheme="minorHAnsi" w:cs="AdvCaeciliaRm"/>
        </w:rPr>
        <w:t>including b</w:t>
      </w:r>
      <w:r w:rsidRPr="004657C0">
        <w:rPr>
          <w:rFonts w:asciiTheme="minorHAnsi" w:eastAsiaTheme="minorHAnsi" w:hAnsiTheme="minorHAnsi" w:cs="AdvCaeciliaRm"/>
        </w:rPr>
        <w:t>lood temperature; arterial, central venous</w:t>
      </w:r>
      <w:r>
        <w:rPr>
          <w:rFonts w:asciiTheme="minorHAnsi" w:eastAsiaTheme="minorHAnsi" w:hAnsiTheme="minorHAnsi" w:cs="AdvCaeciliaRm"/>
        </w:rPr>
        <w:t>,</w:t>
      </w:r>
      <w:r w:rsidRPr="004657C0">
        <w:rPr>
          <w:rFonts w:asciiTheme="minorHAnsi" w:eastAsiaTheme="minorHAnsi" w:hAnsiTheme="minorHAnsi" w:cs="AdvCaeciliaRm"/>
        </w:rPr>
        <w:t xml:space="preserve"> and pulmonary arterial pressure; tail pulse oximetry; and ECG)</w:t>
      </w:r>
      <w:r>
        <w:rPr>
          <w:rFonts w:asciiTheme="minorHAnsi" w:eastAsiaTheme="minorHAnsi" w:hAnsiTheme="minorHAnsi" w:cs="AdvCaeciliaRm"/>
        </w:rPr>
        <w:t>. Also, vital signs data were recorded based on blood sampling time points</w:t>
      </w:r>
      <w:r w:rsidRPr="004657C0">
        <w:rPr>
          <w:rFonts w:asciiTheme="minorHAnsi" w:eastAsiaTheme="minorHAnsi" w:hAnsiTheme="minorHAnsi" w:cs="AdvCaeciliaRm"/>
        </w:rPr>
        <w:t xml:space="preserve">. </w:t>
      </w:r>
      <w:r w:rsidRPr="0058466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ccording to the experiment protocol, arterial blood pressure was evaluated by right carotid artery cannulation with an 18 G catheter size, which also allowed for continuous collection of blood samples before and after rivaroxaban infusion</w:t>
      </w:r>
      <w:r w:rsidRPr="00584661">
        <w:rPr>
          <w:rFonts w:asciiTheme="minorHAnsi" w:hAnsiTheme="minorHAnsi" w:cstheme="minorHAnsi"/>
        </w:rPr>
        <w:t xml:space="preserve">. The jugular vein was implanted with two catheters for volume substitution and </w:t>
      </w:r>
      <w:r>
        <w:rPr>
          <w:rFonts w:asciiTheme="minorHAnsi" w:hAnsiTheme="minorHAnsi" w:cstheme="minorHAnsi"/>
        </w:rPr>
        <w:t xml:space="preserve">to </w:t>
      </w:r>
      <w:r w:rsidRPr="00584661">
        <w:rPr>
          <w:rFonts w:asciiTheme="minorHAnsi" w:hAnsiTheme="minorHAnsi" w:cstheme="minorHAnsi"/>
        </w:rPr>
        <w:t>monitor the pulmonary artery pressure. A midline laparotomy with cystostomy was performed.</w:t>
      </w:r>
    </w:p>
    <w:p w14:paraId="2CC0D29D" w14:textId="77777777" w:rsidR="00EC492A" w:rsidRPr="00584661" w:rsidRDefault="00EC492A" w:rsidP="00A32EB0">
      <w:pPr>
        <w:pStyle w:val="CSText"/>
        <w:keepNext/>
        <w:spacing w:before="100" w:beforeAutospacing="1" w:after="100" w:afterAutospacing="1" w:line="480" w:lineRule="auto"/>
        <w:jc w:val="both"/>
        <w:rPr>
          <w:rFonts w:asciiTheme="minorHAnsi" w:eastAsia="MS Mincho" w:hAnsiTheme="minorHAnsi" w:cstheme="minorHAnsi"/>
          <w:b/>
          <w:color w:val="231F20"/>
          <w:lang w:eastAsia="ja-JP"/>
        </w:rPr>
      </w:pPr>
      <w:r w:rsidRPr="00584661">
        <w:rPr>
          <w:rFonts w:asciiTheme="minorHAnsi" w:eastAsia="MS Mincho" w:hAnsiTheme="minorHAnsi" w:cstheme="minorHAnsi"/>
          <w:b/>
          <w:color w:val="231F20"/>
          <w:lang w:eastAsia="ja-JP"/>
        </w:rPr>
        <w:lastRenderedPageBreak/>
        <w:t>Coagulation-based tests and other blood variables</w:t>
      </w:r>
    </w:p>
    <w:p w14:paraId="7C5CA28E" w14:textId="181CAE53" w:rsidR="00EC492A" w:rsidRPr="00584661" w:rsidRDefault="00EC492A" w:rsidP="00EC492A">
      <w:pPr>
        <w:pStyle w:val="CSText"/>
        <w:spacing w:before="100" w:beforeAutospacing="1" w:after="100" w:afterAutospacing="1" w:line="480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</w:t>
      </w:r>
      <w:r w:rsidRPr="00584661">
        <w:rPr>
          <w:rFonts w:asciiTheme="minorHAnsi" w:hAnsiTheme="minorHAnsi" w:cstheme="minorHAnsi"/>
          <w:noProof/>
        </w:rPr>
        <w:t xml:space="preserve">rterial blood gas analysis and electrolytes were measured after the infusion of rivaroxaban (0), </w:t>
      </w:r>
      <w:r>
        <w:rPr>
          <w:rFonts w:asciiTheme="minorHAnsi" w:hAnsiTheme="minorHAnsi" w:cstheme="minorHAnsi"/>
          <w:noProof/>
        </w:rPr>
        <w:t>and at</w:t>
      </w:r>
      <w:r w:rsidRPr="00584661">
        <w:rPr>
          <w:rFonts w:asciiTheme="minorHAnsi" w:hAnsiTheme="minorHAnsi" w:cstheme="minorHAnsi"/>
          <w:noProof/>
        </w:rPr>
        <w:t xml:space="preserve"> </w:t>
      </w:r>
      <w:r w:rsidR="003D4BA0" w:rsidRPr="00584661">
        <w:rPr>
          <w:rFonts w:asciiTheme="minorHAnsi" w:hAnsiTheme="minorHAnsi" w:cstheme="minorHAnsi"/>
          <w:noProof/>
        </w:rPr>
        <w:t>1</w:t>
      </w:r>
      <w:r w:rsidR="003D4BA0">
        <w:rPr>
          <w:rFonts w:asciiTheme="minorHAnsi" w:hAnsiTheme="minorHAnsi" w:cstheme="minorHAnsi"/>
          <w:noProof/>
        </w:rPr>
        <w:t>2</w:t>
      </w:r>
      <w:r w:rsidRPr="00584661">
        <w:rPr>
          <w:rFonts w:asciiTheme="minorHAnsi" w:hAnsiTheme="minorHAnsi" w:cstheme="minorHAnsi"/>
          <w:noProof/>
        </w:rPr>
        <w:t>, 30, 60, 120, 180, and 240 minutes post-injury. For animals dying before 240 minutes, the last assessment was performed immediately after death.</w:t>
      </w:r>
    </w:p>
    <w:p w14:paraId="08D51368" w14:textId="35B2C4AD" w:rsidR="00EC492A" w:rsidRPr="00584661" w:rsidRDefault="00EC492A" w:rsidP="00EC492A">
      <w:pPr>
        <w:pStyle w:val="CSText"/>
        <w:spacing w:before="100" w:beforeAutospacing="1" w:after="100" w:afterAutospacing="1" w:line="480" w:lineRule="auto"/>
        <w:jc w:val="both"/>
        <w:rPr>
          <w:rFonts w:asciiTheme="minorHAnsi" w:hAnsiTheme="minorHAnsi" w:cstheme="minorHAnsi"/>
        </w:rPr>
      </w:pPr>
      <w:r w:rsidRPr="00584661">
        <w:rPr>
          <w:rFonts w:asciiTheme="minorHAnsi" w:hAnsiTheme="minorHAnsi" w:cstheme="minorHAnsi"/>
        </w:rPr>
        <w:t>Blood gases were measured on a blood gas analyzer (ABL</w:t>
      </w:r>
      <w:r>
        <w:rPr>
          <w:rFonts w:asciiTheme="minorHAnsi" w:hAnsiTheme="minorHAnsi" w:cstheme="minorHAnsi"/>
        </w:rPr>
        <w:t>700</w:t>
      </w:r>
      <w:r w:rsidRPr="00584661">
        <w:rPr>
          <w:rFonts w:asciiTheme="minorHAnsi" w:hAnsiTheme="minorHAnsi" w:cstheme="minorHAnsi"/>
        </w:rPr>
        <w:t xml:space="preserve"> Flex</w:t>
      </w:r>
      <w:r w:rsidRPr="00584661">
        <w:rPr>
          <w:rFonts w:asciiTheme="minorHAnsi" w:hAnsiTheme="minorHAnsi" w:cstheme="minorHAnsi"/>
          <w:vertAlign w:val="superscript"/>
        </w:rPr>
        <w:t>®</w:t>
      </w:r>
      <w:r w:rsidRPr="00584661">
        <w:rPr>
          <w:rFonts w:asciiTheme="minorHAnsi" w:hAnsiTheme="minorHAnsi" w:cstheme="minorHAnsi"/>
        </w:rPr>
        <w:t xml:space="preserve">, Radiometer, </w:t>
      </w:r>
      <w:r>
        <w:rPr>
          <w:rFonts w:asciiTheme="minorHAnsi" w:hAnsiTheme="minorHAnsi" w:cstheme="minorHAnsi"/>
        </w:rPr>
        <w:t>Copenhagen</w:t>
      </w:r>
      <w:r w:rsidRPr="00584661">
        <w:rPr>
          <w:rFonts w:asciiTheme="minorHAnsi" w:hAnsiTheme="minorHAnsi" w:cstheme="minorHAnsi"/>
        </w:rPr>
        <w:t xml:space="preserve">, Denmark) using heparinized blood samples. </w:t>
      </w:r>
      <w:r w:rsidRPr="00584661">
        <w:rPr>
          <w:rFonts w:asciiTheme="minorHAnsi" w:eastAsia="MS Mincho" w:hAnsiTheme="minorHAnsi" w:cstheme="minorHAnsi"/>
          <w:color w:val="231F20"/>
          <w:lang w:eastAsia="ja-JP"/>
        </w:rPr>
        <w:t xml:space="preserve">Blood samples </w:t>
      </w:r>
      <w:r>
        <w:rPr>
          <w:rFonts w:asciiTheme="minorHAnsi" w:eastAsia="MS Mincho" w:hAnsiTheme="minorHAnsi" w:cstheme="minorHAnsi"/>
          <w:color w:val="231F20"/>
          <w:lang w:eastAsia="ja-JP"/>
        </w:rPr>
        <w:t xml:space="preserve">were </w:t>
      </w:r>
      <w:r w:rsidRPr="00584661">
        <w:rPr>
          <w:rFonts w:asciiTheme="minorHAnsi" w:eastAsia="MS Mincho" w:hAnsiTheme="minorHAnsi" w:cstheme="minorHAnsi"/>
          <w:color w:val="231F20"/>
          <w:lang w:eastAsia="ja-JP"/>
        </w:rPr>
        <w:t xml:space="preserve">collected in </w:t>
      </w:r>
      <w:r w:rsidRPr="00584661">
        <w:rPr>
          <w:rFonts w:asciiTheme="minorHAnsi" w:eastAsia="MS Mincho" w:hAnsiTheme="minorHAnsi" w:cstheme="minorHAnsi"/>
          <w:lang w:eastAsia="ja-JP"/>
        </w:rPr>
        <w:t>potassium-EDTA-anticoagulant</w:t>
      </w:r>
      <w:r w:rsidRPr="00584661">
        <w:rPr>
          <w:rFonts w:asciiTheme="minorHAnsi" w:eastAsia="MS Mincho" w:hAnsiTheme="minorHAnsi" w:cstheme="minorHAnsi"/>
          <w:color w:val="231F20"/>
          <w:lang w:eastAsia="ja-JP"/>
        </w:rPr>
        <w:t xml:space="preserve"> tubes </w:t>
      </w:r>
      <w:r w:rsidRPr="00584661">
        <w:rPr>
          <w:rFonts w:asciiTheme="minorHAnsi" w:eastAsia="MS Mincho" w:hAnsiTheme="minorHAnsi" w:cstheme="minorHAnsi"/>
          <w:lang w:eastAsia="ja-JP"/>
        </w:rPr>
        <w:t>(</w:t>
      </w:r>
      <w:r w:rsidRPr="00584661">
        <w:rPr>
          <w:rFonts w:asciiTheme="minorHAnsi" w:hAnsiTheme="minorHAnsi" w:cstheme="minorHAnsi"/>
        </w:rPr>
        <w:t>1.9 mg/</w:t>
      </w:r>
      <w:r w:rsidR="004224E0">
        <w:rPr>
          <w:rFonts w:asciiTheme="minorHAnsi" w:hAnsiTheme="minorHAnsi" w:cstheme="minorHAnsi"/>
        </w:rPr>
        <w:t>ml</w:t>
      </w:r>
      <w:r w:rsidRPr="00584661">
        <w:rPr>
          <w:rFonts w:asciiTheme="minorHAnsi" w:hAnsiTheme="minorHAnsi" w:cstheme="minorHAnsi"/>
        </w:rPr>
        <w:t xml:space="preserve"> final concentration, Sarstedt, Nuembrecht, Germany) to measure hemoglobin and platelets </w:t>
      </w:r>
      <w:r w:rsidRPr="00584661">
        <w:rPr>
          <w:rFonts w:asciiTheme="minorHAnsi" w:eastAsia="MS Mincho" w:hAnsiTheme="minorHAnsi" w:cstheme="minorHAnsi"/>
          <w:color w:val="231F20"/>
          <w:lang w:eastAsia="ja-JP"/>
        </w:rPr>
        <w:t xml:space="preserve">utilizing the standard hematology analyzer (MEK-6108, Nihon Kohden, </w:t>
      </w:r>
      <w:r w:rsidRPr="00584661">
        <w:rPr>
          <w:rFonts w:asciiTheme="minorHAnsi" w:hAnsiTheme="minorHAnsi" w:cstheme="minorHAnsi"/>
        </w:rPr>
        <w:t xml:space="preserve">Rosbach, Germany). </w:t>
      </w:r>
      <w:r w:rsidRPr="00584661">
        <w:rPr>
          <w:rFonts w:asciiTheme="minorHAnsi" w:eastAsia="MS Mincho" w:hAnsiTheme="minorHAnsi" w:cstheme="minorHAnsi"/>
          <w:lang w:eastAsia="ja-JP"/>
        </w:rPr>
        <w:t>3.2% sodium citrate (</w:t>
      </w:r>
      <w:r w:rsidRPr="00584661">
        <w:rPr>
          <w:rFonts w:asciiTheme="minorHAnsi" w:hAnsiTheme="minorHAnsi" w:cstheme="minorHAnsi"/>
        </w:rPr>
        <w:t>Sarstedt</w:t>
      </w:r>
      <w:r w:rsidRPr="00584661">
        <w:rPr>
          <w:rFonts w:asciiTheme="minorHAnsi" w:eastAsia="MS Mincho" w:hAnsiTheme="minorHAnsi" w:cstheme="minorHAnsi"/>
          <w:lang w:eastAsia="ja-JP"/>
        </w:rPr>
        <w:t>) and potassium-EDTA-anticoagulant (</w:t>
      </w:r>
      <w:r w:rsidRPr="00584661">
        <w:rPr>
          <w:rFonts w:asciiTheme="minorHAnsi" w:hAnsiTheme="minorHAnsi" w:cstheme="minorHAnsi"/>
        </w:rPr>
        <w:t>1.9 mg/</w:t>
      </w:r>
      <w:r w:rsidR="004224E0">
        <w:rPr>
          <w:rFonts w:asciiTheme="minorHAnsi" w:hAnsiTheme="minorHAnsi" w:cstheme="minorHAnsi"/>
        </w:rPr>
        <w:t>ml</w:t>
      </w:r>
      <w:r w:rsidRPr="00584661">
        <w:rPr>
          <w:rFonts w:asciiTheme="minorHAnsi" w:hAnsiTheme="minorHAnsi" w:cstheme="minorHAnsi"/>
        </w:rPr>
        <w:t xml:space="preserve"> final concentration, Sarstedt)</w:t>
      </w:r>
      <w:r w:rsidRPr="00584661">
        <w:rPr>
          <w:rFonts w:asciiTheme="minorHAnsi" w:eastAsia="MS Mincho" w:hAnsiTheme="minorHAnsi" w:cstheme="minorHAnsi"/>
          <w:lang w:eastAsia="ja-JP"/>
        </w:rPr>
        <w:t xml:space="preserve">, respectively, were added to blood samples and </w:t>
      </w:r>
      <w:r w:rsidRPr="00584661">
        <w:rPr>
          <w:rFonts w:asciiTheme="minorHAnsi" w:hAnsiTheme="minorHAnsi" w:cstheme="minorHAnsi"/>
        </w:rPr>
        <w:t xml:space="preserve">centrifuged to obtain platelet-poor plasma for coagulation assays (including </w:t>
      </w:r>
      <w:r w:rsidRPr="00584661">
        <w:rPr>
          <w:rStyle w:val="Flietext"/>
          <w:rFonts w:asciiTheme="minorHAnsi" w:hAnsiTheme="minorHAnsi" w:cstheme="minorHAnsi"/>
          <w:sz w:val="24"/>
          <w:szCs w:val="24"/>
        </w:rPr>
        <w:t>p</w:t>
      </w:r>
      <w:r w:rsidRPr="00584661">
        <w:rPr>
          <w:rFonts w:asciiTheme="minorHAnsi" w:hAnsiTheme="minorHAnsi" w:cstheme="minorHAnsi"/>
        </w:rPr>
        <w:t>rothrombin time, D-dimer levels, fibrinogen levels) and measurement of plasma rivaroxaban concentration by standard laboratory methods using an ACL TOP550 analyzer (</w:t>
      </w:r>
      <w:r w:rsidRPr="00584661">
        <w:rPr>
          <w:rFonts w:asciiTheme="minorHAnsi" w:hAnsiTheme="minorHAnsi" w:cstheme="minorHAnsi"/>
          <w:shd w:val="clear" w:color="auto" w:fill="FFFFFF"/>
        </w:rPr>
        <w:t>Instrumentation Laboratory, </w:t>
      </w:r>
      <w:r w:rsidRPr="00452710">
        <w:rPr>
          <w:rStyle w:val="Emphasis"/>
          <w:rFonts w:asciiTheme="minorHAnsi" w:hAnsiTheme="minorHAnsi" w:cstheme="minorHAnsi"/>
          <w:i w:val="0"/>
          <w:iCs w:val="0"/>
          <w:shd w:val="clear" w:color="auto" w:fill="FFFFFF"/>
        </w:rPr>
        <w:t>Werfen</w:t>
      </w:r>
      <w:r w:rsidRPr="00584661">
        <w:rPr>
          <w:rFonts w:asciiTheme="minorHAnsi" w:hAnsiTheme="minorHAnsi" w:cstheme="minorHAnsi"/>
          <w:shd w:val="clear" w:color="auto" w:fill="FFFFFF"/>
        </w:rPr>
        <w:t> Group, Kirchheim, Germany</w:t>
      </w:r>
      <w:r w:rsidRPr="00584661">
        <w:rPr>
          <w:rFonts w:asciiTheme="minorHAnsi" w:hAnsiTheme="minorHAnsi" w:cstheme="minorHAnsi"/>
        </w:rPr>
        <w:t>).</w:t>
      </w:r>
      <w:r w:rsidRPr="00584661">
        <w:rPr>
          <w:rFonts w:asciiTheme="minorHAnsi" w:eastAsia="MS Mincho" w:hAnsiTheme="minorHAnsi" w:cstheme="minorHAnsi"/>
          <w:lang w:eastAsia="ja-JP"/>
        </w:rPr>
        <w:t xml:space="preserve"> </w:t>
      </w:r>
    </w:p>
    <w:p w14:paraId="71562CF5" w14:textId="77777777" w:rsidR="00EC492A" w:rsidRPr="00584661" w:rsidRDefault="00EC492A" w:rsidP="00EC492A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Theme="minorHAnsi" w:hAnsiTheme="minorHAnsi" w:cstheme="minorHAnsi"/>
          <w:b/>
          <w:color w:val="000000"/>
          <w:lang w:val="en-US" w:eastAsia="de-DE"/>
        </w:rPr>
      </w:pPr>
      <w:r w:rsidRPr="00584661">
        <w:rPr>
          <w:rFonts w:asciiTheme="minorHAnsi" w:hAnsiTheme="minorHAnsi" w:cstheme="minorHAnsi"/>
          <w:b/>
          <w:color w:val="000000"/>
          <w:lang w:val="en-US"/>
        </w:rPr>
        <w:t xml:space="preserve">Whole-blood assays: Thromboelastometry </w:t>
      </w:r>
    </w:p>
    <w:p w14:paraId="1207AB58" w14:textId="57975AE4" w:rsidR="00EC492A" w:rsidRPr="00584661" w:rsidRDefault="00EC492A" w:rsidP="00EC492A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Theme="minorHAnsi" w:hAnsiTheme="minorHAnsi" w:cstheme="minorHAnsi"/>
          <w:color w:val="000000"/>
          <w:lang w:val="en-US" w:eastAsia="de-DE"/>
        </w:rPr>
      </w:pPr>
      <w:bookmarkStart w:id="0" w:name="OLE_LINK1"/>
      <w:r w:rsidRPr="00584661">
        <w:rPr>
          <w:rFonts w:asciiTheme="minorHAnsi" w:hAnsiTheme="minorHAnsi" w:cstheme="minorHAnsi"/>
          <w:color w:val="000000"/>
          <w:lang w:val="en-US"/>
        </w:rPr>
        <w:t xml:space="preserve">Whole-blood thromboelastometry was performed on a ROTEM analyzer </w:t>
      </w:r>
      <w:bookmarkEnd w:id="0"/>
      <w:r w:rsidRPr="00792475">
        <w:rPr>
          <w:rFonts w:asciiTheme="minorHAnsi" w:hAnsiTheme="minorHAnsi" w:cstheme="minorHAnsi"/>
          <w:lang w:val="en-US"/>
        </w:rPr>
        <w:t>(</w:t>
      </w:r>
      <w:r w:rsidRPr="00792475">
        <w:rPr>
          <w:rFonts w:asciiTheme="minorHAnsi" w:hAnsiTheme="minorHAnsi" w:cstheme="minorHAnsi"/>
          <w:shd w:val="clear" w:color="auto" w:fill="FFFFFF"/>
          <w:lang w:val="en-US"/>
        </w:rPr>
        <w:t>Instrumentation Laboratory, </w:t>
      </w:r>
      <w:r w:rsidRPr="00792475">
        <w:rPr>
          <w:rStyle w:val="Emphasis"/>
          <w:rFonts w:asciiTheme="minorHAnsi" w:hAnsiTheme="minorHAnsi" w:cstheme="minorHAnsi"/>
          <w:i w:val="0"/>
          <w:iCs w:val="0"/>
          <w:shd w:val="clear" w:color="auto" w:fill="FFFFFF"/>
          <w:lang w:val="en-US"/>
        </w:rPr>
        <w:t>Werfen</w:t>
      </w:r>
      <w:r w:rsidRPr="00792475">
        <w:rPr>
          <w:rFonts w:asciiTheme="minorHAnsi" w:hAnsiTheme="minorHAnsi" w:cstheme="minorHAnsi"/>
          <w:shd w:val="clear" w:color="auto" w:fill="FFFFFF"/>
          <w:lang w:val="en-US"/>
        </w:rPr>
        <w:t> Group, Kirchheim, Germany</w:t>
      </w:r>
      <w:r w:rsidRPr="00792475">
        <w:rPr>
          <w:rFonts w:asciiTheme="minorHAnsi" w:hAnsiTheme="minorHAnsi" w:cstheme="minorHAnsi"/>
          <w:lang w:val="en-US"/>
        </w:rPr>
        <w:t>)</w:t>
      </w:r>
      <w:r w:rsidRPr="00584661">
        <w:rPr>
          <w:rFonts w:asciiTheme="minorHAnsi" w:hAnsiTheme="minorHAnsi" w:cstheme="minorHAnsi"/>
          <w:color w:val="000000"/>
          <w:lang w:val="en-US"/>
        </w:rPr>
        <w:t xml:space="preserve"> according to the manufacturer’s instructions using blood samples collected in 3.2% sodium citrate. An extrinsically activated assay was measured by using the recombinant tissue factor (EXTEM). </w:t>
      </w:r>
      <w:r w:rsidRPr="00584661">
        <w:rPr>
          <w:rFonts w:asciiTheme="minorHAnsi" w:hAnsiTheme="minorHAnsi" w:cstheme="minorHAnsi"/>
          <w:color w:val="000000"/>
          <w:lang w:val="en-US" w:eastAsia="de-DE"/>
        </w:rPr>
        <w:t xml:space="preserve">The parameters assessed were </w:t>
      </w:r>
      <w:r w:rsidRPr="00584661">
        <w:rPr>
          <w:rFonts w:asciiTheme="minorHAnsi" w:eastAsia="MS Mincho" w:hAnsiTheme="minorHAnsi" w:cstheme="minorHAnsi"/>
          <w:color w:val="000000"/>
          <w:lang w:val="en-US" w:eastAsia="ja-JP"/>
        </w:rPr>
        <w:t xml:space="preserve">clotting time </w:t>
      </w:r>
      <w:r w:rsidRPr="00584661">
        <w:rPr>
          <w:rFonts w:asciiTheme="minorHAnsi" w:hAnsiTheme="minorHAnsi" w:cstheme="minorHAnsi"/>
          <w:color w:val="000000"/>
          <w:lang w:val="en-US" w:eastAsia="de-DE"/>
        </w:rPr>
        <w:t xml:space="preserve">(CT, sec), </w:t>
      </w:r>
      <w:r w:rsidRPr="00584661">
        <w:rPr>
          <w:rFonts w:asciiTheme="minorHAnsi" w:eastAsia="MS Mincho" w:hAnsiTheme="minorHAnsi" w:cstheme="minorHAnsi"/>
          <w:color w:val="000000"/>
          <w:lang w:val="en-US" w:eastAsia="ja-JP"/>
        </w:rPr>
        <w:t xml:space="preserve">and maximum clot firmness </w:t>
      </w:r>
      <w:r w:rsidRPr="00584661">
        <w:rPr>
          <w:rFonts w:asciiTheme="minorHAnsi" w:hAnsiTheme="minorHAnsi" w:cstheme="minorHAnsi"/>
          <w:color w:val="000000"/>
          <w:lang w:val="en-US" w:eastAsia="de-DE"/>
        </w:rPr>
        <w:t xml:space="preserve">(MCF, mm). </w:t>
      </w:r>
    </w:p>
    <w:p w14:paraId="4B44F7A8" w14:textId="77777777" w:rsidR="00EC492A" w:rsidRPr="00584661" w:rsidRDefault="00EC492A" w:rsidP="00EC492A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Theme="minorHAnsi" w:hAnsiTheme="minorHAnsi" w:cstheme="minorHAnsi"/>
          <w:color w:val="000000"/>
          <w:lang w:val="en-US"/>
        </w:rPr>
      </w:pPr>
      <w:r w:rsidRPr="00584661">
        <w:rPr>
          <w:rFonts w:asciiTheme="minorHAnsi" w:hAnsiTheme="minorHAnsi" w:cstheme="minorHAnsi"/>
          <w:b/>
          <w:color w:val="000000"/>
          <w:lang w:val="en-US"/>
        </w:rPr>
        <w:t>Thrombin generation</w:t>
      </w:r>
    </w:p>
    <w:p w14:paraId="2FDDB3B6" w14:textId="77777777" w:rsidR="00EC492A" w:rsidRPr="00792475" w:rsidRDefault="00EC492A" w:rsidP="00EC492A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Theme="minorHAnsi" w:eastAsia="TimesNewRomanPS--Identity-H" w:hAnsiTheme="minorHAnsi" w:cstheme="minorHAnsi"/>
          <w:color w:val="000000"/>
          <w:lang w:val="en-US" w:eastAsia="en-GB"/>
        </w:rPr>
      </w:pPr>
      <w:r>
        <w:rPr>
          <w:rFonts w:asciiTheme="minorHAnsi" w:eastAsia="TimesNewRomanPS--Identity-H" w:hAnsiTheme="minorHAnsi" w:cstheme="minorHAnsi"/>
          <w:color w:val="000000"/>
          <w:lang w:val="en-US" w:eastAsia="en-GB"/>
        </w:rPr>
        <w:t>Thrombin generation was measured</w:t>
      </w:r>
      <w:r w:rsidRPr="00584661">
        <w:rPr>
          <w:rFonts w:asciiTheme="minorHAnsi" w:eastAsia="TimesNewRomanPS--Identity-H" w:hAnsiTheme="minorHAnsi" w:cstheme="minorHAnsi"/>
          <w:color w:val="000000"/>
          <w:lang w:val="en-US" w:eastAsia="en-GB"/>
        </w:rPr>
        <w:t xml:space="preserve"> </w:t>
      </w:r>
      <w:r>
        <w:rPr>
          <w:rFonts w:asciiTheme="minorHAnsi" w:eastAsia="TimesNewRomanPS--Identity-H" w:hAnsiTheme="minorHAnsi" w:cstheme="minorHAnsi"/>
          <w:color w:val="000000"/>
          <w:lang w:val="en-US" w:eastAsia="en-GB"/>
        </w:rPr>
        <w:t>in plasma</w:t>
      </w:r>
      <w:r w:rsidRPr="000322EA">
        <w:rPr>
          <w:rFonts w:asciiTheme="minorHAnsi" w:eastAsia="TimesNewRomanPS--Identity-H" w:hAnsiTheme="minorHAnsi" w:cstheme="minorHAnsi"/>
          <w:color w:val="000000"/>
          <w:lang w:val="en-US" w:eastAsia="en-GB"/>
        </w:rPr>
        <w:t xml:space="preserve"> using final concentrations of </w:t>
      </w:r>
      <w:r>
        <w:rPr>
          <w:rFonts w:asciiTheme="minorHAnsi" w:eastAsia="TimesNewRomanPS--Identity-H" w:hAnsiTheme="minorHAnsi" w:cstheme="minorHAnsi"/>
          <w:color w:val="000000"/>
          <w:lang w:val="en-US" w:eastAsia="en-GB"/>
        </w:rPr>
        <w:t>5</w:t>
      </w:r>
      <w:r w:rsidRPr="000322EA">
        <w:rPr>
          <w:rFonts w:asciiTheme="minorHAnsi" w:eastAsia="TimesNewRomanPS--Identity-H" w:hAnsiTheme="minorHAnsi" w:cstheme="minorHAnsi"/>
          <w:color w:val="000000"/>
          <w:lang w:val="en-US" w:eastAsia="en-GB"/>
        </w:rPr>
        <w:t xml:space="preserve"> pM tissue factor and 4 μM phospholipids</w:t>
      </w:r>
      <w:r>
        <w:rPr>
          <w:rFonts w:asciiTheme="minorHAnsi" w:eastAsia="TimesNewRomanPS--Identity-H" w:hAnsiTheme="minorHAnsi" w:cstheme="minorHAnsi"/>
          <w:color w:val="000000"/>
          <w:lang w:val="en-US" w:eastAsia="en-GB"/>
        </w:rPr>
        <w:t xml:space="preserve"> on a </w:t>
      </w:r>
      <w:r w:rsidRPr="0094398F">
        <w:rPr>
          <w:rFonts w:asciiTheme="minorHAnsi" w:hAnsiTheme="minorHAnsi" w:cstheme="minorHAnsi"/>
          <w:color w:val="000000"/>
          <w:lang w:val="en-US"/>
        </w:rPr>
        <w:t>Fluoroskan Ascent plate reader (Thermo Labsystems OY, Helsinki, Finland</w:t>
      </w:r>
      <w:r w:rsidRPr="00584661">
        <w:rPr>
          <w:rFonts w:asciiTheme="minorHAnsi" w:eastAsia="TimesNewRomanPS--Identity-H" w:hAnsiTheme="minorHAnsi" w:cstheme="minorHAnsi"/>
          <w:color w:val="000000"/>
          <w:lang w:val="en-US" w:eastAsia="en-GB"/>
        </w:rPr>
        <w:t>)</w:t>
      </w:r>
      <w:r>
        <w:rPr>
          <w:rFonts w:asciiTheme="minorHAnsi" w:eastAsia="TimesNewRomanPS--Identity-H" w:hAnsiTheme="minorHAnsi" w:cstheme="minorHAnsi"/>
          <w:color w:val="000000"/>
          <w:lang w:val="en-US" w:eastAsia="en-GB"/>
        </w:rPr>
        <w:t xml:space="preserve">. </w:t>
      </w:r>
      <w:r>
        <w:rPr>
          <w:rFonts w:asciiTheme="minorHAnsi" w:hAnsiTheme="minorHAnsi" w:cstheme="minorHAnsi"/>
          <w:color w:val="000000"/>
          <w:lang w:val="en-US"/>
        </w:rPr>
        <w:t>T</w:t>
      </w:r>
      <w:r w:rsidRPr="00792475">
        <w:rPr>
          <w:rFonts w:asciiTheme="minorHAnsi" w:hAnsiTheme="minorHAnsi" w:cstheme="minorHAnsi"/>
          <w:color w:val="000000"/>
          <w:lang w:val="en-US"/>
        </w:rPr>
        <w:t>hrombinoscope software (version 4, Thrombinoscope BV) was used for</w:t>
      </w:r>
      <w:r w:rsidRPr="00584661">
        <w:rPr>
          <w:rFonts w:asciiTheme="minorHAnsi" w:hAnsiTheme="minorHAnsi" w:cstheme="minorHAnsi"/>
          <w:color w:val="000000"/>
          <w:lang w:val="en-US"/>
        </w:rPr>
        <w:t xml:space="preserve"> thrombin generation curves to determine endogenous thrombin potential (ETP), lag time</w:t>
      </w:r>
      <w:r>
        <w:rPr>
          <w:rFonts w:asciiTheme="minorHAnsi" w:hAnsiTheme="minorHAnsi" w:cstheme="minorHAnsi"/>
          <w:color w:val="000000"/>
          <w:lang w:val="en-US"/>
        </w:rPr>
        <w:t>,</w:t>
      </w:r>
      <w:r w:rsidRPr="00584661">
        <w:rPr>
          <w:rFonts w:asciiTheme="minorHAnsi" w:hAnsiTheme="minorHAnsi" w:cstheme="minorHAnsi"/>
          <w:color w:val="000000"/>
          <w:lang w:val="en-US"/>
        </w:rPr>
        <w:t xml:space="preserve"> and peak thrombin formation. Prolonged lag time values that </w:t>
      </w:r>
      <w:r>
        <w:rPr>
          <w:rFonts w:asciiTheme="minorHAnsi" w:hAnsiTheme="minorHAnsi" w:cstheme="minorHAnsi"/>
          <w:color w:val="000000"/>
          <w:lang w:val="en-US"/>
        </w:rPr>
        <w:t>the software could not detect</w:t>
      </w:r>
      <w:r w:rsidRPr="00584661">
        <w:rPr>
          <w:rFonts w:asciiTheme="minorHAnsi" w:hAnsiTheme="minorHAnsi" w:cstheme="minorHAnsi"/>
          <w:color w:val="000000"/>
          <w:lang w:val="en-US"/>
        </w:rPr>
        <w:t xml:space="preserve"> were defined as having a value of 12 minutes for data analysis. The ELISA kit (Enzygnost</w:t>
      </w:r>
      <w:r w:rsidRPr="000322EA">
        <w:rPr>
          <w:rFonts w:asciiTheme="minorHAnsi" w:hAnsiTheme="minorHAnsi" w:cstheme="minorHAnsi"/>
          <w:color w:val="000000"/>
          <w:lang w:val="en-US"/>
        </w:rPr>
        <w:t>®</w:t>
      </w:r>
      <w:r w:rsidRPr="00584661">
        <w:rPr>
          <w:rFonts w:asciiTheme="minorHAnsi" w:hAnsiTheme="minorHAnsi" w:cstheme="minorHAnsi"/>
          <w:color w:val="000000"/>
          <w:lang w:val="en-US"/>
        </w:rPr>
        <w:t xml:space="preserve"> TAT micro, Siemens, </w:t>
      </w:r>
      <w:r w:rsidRPr="00792475">
        <w:rPr>
          <w:rFonts w:asciiTheme="minorHAnsi" w:hAnsiTheme="minorHAnsi" w:cstheme="minorHAnsi"/>
          <w:lang w:val="en-US"/>
        </w:rPr>
        <w:t>Marburg</w:t>
      </w:r>
      <w:r w:rsidRPr="00584661">
        <w:rPr>
          <w:rFonts w:asciiTheme="minorHAnsi" w:hAnsiTheme="minorHAnsi" w:cstheme="minorHAnsi"/>
          <w:color w:val="000000"/>
          <w:lang w:val="en-US"/>
        </w:rPr>
        <w:t xml:space="preserve">, Germany) </w:t>
      </w:r>
      <w:r>
        <w:rPr>
          <w:rFonts w:asciiTheme="minorHAnsi" w:hAnsiTheme="minorHAnsi" w:cstheme="minorHAnsi"/>
          <w:color w:val="000000"/>
          <w:lang w:val="en-US"/>
        </w:rPr>
        <w:t>was</w:t>
      </w:r>
      <w:r w:rsidRPr="00584661">
        <w:rPr>
          <w:rFonts w:asciiTheme="minorHAnsi" w:hAnsiTheme="minorHAnsi" w:cstheme="minorHAnsi"/>
          <w:color w:val="000000"/>
          <w:lang w:val="en-US"/>
        </w:rPr>
        <w:t xml:space="preserve"> used to quantify the thrombin-antithrombin</w:t>
      </w:r>
      <w:r>
        <w:rPr>
          <w:rFonts w:asciiTheme="minorHAnsi" w:hAnsiTheme="minorHAnsi" w:cstheme="minorHAnsi"/>
          <w:color w:val="000000"/>
          <w:lang w:val="en-US"/>
        </w:rPr>
        <w:t>,</w:t>
      </w:r>
      <w:r w:rsidRPr="00584661">
        <w:rPr>
          <w:rFonts w:asciiTheme="minorHAnsi" w:hAnsiTheme="minorHAnsi" w:cstheme="minorHAnsi"/>
          <w:color w:val="000000"/>
          <w:lang w:val="en-US"/>
        </w:rPr>
        <w:t xml:space="preserve"> according to instruct</w:t>
      </w:r>
      <w:r>
        <w:rPr>
          <w:rFonts w:asciiTheme="minorHAnsi" w:hAnsiTheme="minorHAnsi" w:cstheme="minorHAnsi"/>
          <w:color w:val="000000"/>
          <w:lang w:val="en-US"/>
        </w:rPr>
        <w:t>ions</w:t>
      </w:r>
      <w:r w:rsidRPr="00584661">
        <w:rPr>
          <w:rFonts w:asciiTheme="minorHAnsi" w:hAnsiTheme="minorHAnsi" w:cstheme="minorHAnsi"/>
          <w:color w:val="000000"/>
          <w:lang w:val="en-US"/>
        </w:rPr>
        <w:t xml:space="preserve"> from the manufacture</w:t>
      </w:r>
      <w:r>
        <w:rPr>
          <w:rFonts w:asciiTheme="minorHAnsi" w:hAnsiTheme="minorHAnsi" w:cstheme="minorHAnsi"/>
          <w:color w:val="000000"/>
          <w:lang w:val="en-US"/>
        </w:rPr>
        <w:t>r</w:t>
      </w:r>
      <w:r w:rsidRPr="00584661">
        <w:rPr>
          <w:rFonts w:asciiTheme="minorHAnsi" w:hAnsiTheme="minorHAnsi" w:cstheme="minorHAnsi"/>
          <w:color w:val="000000"/>
          <w:lang w:val="en-US"/>
        </w:rPr>
        <w:t xml:space="preserve">. </w:t>
      </w:r>
    </w:p>
    <w:p w14:paraId="67441220" w14:textId="77777777" w:rsidR="00EC492A" w:rsidRDefault="00EC492A" w:rsidP="00EC492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inorHAnsi" w:eastAsia="MS Mincho" w:hAnsiTheme="minorHAnsi" w:cstheme="minorHAnsi"/>
          <w:color w:val="000000" w:themeColor="text1"/>
          <w:lang w:val="en-US" w:eastAsia="ja-JP"/>
        </w:rPr>
      </w:pPr>
    </w:p>
    <w:p w14:paraId="39783AA1" w14:textId="77777777" w:rsidR="00EC492A" w:rsidRPr="00792475" w:rsidRDefault="00EC492A" w:rsidP="00EC492A">
      <w:pPr>
        <w:pStyle w:val="Caption"/>
        <w:keepNext/>
        <w:rPr>
          <w:b/>
          <w:bCs/>
          <w:i w:val="0"/>
          <w:iCs w:val="0"/>
          <w:color w:val="auto"/>
          <w:sz w:val="24"/>
          <w:szCs w:val="24"/>
          <w:lang w:val="en-US"/>
        </w:rPr>
        <w:sectPr w:rsidR="00EC492A" w:rsidRPr="00792475" w:rsidSect="00763B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 w:code="9"/>
          <w:pgMar w:top="1440" w:right="1440" w:bottom="2880" w:left="1440" w:header="706" w:footer="706" w:gutter="0"/>
          <w:cols w:space="708"/>
          <w:docGrid w:linePitch="360"/>
        </w:sectPr>
      </w:pPr>
    </w:p>
    <w:p w14:paraId="546E06A2" w14:textId="2A2AE4CB" w:rsidR="00EC492A" w:rsidRPr="00C952A5" w:rsidRDefault="00EC492A" w:rsidP="00EC492A">
      <w:pPr>
        <w:pStyle w:val="Caption"/>
        <w:keepNext/>
        <w:rPr>
          <w:i w:val="0"/>
          <w:color w:val="auto"/>
          <w:sz w:val="24"/>
        </w:rPr>
      </w:pPr>
      <w:r w:rsidRPr="00C952A5">
        <w:rPr>
          <w:b/>
          <w:i w:val="0"/>
          <w:color w:val="auto"/>
          <w:sz w:val="24"/>
        </w:rPr>
        <w:t xml:space="preserve">Table </w:t>
      </w:r>
      <w:r w:rsidRPr="00783FA1">
        <w:rPr>
          <w:b/>
          <w:bCs/>
          <w:i w:val="0"/>
          <w:iCs w:val="0"/>
          <w:color w:val="auto"/>
          <w:sz w:val="24"/>
          <w:szCs w:val="24"/>
          <w:lang w:val="en-US"/>
        </w:rPr>
        <w:t>S1</w:t>
      </w:r>
      <w:r w:rsidRPr="00216EA1">
        <w:rPr>
          <w:b/>
          <w:bCs/>
          <w:i w:val="0"/>
          <w:iCs w:val="0"/>
          <w:color w:val="auto"/>
          <w:sz w:val="24"/>
          <w:szCs w:val="24"/>
          <w:lang w:val="en-US"/>
        </w:rPr>
        <w:t>.</w:t>
      </w:r>
      <w:r w:rsidRPr="00216EA1">
        <w:rPr>
          <w:i w:val="0"/>
          <w:iCs w:val="0"/>
          <w:color w:val="auto"/>
          <w:sz w:val="24"/>
          <w:szCs w:val="24"/>
          <w:lang w:val="en-US"/>
        </w:rPr>
        <w:t xml:space="preserve"> Hemodynamic variables. </w:t>
      </w:r>
    </w:p>
    <w:tbl>
      <w:tblPr>
        <w:tblW w:w="13140" w:type="dxa"/>
        <w:tblLook w:val="04A0" w:firstRow="1" w:lastRow="0" w:firstColumn="1" w:lastColumn="0" w:noHBand="0" w:noVBand="1"/>
      </w:tblPr>
      <w:tblGrid>
        <w:gridCol w:w="1710"/>
        <w:gridCol w:w="4500"/>
        <w:gridCol w:w="1260"/>
        <w:gridCol w:w="1350"/>
        <w:gridCol w:w="1170"/>
        <w:gridCol w:w="1350"/>
        <w:gridCol w:w="1800"/>
      </w:tblGrid>
      <w:tr w:rsidR="00EC492A" w:rsidRPr="00783FA1" w14:paraId="77D40065" w14:textId="77777777" w:rsidTr="009D3CD2">
        <w:trPr>
          <w:trHeight w:val="368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14E05" w14:textId="77777777" w:rsidR="00EC492A" w:rsidRPr="00C27470" w:rsidRDefault="00EC492A" w:rsidP="009E359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74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Time points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CF22" w14:textId="77777777" w:rsidR="00EC492A" w:rsidRPr="00CD3811" w:rsidRDefault="00EC492A" w:rsidP="009E359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Study Group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49D5" w14:textId="77777777" w:rsidR="00EC492A" w:rsidRPr="00CD3811" w:rsidRDefault="00EC492A" w:rsidP="009E35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HR [min</w:t>
            </w:r>
            <w:r w:rsidRPr="00CD38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-1</w:t>
            </w:r>
            <w:r w:rsidRPr="00CD38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23B3B" w14:textId="77777777" w:rsidR="00EC492A" w:rsidRPr="00CD3811" w:rsidRDefault="00EC492A" w:rsidP="009E35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MAP (mmHg)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731E2" w14:textId="77777777" w:rsidR="00EC492A" w:rsidRPr="00CD3811" w:rsidRDefault="00EC492A" w:rsidP="009E35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MPAP (mmHg)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70DD" w14:textId="7BB46FFE" w:rsidR="00EC492A" w:rsidRPr="00CD3811" w:rsidRDefault="00EC492A" w:rsidP="009E35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Cardiac Output</w:t>
            </w:r>
            <w:r w:rsidRPr="00CD38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(L/min)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85E3" w14:textId="77777777" w:rsidR="00EC492A" w:rsidRPr="00CD3811" w:rsidRDefault="00EC492A" w:rsidP="009E35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Lactate (mmol/L)</w:t>
            </w:r>
          </w:p>
        </w:tc>
      </w:tr>
      <w:tr w:rsidR="00EC492A" w:rsidRPr="00CD3811" w14:paraId="235A670A" w14:textId="77777777" w:rsidTr="009D3CD2">
        <w:trPr>
          <w:trHeight w:val="36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25F8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Baseline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5790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F93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AA6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6CC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262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46F1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2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EC492A" w:rsidRPr="00CD3811" w14:paraId="6330B35D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BC2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15FB" w14:textId="7BD0A8F0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12.5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3B0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D37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028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B26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36E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</w:tr>
      <w:tr w:rsidR="00EC492A" w:rsidRPr="00CD3811" w14:paraId="034B3701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DEE2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5E8D7" w14:textId="74B3F73E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2736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2BE9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778B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E924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E3319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0.5</w:t>
            </w:r>
          </w:p>
        </w:tc>
      </w:tr>
      <w:tr w:rsidR="00EC492A" w:rsidRPr="00CD3811" w14:paraId="4CC28C21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9CAA5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01F5D" w14:textId="0E4D02C8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50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03AA1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6187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56F3E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9411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3DA1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0.5</w:t>
            </w:r>
          </w:p>
        </w:tc>
      </w:tr>
      <w:tr w:rsidR="00EC492A" w:rsidRPr="00CD3811" w14:paraId="5985CAC9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BDC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7BCB" w14:textId="54395577" w:rsidR="00EC492A" w:rsidRPr="009E3595" w:rsidRDefault="00EC492A" w:rsidP="002A110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ranexamic acid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084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84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EE4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DDA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6BC9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F95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</w:tr>
      <w:tr w:rsidR="00EC492A" w:rsidRPr="00CD3811" w14:paraId="4D51A683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159B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C5D89" w14:textId="61EB601B" w:rsidR="00EC492A" w:rsidRPr="009E3595" w:rsidRDefault="00EC492A" w:rsidP="00B8282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ranexamic acid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f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ibrinogen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1B5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86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E0EB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CBA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D074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3CC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</w:tr>
      <w:tr w:rsidR="00EC492A" w:rsidRPr="00CD3811" w14:paraId="1615A6AA" w14:textId="77777777" w:rsidTr="009D3CD2">
        <w:trPr>
          <w:trHeight w:val="36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D1F8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After rivaroxaban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infusion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03E4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11C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D1D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EB9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032E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A59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6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</w:tr>
      <w:tr w:rsidR="00EC492A" w:rsidRPr="00CD3811" w14:paraId="48DA2DB9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978E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0D95" w14:textId="11C83BE6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12.5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F5A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F06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102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E62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8B7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</w:tr>
      <w:tr w:rsidR="00EC492A" w:rsidRPr="00CD3811" w14:paraId="2E4EF6EB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900F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655F3" w14:textId="2A562DDF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C25DE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5804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6FA5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E873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617E1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0.3</w:t>
            </w:r>
          </w:p>
        </w:tc>
      </w:tr>
      <w:tr w:rsidR="00EC492A" w:rsidRPr="00CD3811" w14:paraId="72D24D9A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36998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6A5FD" w14:textId="042B336B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50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AB67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7187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1BB1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3F80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E78E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0.3</w:t>
            </w:r>
          </w:p>
        </w:tc>
      </w:tr>
      <w:tr w:rsidR="00EC492A" w:rsidRPr="00CD3811" w14:paraId="7ABF9CE5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F2A0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AA56" w14:textId="1DD2E711" w:rsidR="00EC492A" w:rsidRPr="009E3595" w:rsidRDefault="00EC492A" w:rsidP="002A110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ranexamic acid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604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84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AF7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D44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5BA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BD2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0.6</w:t>
            </w:r>
          </w:p>
        </w:tc>
      </w:tr>
      <w:tr w:rsidR="00EC492A" w:rsidRPr="00CD3811" w14:paraId="6B577C76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01D1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975E2" w14:textId="2FC3C572" w:rsidR="00EC492A" w:rsidRPr="009E3595" w:rsidRDefault="00EC492A" w:rsidP="00B8282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ranexamic acid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f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ibrinogen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C397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85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665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45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FD1B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DA609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0.5</w:t>
            </w:r>
          </w:p>
        </w:tc>
      </w:tr>
      <w:tr w:rsidR="00EC492A" w:rsidRPr="00CD3811" w14:paraId="253EEF92" w14:textId="77777777" w:rsidTr="009D3CD2">
        <w:trPr>
          <w:trHeight w:val="36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A8DD" w14:textId="4A5BF9D6" w:rsidR="00EC492A" w:rsidRPr="00CD3811" w:rsidRDefault="003D4BA0" w:rsidP="003D4BA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EC492A"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min</w:t>
            </w:r>
            <w:r w:rsidR="00EC49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ute</w:t>
            </w:r>
            <w:r w:rsidR="00EC492A"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s post</w:t>
            </w:r>
            <w:r w:rsidR="00EC49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-</w:t>
            </w:r>
            <w:r w:rsidR="00EC492A"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trauma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F2A3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349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2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D1AE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D7B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DA6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8779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8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C492A" w:rsidRPr="00CD3811" w14:paraId="67D6C8B4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79DE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44F1" w14:textId="19D46203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12.5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9EC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02B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74E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D23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F520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</w:tr>
      <w:tr w:rsidR="00EC492A" w:rsidRPr="00CD3811" w14:paraId="1EB316E0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E99C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F2357" w14:textId="57DD35D5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BA09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107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C8E7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2E56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8007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6400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</w:tr>
      <w:tr w:rsidR="00EC492A" w:rsidRPr="00CD3811" w14:paraId="680CC7E8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814A0B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026A74" w14:textId="087747E2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50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BAB18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106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39ED5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5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8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525C19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407D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CDBE5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0.3</w:t>
            </w:r>
          </w:p>
        </w:tc>
      </w:tr>
      <w:tr w:rsidR="00EC492A" w:rsidRPr="00CD3811" w14:paraId="6E87E2DF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EC1E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16C3" w14:textId="047A8248" w:rsidR="00EC492A" w:rsidRPr="009E3595" w:rsidRDefault="00EC492A" w:rsidP="002A110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ranexamic acid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04D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8951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C0C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FEF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027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0.6</w:t>
            </w:r>
          </w:p>
        </w:tc>
      </w:tr>
      <w:tr w:rsidR="00EC492A" w:rsidRPr="00CD3811" w14:paraId="17E5FC4D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770D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83E8" w14:textId="619F67F5" w:rsidR="00EC492A" w:rsidRPr="009E3595" w:rsidRDefault="00EC492A" w:rsidP="00B8282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ranexamic acid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f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ibrinogen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11DB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106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EE049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6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177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7DA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67EA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</w:tr>
      <w:tr w:rsidR="00EC492A" w:rsidRPr="00CD3811" w14:paraId="51BDCA45" w14:textId="77777777" w:rsidTr="009D3CD2">
        <w:trPr>
          <w:trHeight w:val="36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E6D1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30 min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ute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s post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-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trauma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DFC1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C47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7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921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A70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FC4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EFB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2.9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EC492A" w:rsidRPr="00CD3811" w14:paraId="216D621A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98E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959B" w14:textId="4F4D79F3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12.5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4470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2A19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B76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DEB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9BF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</w:tr>
      <w:tr w:rsidR="00EC492A" w:rsidRPr="00CD3811" w14:paraId="76C694F6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9387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80FD7" w14:textId="5E2D21CE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4601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108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C93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216A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CC0A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2C9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1.0</w:t>
            </w:r>
          </w:p>
        </w:tc>
      </w:tr>
      <w:tr w:rsidR="00EC492A" w:rsidRPr="00CD3811" w14:paraId="4FA7C100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DA817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6449C" w14:textId="4DB80759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50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2EEB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107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D88E0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8C66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02CC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0.8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242C1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0.5</w:t>
            </w:r>
          </w:p>
        </w:tc>
      </w:tr>
      <w:tr w:rsidR="00EC492A" w:rsidRPr="00CD3811" w14:paraId="75CF30F3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0380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31EC" w14:textId="3B63FA58" w:rsidR="00EC492A" w:rsidRPr="009E3595" w:rsidRDefault="00EC492A" w:rsidP="002A110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ranexamic acid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FE4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D7F0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EC7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D971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84B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1.3</w:t>
            </w:r>
          </w:p>
        </w:tc>
      </w:tr>
      <w:tr w:rsidR="00EC492A" w:rsidRPr="00CD3811" w14:paraId="28CE2D6C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DDA1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42D00" w14:textId="48EB7BA7" w:rsidR="00B8282A" w:rsidRPr="009E3595" w:rsidRDefault="00EC492A" w:rsidP="00B8282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ranexamic acid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f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ibrinogen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F25B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72A6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CFD1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B5E51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E17A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</w:tr>
      <w:tr w:rsidR="00EC492A" w:rsidRPr="00CD3811" w14:paraId="157FD949" w14:textId="77777777" w:rsidTr="009D3CD2">
        <w:trPr>
          <w:trHeight w:val="36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5437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60 min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ute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s post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-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trauma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7C81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0F0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30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087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620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3AD9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4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794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5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2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C492A" w:rsidRPr="00CD3811" w14:paraId="55625355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915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D648" w14:textId="58620F50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12.5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3E8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130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A27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1ACE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2DA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FB5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0.9</w:t>
            </w:r>
          </w:p>
        </w:tc>
      </w:tr>
      <w:tr w:rsidR="00EC492A" w:rsidRPr="00CD3811" w14:paraId="022BEB31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3C11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367B2" w14:textId="7B4010A4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DF76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105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18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9C951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D158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F7B2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3D62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1.5</w:t>
            </w:r>
          </w:p>
        </w:tc>
      </w:tr>
      <w:tr w:rsidR="00EC492A" w:rsidRPr="00CD3811" w14:paraId="67C5DD96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A79C9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EFCB2" w14:textId="5E5BB4DE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50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11FF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103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  <w:r w:rsidRPr="00792475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§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5194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6C57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2C49E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DBF6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0.9</w:t>
            </w:r>
          </w:p>
        </w:tc>
      </w:tr>
      <w:tr w:rsidR="00EC492A" w:rsidRPr="00CD3811" w14:paraId="51C2B415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C2A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1726" w14:textId="0CF3A2C4" w:rsidR="00EC492A" w:rsidRPr="009E3595" w:rsidRDefault="00EC492A" w:rsidP="002A110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ranexamic acid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D32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BB3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E9D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301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427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2.1</w:t>
            </w:r>
          </w:p>
        </w:tc>
      </w:tr>
      <w:tr w:rsidR="00EC492A" w:rsidRPr="00CD3811" w14:paraId="0AB83D07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763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A63F0" w14:textId="22B181D9" w:rsidR="00EC492A" w:rsidRPr="009E3595" w:rsidRDefault="00EC492A" w:rsidP="00B8282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ranexamic acid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f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ibrinogen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A6C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104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3FA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1DE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81B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4E59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1.1</w:t>
            </w:r>
          </w:p>
        </w:tc>
      </w:tr>
      <w:tr w:rsidR="00EC492A" w:rsidRPr="00CD3811" w14:paraId="0F22C721" w14:textId="77777777" w:rsidTr="009D3CD2">
        <w:trPr>
          <w:trHeight w:val="36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FC59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120 min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ute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s post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-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trauma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D51F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EA9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7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  <w:bookmarkStart w:id="1" w:name="OLE_LINK3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*</w:t>
            </w:r>
            <w:bookmarkEnd w:id="1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851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7BD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328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918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6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EC492A" w:rsidRPr="00CD3811" w14:paraId="35763968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03B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95AB" w14:textId="75199B4B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12.5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833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6A0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B6AE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2220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1B8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1.2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EC492A" w:rsidRPr="00CD3811" w14:paraId="38A79849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5196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B8CD4" w14:textId="3EFB231F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6A51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102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92C5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7DC0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0D64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9448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1.2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</w:tr>
      <w:tr w:rsidR="00EC492A" w:rsidRPr="00CD3811" w14:paraId="69747AF2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9F1CD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E11AD" w14:textId="3A2CEAF0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50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8E94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100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9EA9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9534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BF1D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0.7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2119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0.8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EC492A" w:rsidRPr="00CD3811" w14:paraId="129156D5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7EF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9689" w14:textId="0ECF1D67" w:rsidR="00EC492A" w:rsidRPr="009E3595" w:rsidRDefault="00EC492A" w:rsidP="002A110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ranexamic acid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C03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CB89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FA3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1490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8B5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2.6</w:t>
            </w:r>
          </w:p>
        </w:tc>
      </w:tr>
      <w:tr w:rsidR="00EC492A" w:rsidRPr="00CD3811" w14:paraId="0CFFAB2A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F521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4E555" w14:textId="4FCD4718" w:rsidR="00EC492A" w:rsidRPr="009E3595" w:rsidRDefault="00EC492A" w:rsidP="002A110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ranexamic acid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f</w:t>
            </w:r>
            <w:r w:rsidR="00B82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ibrinogen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A88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105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4E550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E21D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48DE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1.2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54A49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1.3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EC492A" w:rsidRPr="00CD3811" w14:paraId="7DA9EBB2" w14:textId="77777777" w:rsidTr="009D3CD2">
        <w:trPr>
          <w:trHeight w:val="36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192A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180 min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ute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s post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-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trauma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2EDB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762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5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93E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E7A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A64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225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7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8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8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*</w:t>
            </w:r>
          </w:p>
        </w:tc>
      </w:tr>
      <w:tr w:rsidR="00EC492A" w:rsidRPr="00CD3811" w14:paraId="226FB0A4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FD2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AEBE" w14:textId="21071FC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12.5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918E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C8F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26B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E78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6CC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1.6</w:t>
            </w:r>
          </w:p>
        </w:tc>
      </w:tr>
      <w:tr w:rsidR="00EC492A" w:rsidRPr="00CD3811" w14:paraId="031860BB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857F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2CCFC" w14:textId="26893509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EB2D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16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0C7E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1361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5F10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0.3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D0C2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0.8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</w:tr>
      <w:tr w:rsidR="00EC492A" w:rsidRPr="00CD3811" w14:paraId="2BF080C4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3A59F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5ADBE" w14:textId="64F8B3DA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50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70880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8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DCBF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7EA00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8DF3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0.7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7F2F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0.3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</w:tr>
      <w:tr w:rsidR="00EC492A" w:rsidRPr="00CD3811" w14:paraId="740200A5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97E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3155" w14:textId="112D340C" w:rsidR="00EC492A" w:rsidRPr="009E3595" w:rsidRDefault="00EC492A" w:rsidP="002A110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ranexamic acid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5DF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0579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D6D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AE8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0.9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424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3.6</w:t>
            </w:r>
          </w:p>
        </w:tc>
      </w:tr>
      <w:tr w:rsidR="00EC492A" w:rsidRPr="00CD3811" w14:paraId="03C59A8A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FA0E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3AD9" w14:textId="3C8EED0A" w:rsidR="00EC492A" w:rsidRPr="009E3595" w:rsidRDefault="00EC492A" w:rsidP="002A110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ranexamic acid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f</w:t>
            </w:r>
            <w:r w:rsidR="00B82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ibrinogen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A5F8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108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F05C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6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  <w:bookmarkStart w:id="2" w:name="OLE_LINK2"/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  <w:bookmarkEnd w:id="2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46F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8108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0.5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ED7B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1.4</w:t>
            </w:r>
          </w:p>
        </w:tc>
      </w:tr>
      <w:tr w:rsidR="00EC492A" w:rsidRPr="00CD3811" w14:paraId="78B3B35A" w14:textId="77777777" w:rsidTr="009D3CD2">
        <w:trPr>
          <w:trHeight w:val="36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4F90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240 min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ute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s post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-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trauma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2054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084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D2B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E72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CF7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6A2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7.2</w:t>
            </w:r>
          </w:p>
        </w:tc>
      </w:tr>
      <w:tr w:rsidR="00EC492A" w:rsidRPr="00CD3811" w14:paraId="49F6A6F7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807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A640" w14:textId="61310AD6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12.5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C35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7FA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24B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CA9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858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1.8</w:t>
            </w:r>
          </w:p>
        </w:tc>
      </w:tr>
      <w:tr w:rsidR="00EC492A" w:rsidRPr="00CD3811" w14:paraId="76C62C9A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035CD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CB005" w14:textId="7E5BEEA0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992A5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15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BB42E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C4CC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B8408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0.5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4F0C9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0.6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</w:tr>
      <w:tr w:rsidR="00EC492A" w:rsidRPr="00CD3811" w14:paraId="6DC4F8AC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A0B21" w14:textId="77777777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9BC24" w14:textId="182F19FC" w:rsidR="00EC492A" w:rsidRPr="00CD3811" w:rsidRDefault="00EC492A" w:rsidP="009E359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50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3920A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99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63EC2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26A00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94D74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0.7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D319C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0.2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</w:tr>
      <w:tr w:rsidR="00EC492A" w:rsidRPr="00CD3811" w14:paraId="56FC49D7" w14:textId="77777777" w:rsidTr="009D3CD2">
        <w:trPr>
          <w:trHeight w:val="3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D7DE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4360" w14:textId="52285DA4" w:rsidR="00EC492A" w:rsidRPr="009E3595" w:rsidRDefault="00EC492A" w:rsidP="002A110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PCC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12.5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U/kg </w:t>
            </w:r>
            <w:r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+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t</w:t>
            </w:r>
            <w:r w:rsidR="009E3595" w:rsidRP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ranexamic acid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B10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929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5DCF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9576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0.9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7960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4.0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5.3</w:t>
            </w:r>
          </w:p>
        </w:tc>
      </w:tr>
      <w:tr w:rsidR="00EC492A" w:rsidRPr="00CD3811" w14:paraId="03135B4A" w14:textId="77777777" w:rsidTr="009D3CD2">
        <w:trPr>
          <w:trHeight w:val="389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9A183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E15A" w14:textId="7B41E7AA" w:rsidR="00EC492A" w:rsidRPr="00CD3811" w:rsidRDefault="00EC492A" w:rsidP="002A110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PCC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12.5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U/kg</w:t>
            </w:r>
            <w:r w:rsidR="00BB0F5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+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t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ranexamic acid</w:t>
            </w:r>
            <w:r w:rsidR="00BB0F5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+</w:t>
            </w:r>
            <w:r w:rsidR="009E359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2A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f</w:t>
            </w:r>
            <w:r w:rsidR="00B82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ibrinogen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30D77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111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86AE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47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7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874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44D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3.9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0.6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3BBB" w14:textId="77777777" w:rsidR="00EC492A" w:rsidRPr="00CD3811" w:rsidRDefault="00EC492A" w:rsidP="009E35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2.1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1.3</w:t>
            </w:r>
            <w:r w:rsidRPr="00CD38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t>¶</w:t>
            </w:r>
            <w:r w:rsidRPr="00CD38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§</w:t>
            </w:r>
          </w:p>
        </w:tc>
      </w:tr>
    </w:tbl>
    <w:p w14:paraId="18A1DE02" w14:textId="77777777" w:rsidR="00EC492A" w:rsidRDefault="00EC492A" w:rsidP="00EC492A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7254B5">
        <w:rPr>
          <w:rFonts w:asciiTheme="minorHAnsi" w:hAnsiTheme="minorHAnsi" w:cstheme="minorHAnsi"/>
          <w:sz w:val="22"/>
          <w:szCs w:val="22"/>
          <w:lang w:val="en-US"/>
        </w:rPr>
        <w:t xml:space="preserve">Data are shown as mean </w:t>
      </w:r>
      <w:r w:rsidRPr="007254B5">
        <w:rPr>
          <w:rFonts w:asciiTheme="minorHAnsi" w:eastAsia="Times New Roman" w:hAnsiTheme="minorHAnsi" w:cstheme="minorHAnsi"/>
          <w:sz w:val="22"/>
          <w:szCs w:val="22"/>
          <w:lang w:val="en-US"/>
        </w:rPr>
        <w:t>± standard deviation.</w:t>
      </w:r>
    </w:p>
    <w:p w14:paraId="14CEA815" w14:textId="77568D12" w:rsidR="00EC492A" w:rsidRPr="00C47210" w:rsidRDefault="00EC492A" w:rsidP="00EC49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254B5">
        <w:rPr>
          <w:rFonts w:asciiTheme="minorHAnsi" w:hAnsiTheme="minorHAnsi" w:cstheme="minorHAnsi"/>
          <w:sz w:val="22"/>
          <w:szCs w:val="22"/>
          <w:lang w:val="en-US"/>
        </w:rPr>
        <w:t>Initially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7254B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F17CF">
        <w:rPr>
          <w:rFonts w:asciiTheme="minorHAnsi" w:hAnsiTheme="minorHAnsi" w:cstheme="minorHAnsi"/>
          <w:sz w:val="22"/>
          <w:szCs w:val="22"/>
          <w:lang w:val="en-US"/>
        </w:rPr>
        <w:t>n=8</w:t>
      </w:r>
      <w:r w:rsidRPr="007254B5">
        <w:rPr>
          <w:rFonts w:asciiTheme="minorHAnsi" w:hAnsiTheme="minorHAnsi" w:cstheme="minorHAnsi"/>
          <w:sz w:val="22"/>
          <w:szCs w:val="22"/>
          <w:lang w:val="en-US"/>
        </w:rPr>
        <w:t xml:space="preserve"> per group; in the control group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7254B5">
        <w:rPr>
          <w:rFonts w:asciiTheme="minorHAnsi" w:hAnsiTheme="minorHAnsi" w:cstheme="minorHAnsi"/>
          <w:sz w:val="22"/>
          <w:szCs w:val="22"/>
          <w:lang w:val="en-US"/>
        </w:rPr>
        <w:t xml:space="preserve"> n=7 at 120 min</w:t>
      </w:r>
      <w:r>
        <w:rPr>
          <w:rFonts w:asciiTheme="minorHAnsi" w:hAnsiTheme="minorHAnsi" w:cstheme="minorHAnsi"/>
          <w:sz w:val="22"/>
          <w:szCs w:val="22"/>
          <w:lang w:val="en-US"/>
        </w:rPr>
        <w:t>utes</w:t>
      </w:r>
      <w:r w:rsidRPr="007254B5">
        <w:rPr>
          <w:rFonts w:asciiTheme="minorHAnsi" w:hAnsiTheme="minorHAnsi" w:cstheme="minorHAnsi"/>
          <w:sz w:val="22"/>
          <w:szCs w:val="22"/>
          <w:lang w:val="en-US"/>
        </w:rPr>
        <w:t>, n=5 at 180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minutes,</w:t>
      </w:r>
      <w:r w:rsidRPr="007254B5">
        <w:rPr>
          <w:rFonts w:asciiTheme="minorHAnsi" w:hAnsiTheme="minorHAnsi" w:cstheme="minorHAnsi"/>
          <w:sz w:val="22"/>
          <w:szCs w:val="22"/>
          <w:lang w:val="en-US"/>
        </w:rPr>
        <w:t xml:space="preserve"> and n=1 at 240 min</w:t>
      </w:r>
      <w:r>
        <w:rPr>
          <w:rFonts w:asciiTheme="minorHAnsi" w:hAnsiTheme="minorHAnsi" w:cstheme="minorHAnsi"/>
          <w:sz w:val="22"/>
          <w:szCs w:val="22"/>
          <w:lang w:val="en-US"/>
        </w:rPr>
        <w:t>utes</w:t>
      </w:r>
      <w:r w:rsidRPr="007254B5">
        <w:rPr>
          <w:rFonts w:asciiTheme="minorHAnsi" w:hAnsiTheme="minorHAnsi" w:cstheme="minorHAnsi"/>
          <w:sz w:val="22"/>
          <w:szCs w:val="22"/>
          <w:lang w:val="en-US"/>
        </w:rPr>
        <w:t xml:space="preserve"> after trauma</w:t>
      </w:r>
      <w:r w:rsidRPr="00C47210">
        <w:rPr>
          <w:rFonts w:asciiTheme="minorHAnsi" w:hAnsiTheme="minorHAnsi" w:cstheme="minorHAnsi"/>
          <w:sz w:val="22"/>
          <w:szCs w:val="22"/>
          <w:lang w:val="en-US"/>
        </w:rPr>
        <w:t>. In the PCC</w:t>
      </w:r>
      <w:r w:rsidR="009E359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47210">
        <w:rPr>
          <w:rFonts w:asciiTheme="minorHAnsi" w:hAnsiTheme="minorHAnsi" w:cstheme="minorHAnsi"/>
          <w:sz w:val="22"/>
          <w:szCs w:val="22"/>
          <w:lang w:val="en-US"/>
        </w:rPr>
        <w:t>12.5</w:t>
      </w:r>
      <w:r w:rsidR="009E3595">
        <w:rPr>
          <w:rFonts w:asciiTheme="minorHAnsi" w:hAnsiTheme="minorHAnsi" w:cstheme="minorHAnsi"/>
          <w:sz w:val="22"/>
          <w:szCs w:val="22"/>
          <w:lang w:val="en-US"/>
        </w:rPr>
        <w:t xml:space="preserve"> U/kg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plus tranexamic acid</w:t>
      </w:r>
      <w:r w:rsidRPr="00C47210">
        <w:rPr>
          <w:rFonts w:asciiTheme="minorHAnsi" w:hAnsiTheme="minorHAnsi" w:cstheme="minorHAnsi"/>
          <w:sz w:val="22"/>
          <w:szCs w:val="22"/>
          <w:lang w:val="en-US"/>
        </w:rPr>
        <w:t xml:space="preserve"> group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C47210">
        <w:rPr>
          <w:rFonts w:asciiTheme="minorHAnsi" w:hAnsiTheme="minorHAnsi" w:cstheme="minorHAnsi"/>
          <w:sz w:val="22"/>
          <w:szCs w:val="22"/>
          <w:lang w:val="en-US"/>
        </w:rPr>
        <w:t xml:space="preserve"> n=7 at 120 min</w:t>
      </w:r>
      <w:r>
        <w:rPr>
          <w:rFonts w:asciiTheme="minorHAnsi" w:hAnsiTheme="minorHAnsi" w:cstheme="minorHAnsi"/>
          <w:sz w:val="22"/>
          <w:szCs w:val="22"/>
          <w:lang w:val="en-US"/>
        </w:rPr>
        <w:t>utes</w:t>
      </w:r>
      <w:r w:rsidRPr="00C47210">
        <w:rPr>
          <w:rFonts w:asciiTheme="minorHAnsi" w:hAnsiTheme="minorHAnsi" w:cstheme="minorHAnsi"/>
          <w:sz w:val="22"/>
          <w:szCs w:val="22"/>
          <w:lang w:val="en-US"/>
        </w:rPr>
        <w:t xml:space="preserve"> and n=5 at 240 min</w:t>
      </w:r>
      <w:r>
        <w:rPr>
          <w:rFonts w:asciiTheme="minorHAnsi" w:hAnsiTheme="minorHAnsi" w:cstheme="minorHAnsi"/>
          <w:sz w:val="22"/>
          <w:szCs w:val="22"/>
          <w:lang w:val="en-US"/>
        </w:rPr>
        <w:t>utes</w:t>
      </w:r>
      <w:r w:rsidRPr="00C47210">
        <w:rPr>
          <w:rFonts w:asciiTheme="minorHAnsi" w:hAnsiTheme="minorHAnsi" w:cstheme="minorHAnsi"/>
          <w:sz w:val="22"/>
          <w:szCs w:val="22"/>
          <w:lang w:val="en-US"/>
        </w:rPr>
        <w:t xml:space="preserve"> after trauma. </w:t>
      </w:r>
    </w:p>
    <w:p w14:paraId="5712DE55" w14:textId="7AFC4844" w:rsidR="00EC492A" w:rsidRPr="00C47210" w:rsidRDefault="00EC492A" w:rsidP="00EC492A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>HR=heart rate; MAP=mean arterial pressure; MPAP=mean</w:t>
      </w:r>
      <w:r w:rsidRPr="007254B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>pulmonary arterial pressure</w:t>
      </w:r>
      <w:r w:rsidRPr="00E91402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Pr="007254B5">
        <w:rPr>
          <w:rFonts w:asciiTheme="minorHAnsi" w:hAnsiTheme="minorHAnsi" w:cstheme="minorHAnsi"/>
          <w:sz w:val="22"/>
          <w:szCs w:val="22"/>
          <w:lang w:val="en-US"/>
        </w:rPr>
        <w:t>PCC=</w:t>
      </w: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7254B5">
        <w:rPr>
          <w:rFonts w:asciiTheme="minorHAnsi" w:hAnsiTheme="minorHAnsi" w:cstheme="minorHAnsi"/>
          <w:sz w:val="22"/>
          <w:szCs w:val="22"/>
          <w:lang w:val="en-US"/>
        </w:rPr>
        <w:t xml:space="preserve">rothrombin </w:t>
      </w:r>
      <w:r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7254B5">
        <w:rPr>
          <w:rFonts w:asciiTheme="minorHAnsi" w:hAnsiTheme="minorHAnsi" w:cstheme="minorHAnsi"/>
          <w:sz w:val="22"/>
          <w:szCs w:val="22"/>
          <w:lang w:val="en-US"/>
        </w:rPr>
        <w:t xml:space="preserve">omplex </w:t>
      </w:r>
      <w:r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7254B5">
        <w:rPr>
          <w:rFonts w:asciiTheme="minorHAnsi" w:hAnsiTheme="minorHAnsi" w:cstheme="minorHAnsi"/>
          <w:sz w:val="22"/>
          <w:szCs w:val="22"/>
          <w:lang w:val="en-US"/>
        </w:rPr>
        <w:t>oncentr</w:t>
      </w:r>
      <w:r>
        <w:rPr>
          <w:rFonts w:asciiTheme="minorHAnsi" w:hAnsiTheme="minorHAnsi" w:cstheme="minorHAnsi"/>
          <w:sz w:val="22"/>
          <w:szCs w:val="22"/>
          <w:lang w:val="en-US"/>
        </w:rPr>
        <w:t>ate; Tranexamic acid</w:t>
      </w:r>
      <w:r w:rsidR="00B8282A">
        <w:rPr>
          <w:rFonts w:asciiTheme="minorHAnsi" w:hAnsiTheme="minorHAnsi" w:cstheme="minorHAnsi"/>
          <w:sz w:val="22"/>
          <w:szCs w:val="22"/>
          <w:lang w:val="en-US"/>
        </w:rPr>
        <w:t xml:space="preserve"> = </w:t>
      </w:r>
      <w:r w:rsidR="009E3595">
        <w:rPr>
          <w:rFonts w:asciiTheme="minorHAnsi" w:hAnsiTheme="minorHAnsi" w:cstheme="minorHAnsi"/>
          <w:sz w:val="22"/>
          <w:szCs w:val="22"/>
          <w:lang w:val="en-US"/>
        </w:rPr>
        <w:t>20 mg/kg</w:t>
      </w:r>
      <w:r w:rsidR="00255DC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; </w:t>
      </w:r>
      <w:r w:rsidR="00B8282A">
        <w:rPr>
          <w:rFonts w:asciiTheme="minorHAnsi" w:hAnsiTheme="minorHAnsi" w:cstheme="minorHAnsi"/>
          <w:sz w:val="22"/>
          <w:szCs w:val="22"/>
          <w:lang w:val="en-US"/>
        </w:rPr>
        <w:t xml:space="preserve">Fibrinogen = </w:t>
      </w:r>
      <w:r w:rsidR="00255DC9">
        <w:rPr>
          <w:rFonts w:asciiTheme="minorHAnsi" w:hAnsiTheme="minorHAnsi" w:cstheme="minorHAnsi"/>
          <w:sz w:val="22"/>
          <w:szCs w:val="22"/>
          <w:lang w:val="en-US"/>
        </w:rPr>
        <w:t>80 mg/kg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9E83F45" w14:textId="3B6D44E6" w:rsidR="00EC492A" w:rsidRPr="00792475" w:rsidRDefault="00EC492A" w:rsidP="00EC492A">
      <w:pPr>
        <w:spacing w:after="120" w:line="360" w:lineRule="auto"/>
        <w:jc w:val="both"/>
        <w:rPr>
          <w:lang w:val="en-US"/>
        </w:rPr>
      </w:pPr>
      <w:r w:rsidRPr="00CD381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*</w:t>
      </w:r>
      <w:r w:rsidRPr="00CD3811">
        <w:rPr>
          <w:rFonts w:asciiTheme="minorHAnsi" w:hAnsiTheme="minorHAnsi" w:cstheme="minorHAnsi"/>
          <w:sz w:val="22"/>
          <w:szCs w:val="22"/>
          <w:lang w:val="en-US"/>
        </w:rPr>
        <w:t xml:space="preserve">P&lt;0.05 vs. all other groups, </w:t>
      </w:r>
      <w:r w:rsidRPr="00CD381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†</w:t>
      </w:r>
      <w:r w:rsidRPr="00CD3811">
        <w:rPr>
          <w:rFonts w:asciiTheme="minorHAnsi" w:hAnsiTheme="minorHAnsi" w:cstheme="minorHAnsi"/>
          <w:sz w:val="22"/>
          <w:szCs w:val="22"/>
          <w:lang w:val="en-US"/>
        </w:rPr>
        <w:t xml:space="preserve">P&lt;0.05 vs. control, </w:t>
      </w:r>
      <w:r w:rsidRPr="00CD381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¶</w:t>
      </w:r>
      <w:r w:rsidRPr="00CD3811">
        <w:rPr>
          <w:rFonts w:asciiTheme="minorHAnsi" w:hAnsiTheme="minorHAnsi" w:cstheme="minorHAnsi"/>
          <w:sz w:val="22"/>
          <w:szCs w:val="22"/>
          <w:lang w:val="en-US"/>
        </w:rPr>
        <w:t>P&lt;0.05 vs. PCC</w:t>
      </w:r>
      <w:r w:rsidR="009E359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D3811">
        <w:rPr>
          <w:rFonts w:asciiTheme="minorHAnsi" w:hAnsiTheme="minorHAnsi" w:cstheme="minorHAnsi"/>
          <w:sz w:val="22"/>
          <w:szCs w:val="22"/>
          <w:lang w:val="en-US"/>
        </w:rPr>
        <w:t>12.5</w:t>
      </w:r>
      <w:r w:rsidR="009E3595">
        <w:rPr>
          <w:rFonts w:asciiTheme="minorHAnsi" w:hAnsiTheme="minorHAnsi" w:cstheme="minorHAnsi"/>
          <w:sz w:val="22"/>
          <w:szCs w:val="22"/>
          <w:lang w:val="en-US"/>
        </w:rPr>
        <w:t xml:space="preserve"> U/kg</w:t>
      </w:r>
      <w:r w:rsidRPr="00CD381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bookmarkStart w:id="3" w:name="OLE_LINK14"/>
      <w:r w:rsidRPr="0079247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§</w:t>
      </w:r>
      <w:bookmarkEnd w:id="3"/>
      <w:r w:rsidRPr="00CD3811">
        <w:rPr>
          <w:rFonts w:asciiTheme="minorHAnsi" w:hAnsiTheme="minorHAnsi" w:cstheme="minorHAnsi"/>
          <w:sz w:val="22"/>
          <w:szCs w:val="22"/>
          <w:lang w:val="en-US"/>
        </w:rPr>
        <w:t>P&lt;0.05 vs. PCC</w:t>
      </w:r>
      <w:r w:rsidR="009E359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D3811">
        <w:rPr>
          <w:rFonts w:asciiTheme="minorHAnsi" w:hAnsiTheme="minorHAnsi" w:cstheme="minorHAnsi"/>
          <w:sz w:val="22"/>
          <w:szCs w:val="22"/>
          <w:lang w:val="en-US"/>
        </w:rPr>
        <w:t>12.5</w:t>
      </w:r>
      <w:r w:rsidR="009E3595">
        <w:rPr>
          <w:rFonts w:asciiTheme="minorHAnsi" w:hAnsiTheme="minorHAnsi" w:cstheme="minorHAnsi"/>
          <w:sz w:val="22"/>
          <w:szCs w:val="22"/>
          <w:lang w:val="en-US"/>
        </w:rPr>
        <w:t xml:space="preserve"> U/kg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plus tranexamic acid.</w:t>
      </w:r>
    </w:p>
    <w:sectPr w:rsidR="00EC492A" w:rsidRPr="00792475" w:rsidSect="00981622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5860" w14:textId="77777777" w:rsidR="007500D3" w:rsidRDefault="007500D3">
      <w:pPr>
        <w:spacing w:after="0"/>
      </w:pPr>
      <w:r>
        <w:separator/>
      </w:r>
    </w:p>
  </w:endnote>
  <w:endnote w:type="continuationSeparator" w:id="0">
    <w:p w14:paraId="493EBAA7" w14:textId="77777777" w:rsidR="007500D3" w:rsidRDefault="007500D3">
      <w:pPr>
        <w:spacing w:after="0"/>
      </w:pPr>
      <w:r>
        <w:continuationSeparator/>
      </w:r>
    </w:p>
  </w:endnote>
  <w:endnote w:type="continuationNotice" w:id="1">
    <w:p w14:paraId="306C831D" w14:textId="77777777" w:rsidR="007500D3" w:rsidRDefault="007500D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3F4C1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CaeciliaR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91144" w14:textId="77777777" w:rsidR="001852F7" w:rsidRDefault="00185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BD1A" w14:textId="77777777" w:rsidR="001852F7" w:rsidRDefault="00185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00E5" w14:textId="77777777" w:rsidR="001852F7" w:rsidRDefault="0018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1B963" w14:textId="77777777" w:rsidR="007500D3" w:rsidRDefault="007500D3">
      <w:pPr>
        <w:spacing w:after="0"/>
      </w:pPr>
      <w:r>
        <w:separator/>
      </w:r>
    </w:p>
  </w:footnote>
  <w:footnote w:type="continuationSeparator" w:id="0">
    <w:p w14:paraId="1121C3D1" w14:textId="77777777" w:rsidR="007500D3" w:rsidRDefault="007500D3">
      <w:pPr>
        <w:spacing w:after="0"/>
      </w:pPr>
      <w:r>
        <w:continuationSeparator/>
      </w:r>
    </w:p>
  </w:footnote>
  <w:footnote w:type="continuationNotice" w:id="1">
    <w:p w14:paraId="643C5FF4" w14:textId="77777777" w:rsidR="007500D3" w:rsidRDefault="007500D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0E18" w14:textId="77777777" w:rsidR="001852F7" w:rsidRDefault="00185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7F7F7F" w:themeColor="background1" w:themeShade="7F"/>
        <w:spacing w:val="60"/>
        <w:sz w:val="22"/>
        <w:szCs w:val="22"/>
      </w:rPr>
      <w:id w:val="1537161540"/>
      <w:docPartObj>
        <w:docPartGallery w:val="Page Numbers (Top of Page)"/>
        <w:docPartUnique/>
      </w:docPartObj>
    </w:sdtPr>
    <w:sdtEndPr>
      <w:rPr>
        <w:rFonts w:ascii="Cambria" w:hAnsi="Cambria" w:cs="Times New Roman"/>
        <w:b/>
        <w:bCs/>
        <w:noProof/>
        <w:color w:val="auto"/>
        <w:spacing w:val="0"/>
        <w:sz w:val="24"/>
        <w:szCs w:val="24"/>
      </w:rPr>
    </w:sdtEndPr>
    <w:sdtContent>
      <w:p w14:paraId="30982E2B" w14:textId="568451F3" w:rsidR="009E3595" w:rsidRPr="003D4BA0" w:rsidRDefault="001852F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lang w:val="es-ES"/>
          </w:rPr>
        </w:pPr>
        <w:r>
          <w:rPr>
            <w:rFonts w:asciiTheme="minorHAnsi" w:hAnsiTheme="minorHAnsi"/>
            <w:color w:val="808080" w:themeColor="background1" w:themeShade="80"/>
            <w:spacing w:val="60"/>
            <w:sz w:val="22"/>
            <w:lang w:val="es-ES"/>
          </w:rPr>
          <w:t>DOAC reversal</w:t>
        </w:r>
        <w:r w:rsidR="009E3595" w:rsidRPr="003D4BA0">
          <w:rPr>
            <w:rFonts w:asciiTheme="minorHAnsi" w:hAnsiTheme="minorHAnsi"/>
            <w:color w:val="808080" w:themeColor="background1" w:themeShade="80"/>
            <w:spacing w:val="60"/>
            <w:sz w:val="22"/>
            <w:lang w:val="es-ES"/>
          </w:rPr>
          <w:t>:</w:t>
        </w:r>
        <w:r>
          <w:rPr>
            <w:rFonts w:asciiTheme="minorHAnsi" w:hAnsiTheme="minorHAnsi"/>
            <w:color w:val="808080" w:themeColor="background1" w:themeShade="80"/>
            <w:spacing w:val="60"/>
            <w:sz w:val="22"/>
            <w:lang w:val="es-ES"/>
          </w:rPr>
          <w:t xml:space="preserve"> </w:t>
        </w:r>
        <w:r w:rsidR="009E3595" w:rsidRPr="003D4BA0">
          <w:rPr>
            <w:rFonts w:asciiTheme="minorHAnsi" w:hAnsiTheme="minorHAnsi"/>
            <w:color w:val="808080" w:themeColor="background1" w:themeShade="80"/>
            <w:spacing w:val="60"/>
            <w:sz w:val="22"/>
            <w:lang w:val="es-ES"/>
          </w:rPr>
          <w:t>multimodal hemostatic therapy</w:t>
        </w:r>
        <w:r w:rsidR="009E3595" w:rsidRPr="003D4BA0">
          <w:rPr>
            <w:rFonts w:asciiTheme="minorHAnsi" w:hAnsiTheme="minorHAnsi"/>
            <w:sz w:val="22"/>
            <w:lang w:val="es-ES"/>
          </w:rPr>
          <w:t xml:space="preserve"> | </w:t>
        </w:r>
        <w:r w:rsidR="009E3595" w:rsidRPr="00880B3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9E3595" w:rsidRPr="00E50F6B">
          <w:rPr>
            <w:rFonts w:asciiTheme="minorHAnsi" w:hAnsiTheme="minorHAnsi" w:cstheme="minorHAnsi"/>
            <w:sz w:val="22"/>
            <w:szCs w:val="22"/>
            <w:lang w:val="es-ES"/>
          </w:rPr>
          <w:instrText xml:space="preserve"> PAGE   \* MERGEFORMAT </w:instrText>
        </w:r>
        <w:r w:rsidR="009E3595" w:rsidRPr="00880B3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500D3" w:rsidRPr="007500D3">
          <w:rPr>
            <w:rFonts w:asciiTheme="minorHAnsi" w:hAnsiTheme="minorHAnsi" w:cstheme="minorHAnsi"/>
            <w:b/>
            <w:bCs/>
            <w:noProof/>
            <w:sz w:val="22"/>
            <w:szCs w:val="22"/>
            <w:lang w:val="es-ES"/>
          </w:rPr>
          <w:t>1</w:t>
        </w:r>
        <w:r w:rsidR="009E3595" w:rsidRPr="00880B3A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fldChar w:fldCharType="end"/>
        </w:r>
      </w:p>
    </w:sdtContent>
  </w:sdt>
  <w:p w14:paraId="592FFB77" w14:textId="77777777" w:rsidR="009E3595" w:rsidRPr="003D4BA0" w:rsidRDefault="009E3595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83D84" w14:textId="77777777" w:rsidR="001852F7" w:rsidRDefault="001852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7F7F7F" w:themeColor="background1" w:themeShade="7F"/>
        <w:spacing w:val="60"/>
        <w:sz w:val="22"/>
        <w:szCs w:val="22"/>
      </w:rPr>
      <w:id w:val="-1330525726"/>
      <w:docPartObj>
        <w:docPartGallery w:val="Page Numbers (Top of Page)"/>
        <w:docPartUnique/>
      </w:docPartObj>
    </w:sdtPr>
    <w:sdtEndPr>
      <w:rPr>
        <w:rFonts w:ascii="Cambria" w:hAnsi="Cambria" w:cs="Times New Roman"/>
        <w:b/>
        <w:bCs/>
        <w:noProof/>
        <w:color w:val="auto"/>
        <w:spacing w:val="0"/>
        <w:sz w:val="24"/>
        <w:szCs w:val="24"/>
      </w:rPr>
    </w:sdtEndPr>
    <w:sdtContent>
      <w:p w14:paraId="5176C4AA" w14:textId="6F424EDA" w:rsidR="009E3595" w:rsidRPr="00EC492A" w:rsidRDefault="005A286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lang w:val="es-ES"/>
          </w:rPr>
        </w:pPr>
        <w:r>
          <w:rPr>
            <w:rFonts w:asciiTheme="minorHAnsi" w:hAnsiTheme="minorHAnsi" w:cstheme="minorHAnsi"/>
            <w:color w:val="7F7F7F" w:themeColor="background1" w:themeShade="7F"/>
            <w:spacing w:val="60"/>
            <w:sz w:val="22"/>
            <w:szCs w:val="22"/>
            <w:lang w:val="es-ES"/>
          </w:rPr>
          <w:t>DOAC reversal</w:t>
        </w:r>
        <w:r w:rsidR="009E3595" w:rsidRPr="00EC492A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  <w:szCs w:val="22"/>
            <w:lang w:val="es-ES"/>
          </w:rPr>
          <w:t>:</w:t>
        </w:r>
        <w:r w:rsidR="00AD47E7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  <w:szCs w:val="22"/>
            <w:lang w:val="es-ES"/>
          </w:rPr>
          <w:t xml:space="preserve"> </w:t>
        </w:r>
        <w:bookmarkStart w:id="4" w:name="_GoBack"/>
        <w:bookmarkEnd w:id="4"/>
        <w:r w:rsidR="009E3595" w:rsidRPr="00EC492A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  <w:szCs w:val="22"/>
            <w:lang w:val="es-ES"/>
          </w:rPr>
          <w:t>multimodal hemostatic therapy</w:t>
        </w:r>
        <w:r w:rsidR="009E3595" w:rsidRPr="00EC492A">
          <w:rPr>
            <w:rFonts w:asciiTheme="minorHAnsi" w:hAnsiTheme="minorHAnsi" w:cstheme="minorHAnsi"/>
            <w:sz w:val="22"/>
            <w:szCs w:val="22"/>
            <w:lang w:val="es-ES"/>
          </w:rPr>
          <w:t xml:space="preserve"> | </w:t>
        </w:r>
        <w:r w:rsidR="009E3595" w:rsidRPr="00880B3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9E3595" w:rsidRPr="00EC492A">
          <w:rPr>
            <w:rFonts w:asciiTheme="minorHAnsi" w:hAnsiTheme="minorHAnsi" w:cstheme="minorHAnsi"/>
            <w:sz w:val="22"/>
            <w:szCs w:val="22"/>
            <w:lang w:val="es-ES"/>
          </w:rPr>
          <w:instrText xml:space="preserve"> PAGE   \* MERGEFORMAT </w:instrText>
        </w:r>
        <w:r w:rsidR="009E3595" w:rsidRPr="00880B3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D47E7" w:rsidRPr="00AD47E7">
          <w:rPr>
            <w:rFonts w:asciiTheme="minorHAnsi" w:hAnsiTheme="minorHAnsi" w:cstheme="minorHAnsi"/>
            <w:b/>
            <w:bCs/>
            <w:noProof/>
            <w:sz w:val="22"/>
            <w:szCs w:val="22"/>
            <w:lang w:val="es-ES"/>
          </w:rPr>
          <w:t>4</w:t>
        </w:r>
        <w:r w:rsidR="009E3595" w:rsidRPr="00880B3A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fldChar w:fldCharType="end"/>
        </w:r>
      </w:p>
    </w:sdtContent>
  </w:sdt>
  <w:p w14:paraId="1E8E05C9" w14:textId="77777777" w:rsidR="009E3595" w:rsidRPr="003D4BA0" w:rsidRDefault="009E3595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jUxNjU0szSzsDRV0lEKTi0uzszPAykwtKwFAM/AE+AtAAAA"/>
  </w:docVars>
  <w:rsids>
    <w:rsidRoot w:val="00256126"/>
    <w:rsid w:val="0000136E"/>
    <w:rsid w:val="00011057"/>
    <w:rsid w:val="00030982"/>
    <w:rsid w:val="000322EA"/>
    <w:rsid w:val="000362CB"/>
    <w:rsid w:val="00072768"/>
    <w:rsid w:val="00087770"/>
    <w:rsid w:val="000C3255"/>
    <w:rsid w:val="000C7323"/>
    <w:rsid w:val="00151E64"/>
    <w:rsid w:val="00180643"/>
    <w:rsid w:val="001852F7"/>
    <w:rsid w:val="001864EB"/>
    <w:rsid w:val="001E55A9"/>
    <w:rsid w:val="001E5BB3"/>
    <w:rsid w:val="00245227"/>
    <w:rsid w:val="00255DC9"/>
    <w:rsid w:val="00256126"/>
    <w:rsid w:val="002577A6"/>
    <w:rsid w:val="00275802"/>
    <w:rsid w:val="002823A4"/>
    <w:rsid w:val="002A1104"/>
    <w:rsid w:val="002E2225"/>
    <w:rsid w:val="002E7814"/>
    <w:rsid w:val="00386861"/>
    <w:rsid w:val="003B12BA"/>
    <w:rsid w:val="003B5F71"/>
    <w:rsid w:val="003C0E98"/>
    <w:rsid w:val="003D4BA0"/>
    <w:rsid w:val="003D7805"/>
    <w:rsid w:val="003F33E1"/>
    <w:rsid w:val="00406FF6"/>
    <w:rsid w:val="004224E0"/>
    <w:rsid w:val="00452710"/>
    <w:rsid w:val="00460D26"/>
    <w:rsid w:val="00480A36"/>
    <w:rsid w:val="00483996"/>
    <w:rsid w:val="004D5B3D"/>
    <w:rsid w:val="004E2568"/>
    <w:rsid w:val="004E4898"/>
    <w:rsid w:val="004F5C64"/>
    <w:rsid w:val="00500285"/>
    <w:rsid w:val="00510640"/>
    <w:rsid w:val="005541DA"/>
    <w:rsid w:val="00557740"/>
    <w:rsid w:val="00565576"/>
    <w:rsid w:val="00581B58"/>
    <w:rsid w:val="00597514"/>
    <w:rsid w:val="005A286E"/>
    <w:rsid w:val="005D7ACE"/>
    <w:rsid w:val="00611C35"/>
    <w:rsid w:val="006472A3"/>
    <w:rsid w:val="006615E0"/>
    <w:rsid w:val="00681096"/>
    <w:rsid w:val="006836D5"/>
    <w:rsid w:val="006868FA"/>
    <w:rsid w:val="0069550B"/>
    <w:rsid w:val="00696A0B"/>
    <w:rsid w:val="006A1E33"/>
    <w:rsid w:val="006B12F2"/>
    <w:rsid w:val="006F347E"/>
    <w:rsid w:val="0070723F"/>
    <w:rsid w:val="00715853"/>
    <w:rsid w:val="0072505E"/>
    <w:rsid w:val="00732EF0"/>
    <w:rsid w:val="007454C9"/>
    <w:rsid w:val="007500D3"/>
    <w:rsid w:val="00763603"/>
    <w:rsid w:val="00763BBF"/>
    <w:rsid w:val="00773518"/>
    <w:rsid w:val="00792475"/>
    <w:rsid w:val="00795D3C"/>
    <w:rsid w:val="007B68D0"/>
    <w:rsid w:val="007E52A7"/>
    <w:rsid w:val="00802037"/>
    <w:rsid w:val="0080747A"/>
    <w:rsid w:val="00880B3A"/>
    <w:rsid w:val="00915793"/>
    <w:rsid w:val="0092254B"/>
    <w:rsid w:val="00950675"/>
    <w:rsid w:val="00956AAF"/>
    <w:rsid w:val="00981622"/>
    <w:rsid w:val="009C6049"/>
    <w:rsid w:val="009D3CD2"/>
    <w:rsid w:val="009D4E07"/>
    <w:rsid w:val="009E3595"/>
    <w:rsid w:val="009F6EC6"/>
    <w:rsid w:val="00A21E24"/>
    <w:rsid w:val="00A32EB0"/>
    <w:rsid w:val="00A50392"/>
    <w:rsid w:val="00A91082"/>
    <w:rsid w:val="00AB6F3A"/>
    <w:rsid w:val="00AD47E7"/>
    <w:rsid w:val="00AF7C21"/>
    <w:rsid w:val="00B2453F"/>
    <w:rsid w:val="00B71550"/>
    <w:rsid w:val="00B72E79"/>
    <w:rsid w:val="00B8282A"/>
    <w:rsid w:val="00BA2C06"/>
    <w:rsid w:val="00BA63DD"/>
    <w:rsid w:val="00BB0F50"/>
    <w:rsid w:val="00BF0846"/>
    <w:rsid w:val="00BF3E2F"/>
    <w:rsid w:val="00C1671D"/>
    <w:rsid w:val="00C274D6"/>
    <w:rsid w:val="00C34383"/>
    <w:rsid w:val="00C45A3A"/>
    <w:rsid w:val="00C47210"/>
    <w:rsid w:val="00C952A5"/>
    <w:rsid w:val="00CA2895"/>
    <w:rsid w:val="00CD3811"/>
    <w:rsid w:val="00CF17CF"/>
    <w:rsid w:val="00D12E62"/>
    <w:rsid w:val="00D1302F"/>
    <w:rsid w:val="00D17492"/>
    <w:rsid w:val="00D83EBF"/>
    <w:rsid w:val="00DB09D1"/>
    <w:rsid w:val="00DE3951"/>
    <w:rsid w:val="00E146FC"/>
    <w:rsid w:val="00E229A8"/>
    <w:rsid w:val="00E40CA5"/>
    <w:rsid w:val="00E91402"/>
    <w:rsid w:val="00EA29D1"/>
    <w:rsid w:val="00EA38DD"/>
    <w:rsid w:val="00EC154B"/>
    <w:rsid w:val="00EC492A"/>
    <w:rsid w:val="00ED2907"/>
    <w:rsid w:val="00EE117C"/>
    <w:rsid w:val="00F720A7"/>
    <w:rsid w:val="00F87DA5"/>
    <w:rsid w:val="00FA1203"/>
    <w:rsid w:val="00F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F25EC"/>
  <w15:chartTrackingRefBased/>
  <w15:docId w15:val="{62543CDE-D351-4D66-8510-ECC783EA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26"/>
    <w:pPr>
      <w:spacing w:after="20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paragraph" w:styleId="Heading1">
    <w:name w:val="heading 1"/>
    <w:basedOn w:val="Normal"/>
    <w:link w:val="Heading1Char"/>
    <w:uiPriority w:val="9"/>
    <w:qFormat/>
    <w:rsid w:val="00256126"/>
    <w:pPr>
      <w:widowControl w:val="0"/>
      <w:autoSpaceDE w:val="0"/>
      <w:autoSpaceDN w:val="0"/>
      <w:spacing w:after="0"/>
      <w:ind w:left="1416"/>
      <w:outlineLvl w:val="0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126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uiPriority w:val="20"/>
    <w:qFormat/>
    <w:rsid w:val="00256126"/>
    <w:rPr>
      <w:i/>
      <w:iCs/>
    </w:rPr>
  </w:style>
  <w:style w:type="character" w:customStyle="1" w:styleId="Flietext">
    <w:name w:val="Fließtext"/>
    <w:rsid w:val="0025612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CSText">
    <w:name w:val="CS Text"/>
    <w:basedOn w:val="Normal"/>
    <w:link w:val="CSTextChar"/>
    <w:qFormat/>
    <w:rsid w:val="00256126"/>
    <w:pPr>
      <w:spacing w:after="0"/>
    </w:pPr>
    <w:rPr>
      <w:rFonts w:ascii="Times New Roman" w:eastAsia="SimSun" w:hAnsi="Times New Roman"/>
      <w:lang w:val="en-US" w:eastAsia="de-DE"/>
    </w:rPr>
  </w:style>
  <w:style w:type="character" w:customStyle="1" w:styleId="CSTextChar">
    <w:name w:val="CS Text Char"/>
    <w:link w:val="CSText"/>
    <w:rsid w:val="00256126"/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561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6126"/>
    <w:rPr>
      <w:rFonts w:ascii="Cambria" w:eastAsia="Cambria" w:hAnsi="Cambria" w:cs="Times New Roman"/>
      <w:sz w:val="24"/>
      <w:szCs w:val="24"/>
      <w:lang w:val="de-DE"/>
    </w:rPr>
  </w:style>
  <w:style w:type="paragraph" w:styleId="Caption">
    <w:name w:val="caption"/>
    <w:basedOn w:val="Normal"/>
    <w:next w:val="Normal"/>
    <w:uiPriority w:val="35"/>
    <w:unhideWhenUsed/>
    <w:qFormat/>
    <w:rsid w:val="00256126"/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6126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12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8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46"/>
    <w:rPr>
      <w:rFonts w:ascii="Segoe UI" w:eastAsia="Cambria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F0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846"/>
    <w:rPr>
      <w:rFonts w:ascii="Cambria" w:eastAsia="Cambria" w:hAnsi="Cambria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846"/>
    <w:rPr>
      <w:rFonts w:ascii="Cambria" w:eastAsia="Cambria" w:hAnsi="Cambria" w:cs="Times New Roman"/>
      <w:b/>
      <w:bCs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3B12BA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12BA"/>
    <w:rPr>
      <w:rFonts w:ascii="Cambria" w:eastAsia="Cambria" w:hAnsi="Cambria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Farahnaz Rayatdoost</dc:creator>
  <cp:keywords/>
  <dc:description/>
  <cp:lastModifiedBy>Rayatdoost, Farahnaz</cp:lastModifiedBy>
  <cp:revision>6</cp:revision>
  <dcterms:created xsi:type="dcterms:W3CDTF">2021-05-14T08:53:00Z</dcterms:created>
  <dcterms:modified xsi:type="dcterms:W3CDTF">2021-06-01T07:14:00Z</dcterms:modified>
</cp:coreProperties>
</file>