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94E" w:rsidRDefault="00CD6A1E" w:rsidP="00CD6A1E">
      <w:r w:rsidRPr="00996702">
        <w:rPr>
          <w:b/>
        </w:rPr>
        <w:t>Table S1</w:t>
      </w:r>
      <w:r>
        <w:t xml:space="preserve"> – Frequency of missing values in the training</w:t>
      </w:r>
      <w:r w:rsidR="00CD6260">
        <w:t xml:space="preserve"> dataset</w:t>
      </w:r>
      <w:r>
        <w:t xml:space="preserve">, internal validation </w:t>
      </w:r>
      <w:r w:rsidR="00CD6260">
        <w:t>dataset</w:t>
      </w:r>
      <w:r w:rsidR="00A62E18">
        <w:t>,</w:t>
      </w:r>
      <w:r>
        <w:t xml:space="preserve"> and external validation datasets</w:t>
      </w:r>
      <w:r w:rsidR="00B80BD9">
        <w:t>, presented as the count and percentage of cases with missing values for each variable.</w:t>
      </w:r>
    </w:p>
    <w:p w:rsidR="00113781" w:rsidRDefault="00113781" w:rsidP="00CD6A1E"/>
    <w:tbl>
      <w:tblPr>
        <w:tblStyle w:val="TableGrid"/>
        <w:tblW w:w="9445" w:type="dxa"/>
        <w:tblLook w:val="04A0" w:firstRow="1" w:lastRow="0" w:firstColumn="1" w:lastColumn="0" w:noHBand="0" w:noVBand="1"/>
      </w:tblPr>
      <w:tblGrid>
        <w:gridCol w:w="2337"/>
        <w:gridCol w:w="2337"/>
        <w:gridCol w:w="2337"/>
        <w:gridCol w:w="2434"/>
      </w:tblGrid>
      <w:tr w:rsidR="00113781" w:rsidTr="00900619">
        <w:tc>
          <w:tcPr>
            <w:tcW w:w="2337" w:type="dxa"/>
          </w:tcPr>
          <w:p w:rsidR="00113781" w:rsidRPr="00B80BD9" w:rsidRDefault="00113781" w:rsidP="00113781">
            <w:pPr>
              <w:rPr>
                <w:rFonts w:cs="Arial"/>
              </w:rPr>
            </w:pPr>
            <w:r w:rsidRPr="00604EFC">
              <w:rPr>
                <w:rFonts w:cs="Arial"/>
                <w:b/>
              </w:rPr>
              <w:t>Variable</w:t>
            </w:r>
            <w:r>
              <w:rPr>
                <w:rFonts w:cs="Arial"/>
                <w:b/>
              </w:rPr>
              <w:t xml:space="preserve"> </w:t>
            </w:r>
          </w:p>
        </w:tc>
        <w:tc>
          <w:tcPr>
            <w:tcW w:w="2337" w:type="dxa"/>
          </w:tcPr>
          <w:p w:rsidR="00113781" w:rsidRPr="00F84F90" w:rsidRDefault="00F6451E" w:rsidP="00113781">
            <w:pPr>
              <w:rPr>
                <w:b/>
              </w:rPr>
            </w:pPr>
            <w:r>
              <w:rPr>
                <w:b/>
              </w:rPr>
              <w:t>Training</w:t>
            </w:r>
          </w:p>
        </w:tc>
        <w:tc>
          <w:tcPr>
            <w:tcW w:w="2337" w:type="dxa"/>
          </w:tcPr>
          <w:p w:rsidR="00113781" w:rsidRPr="00F84F90" w:rsidRDefault="00F6451E" w:rsidP="00113781">
            <w:pPr>
              <w:rPr>
                <w:b/>
              </w:rPr>
            </w:pPr>
            <w:r>
              <w:rPr>
                <w:b/>
              </w:rPr>
              <w:t>Internal Validation</w:t>
            </w:r>
          </w:p>
        </w:tc>
        <w:tc>
          <w:tcPr>
            <w:tcW w:w="2434" w:type="dxa"/>
          </w:tcPr>
          <w:p w:rsidR="00113781" w:rsidRPr="00F84F90" w:rsidRDefault="00F6451E" w:rsidP="00113781">
            <w:pPr>
              <w:rPr>
                <w:b/>
              </w:rPr>
            </w:pPr>
            <w:r>
              <w:rPr>
                <w:b/>
              </w:rPr>
              <w:t>External Validation</w:t>
            </w:r>
          </w:p>
        </w:tc>
      </w:tr>
      <w:tr w:rsidR="00113781" w:rsidTr="00900619">
        <w:tc>
          <w:tcPr>
            <w:tcW w:w="2337" w:type="dxa"/>
          </w:tcPr>
          <w:p w:rsidR="00113781" w:rsidRPr="00F84F90" w:rsidRDefault="00113781" w:rsidP="00113781">
            <w:pPr>
              <w:rPr>
                <w:rFonts w:cs="Arial"/>
              </w:rPr>
            </w:pPr>
            <w:r w:rsidRPr="00F84F90">
              <w:rPr>
                <w:rFonts w:cs="Arial"/>
              </w:rPr>
              <w:t xml:space="preserve">Transfused </w:t>
            </w:r>
          </w:p>
        </w:tc>
        <w:tc>
          <w:tcPr>
            <w:tcW w:w="2337" w:type="dxa"/>
          </w:tcPr>
          <w:p w:rsidR="00113781" w:rsidRDefault="00113781" w:rsidP="00113781">
            <w:r>
              <w:t>0</w:t>
            </w:r>
            <w:r w:rsidR="00A00E75">
              <w:t xml:space="preserve"> (0%)</w:t>
            </w:r>
          </w:p>
        </w:tc>
        <w:tc>
          <w:tcPr>
            <w:tcW w:w="2337" w:type="dxa"/>
          </w:tcPr>
          <w:p w:rsidR="00113781" w:rsidRDefault="00113781" w:rsidP="00113781">
            <w:r>
              <w:t>0</w:t>
            </w:r>
            <w:r w:rsidR="00A00E75">
              <w:t xml:space="preserve"> (0%)</w:t>
            </w:r>
          </w:p>
        </w:tc>
        <w:tc>
          <w:tcPr>
            <w:tcW w:w="2434" w:type="dxa"/>
          </w:tcPr>
          <w:p w:rsidR="00113781" w:rsidRDefault="00113781" w:rsidP="00113781">
            <w:r>
              <w:t>0</w:t>
            </w:r>
            <w:r w:rsidR="00A00E75">
              <w:t xml:space="preserve"> (0%)</w:t>
            </w:r>
          </w:p>
        </w:tc>
      </w:tr>
      <w:tr w:rsidR="00113781" w:rsidTr="00900619">
        <w:tc>
          <w:tcPr>
            <w:tcW w:w="2337" w:type="dxa"/>
          </w:tcPr>
          <w:p w:rsidR="00113781" w:rsidRPr="00F84F90" w:rsidRDefault="00113781" w:rsidP="00113781">
            <w:pPr>
              <w:rPr>
                <w:rFonts w:cs="Arial"/>
              </w:rPr>
            </w:pPr>
            <w:r w:rsidRPr="00F84F90">
              <w:rPr>
                <w:rFonts w:cs="Arial"/>
              </w:rPr>
              <w:t>Age</w:t>
            </w:r>
          </w:p>
        </w:tc>
        <w:tc>
          <w:tcPr>
            <w:tcW w:w="2337" w:type="dxa"/>
          </w:tcPr>
          <w:p w:rsidR="00113781" w:rsidRDefault="0023051E" w:rsidP="00113781">
            <w:r>
              <w:t>0</w:t>
            </w:r>
            <w:r w:rsidR="00F84F90">
              <w:t xml:space="preserve"> (0%)</w:t>
            </w:r>
          </w:p>
        </w:tc>
        <w:tc>
          <w:tcPr>
            <w:tcW w:w="2337" w:type="dxa"/>
          </w:tcPr>
          <w:p w:rsidR="00113781" w:rsidRDefault="0023051E" w:rsidP="00113781">
            <w:r>
              <w:t>3 (&lt; 0.01%)</w:t>
            </w:r>
          </w:p>
        </w:tc>
        <w:tc>
          <w:tcPr>
            <w:tcW w:w="2434" w:type="dxa"/>
          </w:tcPr>
          <w:p w:rsidR="00113781" w:rsidRDefault="0023051E" w:rsidP="00113781">
            <w:r>
              <w:t>0</w:t>
            </w:r>
            <w:r w:rsidR="00F84F90">
              <w:t xml:space="preserve"> (0%)</w:t>
            </w:r>
          </w:p>
        </w:tc>
      </w:tr>
      <w:tr w:rsidR="00113781" w:rsidTr="00900619">
        <w:tc>
          <w:tcPr>
            <w:tcW w:w="2337" w:type="dxa"/>
          </w:tcPr>
          <w:p w:rsidR="00113781" w:rsidRPr="00F84F90" w:rsidRDefault="00113781" w:rsidP="00113781">
            <w:pPr>
              <w:rPr>
                <w:rFonts w:cs="Arial"/>
              </w:rPr>
            </w:pPr>
            <w:r w:rsidRPr="00F84F90">
              <w:rPr>
                <w:rFonts w:cs="Arial"/>
              </w:rPr>
              <w:t>Height</w:t>
            </w:r>
          </w:p>
        </w:tc>
        <w:tc>
          <w:tcPr>
            <w:tcW w:w="2337" w:type="dxa"/>
          </w:tcPr>
          <w:p w:rsidR="00113781" w:rsidRDefault="001F2BAE" w:rsidP="00113781">
            <w:r w:rsidRPr="001F2BAE">
              <w:t>59</w:t>
            </w:r>
            <w:r>
              <w:t>,</w:t>
            </w:r>
            <w:r w:rsidRPr="001F2BAE">
              <w:t>919</w:t>
            </w:r>
            <w:r w:rsidR="00F84F90">
              <w:t xml:space="preserve"> (</w:t>
            </w:r>
            <w:r>
              <w:t>2.0</w:t>
            </w:r>
            <w:r w:rsidR="00F84F90">
              <w:t>%)</w:t>
            </w:r>
          </w:p>
        </w:tc>
        <w:tc>
          <w:tcPr>
            <w:tcW w:w="2337" w:type="dxa"/>
          </w:tcPr>
          <w:p w:rsidR="00113781" w:rsidRDefault="001F2BAE" w:rsidP="00113781">
            <w:r w:rsidRPr="001F2BAE">
              <w:t>23</w:t>
            </w:r>
            <w:r>
              <w:t>,</w:t>
            </w:r>
            <w:r w:rsidRPr="001F2BAE">
              <w:t>367</w:t>
            </w:r>
            <w:r w:rsidR="00F84F90">
              <w:t xml:space="preserve"> (</w:t>
            </w:r>
            <w:r>
              <w:t>2.2</w:t>
            </w:r>
            <w:r w:rsidR="00F84F90">
              <w:t>%)</w:t>
            </w:r>
          </w:p>
        </w:tc>
        <w:tc>
          <w:tcPr>
            <w:tcW w:w="2434" w:type="dxa"/>
          </w:tcPr>
          <w:p w:rsidR="00113781" w:rsidRDefault="00271236" w:rsidP="00113781">
            <w:r>
              <w:t>1</w:t>
            </w:r>
            <w:r w:rsidR="00C64355">
              <w:t>77</w:t>
            </w:r>
            <w:r w:rsidR="00837850" w:rsidRPr="00837850">
              <w:t xml:space="preserve"> </w:t>
            </w:r>
            <w:r w:rsidR="00041511">
              <w:t>(1.</w:t>
            </w:r>
            <w:r>
              <w:t>1</w:t>
            </w:r>
            <w:r w:rsidR="00041511">
              <w:t>%)</w:t>
            </w:r>
          </w:p>
        </w:tc>
      </w:tr>
      <w:tr w:rsidR="00113781" w:rsidTr="00900619">
        <w:tc>
          <w:tcPr>
            <w:tcW w:w="2337" w:type="dxa"/>
          </w:tcPr>
          <w:p w:rsidR="00113781" w:rsidRPr="00F84F90" w:rsidRDefault="00113781" w:rsidP="00113781">
            <w:pPr>
              <w:rPr>
                <w:rFonts w:cs="Arial"/>
              </w:rPr>
            </w:pPr>
            <w:r w:rsidRPr="00F84F90">
              <w:rPr>
                <w:rFonts w:cs="Arial"/>
              </w:rPr>
              <w:t>Weight</w:t>
            </w:r>
          </w:p>
        </w:tc>
        <w:tc>
          <w:tcPr>
            <w:tcW w:w="2337" w:type="dxa"/>
          </w:tcPr>
          <w:p w:rsidR="00113781" w:rsidRDefault="001707D1" w:rsidP="00113781">
            <w:r w:rsidRPr="001707D1">
              <w:t>34</w:t>
            </w:r>
            <w:r>
              <w:t>,</w:t>
            </w:r>
            <w:r w:rsidRPr="001707D1">
              <w:t>516</w:t>
            </w:r>
            <w:r w:rsidR="00F84F90">
              <w:t xml:space="preserve"> (</w:t>
            </w:r>
            <w:r>
              <w:t>1.1</w:t>
            </w:r>
            <w:r w:rsidR="00F84F90">
              <w:t>%)</w:t>
            </w:r>
          </w:p>
        </w:tc>
        <w:tc>
          <w:tcPr>
            <w:tcW w:w="2337" w:type="dxa"/>
          </w:tcPr>
          <w:p w:rsidR="00113781" w:rsidRDefault="003F38A1" w:rsidP="00113781">
            <w:r w:rsidRPr="003F38A1">
              <w:t>13</w:t>
            </w:r>
            <w:r>
              <w:t>,</w:t>
            </w:r>
            <w:r w:rsidRPr="003F38A1">
              <w:t>835</w:t>
            </w:r>
            <w:r w:rsidR="00F84F90">
              <w:t xml:space="preserve"> (</w:t>
            </w:r>
            <w:r>
              <w:t>1.3</w:t>
            </w:r>
            <w:r w:rsidR="00F84F90">
              <w:t>%)</w:t>
            </w:r>
          </w:p>
        </w:tc>
        <w:tc>
          <w:tcPr>
            <w:tcW w:w="2434" w:type="dxa"/>
          </w:tcPr>
          <w:p w:rsidR="00113781" w:rsidRDefault="008A51AD" w:rsidP="00113781">
            <w:r>
              <w:t>89</w:t>
            </w:r>
            <w:r w:rsidR="008425EE" w:rsidRPr="008425EE">
              <w:t xml:space="preserve"> </w:t>
            </w:r>
            <w:r w:rsidR="00535CD1">
              <w:t>(0.</w:t>
            </w:r>
            <w:r w:rsidR="00963407">
              <w:t>6</w:t>
            </w:r>
            <w:r w:rsidR="00535CD1">
              <w:t>%)</w:t>
            </w:r>
          </w:p>
        </w:tc>
      </w:tr>
      <w:tr w:rsidR="00113781" w:rsidTr="00900619">
        <w:tc>
          <w:tcPr>
            <w:tcW w:w="2337" w:type="dxa"/>
          </w:tcPr>
          <w:p w:rsidR="00113781" w:rsidRPr="00F84F90" w:rsidRDefault="00113781" w:rsidP="00113781">
            <w:pPr>
              <w:rPr>
                <w:rFonts w:cs="Arial"/>
              </w:rPr>
            </w:pPr>
            <w:r w:rsidRPr="00F84F90">
              <w:rPr>
                <w:rFonts w:cs="Arial"/>
              </w:rPr>
              <w:t>Gender</w:t>
            </w:r>
          </w:p>
        </w:tc>
        <w:tc>
          <w:tcPr>
            <w:tcW w:w="2337" w:type="dxa"/>
          </w:tcPr>
          <w:p w:rsidR="00113781" w:rsidRDefault="00900652" w:rsidP="00113781">
            <w:r>
              <w:t>3</w:t>
            </w:r>
            <w:r w:rsidR="00A67E5D">
              <w:t xml:space="preserve"> (&lt; 0.01%)</w:t>
            </w:r>
          </w:p>
        </w:tc>
        <w:tc>
          <w:tcPr>
            <w:tcW w:w="2337" w:type="dxa"/>
          </w:tcPr>
          <w:p w:rsidR="00113781" w:rsidRDefault="00D71BA4" w:rsidP="00113781">
            <w:r>
              <w:t>119 (0.01%)</w:t>
            </w:r>
          </w:p>
        </w:tc>
        <w:tc>
          <w:tcPr>
            <w:tcW w:w="2434" w:type="dxa"/>
          </w:tcPr>
          <w:p w:rsidR="00113781" w:rsidRDefault="00D71BA4" w:rsidP="00113781">
            <w:r>
              <w:t>0</w:t>
            </w:r>
            <w:r w:rsidR="00F84F90">
              <w:t xml:space="preserve"> (0%)</w:t>
            </w:r>
          </w:p>
        </w:tc>
      </w:tr>
      <w:tr w:rsidR="00113781" w:rsidTr="00900619">
        <w:tc>
          <w:tcPr>
            <w:tcW w:w="2337" w:type="dxa"/>
          </w:tcPr>
          <w:p w:rsidR="00113781" w:rsidRPr="00F84F90" w:rsidRDefault="00113781" w:rsidP="00113781">
            <w:pPr>
              <w:rPr>
                <w:rFonts w:cs="Arial"/>
              </w:rPr>
            </w:pPr>
            <w:r w:rsidRPr="00F84F90">
              <w:rPr>
                <w:rFonts w:cs="Arial"/>
              </w:rPr>
              <w:t xml:space="preserve">ASA Status </w:t>
            </w:r>
          </w:p>
        </w:tc>
        <w:tc>
          <w:tcPr>
            <w:tcW w:w="2337" w:type="dxa"/>
          </w:tcPr>
          <w:p w:rsidR="00113781" w:rsidRDefault="00CD6273" w:rsidP="00113781">
            <w:r>
              <w:t>7</w:t>
            </w:r>
            <w:r w:rsidR="00921C21">
              <w:t>,</w:t>
            </w:r>
            <w:r>
              <w:t>477 (0.25%)</w:t>
            </w:r>
          </w:p>
        </w:tc>
        <w:tc>
          <w:tcPr>
            <w:tcW w:w="2337" w:type="dxa"/>
          </w:tcPr>
          <w:p w:rsidR="00113781" w:rsidRDefault="000D1839" w:rsidP="00113781">
            <w:r>
              <w:t>2</w:t>
            </w:r>
            <w:r w:rsidR="00921C21">
              <w:t>,</w:t>
            </w:r>
            <w:r>
              <w:t>458 (0.23%)</w:t>
            </w:r>
          </w:p>
        </w:tc>
        <w:tc>
          <w:tcPr>
            <w:tcW w:w="2434" w:type="dxa"/>
          </w:tcPr>
          <w:p w:rsidR="00113781" w:rsidRDefault="00D65A2F" w:rsidP="00113781">
            <w:r>
              <w:t>18</w:t>
            </w:r>
            <w:r w:rsidR="000D1839">
              <w:t xml:space="preserve"> (0.</w:t>
            </w:r>
            <w:r w:rsidR="00C40CE6">
              <w:t>04</w:t>
            </w:r>
            <w:r w:rsidR="000D1839">
              <w:t>%)</w:t>
            </w:r>
          </w:p>
        </w:tc>
      </w:tr>
      <w:tr w:rsidR="00113781" w:rsidTr="00900619">
        <w:tc>
          <w:tcPr>
            <w:tcW w:w="2337" w:type="dxa"/>
          </w:tcPr>
          <w:p w:rsidR="00113781" w:rsidRPr="00F84F90" w:rsidRDefault="00113781" w:rsidP="00113781">
            <w:pPr>
              <w:rPr>
                <w:rFonts w:cs="Arial"/>
              </w:rPr>
            </w:pPr>
            <w:r w:rsidRPr="00F84F90">
              <w:rPr>
                <w:rFonts w:cs="Arial"/>
              </w:rPr>
              <w:t xml:space="preserve">HTN </w:t>
            </w:r>
          </w:p>
        </w:tc>
        <w:tc>
          <w:tcPr>
            <w:tcW w:w="2337" w:type="dxa"/>
          </w:tcPr>
          <w:p w:rsidR="00113781" w:rsidRDefault="00380FBB" w:rsidP="00113781">
            <w:r>
              <w:t>0 (0%)</w:t>
            </w:r>
          </w:p>
        </w:tc>
        <w:tc>
          <w:tcPr>
            <w:tcW w:w="2337" w:type="dxa"/>
          </w:tcPr>
          <w:p w:rsidR="00113781" w:rsidRDefault="00380FBB" w:rsidP="00113781">
            <w:r>
              <w:t>0 (0%)</w:t>
            </w:r>
          </w:p>
        </w:tc>
        <w:tc>
          <w:tcPr>
            <w:tcW w:w="2434" w:type="dxa"/>
          </w:tcPr>
          <w:p w:rsidR="00113781" w:rsidRDefault="002F6DDF" w:rsidP="00113781">
            <w:r>
              <w:t>1</w:t>
            </w:r>
            <w:r w:rsidR="00380FBB">
              <w:t xml:space="preserve"> (&lt; 0.01%)</w:t>
            </w:r>
          </w:p>
        </w:tc>
      </w:tr>
      <w:tr w:rsidR="00113781" w:rsidTr="00900619">
        <w:tc>
          <w:tcPr>
            <w:tcW w:w="2337" w:type="dxa"/>
          </w:tcPr>
          <w:p w:rsidR="00113781" w:rsidRPr="00F84F90" w:rsidRDefault="00113781" w:rsidP="00113781">
            <w:pPr>
              <w:rPr>
                <w:rFonts w:cs="Arial"/>
              </w:rPr>
            </w:pPr>
            <w:r w:rsidRPr="00F84F90">
              <w:rPr>
                <w:rFonts w:cs="Arial"/>
              </w:rPr>
              <w:t xml:space="preserve">CHF </w:t>
            </w:r>
          </w:p>
        </w:tc>
        <w:tc>
          <w:tcPr>
            <w:tcW w:w="2337" w:type="dxa"/>
          </w:tcPr>
          <w:p w:rsidR="00113781" w:rsidRDefault="00900652" w:rsidP="00113781">
            <w:r>
              <w:t>0</w:t>
            </w:r>
            <w:r w:rsidR="00F84F90">
              <w:t xml:space="preserve"> (0%)</w:t>
            </w:r>
          </w:p>
        </w:tc>
        <w:tc>
          <w:tcPr>
            <w:tcW w:w="2337" w:type="dxa"/>
          </w:tcPr>
          <w:p w:rsidR="00113781" w:rsidRDefault="00900652" w:rsidP="00113781">
            <w:r>
              <w:t>0</w:t>
            </w:r>
            <w:r w:rsidR="00F84F90">
              <w:t xml:space="preserve"> (0%)</w:t>
            </w:r>
          </w:p>
        </w:tc>
        <w:tc>
          <w:tcPr>
            <w:tcW w:w="2434" w:type="dxa"/>
          </w:tcPr>
          <w:p w:rsidR="00113781" w:rsidRDefault="008908EC" w:rsidP="00113781">
            <w:r>
              <w:t>1</w:t>
            </w:r>
            <w:r w:rsidR="006210E6">
              <w:t xml:space="preserve"> (&lt; 0.01%)</w:t>
            </w:r>
          </w:p>
        </w:tc>
      </w:tr>
      <w:tr w:rsidR="00113781" w:rsidTr="00900619">
        <w:tc>
          <w:tcPr>
            <w:tcW w:w="2337" w:type="dxa"/>
          </w:tcPr>
          <w:p w:rsidR="00113781" w:rsidRPr="00F84F90" w:rsidRDefault="00113781" w:rsidP="00113781">
            <w:pPr>
              <w:rPr>
                <w:rFonts w:cs="Arial"/>
              </w:rPr>
            </w:pPr>
            <w:r w:rsidRPr="00F84F90">
              <w:rPr>
                <w:rFonts w:cs="Arial"/>
              </w:rPr>
              <w:t xml:space="preserve">Smoking </w:t>
            </w:r>
          </w:p>
        </w:tc>
        <w:tc>
          <w:tcPr>
            <w:tcW w:w="2337" w:type="dxa"/>
          </w:tcPr>
          <w:p w:rsidR="00113781" w:rsidRDefault="00547034" w:rsidP="00113781">
            <w:r>
              <w:t>0 (0%)</w:t>
            </w:r>
          </w:p>
        </w:tc>
        <w:tc>
          <w:tcPr>
            <w:tcW w:w="2337" w:type="dxa"/>
          </w:tcPr>
          <w:p w:rsidR="00113781" w:rsidRDefault="00547034" w:rsidP="00113781">
            <w:r>
              <w:t>1 (</w:t>
            </w:r>
            <w:r w:rsidR="00403C2D">
              <w:t>&lt;</w:t>
            </w:r>
            <w:r w:rsidR="0080105E">
              <w:t xml:space="preserve"> </w:t>
            </w:r>
            <w:r>
              <w:t>0</w:t>
            </w:r>
            <w:r w:rsidR="00403C2D">
              <w:t>.01</w:t>
            </w:r>
            <w:r>
              <w:t>%)</w:t>
            </w:r>
          </w:p>
        </w:tc>
        <w:tc>
          <w:tcPr>
            <w:tcW w:w="2434" w:type="dxa"/>
          </w:tcPr>
          <w:p w:rsidR="00113781" w:rsidRDefault="004F14C4" w:rsidP="00113781">
            <w:r>
              <w:t>1</w:t>
            </w:r>
            <w:r w:rsidR="00547034">
              <w:t xml:space="preserve"> (</w:t>
            </w:r>
            <w:r w:rsidR="00403C2D">
              <w:t>&lt;</w:t>
            </w:r>
            <w:r w:rsidR="002A6C5A">
              <w:t xml:space="preserve"> </w:t>
            </w:r>
            <w:r w:rsidR="00403C2D">
              <w:t>0.</w:t>
            </w:r>
            <w:r w:rsidR="00547034">
              <w:t>0</w:t>
            </w:r>
            <w:r w:rsidR="00403C2D">
              <w:t>1</w:t>
            </w:r>
            <w:r w:rsidR="00547034">
              <w:t>%)</w:t>
            </w:r>
          </w:p>
        </w:tc>
      </w:tr>
      <w:tr w:rsidR="00113781" w:rsidTr="00900619">
        <w:tc>
          <w:tcPr>
            <w:tcW w:w="2337" w:type="dxa"/>
          </w:tcPr>
          <w:p w:rsidR="00113781" w:rsidRPr="00F84F90" w:rsidRDefault="00113781" w:rsidP="00113781">
            <w:pPr>
              <w:rPr>
                <w:rFonts w:cs="Arial"/>
              </w:rPr>
            </w:pPr>
            <w:r w:rsidRPr="00F84F90">
              <w:rPr>
                <w:rFonts w:cs="Arial"/>
              </w:rPr>
              <w:t xml:space="preserve">COPD </w:t>
            </w:r>
          </w:p>
        </w:tc>
        <w:tc>
          <w:tcPr>
            <w:tcW w:w="2337" w:type="dxa"/>
          </w:tcPr>
          <w:p w:rsidR="00113781" w:rsidRDefault="001B5BFE" w:rsidP="00113781">
            <w:r>
              <w:t>0</w:t>
            </w:r>
            <w:r w:rsidR="00F84F90">
              <w:t xml:space="preserve"> (0%)</w:t>
            </w:r>
          </w:p>
        </w:tc>
        <w:tc>
          <w:tcPr>
            <w:tcW w:w="2337" w:type="dxa"/>
          </w:tcPr>
          <w:p w:rsidR="00113781" w:rsidRDefault="001B5BFE" w:rsidP="00113781">
            <w:r>
              <w:t>0</w:t>
            </w:r>
            <w:r w:rsidR="00F84F90">
              <w:t xml:space="preserve"> (0%)</w:t>
            </w:r>
          </w:p>
        </w:tc>
        <w:tc>
          <w:tcPr>
            <w:tcW w:w="2434" w:type="dxa"/>
          </w:tcPr>
          <w:p w:rsidR="00113781" w:rsidRDefault="0058629D" w:rsidP="00113781">
            <w:r>
              <w:t>1</w:t>
            </w:r>
            <w:r w:rsidR="001B5BFE">
              <w:t xml:space="preserve"> (&lt; 0.01%)</w:t>
            </w:r>
          </w:p>
        </w:tc>
      </w:tr>
      <w:tr w:rsidR="00113781" w:rsidTr="00900619">
        <w:tc>
          <w:tcPr>
            <w:tcW w:w="2337" w:type="dxa"/>
          </w:tcPr>
          <w:p w:rsidR="00113781" w:rsidRPr="00F84F90" w:rsidRDefault="00113781" w:rsidP="00113781">
            <w:pPr>
              <w:rPr>
                <w:rFonts w:cs="Arial"/>
              </w:rPr>
            </w:pPr>
            <w:r w:rsidRPr="00F84F90">
              <w:rPr>
                <w:rFonts w:cs="Arial"/>
              </w:rPr>
              <w:t xml:space="preserve">Dialysis </w:t>
            </w:r>
          </w:p>
        </w:tc>
        <w:tc>
          <w:tcPr>
            <w:tcW w:w="2337" w:type="dxa"/>
          </w:tcPr>
          <w:p w:rsidR="00113781" w:rsidRDefault="001B5BFE" w:rsidP="00113781">
            <w:r>
              <w:t>0</w:t>
            </w:r>
            <w:r w:rsidR="00F84F90">
              <w:t xml:space="preserve"> (0%)</w:t>
            </w:r>
          </w:p>
        </w:tc>
        <w:tc>
          <w:tcPr>
            <w:tcW w:w="2337" w:type="dxa"/>
          </w:tcPr>
          <w:p w:rsidR="00113781" w:rsidRDefault="001B5BFE" w:rsidP="00113781">
            <w:r>
              <w:t>0</w:t>
            </w:r>
            <w:r w:rsidR="00F84F90">
              <w:t xml:space="preserve"> (0%)</w:t>
            </w:r>
          </w:p>
        </w:tc>
        <w:tc>
          <w:tcPr>
            <w:tcW w:w="2434" w:type="dxa"/>
          </w:tcPr>
          <w:p w:rsidR="00113781" w:rsidRDefault="00563DD6" w:rsidP="00113781">
            <w:r>
              <w:t>1</w:t>
            </w:r>
            <w:r w:rsidR="001B5BFE">
              <w:t xml:space="preserve"> (&lt; 0.01%)</w:t>
            </w:r>
          </w:p>
        </w:tc>
      </w:tr>
      <w:tr w:rsidR="00113781" w:rsidTr="00900619">
        <w:tc>
          <w:tcPr>
            <w:tcW w:w="2337" w:type="dxa"/>
          </w:tcPr>
          <w:p w:rsidR="00113781" w:rsidRPr="00F84F90" w:rsidRDefault="00113781" w:rsidP="00113781">
            <w:pPr>
              <w:rPr>
                <w:rFonts w:cs="Arial"/>
              </w:rPr>
            </w:pPr>
            <w:r w:rsidRPr="00F84F90">
              <w:rPr>
                <w:rFonts w:cs="Arial"/>
              </w:rPr>
              <w:t xml:space="preserve">Diabetes </w:t>
            </w:r>
          </w:p>
        </w:tc>
        <w:tc>
          <w:tcPr>
            <w:tcW w:w="2337" w:type="dxa"/>
          </w:tcPr>
          <w:p w:rsidR="00113781" w:rsidRDefault="001B5BFE" w:rsidP="00113781">
            <w:r>
              <w:t>1 (&lt; 0.01%)</w:t>
            </w:r>
          </w:p>
        </w:tc>
        <w:tc>
          <w:tcPr>
            <w:tcW w:w="2337" w:type="dxa"/>
          </w:tcPr>
          <w:p w:rsidR="00113781" w:rsidRDefault="001B5BFE" w:rsidP="00113781">
            <w:r>
              <w:t xml:space="preserve">0 </w:t>
            </w:r>
            <w:r w:rsidR="003119A4">
              <w:t>(0%)</w:t>
            </w:r>
          </w:p>
        </w:tc>
        <w:tc>
          <w:tcPr>
            <w:tcW w:w="2434" w:type="dxa"/>
          </w:tcPr>
          <w:p w:rsidR="00113781" w:rsidRDefault="00A842A6" w:rsidP="00113781">
            <w:r>
              <w:t>1</w:t>
            </w:r>
            <w:r w:rsidR="001B5BFE">
              <w:t xml:space="preserve"> (&lt; 0.01%)</w:t>
            </w:r>
          </w:p>
        </w:tc>
      </w:tr>
      <w:tr w:rsidR="00113781" w:rsidTr="00900619">
        <w:tc>
          <w:tcPr>
            <w:tcW w:w="2337" w:type="dxa"/>
          </w:tcPr>
          <w:p w:rsidR="00113781" w:rsidRPr="00F84F90" w:rsidRDefault="00113781" w:rsidP="00113781">
            <w:pPr>
              <w:rPr>
                <w:rFonts w:cs="Arial"/>
              </w:rPr>
            </w:pPr>
            <w:r w:rsidRPr="00F84F90">
              <w:rPr>
                <w:rFonts w:cs="Arial"/>
              </w:rPr>
              <w:t>Hematocrit</w:t>
            </w:r>
          </w:p>
        </w:tc>
        <w:tc>
          <w:tcPr>
            <w:tcW w:w="2337" w:type="dxa"/>
          </w:tcPr>
          <w:p w:rsidR="00113781" w:rsidRDefault="00A108BD" w:rsidP="00113781">
            <w:r>
              <w:t>489</w:t>
            </w:r>
            <w:r w:rsidR="00921C21">
              <w:t>,</w:t>
            </w:r>
            <w:r>
              <w:t>076 (16%)</w:t>
            </w:r>
          </w:p>
        </w:tc>
        <w:tc>
          <w:tcPr>
            <w:tcW w:w="2337" w:type="dxa"/>
          </w:tcPr>
          <w:p w:rsidR="00113781" w:rsidRDefault="00A108BD" w:rsidP="00113781">
            <w:r>
              <w:t>172</w:t>
            </w:r>
            <w:r w:rsidR="00921C21">
              <w:t>,</w:t>
            </w:r>
            <w:r>
              <w:t>675 (16%)</w:t>
            </w:r>
          </w:p>
        </w:tc>
        <w:tc>
          <w:tcPr>
            <w:tcW w:w="2434" w:type="dxa"/>
          </w:tcPr>
          <w:p w:rsidR="00113781" w:rsidRDefault="009B3ECB" w:rsidP="00113781">
            <w:r w:rsidRPr="009B3ECB">
              <w:t>3</w:t>
            </w:r>
            <w:r>
              <w:t>,</w:t>
            </w:r>
            <w:r w:rsidRPr="009B3ECB">
              <w:t>639</w:t>
            </w:r>
            <w:r w:rsidR="00CE3585" w:rsidRPr="00CE3585">
              <w:t xml:space="preserve"> </w:t>
            </w:r>
            <w:r w:rsidR="00A108BD">
              <w:t>(</w:t>
            </w:r>
            <w:r w:rsidR="00B972C7">
              <w:t>2</w:t>
            </w:r>
            <w:r>
              <w:t>3</w:t>
            </w:r>
            <w:r w:rsidR="00A108BD">
              <w:t>%)</w:t>
            </w:r>
          </w:p>
        </w:tc>
      </w:tr>
      <w:tr w:rsidR="00113781" w:rsidTr="00900619">
        <w:tc>
          <w:tcPr>
            <w:tcW w:w="2337" w:type="dxa"/>
          </w:tcPr>
          <w:p w:rsidR="00113781" w:rsidRPr="00F84F90" w:rsidRDefault="00113781" w:rsidP="00113781">
            <w:pPr>
              <w:rPr>
                <w:rFonts w:cs="Arial"/>
              </w:rPr>
            </w:pPr>
            <w:r w:rsidRPr="00F84F90">
              <w:rPr>
                <w:rFonts w:cs="Arial"/>
              </w:rPr>
              <w:t>Platelet</w:t>
            </w:r>
          </w:p>
        </w:tc>
        <w:tc>
          <w:tcPr>
            <w:tcW w:w="2337" w:type="dxa"/>
          </w:tcPr>
          <w:p w:rsidR="00113781" w:rsidRDefault="00380FBB" w:rsidP="00113781">
            <w:r>
              <w:t>520</w:t>
            </w:r>
            <w:r w:rsidR="00921C21">
              <w:t>,</w:t>
            </w:r>
            <w:r>
              <w:t>875 (17%)</w:t>
            </w:r>
          </w:p>
        </w:tc>
        <w:tc>
          <w:tcPr>
            <w:tcW w:w="2337" w:type="dxa"/>
          </w:tcPr>
          <w:p w:rsidR="00113781" w:rsidRDefault="00380FBB" w:rsidP="00113781">
            <w:r>
              <w:t>184</w:t>
            </w:r>
            <w:r w:rsidR="00921C21">
              <w:t>,</w:t>
            </w:r>
            <w:r>
              <w:t>686 (17%)</w:t>
            </w:r>
          </w:p>
        </w:tc>
        <w:tc>
          <w:tcPr>
            <w:tcW w:w="2434" w:type="dxa"/>
          </w:tcPr>
          <w:p w:rsidR="00113781" w:rsidRDefault="006E6FD0" w:rsidP="00113781">
            <w:r w:rsidRPr="006E6FD0">
              <w:t>3</w:t>
            </w:r>
            <w:r>
              <w:t>,</w:t>
            </w:r>
            <w:r w:rsidRPr="006E6FD0">
              <w:t>653</w:t>
            </w:r>
            <w:r w:rsidR="00B972C7" w:rsidRPr="00B972C7">
              <w:t xml:space="preserve"> </w:t>
            </w:r>
            <w:r w:rsidR="00380FBB">
              <w:t>(</w:t>
            </w:r>
            <w:r w:rsidR="00B972C7">
              <w:t>2</w:t>
            </w:r>
            <w:r w:rsidR="000C0491">
              <w:t>3</w:t>
            </w:r>
            <w:r w:rsidR="00380FBB">
              <w:t>%)</w:t>
            </w:r>
          </w:p>
        </w:tc>
      </w:tr>
      <w:tr w:rsidR="00113781" w:rsidTr="00900619">
        <w:tc>
          <w:tcPr>
            <w:tcW w:w="2337" w:type="dxa"/>
          </w:tcPr>
          <w:p w:rsidR="00113781" w:rsidRPr="00F84F90" w:rsidRDefault="00113781" w:rsidP="00113781">
            <w:pPr>
              <w:rPr>
                <w:rFonts w:cs="Arial"/>
              </w:rPr>
            </w:pPr>
            <w:r w:rsidRPr="00F84F90">
              <w:rPr>
                <w:rFonts w:cs="Arial"/>
              </w:rPr>
              <w:t>INR</w:t>
            </w:r>
          </w:p>
        </w:tc>
        <w:tc>
          <w:tcPr>
            <w:tcW w:w="2337" w:type="dxa"/>
          </w:tcPr>
          <w:p w:rsidR="00113781" w:rsidRDefault="00900652" w:rsidP="00113781">
            <w:r>
              <w:t>1</w:t>
            </w:r>
            <w:r w:rsidR="00921C21">
              <w:t>,</w:t>
            </w:r>
            <w:r>
              <w:t>844</w:t>
            </w:r>
            <w:r w:rsidR="00921C21">
              <w:t>,</w:t>
            </w:r>
            <w:r>
              <w:t>389 (60%)</w:t>
            </w:r>
          </w:p>
        </w:tc>
        <w:tc>
          <w:tcPr>
            <w:tcW w:w="2337" w:type="dxa"/>
          </w:tcPr>
          <w:p w:rsidR="00113781" w:rsidRDefault="00900652" w:rsidP="00113781">
            <w:r>
              <w:t>672</w:t>
            </w:r>
            <w:r w:rsidR="00921C21">
              <w:t>,</w:t>
            </w:r>
            <w:r>
              <w:t>110 (62%)</w:t>
            </w:r>
          </w:p>
        </w:tc>
        <w:tc>
          <w:tcPr>
            <w:tcW w:w="2434" w:type="dxa"/>
          </w:tcPr>
          <w:p w:rsidR="00113781" w:rsidRDefault="00FE5667" w:rsidP="00113781">
            <w:r w:rsidRPr="00FE5667">
              <w:t>8</w:t>
            </w:r>
            <w:r>
              <w:t>,</w:t>
            </w:r>
            <w:r w:rsidRPr="00FE5667">
              <w:t>656</w:t>
            </w:r>
            <w:r w:rsidR="009B799E" w:rsidRPr="009B799E">
              <w:t xml:space="preserve"> </w:t>
            </w:r>
            <w:r w:rsidR="00900652">
              <w:t>(</w:t>
            </w:r>
            <w:r w:rsidR="009B799E">
              <w:t>5</w:t>
            </w:r>
            <w:r>
              <w:t>4</w:t>
            </w:r>
            <w:r w:rsidR="00900652">
              <w:t>%)</w:t>
            </w:r>
          </w:p>
        </w:tc>
      </w:tr>
      <w:tr w:rsidR="00113781" w:rsidTr="00900619">
        <w:tc>
          <w:tcPr>
            <w:tcW w:w="2337" w:type="dxa"/>
          </w:tcPr>
          <w:p w:rsidR="00113781" w:rsidRPr="00F84F90" w:rsidRDefault="00113781" w:rsidP="00113781">
            <w:pPr>
              <w:rPr>
                <w:rFonts w:cs="Arial"/>
              </w:rPr>
            </w:pPr>
            <w:r w:rsidRPr="00F84F90">
              <w:rPr>
                <w:rFonts w:cs="Arial"/>
              </w:rPr>
              <w:t>PTT</w:t>
            </w:r>
          </w:p>
        </w:tc>
        <w:tc>
          <w:tcPr>
            <w:tcW w:w="2337" w:type="dxa"/>
          </w:tcPr>
          <w:p w:rsidR="00113781" w:rsidRDefault="007812E3" w:rsidP="00113781">
            <w:r>
              <w:t>2</w:t>
            </w:r>
            <w:r w:rsidR="00921C21">
              <w:t>,</w:t>
            </w:r>
            <w:r>
              <w:t>139</w:t>
            </w:r>
            <w:r w:rsidR="00921C21">
              <w:t>,</w:t>
            </w:r>
            <w:r>
              <w:t>041 (70%)</w:t>
            </w:r>
          </w:p>
        </w:tc>
        <w:tc>
          <w:tcPr>
            <w:tcW w:w="2337" w:type="dxa"/>
          </w:tcPr>
          <w:p w:rsidR="00113781" w:rsidRDefault="007812E3" w:rsidP="00113781">
            <w:r>
              <w:t>775</w:t>
            </w:r>
            <w:r w:rsidR="00921C21">
              <w:t>,</w:t>
            </w:r>
            <w:r>
              <w:t>483 (72%)</w:t>
            </w:r>
          </w:p>
        </w:tc>
        <w:tc>
          <w:tcPr>
            <w:tcW w:w="2434" w:type="dxa"/>
          </w:tcPr>
          <w:p w:rsidR="00113781" w:rsidRDefault="001E7A43" w:rsidP="00113781">
            <w:r w:rsidRPr="001E7A43">
              <w:t>9</w:t>
            </w:r>
            <w:r>
              <w:t>,</w:t>
            </w:r>
            <w:r w:rsidRPr="001E7A43">
              <w:t>137</w:t>
            </w:r>
            <w:r w:rsidR="007812E3">
              <w:t xml:space="preserve"> (</w:t>
            </w:r>
            <w:r w:rsidR="004B51E6">
              <w:t>5</w:t>
            </w:r>
            <w:r>
              <w:t>7</w:t>
            </w:r>
            <w:r w:rsidR="007812E3">
              <w:t>%)</w:t>
            </w:r>
          </w:p>
        </w:tc>
      </w:tr>
      <w:tr w:rsidR="00113781" w:rsidTr="00900619">
        <w:tc>
          <w:tcPr>
            <w:tcW w:w="2337" w:type="dxa"/>
          </w:tcPr>
          <w:p w:rsidR="00113781" w:rsidRPr="00F84F90" w:rsidRDefault="00113781" w:rsidP="00113781">
            <w:pPr>
              <w:rPr>
                <w:rFonts w:cs="Arial"/>
              </w:rPr>
            </w:pPr>
            <w:r w:rsidRPr="00F84F90">
              <w:rPr>
                <w:rFonts w:cs="Arial"/>
              </w:rPr>
              <w:t>Creatinine</w:t>
            </w:r>
          </w:p>
        </w:tc>
        <w:tc>
          <w:tcPr>
            <w:tcW w:w="2337" w:type="dxa"/>
          </w:tcPr>
          <w:p w:rsidR="00113781" w:rsidRDefault="00B80BD9" w:rsidP="00113781">
            <w:r>
              <w:t>581</w:t>
            </w:r>
            <w:r w:rsidR="00921C21">
              <w:t>,</w:t>
            </w:r>
            <w:r>
              <w:t>318 (19%)</w:t>
            </w:r>
          </w:p>
        </w:tc>
        <w:tc>
          <w:tcPr>
            <w:tcW w:w="2337" w:type="dxa"/>
          </w:tcPr>
          <w:p w:rsidR="00113781" w:rsidRDefault="00B80BD9" w:rsidP="00113781">
            <w:r>
              <w:t>213</w:t>
            </w:r>
            <w:r w:rsidR="00921C21">
              <w:t>,</w:t>
            </w:r>
            <w:r>
              <w:t>555 (20%)</w:t>
            </w:r>
          </w:p>
        </w:tc>
        <w:tc>
          <w:tcPr>
            <w:tcW w:w="2434" w:type="dxa"/>
          </w:tcPr>
          <w:p w:rsidR="00113781" w:rsidRDefault="00E85E14" w:rsidP="00113781">
            <w:r w:rsidRPr="00E85E14">
              <w:t>3</w:t>
            </w:r>
            <w:r>
              <w:t>,</w:t>
            </w:r>
            <w:r w:rsidR="000C2173">
              <w:t>022</w:t>
            </w:r>
            <w:r w:rsidRPr="00E85E14">
              <w:t xml:space="preserve"> </w:t>
            </w:r>
            <w:r w:rsidR="00B80BD9">
              <w:t>(</w:t>
            </w:r>
            <w:r w:rsidR="000C2173">
              <w:t>19</w:t>
            </w:r>
            <w:r w:rsidR="00B80BD9">
              <w:t>%)</w:t>
            </w:r>
          </w:p>
        </w:tc>
      </w:tr>
      <w:tr w:rsidR="00113781" w:rsidTr="00900619">
        <w:tc>
          <w:tcPr>
            <w:tcW w:w="2337" w:type="dxa"/>
          </w:tcPr>
          <w:p w:rsidR="00113781" w:rsidRPr="00F84F90" w:rsidRDefault="00113781" w:rsidP="00113781">
            <w:pPr>
              <w:rPr>
                <w:rFonts w:cs="Arial"/>
              </w:rPr>
            </w:pPr>
            <w:r w:rsidRPr="00F84F90">
              <w:rPr>
                <w:rFonts w:cs="Arial"/>
              </w:rPr>
              <w:t>Sodium</w:t>
            </w:r>
          </w:p>
        </w:tc>
        <w:tc>
          <w:tcPr>
            <w:tcW w:w="2337" w:type="dxa"/>
          </w:tcPr>
          <w:p w:rsidR="00113781" w:rsidRDefault="00041511" w:rsidP="00113781">
            <w:r>
              <w:t>606</w:t>
            </w:r>
            <w:r w:rsidR="00921C21">
              <w:t>,</w:t>
            </w:r>
            <w:r>
              <w:t>082 (20%)</w:t>
            </w:r>
          </w:p>
        </w:tc>
        <w:tc>
          <w:tcPr>
            <w:tcW w:w="2337" w:type="dxa"/>
          </w:tcPr>
          <w:p w:rsidR="00113781" w:rsidRDefault="00041511" w:rsidP="00113781">
            <w:r>
              <w:t>224</w:t>
            </w:r>
            <w:r w:rsidR="00921C21">
              <w:t>,</w:t>
            </w:r>
            <w:r>
              <w:t>193 (21%)</w:t>
            </w:r>
          </w:p>
        </w:tc>
        <w:tc>
          <w:tcPr>
            <w:tcW w:w="2434" w:type="dxa"/>
          </w:tcPr>
          <w:p w:rsidR="00113781" w:rsidRDefault="00E86EA0" w:rsidP="00113781">
            <w:r w:rsidRPr="00E86EA0">
              <w:t>3</w:t>
            </w:r>
            <w:r>
              <w:t>,</w:t>
            </w:r>
            <w:r w:rsidR="00E039D0">
              <w:t>000</w:t>
            </w:r>
            <w:r w:rsidRPr="00E86EA0">
              <w:t xml:space="preserve"> </w:t>
            </w:r>
            <w:r w:rsidR="00041511">
              <w:t>(</w:t>
            </w:r>
            <w:r w:rsidR="00E039D0">
              <w:t>19</w:t>
            </w:r>
            <w:r w:rsidR="00041511">
              <w:t>%)</w:t>
            </w:r>
          </w:p>
        </w:tc>
      </w:tr>
      <w:tr w:rsidR="00113781" w:rsidTr="00900619">
        <w:tc>
          <w:tcPr>
            <w:tcW w:w="2337" w:type="dxa"/>
          </w:tcPr>
          <w:p w:rsidR="00113781" w:rsidRPr="00F84F90" w:rsidRDefault="00113781" w:rsidP="00113781">
            <w:pPr>
              <w:rPr>
                <w:rFonts w:cs="Arial"/>
              </w:rPr>
            </w:pPr>
            <w:r w:rsidRPr="00F84F90">
              <w:rPr>
                <w:rFonts w:cs="Arial"/>
              </w:rPr>
              <w:t>Albumin</w:t>
            </w:r>
          </w:p>
        </w:tc>
        <w:tc>
          <w:tcPr>
            <w:tcW w:w="2337" w:type="dxa"/>
          </w:tcPr>
          <w:p w:rsidR="00113781" w:rsidRDefault="001B5BFE" w:rsidP="00113781">
            <w:r>
              <w:t>1</w:t>
            </w:r>
            <w:r w:rsidR="00921C21">
              <w:t>,</w:t>
            </w:r>
            <w:r>
              <w:t>480</w:t>
            </w:r>
            <w:r w:rsidR="00921C21">
              <w:t>,</w:t>
            </w:r>
            <w:r>
              <w:t>598 (49%)</w:t>
            </w:r>
          </w:p>
        </w:tc>
        <w:tc>
          <w:tcPr>
            <w:tcW w:w="2337" w:type="dxa"/>
          </w:tcPr>
          <w:p w:rsidR="00113781" w:rsidRDefault="001B5BFE" w:rsidP="00113781">
            <w:r>
              <w:t>529</w:t>
            </w:r>
            <w:r w:rsidR="00921C21">
              <w:t>,</w:t>
            </w:r>
            <w:r>
              <w:t>041 (49%)</w:t>
            </w:r>
          </w:p>
        </w:tc>
        <w:tc>
          <w:tcPr>
            <w:tcW w:w="2434" w:type="dxa"/>
          </w:tcPr>
          <w:p w:rsidR="00113781" w:rsidRDefault="00FB2768" w:rsidP="00113781">
            <w:r w:rsidRPr="00FB2768">
              <w:t>7</w:t>
            </w:r>
            <w:r>
              <w:t>,</w:t>
            </w:r>
            <w:r w:rsidRPr="00FB2768">
              <w:t>158</w:t>
            </w:r>
            <w:r w:rsidR="001B5BFE">
              <w:t xml:space="preserve"> (</w:t>
            </w:r>
            <w:r w:rsidR="00C17243">
              <w:t>4</w:t>
            </w:r>
            <w:r w:rsidR="001A56F4">
              <w:t>5</w:t>
            </w:r>
            <w:r w:rsidR="001B5BFE">
              <w:t>%)</w:t>
            </w:r>
          </w:p>
        </w:tc>
      </w:tr>
      <w:tr w:rsidR="00113781" w:rsidTr="00900619">
        <w:tc>
          <w:tcPr>
            <w:tcW w:w="2337" w:type="dxa"/>
          </w:tcPr>
          <w:p w:rsidR="00113781" w:rsidRPr="00F84F90" w:rsidRDefault="00113781" w:rsidP="00113781">
            <w:pPr>
              <w:rPr>
                <w:rFonts w:cs="Arial"/>
              </w:rPr>
            </w:pPr>
            <w:r w:rsidRPr="00F84F90">
              <w:rPr>
                <w:rFonts w:cs="Arial"/>
              </w:rPr>
              <w:t>Bilirubin</w:t>
            </w:r>
          </w:p>
        </w:tc>
        <w:tc>
          <w:tcPr>
            <w:tcW w:w="2337" w:type="dxa"/>
          </w:tcPr>
          <w:p w:rsidR="00113781" w:rsidRDefault="00900652" w:rsidP="00113781">
            <w:r>
              <w:t>1</w:t>
            </w:r>
            <w:r w:rsidR="00921C21">
              <w:t>,</w:t>
            </w:r>
            <w:r>
              <w:t>502</w:t>
            </w:r>
            <w:r w:rsidR="00921C21">
              <w:t>,</w:t>
            </w:r>
            <w:r>
              <w:t>853 (49%)</w:t>
            </w:r>
          </w:p>
        </w:tc>
        <w:tc>
          <w:tcPr>
            <w:tcW w:w="2337" w:type="dxa"/>
          </w:tcPr>
          <w:p w:rsidR="00113781" w:rsidRDefault="00900652" w:rsidP="00113781">
            <w:r>
              <w:t>535</w:t>
            </w:r>
            <w:r w:rsidR="00921C21">
              <w:t>,</w:t>
            </w:r>
            <w:r>
              <w:t>572 (50%)</w:t>
            </w:r>
          </w:p>
        </w:tc>
        <w:tc>
          <w:tcPr>
            <w:tcW w:w="2434" w:type="dxa"/>
          </w:tcPr>
          <w:p w:rsidR="00113781" w:rsidRDefault="00BA41BF" w:rsidP="00113781">
            <w:r w:rsidRPr="00BA41BF">
              <w:t>7</w:t>
            </w:r>
            <w:r>
              <w:t>,</w:t>
            </w:r>
            <w:r w:rsidR="00C64355">
              <w:t>278</w:t>
            </w:r>
            <w:r w:rsidR="009B5D37" w:rsidRPr="009B5D37">
              <w:t xml:space="preserve"> </w:t>
            </w:r>
            <w:r w:rsidR="00900652">
              <w:t>(</w:t>
            </w:r>
            <w:r>
              <w:t>4</w:t>
            </w:r>
            <w:r w:rsidR="00C64355">
              <w:t>5</w:t>
            </w:r>
            <w:r w:rsidR="00900652">
              <w:t>%)</w:t>
            </w:r>
          </w:p>
        </w:tc>
      </w:tr>
      <w:tr w:rsidR="00113781" w:rsidTr="00900619">
        <w:tc>
          <w:tcPr>
            <w:tcW w:w="2337" w:type="dxa"/>
          </w:tcPr>
          <w:p w:rsidR="00113781" w:rsidRPr="00F84F90" w:rsidRDefault="00113781" w:rsidP="00113781">
            <w:pPr>
              <w:rPr>
                <w:rFonts w:cs="Arial"/>
              </w:rPr>
            </w:pPr>
            <w:r w:rsidRPr="00F84F90">
              <w:rPr>
                <w:rFonts w:cs="Arial"/>
              </w:rPr>
              <w:t>Elective surgery</w:t>
            </w:r>
          </w:p>
        </w:tc>
        <w:tc>
          <w:tcPr>
            <w:tcW w:w="2337" w:type="dxa"/>
          </w:tcPr>
          <w:p w:rsidR="00113781" w:rsidRDefault="0090057F" w:rsidP="00113781">
            <w:r>
              <w:t>4</w:t>
            </w:r>
            <w:r w:rsidR="00921C21">
              <w:t>,</w:t>
            </w:r>
            <w:r>
              <w:t>706 (0.</w:t>
            </w:r>
            <w:r w:rsidR="00074E76">
              <w:t>15%)</w:t>
            </w:r>
          </w:p>
        </w:tc>
        <w:tc>
          <w:tcPr>
            <w:tcW w:w="2337" w:type="dxa"/>
          </w:tcPr>
          <w:p w:rsidR="00113781" w:rsidRDefault="00074E76" w:rsidP="00113781">
            <w:r>
              <w:t>1</w:t>
            </w:r>
            <w:r w:rsidR="00921C21">
              <w:t>,</w:t>
            </w:r>
            <w:r>
              <w:t>350 (0.12%)</w:t>
            </w:r>
          </w:p>
        </w:tc>
        <w:tc>
          <w:tcPr>
            <w:tcW w:w="2434" w:type="dxa"/>
          </w:tcPr>
          <w:p w:rsidR="00113781" w:rsidRDefault="00074E76" w:rsidP="00113781">
            <w:r>
              <w:t>0 (0%)</w:t>
            </w:r>
          </w:p>
        </w:tc>
      </w:tr>
      <w:tr w:rsidR="00113781" w:rsidTr="00900619">
        <w:tc>
          <w:tcPr>
            <w:tcW w:w="2337" w:type="dxa"/>
          </w:tcPr>
          <w:p w:rsidR="00113781" w:rsidRPr="00F84F90" w:rsidRDefault="00762716" w:rsidP="00113781">
            <w:pPr>
              <w:rPr>
                <w:rFonts w:cs="Arial"/>
              </w:rPr>
            </w:pPr>
            <w:r>
              <w:rPr>
                <w:rFonts w:cs="Arial"/>
              </w:rPr>
              <w:t>Procedure</w:t>
            </w:r>
            <w:r w:rsidR="00DF70E0" w:rsidRPr="00F84F90">
              <w:rPr>
                <w:rFonts w:cs="Arial"/>
              </w:rPr>
              <w:t xml:space="preserve">-specific transfusion </w:t>
            </w:r>
            <w:r w:rsidR="00925631">
              <w:rPr>
                <w:rFonts w:cs="Arial"/>
              </w:rPr>
              <w:t>rate</w:t>
            </w:r>
          </w:p>
        </w:tc>
        <w:tc>
          <w:tcPr>
            <w:tcW w:w="2337" w:type="dxa"/>
          </w:tcPr>
          <w:p w:rsidR="00113781" w:rsidRDefault="00F723CA" w:rsidP="00113781">
            <w:r>
              <w:t>0</w:t>
            </w:r>
            <w:r w:rsidR="00132FC8">
              <w:t xml:space="preserve"> (0%)</w:t>
            </w:r>
          </w:p>
        </w:tc>
        <w:tc>
          <w:tcPr>
            <w:tcW w:w="2337" w:type="dxa"/>
          </w:tcPr>
          <w:p w:rsidR="00113781" w:rsidRDefault="00F723CA" w:rsidP="00113781">
            <w:r>
              <w:t>14</w:t>
            </w:r>
            <w:r w:rsidR="00A108BD">
              <w:t>,</w:t>
            </w:r>
            <w:r>
              <w:t>546 (1.4%)</w:t>
            </w:r>
          </w:p>
        </w:tc>
        <w:tc>
          <w:tcPr>
            <w:tcW w:w="2434" w:type="dxa"/>
          </w:tcPr>
          <w:p w:rsidR="00113781" w:rsidRDefault="001E19F2" w:rsidP="00113781">
            <w:r>
              <w:t>0</w:t>
            </w:r>
            <w:r w:rsidR="00F723CA">
              <w:t xml:space="preserve"> (</w:t>
            </w:r>
            <w:r>
              <w:t>0</w:t>
            </w:r>
            <w:r w:rsidR="00F723CA">
              <w:t>%)</w:t>
            </w:r>
          </w:p>
        </w:tc>
      </w:tr>
    </w:tbl>
    <w:p w:rsidR="00113781" w:rsidRDefault="00113781" w:rsidP="00CD6A1E"/>
    <w:p w:rsidR="00277B77" w:rsidRDefault="00277B77">
      <w:r>
        <w:br w:type="page"/>
      </w:r>
    </w:p>
    <w:p w:rsidR="00277B77" w:rsidRDefault="00277B77" w:rsidP="00CD6A1E">
      <w:r w:rsidRPr="00471E07">
        <w:rPr>
          <w:b/>
        </w:rPr>
        <w:lastRenderedPageBreak/>
        <w:t>Table S2</w:t>
      </w:r>
      <w:r>
        <w:t xml:space="preserve"> – </w:t>
      </w:r>
      <w:r w:rsidR="005640C5">
        <w:t xml:space="preserve">Values from </w:t>
      </w:r>
      <w:r w:rsidR="002B6E53">
        <w:t>the training dataset</w:t>
      </w:r>
      <w:r>
        <w:t xml:space="preserve"> used for data preprocessing, i.e. median imputation, mean subtraction, and normalization to unit variance</w:t>
      </w:r>
      <w:r w:rsidR="00834461">
        <w:t>.</w:t>
      </w:r>
      <w:r>
        <w:t xml:space="preserve"> </w:t>
      </w:r>
      <w:r w:rsidR="00834461">
        <w:t xml:space="preserve">These transformations </w:t>
      </w:r>
      <w:r>
        <w:t xml:space="preserve">were applied </w:t>
      </w:r>
      <w:r w:rsidR="005959D6">
        <w:t xml:space="preserve">using the same values </w:t>
      </w:r>
      <w:r w:rsidR="005C75B7">
        <w:t>across</w:t>
      </w:r>
      <w:r>
        <w:t xml:space="preserve"> </w:t>
      </w:r>
      <w:r w:rsidR="004524F7">
        <w:t xml:space="preserve">the training, internal validation, and external </w:t>
      </w:r>
      <w:r w:rsidR="00834461">
        <w:t>validation</w:t>
      </w:r>
      <w:r w:rsidR="004524F7">
        <w:t xml:space="preserve"> </w:t>
      </w:r>
      <w:r>
        <w:t>datasets</w:t>
      </w:r>
      <w:r w:rsidR="00EC7D44">
        <w:t>.</w:t>
      </w:r>
    </w:p>
    <w:p w:rsidR="00C630DC" w:rsidRDefault="00C630DC" w:rsidP="00CD6A1E"/>
    <w:tbl>
      <w:tblPr>
        <w:tblStyle w:val="TableGrid"/>
        <w:tblW w:w="8545" w:type="dxa"/>
        <w:tblLook w:val="04A0" w:firstRow="1" w:lastRow="0" w:firstColumn="1" w:lastColumn="0" w:noHBand="0" w:noVBand="1"/>
      </w:tblPr>
      <w:tblGrid>
        <w:gridCol w:w="2337"/>
        <w:gridCol w:w="1888"/>
        <w:gridCol w:w="1890"/>
        <w:gridCol w:w="2430"/>
      </w:tblGrid>
      <w:tr w:rsidR="00C630DC" w:rsidTr="001B571E">
        <w:tc>
          <w:tcPr>
            <w:tcW w:w="2337" w:type="dxa"/>
          </w:tcPr>
          <w:p w:rsidR="00C630DC" w:rsidRPr="00B80BD9" w:rsidRDefault="00C630DC" w:rsidP="00835F06">
            <w:pPr>
              <w:rPr>
                <w:rFonts w:cs="Arial"/>
              </w:rPr>
            </w:pPr>
            <w:r w:rsidRPr="00604EFC">
              <w:rPr>
                <w:rFonts w:cs="Arial"/>
                <w:b/>
              </w:rPr>
              <w:t>Variable</w:t>
            </w:r>
            <w:r>
              <w:rPr>
                <w:rFonts w:cs="Arial"/>
                <w:b/>
              </w:rPr>
              <w:t xml:space="preserve"> </w:t>
            </w:r>
          </w:p>
        </w:tc>
        <w:tc>
          <w:tcPr>
            <w:tcW w:w="1888" w:type="dxa"/>
          </w:tcPr>
          <w:p w:rsidR="00C630DC" w:rsidRPr="00F84F90" w:rsidRDefault="00C630DC" w:rsidP="00835F06">
            <w:pPr>
              <w:rPr>
                <w:b/>
              </w:rPr>
            </w:pPr>
            <w:r>
              <w:rPr>
                <w:b/>
              </w:rPr>
              <w:t>Median</w:t>
            </w:r>
          </w:p>
        </w:tc>
        <w:tc>
          <w:tcPr>
            <w:tcW w:w="1890" w:type="dxa"/>
          </w:tcPr>
          <w:p w:rsidR="00C630DC" w:rsidRPr="00F84F90" w:rsidRDefault="00C630DC" w:rsidP="00835F06">
            <w:pPr>
              <w:rPr>
                <w:b/>
              </w:rPr>
            </w:pPr>
            <w:r>
              <w:rPr>
                <w:b/>
              </w:rPr>
              <w:t>Mean</w:t>
            </w:r>
          </w:p>
        </w:tc>
        <w:tc>
          <w:tcPr>
            <w:tcW w:w="2430" w:type="dxa"/>
          </w:tcPr>
          <w:p w:rsidR="00C630DC" w:rsidRPr="00F84F90" w:rsidRDefault="00C630DC" w:rsidP="00835F06">
            <w:pPr>
              <w:rPr>
                <w:b/>
              </w:rPr>
            </w:pPr>
            <w:r>
              <w:rPr>
                <w:b/>
              </w:rPr>
              <w:t>Standard deviation</w:t>
            </w:r>
          </w:p>
        </w:tc>
      </w:tr>
      <w:tr w:rsidR="00C630DC" w:rsidTr="001B571E">
        <w:tc>
          <w:tcPr>
            <w:tcW w:w="2337" w:type="dxa"/>
          </w:tcPr>
          <w:p w:rsidR="00C630DC" w:rsidRPr="00F84F90" w:rsidRDefault="00C630DC" w:rsidP="00835F06">
            <w:pPr>
              <w:rPr>
                <w:rFonts w:cs="Arial"/>
              </w:rPr>
            </w:pPr>
            <w:r w:rsidRPr="00F84F90">
              <w:rPr>
                <w:rFonts w:cs="Arial"/>
              </w:rPr>
              <w:t>Transfused</w:t>
            </w:r>
          </w:p>
        </w:tc>
        <w:tc>
          <w:tcPr>
            <w:tcW w:w="1888" w:type="dxa"/>
          </w:tcPr>
          <w:p w:rsidR="00C630DC" w:rsidRDefault="00225295" w:rsidP="00835F06">
            <w:r>
              <w:t>0</w:t>
            </w:r>
          </w:p>
        </w:tc>
        <w:tc>
          <w:tcPr>
            <w:tcW w:w="1890" w:type="dxa"/>
          </w:tcPr>
          <w:p w:rsidR="00C630DC" w:rsidRDefault="00225295" w:rsidP="00835F06">
            <w:r>
              <w:t>0.044</w:t>
            </w:r>
          </w:p>
        </w:tc>
        <w:tc>
          <w:tcPr>
            <w:tcW w:w="2430" w:type="dxa"/>
          </w:tcPr>
          <w:p w:rsidR="00C630DC" w:rsidRDefault="00225295" w:rsidP="00835F06">
            <w:r>
              <w:t>0.206</w:t>
            </w:r>
          </w:p>
        </w:tc>
      </w:tr>
      <w:tr w:rsidR="00C630DC" w:rsidTr="001B571E">
        <w:tc>
          <w:tcPr>
            <w:tcW w:w="2337" w:type="dxa"/>
          </w:tcPr>
          <w:p w:rsidR="00C630DC" w:rsidRPr="00F84F90" w:rsidRDefault="00C630DC" w:rsidP="00835F06">
            <w:pPr>
              <w:rPr>
                <w:rFonts w:cs="Arial"/>
              </w:rPr>
            </w:pPr>
            <w:r w:rsidRPr="00F84F90">
              <w:rPr>
                <w:rFonts w:cs="Arial"/>
              </w:rPr>
              <w:t>Age</w:t>
            </w:r>
            <w:r w:rsidR="00AC342C">
              <w:rPr>
                <w:rFonts w:cs="Arial"/>
              </w:rPr>
              <w:t xml:space="preserve"> (yrs)</w:t>
            </w:r>
          </w:p>
        </w:tc>
        <w:tc>
          <w:tcPr>
            <w:tcW w:w="1888" w:type="dxa"/>
          </w:tcPr>
          <w:p w:rsidR="00C630DC" w:rsidRDefault="00225295" w:rsidP="00835F06">
            <w:r>
              <w:t>58</w:t>
            </w:r>
          </w:p>
        </w:tc>
        <w:tc>
          <w:tcPr>
            <w:tcW w:w="1890" w:type="dxa"/>
          </w:tcPr>
          <w:p w:rsidR="00C630DC" w:rsidRDefault="00225295" w:rsidP="00835F06">
            <w:r>
              <w:t>56.7</w:t>
            </w:r>
          </w:p>
        </w:tc>
        <w:tc>
          <w:tcPr>
            <w:tcW w:w="2430" w:type="dxa"/>
          </w:tcPr>
          <w:p w:rsidR="00C630DC" w:rsidRDefault="00225295" w:rsidP="00835F06">
            <w:r>
              <w:t>16.9</w:t>
            </w:r>
          </w:p>
        </w:tc>
      </w:tr>
      <w:tr w:rsidR="00C630DC" w:rsidTr="001B571E">
        <w:tc>
          <w:tcPr>
            <w:tcW w:w="2337" w:type="dxa"/>
          </w:tcPr>
          <w:p w:rsidR="00C630DC" w:rsidRPr="00F84F90" w:rsidRDefault="00C630DC" w:rsidP="00835F06">
            <w:pPr>
              <w:rPr>
                <w:rFonts w:cs="Arial"/>
              </w:rPr>
            </w:pPr>
            <w:r w:rsidRPr="00F84F90">
              <w:rPr>
                <w:rFonts w:cs="Arial"/>
              </w:rPr>
              <w:t>Height</w:t>
            </w:r>
            <w:r w:rsidR="00AC342C">
              <w:rPr>
                <w:rFonts w:cs="Arial"/>
              </w:rPr>
              <w:t xml:space="preserve"> (in)</w:t>
            </w:r>
          </w:p>
        </w:tc>
        <w:tc>
          <w:tcPr>
            <w:tcW w:w="1888" w:type="dxa"/>
          </w:tcPr>
          <w:p w:rsidR="00C630DC" w:rsidRDefault="00A21358" w:rsidP="00835F06">
            <w:r>
              <w:t>66</w:t>
            </w:r>
          </w:p>
        </w:tc>
        <w:tc>
          <w:tcPr>
            <w:tcW w:w="1890" w:type="dxa"/>
          </w:tcPr>
          <w:p w:rsidR="00C630DC" w:rsidRDefault="00A21358" w:rsidP="00835F06">
            <w:r>
              <w:t>6</w:t>
            </w:r>
            <w:r w:rsidR="00FC1CDF">
              <w:t>6.9</w:t>
            </w:r>
          </w:p>
        </w:tc>
        <w:tc>
          <w:tcPr>
            <w:tcW w:w="2430" w:type="dxa"/>
          </w:tcPr>
          <w:p w:rsidR="00C630DC" w:rsidRDefault="00FC1CDF" w:rsidP="00835F06">
            <w:r>
              <w:t>4.1</w:t>
            </w:r>
          </w:p>
        </w:tc>
      </w:tr>
      <w:tr w:rsidR="00C630DC" w:rsidTr="001B571E">
        <w:tc>
          <w:tcPr>
            <w:tcW w:w="2337" w:type="dxa"/>
          </w:tcPr>
          <w:p w:rsidR="00C630DC" w:rsidRPr="00F84F90" w:rsidRDefault="00C630DC" w:rsidP="00835F06">
            <w:pPr>
              <w:rPr>
                <w:rFonts w:cs="Arial"/>
              </w:rPr>
            </w:pPr>
            <w:r w:rsidRPr="00F84F90">
              <w:rPr>
                <w:rFonts w:cs="Arial"/>
              </w:rPr>
              <w:t>Weight</w:t>
            </w:r>
            <w:r w:rsidR="00AC342C">
              <w:rPr>
                <w:rFonts w:cs="Arial"/>
              </w:rPr>
              <w:t xml:space="preserve"> (lbs)</w:t>
            </w:r>
          </w:p>
        </w:tc>
        <w:tc>
          <w:tcPr>
            <w:tcW w:w="1888" w:type="dxa"/>
          </w:tcPr>
          <w:p w:rsidR="00C630DC" w:rsidRDefault="00D6277E" w:rsidP="00835F06">
            <w:r>
              <w:t>18</w:t>
            </w:r>
            <w:r w:rsidR="004816ED">
              <w:t>1</w:t>
            </w:r>
          </w:p>
        </w:tc>
        <w:tc>
          <w:tcPr>
            <w:tcW w:w="1890" w:type="dxa"/>
          </w:tcPr>
          <w:p w:rsidR="00C630DC" w:rsidRDefault="00D6277E" w:rsidP="00835F06">
            <w:r>
              <w:t>18</w:t>
            </w:r>
            <w:r w:rsidR="004816ED">
              <w:t>7.6</w:t>
            </w:r>
          </w:p>
        </w:tc>
        <w:tc>
          <w:tcPr>
            <w:tcW w:w="2430" w:type="dxa"/>
          </w:tcPr>
          <w:p w:rsidR="00C630DC" w:rsidRDefault="00D6277E" w:rsidP="00835F06">
            <w:r>
              <w:t>5</w:t>
            </w:r>
            <w:r w:rsidR="007369CF">
              <w:t>0.6</w:t>
            </w:r>
          </w:p>
        </w:tc>
      </w:tr>
      <w:tr w:rsidR="00C630DC" w:rsidTr="001B571E">
        <w:tc>
          <w:tcPr>
            <w:tcW w:w="2337" w:type="dxa"/>
          </w:tcPr>
          <w:p w:rsidR="000E65A0" w:rsidRDefault="00C630DC" w:rsidP="00835F06">
            <w:pPr>
              <w:rPr>
                <w:rFonts w:cs="Arial"/>
              </w:rPr>
            </w:pPr>
            <w:r w:rsidRPr="00F84F90">
              <w:rPr>
                <w:rFonts w:cs="Arial"/>
              </w:rPr>
              <w:t>Gender</w:t>
            </w:r>
            <w:r w:rsidR="00236C0D">
              <w:rPr>
                <w:rFonts w:cs="Arial"/>
              </w:rPr>
              <w:t xml:space="preserve"> </w:t>
            </w:r>
          </w:p>
          <w:p w:rsidR="00C630DC" w:rsidRPr="00F84F90" w:rsidRDefault="00236C0D" w:rsidP="00835F06">
            <w:pPr>
              <w:rPr>
                <w:rFonts w:cs="Arial"/>
              </w:rPr>
            </w:pPr>
            <w:r>
              <w:rPr>
                <w:rFonts w:cs="Arial"/>
              </w:rPr>
              <w:t>(Female = 1)</w:t>
            </w:r>
          </w:p>
        </w:tc>
        <w:tc>
          <w:tcPr>
            <w:tcW w:w="1888" w:type="dxa"/>
          </w:tcPr>
          <w:p w:rsidR="00C630DC" w:rsidRDefault="009B185C" w:rsidP="00835F06">
            <w:r>
              <w:t>1</w:t>
            </w:r>
          </w:p>
        </w:tc>
        <w:tc>
          <w:tcPr>
            <w:tcW w:w="1890" w:type="dxa"/>
          </w:tcPr>
          <w:p w:rsidR="00C630DC" w:rsidRDefault="009B185C" w:rsidP="00835F06">
            <w:r>
              <w:t>0.568</w:t>
            </w:r>
          </w:p>
        </w:tc>
        <w:tc>
          <w:tcPr>
            <w:tcW w:w="2430" w:type="dxa"/>
          </w:tcPr>
          <w:p w:rsidR="00C630DC" w:rsidRDefault="009B185C" w:rsidP="00835F06">
            <w:r>
              <w:t>0.495</w:t>
            </w:r>
          </w:p>
        </w:tc>
      </w:tr>
      <w:tr w:rsidR="00C630DC" w:rsidTr="001B571E">
        <w:tc>
          <w:tcPr>
            <w:tcW w:w="2337" w:type="dxa"/>
          </w:tcPr>
          <w:p w:rsidR="00C630DC" w:rsidRPr="00F84F90" w:rsidRDefault="00C630DC" w:rsidP="00835F06">
            <w:pPr>
              <w:rPr>
                <w:rFonts w:cs="Arial"/>
              </w:rPr>
            </w:pPr>
            <w:r w:rsidRPr="00F84F90">
              <w:rPr>
                <w:rFonts w:cs="Arial"/>
              </w:rPr>
              <w:t xml:space="preserve">ASA Status </w:t>
            </w:r>
          </w:p>
        </w:tc>
        <w:tc>
          <w:tcPr>
            <w:tcW w:w="1888" w:type="dxa"/>
          </w:tcPr>
          <w:p w:rsidR="00C630DC" w:rsidRDefault="00A21358" w:rsidP="00835F06">
            <w:r>
              <w:t>2</w:t>
            </w:r>
          </w:p>
        </w:tc>
        <w:tc>
          <w:tcPr>
            <w:tcW w:w="1890" w:type="dxa"/>
          </w:tcPr>
          <w:p w:rsidR="00C630DC" w:rsidRDefault="00A21358" w:rsidP="00835F06">
            <w:r>
              <w:t>2.45</w:t>
            </w:r>
          </w:p>
        </w:tc>
        <w:tc>
          <w:tcPr>
            <w:tcW w:w="2430" w:type="dxa"/>
          </w:tcPr>
          <w:p w:rsidR="00C630DC" w:rsidRDefault="00A21358" w:rsidP="00835F06">
            <w:r>
              <w:t>0.736</w:t>
            </w:r>
          </w:p>
        </w:tc>
      </w:tr>
      <w:tr w:rsidR="00C630DC" w:rsidTr="001B571E">
        <w:tc>
          <w:tcPr>
            <w:tcW w:w="2337" w:type="dxa"/>
          </w:tcPr>
          <w:p w:rsidR="00C630DC" w:rsidRPr="00F84F90" w:rsidRDefault="00C630DC" w:rsidP="00835F06">
            <w:pPr>
              <w:rPr>
                <w:rFonts w:cs="Arial"/>
              </w:rPr>
            </w:pPr>
            <w:r w:rsidRPr="00F84F90">
              <w:rPr>
                <w:rFonts w:cs="Arial"/>
              </w:rPr>
              <w:t xml:space="preserve">HTN </w:t>
            </w:r>
          </w:p>
        </w:tc>
        <w:tc>
          <w:tcPr>
            <w:tcW w:w="1888" w:type="dxa"/>
          </w:tcPr>
          <w:p w:rsidR="00C630DC" w:rsidRDefault="004770BF" w:rsidP="00835F06">
            <w:r>
              <w:t>0</w:t>
            </w:r>
          </w:p>
        </w:tc>
        <w:tc>
          <w:tcPr>
            <w:tcW w:w="1890" w:type="dxa"/>
          </w:tcPr>
          <w:p w:rsidR="00C630DC" w:rsidRDefault="004770BF" w:rsidP="00835F06">
            <w:r>
              <w:t>0.444</w:t>
            </w:r>
          </w:p>
        </w:tc>
        <w:tc>
          <w:tcPr>
            <w:tcW w:w="2430" w:type="dxa"/>
          </w:tcPr>
          <w:p w:rsidR="00C630DC" w:rsidRDefault="004770BF" w:rsidP="00835F06">
            <w:r>
              <w:t>0.497</w:t>
            </w:r>
          </w:p>
        </w:tc>
      </w:tr>
      <w:tr w:rsidR="00C630DC" w:rsidTr="001B571E">
        <w:tc>
          <w:tcPr>
            <w:tcW w:w="2337" w:type="dxa"/>
          </w:tcPr>
          <w:p w:rsidR="00C630DC" w:rsidRPr="00F84F90" w:rsidRDefault="00C630DC" w:rsidP="00835F06">
            <w:pPr>
              <w:rPr>
                <w:rFonts w:cs="Arial"/>
              </w:rPr>
            </w:pPr>
            <w:r w:rsidRPr="00F84F90">
              <w:rPr>
                <w:rFonts w:cs="Arial"/>
              </w:rPr>
              <w:t xml:space="preserve">CHF </w:t>
            </w:r>
          </w:p>
        </w:tc>
        <w:tc>
          <w:tcPr>
            <w:tcW w:w="1888" w:type="dxa"/>
          </w:tcPr>
          <w:p w:rsidR="00C630DC" w:rsidRDefault="002A5C67" w:rsidP="00835F06">
            <w:r>
              <w:t>0</w:t>
            </w:r>
          </w:p>
        </w:tc>
        <w:tc>
          <w:tcPr>
            <w:tcW w:w="1890" w:type="dxa"/>
          </w:tcPr>
          <w:p w:rsidR="00C630DC" w:rsidRDefault="002A5C67" w:rsidP="00835F06">
            <w:r>
              <w:t>0.0085</w:t>
            </w:r>
          </w:p>
        </w:tc>
        <w:tc>
          <w:tcPr>
            <w:tcW w:w="2430" w:type="dxa"/>
          </w:tcPr>
          <w:p w:rsidR="00C630DC" w:rsidRDefault="002A5C67" w:rsidP="00835F06">
            <w:r>
              <w:t>0.0918</w:t>
            </w:r>
          </w:p>
        </w:tc>
      </w:tr>
      <w:tr w:rsidR="00C630DC" w:rsidTr="001B571E">
        <w:tc>
          <w:tcPr>
            <w:tcW w:w="2337" w:type="dxa"/>
          </w:tcPr>
          <w:p w:rsidR="00C630DC" w:rsidRPr="00F84F90" w:rsidRDefault="00C630DC" w:rsidP="00835F06">
            <w:pPr>
              <w:rPr>
                <w:rFonts w:cs="Arial"/>
              </w:rPr>
            </w:pPr>
            <w:r w:rsidRPr="00F84F90">
              <w:rPr>
                <w:rFonts w:cs="Arial"/>
              </w:rPr>
              <w:t xml:space="preserve">Smoking </w:t>
            </w:r>
          </w:p>
        </w:tc>
        <w:tc>
          <w:tcPr>
            <w:tcW w:w="1888" w:type="dxa"/>
          </w:tcPr>
          <w:p w:rsidR="00C630DC" w:rsidRDefault="004770BF" w:rsidP="00835F06">
            <w:r>
              <w:t>0</w:t>
            </w:r>
          </w:p>
        </w:tc>
        <w:tc>
          <w:tcPr>
            <w:tcW w:w="1890" w:type="dxa"/>
          </w:tcPr>
          <w:p w:rsidR="00C630DC" w:rsidRDefault="004770BF" w:rsidP="00835F06">
            <w:r>
              <w:t>0.169</w:t>
            </w:r>
          </w:p>
        </w:tc>
        <w:tc>
          <w:tcPr>
            <w:tcW w:w="2430" w:type="dxa"/>
          </w:tcPr>
          <w:p w:rsidR="00C630DC" w:rsidRDefault="004770BF" w:rsidP="00835F06">
            <w:r>
              <w:t>0.375</w:t>
            </w:r>
          </w:p>
        </w:tc>
      </w:tr>
      <w:tr w:rsidR="00C630DC" w:rsidTr="001B571E">
        <w:tc>
          <w:tcPr>
            <w:tcW w:w="2337" w:type="dxa"/>
          </w:tcPr>
          <w:p w:rsidR="00C630DC" w:rsidRPr="00F84F90" w:rsidRDefault="00C630DC" w:rsidP="00835F06">
            <w:pPr>
              <w:rPr>
                <w:rFonts w:cs="Arial"/>
              </w:rPr>
            </w:pPr>
            <w:r w:rsidRPr="00F84F90">
              <w:rPr>
                <w:rFonts w:cs="Arial"/>
              </w:rPr>
              <w:t xml:space="preserve">COPD </w:t>
            </w:r>
          </w:p>
        </w:tc>
        <w:tc>
          <w:tcPr>
            <w:tcW w:w="1888" w:type="dxa"/>
          </w:tcPr>
          <w:p w:rsidR="00C630DC" w:rsidRDefault="000131AA" w:rsidP="00835F06">
            <w:r>
              <w:t xml:space="preserve">0 </w:t>
            </w:r>
          </w:p>
        </w:tc>
        <w:tc>
          <w:tcPr>
            <w:tcW w:w="1890" w:type="dxa"/>
          </w:tcPr>
          <w:p w:rsidR="00C630DC" w:rsidRDefault="005238BD" w:rsidP="00835F06">
            <w:r>
              <w:t>0.042</w:t>
            </w:r>
          </w:p>
        </w:tc>
        <w:tc>
          <w:tcPr>
            <w:tcW w:w="2430" w:type="dxa"/>
          </w:tcPr>
          <w:p w:rsidR="00C630DC" w:rsidRDefault="005238BD" w:rsidP="00835F06">
            <w:r>
              <w:t>0.202</w:t>
            </w:r>
          </w:p>
        </w:tc>
      </w:tr>
      <w:tr w:rsidR="00C630DC" w:rsidTr="001B571E">
        <w:tc>
          <w:tcPr>
            <w:tcW w:w="2337" w:type="dxa"/>
          </w:tcPr>
          <w:p w:rsidR="00C630DC" w:rsidRPr="00F84F90" w:rsidRDefault="00C630DC" w:rsidP="00835F06">
            <w:pPr>
              <w:rPr>
                <w:rFonts w:cs="Arial"/>
              </w:rPr>
            </w:pPr>
            <w:r w:rsidRPr="00F84F90">
              <w:rPr>
                <w:rFonts w:cs="Arial"/>
              </w:rPr>
              <w:t xml:space="preserve">Dialysis </w:t>
            </w:r>
          </w:p>
        </w:tc>
        <w:tc>
          <w:tcPr>
            <w:tcW w:w="1888" w:type="dxa"/>
          </w:tcPr>
          <w:p w:rsidR="00C630DC" w:rsidRDefault="005238BD" w:rsidP="00835F06">
            <w:r>
              <w:t>0</w:t>
            </w:r>
          </w:p>
        </w:tc>
        <w:tc>
          <w:tcPr>
            <w:tcW w:w="1890" w:type="dxa"/>
          </w:tcPr>
          <w:p w:rsidR="00C630DC" w:rsidRDefault="005238BD" w:rsidP="00835F06">
            <w:r>
              <w:t>0.013</w:t>
            </w:r>
          </w:p>
        </w:tc>
        <w:tc>
          <w:tcPr>
            <w:tcW w:w="2430" w:type="dxa"/>
          </w:tcPr>
          <w:p w:rsidR="00C630DC" w:rsidRDefault="005238BD" w:rsidP="00835F06">
            <w:r>
              <w:t>0.113</w:t>
            </w:r>
          </w:p>
        </w:tc>
      </w:tr>
      <w:tr w:rsidR="00C630DC" w:rsidTr="001B571E">
        <w:tc>
          <w:tcPr>
            <w:tcW w:w="2337" w:type="dxa"/>
          </w:tcPr>
          <w:p w:rsidR="00F07958" w:rsidRPr="00F84F90" w:rsidRDefault="00C630DC" w:rsidP="00835F06">
            <w:pPr>
              <w:rPr>
                <w:rFonts w:cs="Arial"/>
              </w:rPr>
            </w:pPr>
            <w:r w:rsidRPr="00F84F90">
              <w:rPr>
                <w:rFonts w:cs="Arial"/>
              </w:rPr>
              <w:t xml:space="preserve">Diabetes </w:t>
            </w:r>
          </w:p>
        </w:tc>
        <w:tc>
          <w:tcPr>
            <w:tcW w:w="1888" w:type="dxa"/>
          </w:tcPr>
          <w:p w:rsidR="00C630DC" w:rsidRDefault="00607592" w:rsidP="00835F06">
            <w:r>
              <w:t>0</w:t>
            </w:r>
          </w:p>
        </w:tc>
        <w:tc>
          <w:tcPr>
            <w:tcW w:w="1890" w:type="dxa"/>
          </w:tcPr>
          <w:p w:rsidR="00C630DC" w:rsidRDefault="00A21358" w:rsidP="00835F06">
            <w:r>
              <w:t>0.213</w:t>
            </w:r>
          </w:p>
        </w:tc>
        <w:tc>
          <w:tcPr>
            <w:tcW w:w="2430" w:type="dxa"/>
          </w:tcPr>
          <w:p w:rsidR="00C630DC" w:rsidRDefault="00A21358" w:rsidP="00835F06">
            <w:r>
              <w:t>0.531</w:t>
            </w:r>
          </w:p>
        </w:tc>
      </w:tr>
      <w:tr w:rsidR="00C630DC" w:rsidTr="001B571E">
        <w:tc>
          <w:tcPr>
            <w:tcW w:w="2337" w:type="dxa"/>
          </w:tcPr>
          <w:p w:rsidR="00C630DC" w:rsidRPr="00F84F90" w:rsidRDefault="00C630DC" w:rsidP="00835F06">
            <w:pPr>
              <w:rPr>
                <w:rFonts w:cs="Arial"/>
              </w:rPr>
            </w:pPr>
            <w:r w:rsidRPr="00F84F90">
              <w:rPr>
                <w:rFonts w:cs="Arial"/>
              </w:rPr>
              <w:t>Hematocrit</w:t>
            </w:r>
            <w:r w:rsidR="009658F6">
              <w:rPr>
                <w:rFonts w:cs="Arial"/>
              </w:rPr>
              <w:t xml:space="preserve"> (%)</w:t>
            </w:r>
          </w:p>
        </w:tc>
        <w:tc>
          <w:tcPr>
            <w:tcW w:w="1888" w:type="dxa"/>
          </w:tcPr>
          <w:p w:rsidR="00C630DC" w:rsidRDefault="002E61B9" w:rsidP="00835F06">
            <w:r>
              <w:t>40.1</w:t>
            </w:r>
          </w:p>
        </w:tc>
        <w:tc>
          <w:tcPr>
            <w:tcW w:w="1890" w:type="dxa"/>
          </w:tcPr>
          <w:p w:rsidR="00C630DC" w:rsidRDefault="002E61B9" w:rsidP="00835F06">
            <w:r>
              <w:t>39.64</w:t>
            </w:r>
          </w:p>
        </w:tc>
        <w:tc>
          <w:tcPr>
            <w:tcW w:w="2430" w:type="dxa"/>
          </w:tcPr>
          <w:p w:rsidR="00C630DC" w:rsidRDefault="002E61B9" w:rsidP="00835F06">
            <w:r>
              <w:t>5.32</w:t>
            </w:r>
          </w:p>
        </w:tc>
      </w:tr>
      <w:tr w:rsidR="00C630DC" w:rsidTr="001B571E">
        <w:tc>
          <w:tcPr>
            <w:tcW w:w="2337" w:type="dxa"/>
          </w:tcPr>
          <w:p w:rsidR="00C630DC" w:rsidRPr="00F84F90" w:rsidRDefault="00C630DC" w:rsidP="00835F06">
            <w:pPr>
              <w:rPr>
                <w:rFonts w:cs="Arial"/>
              </w:rPr>
            </w:pPr>
            <w:r w:rsidRPr="00F84F90">
              <w:rPr>
                <w:rFonts w:cs="Arial"/>
              </w:rPr>
              <w:t>Platelet</w:t>
            </w:r>
            <w:r w:rsidR="009658F6">
              <w:rPr>
                <w:rFonts w:cs="Arial"/>
              </w:rPr>
              <w:t xml:space="preserve"> (1000 / uL)</w:t>
            </w:r>
          </w:p>
        </w:tc>
        <w:tc>
          <w:tcPr>
            <w:tcW w:w="1888" w:type="dxa"/>
          </w:tcPr>
          <w:p w:rsidR="00C630DC" w:rsidRDefault="005238BD" w:rsidP="00835F06">
            <w:r>
              <w:t>242</w:t>
            </w:r>
          </w:p>
        </w:tc>
        <w:tc>
          <w:tcPr>
            <w:tcW w:w="1890" w:type="dxa"/>
          </w:tcPr>
          <w:p w:rsidR="00C630DC" w:rsidRDefault="005238BD" w:rsidP="00835F06">
            <w:r>
              <w:t>250.9</w:t>
            </w:r>
          </w:p>
        </w:tc>
        <w:tc>
          <w:tcPr>
            <w:tcW w:w="2430" w:type="dxa"/>
          </w:tcPr>
          <w:p w:rsidR="00C630DC" w:rsidRDefault="005238BD" w:rsidP="00835F06">
            <w:r>
              <w:t>81.7</w:t>
            </w:r>
          </w:p>
        </w:tc>
      </w:tr>
      <w:tr w:rsidR="00C630DC" w:rsidTr="001B571E">
        <w:tc>
          <w:tcPr>
            <w:tcW w:w="2337" w:type="dxa"/>
          </w:tcPr>
          <w:p w:rsidR="00C630DC" w:rsidRPr="00F84F90" w:rsidRDefault="00C630DC" w:rsidP="00835F06">
            <w:pPr>
              <w:rPr>
                <w:rFonts w:cs="Arial"/>
              </w:rPr>
            </w:pPr>
            <w:r w:rsidRPr="00F84F90">
              <w:rPr>
                <w:rFonts w:cs="Arial"/>
              </w:rPr>
              <w:t>INR</w:t>
            </w:r>
          </w:p>
        </w:tc>
        <w:tc>
          <w:tcPr>
            <w:tcW w:w="1888" w:type="dxa"/>
          </w:tcPr>
          <w:p w:rsidR="00C630DC" w:rsidRDefault="009F4A40" w:rsidP="00835F06">
            <w:r>
              <w:t>1</w:t>
            </w:r>
            <w:r w:rsidR="00F45759">
              <w:t>.00</w:t>
            </w:r>
          </w:p>
        </w:tc>
        <w:tc>
          <w:tcPr>
            <w:tcW w:w="1890" w:type="dxa"/>
          </w:tcPr>
          <w:p w:rsidR="00C630DC" w:rsidRDefault="009F4A40" w:rsidP="00835F06">
            <w:r>
              <w:t>1.078</w:t>
            </w:r>
          </w:p>
        </w:tc>
        <w:tc>
          <w:tcPr>
            <w:tcW w:w="2430" w:type="dxa"/>
          </w:tcPr>
          <w:p w:rsidR="00C630DC" w:rsidRDefault="009F4A40" w:rsidP="00835F06">
            <w:r>
              <w:t>0.288</w:t>
            </w:r>
          </w:p>
        </w:tc>
      </w:tr>
      <w:tr w:rsidR="00C630DC" w:rsidTr="001B571E">
        <w:tc>
          <w:tcPr>
            <w:tcW w:w="2337" w:type="dxa"/>
          </w:tcPr>
          <w:p w:rsidR="00C630DC" w:rsidRPr="00F84F90" w:rsidRDefault="00C630DC" w:rsidP="00835F06">
            <w:pPr>
              <w:rPr>
                <w:rFonts w:cs="Arial"/>
              </w:rPr>
            </w:pPr>
            <w:r w:rsidRPr="00F84F90">
              <w:rPr>
                <w:rFonts w:cs="Arial"/>
              </w:rPr>
              <w:t>PTT</w:t>
            </w:r>
            <w:r w:rsidR="00E84E80">
              <w:rPr>
                <w:rFonts w:cs="Arial"/>
              </w:rPr>
              <w:t xml:space="preserve"> (s)</w:t>
            </w:r>
          </w:p>
        </w:tc>
        <w:tc>
          <w:tcPr>
            <w:tcW w:w="1888" w:type="dxa"/>
          </w:tcPr>
          <w:p w:rsidR="00C630DC" w:rsidRDefault="005238BD" w:rsidP="00835F06">
            <w:r>
              <w:t>29.1</w:t>
            </w:r>
          </w:p>
        </w:tc>
        <w:tc>
          <w:tcPr>
            <w:tcW w:w="1890" w:type="dxa"/>
          </w:tcPr>
          <w:p w:rsidR="00C630DC" w:rsidRDefault="005238BD" w:rsidP="00835F06">
            <w:r>
              <w:t>30.4</w:t>
            </w:r>
          </w:p>
        </w:tc>
        <w:tc>
          <w:tcPr>
            <w:tcW w:w="2430" w:type="dxa"/>
          </w:tcPr>
          <w:p w:rsidR="00C630DC" w:rsidRDefault="005238BD" w:rsidP="00835F06">
            <w:r>
              <w:t>7.70</w:t>
            </w:r>
          </w:p>
        </w:tc>
      </w:tr>
      <w:tr w:rsidR="00C630DC" w:rsidTr="001B571E">
        <w:tc>
          <w:tcPr>
            <w:tcW w:w="2337" w:type="dxa"/>
          </w:tcPr>
          <w:p w:rsidR="00C630DC" w:rsidRPr="00F84F90" w:rsidRDefault="00C630DC" w:rsidP="00835F06">
            <w:pPr>
              <w:rPr>
                <w:rFonts w:cs="Arial"/>
              </w:rPr>
            </w:pPr>
            <w:r w:rsidRPr="00F84F90">
              <w:rPr>
                <w:rFonts w:cs="Arial"/>
              </w:rPr>
              <w:t>Creatinine</w:t>
            </w:r>
            <w:r w:rsidR="009F44D7">
              <w:rPr>
                <w:rFonts w:cs="Arial"/>
              </w:rPr>
              <w:t xml:space="preserve"> (mg/dL)</w:t>
            </w:r>
          </w:p>
        </w:tc>
        <w:tc>
          <w:tcPr>
            <w:tcW w:w="1888" w:type="dxa"/>
          </w:tcPr>
          <w:p w:rsidR="00C630DC" w:rsidRDefault="00D979C4" w:rsidP="00835F06">
            <w:r>
              <w:t>0.85</w:t>
            </w:r>
          </w:p>
        </w:tc>
        <w:tc>
          <w:tcPr>
            <w:tcW w:w="1890" w:type="dxa"/>
          </w:tcPr>
          <w:p w:rsidR="00C630DC" w:rsidRDefault="00D979C4" w:rsidP="00835F06">
            <w:r>
              <w:t>1.00</w:t>
            </w:r>
          </w:p>
        </w:tc>
        <w:tc>
          <w:tcPr>
            <w:tcW w:w="2430" w:type="dxa"/>
          </w:tcPr>
          <w:p w:rsidR="00C630DC" w:rsidRDefault="00D979C4" w:rsidP="00835F06">
            <w:r>
              <w:t>0.856</w:t>
            </w:r>
          </w:p>
        </w:tc>
      </w:tr>
      <w:tr w:rsidR="00C630DC" w:rsidTr="001B571E">
        <w:tc>
          <w:tcPr>
            <w:tcW w:w="2337" w:type="dxa"/>
          </w:tcPr>
          <w:p w:rsidR="00C630DC" w:rsidRPr="00F84F90" w:rsidRDefault="00C630DC" w:rsidP="00835F06">
            <w:pPr>
              <w:rPr>
                <w:rFonts w:cs="Arial"/>
              </w:rPr>
            </w:pPr>
            <w:r w:rsidRPr="00F84F90">
              <w:rPr>
                <w:rFonts w:cs="Arial"/>
              </w:rPr>
              <w:t>Sodium</w:t>
            </w:r>
            <w:r w:rsidR="004B3330">
              <w:rPr>
                <w:rFonts w:cs="Arial"/>
              </w:rPr>
              <w:t xml:space="preserve"> (mEq/L)</w:t>
            </w:r>
          </w:p>
        </w:tc>
        <w:tc>
          <w:tcPr>
            <w:tcW w:w="1888" w:type="dxa"/>
          </w:tcPr>
          <w:p w:rsidR="00C630DC" w:rsidRDefault="005238BD" w:rsidP="00835F06">
            <w:r>
              <w:t>139</w:t>
            </w:r>
          </w:p>
        </w:tc>
        <w:tc>
          <w:tcPr>
            <w:tcW w:w="1890" w:type="dxa"/>
          </w:tcPr>
          <w:p w:rsidR="00C630DC" w:rsidRDefault="005238BD" w:rsidP="00835F06">
            <w:r>
              <w:t>139.2</w:t>
            </w:r>
          </w:p>
        </w:tc>
        <w:tc>
          <w:tcPr>
            <w:tcW w:w="2430" w:type="dxa"/>
          </w:tcPr>
          <w:p w:rsidR="00C630DC" w:rsidRDefault="005238BD" w:rsidP="00835F06">
            <w:r>
              <w:t>3.25</w:t>
            </w:r>
          </w:p>
        </w:tc>
      </w:tr>
      <w:tr w:rsidR="00C630DC" w:rsidTr="001B571E">
        <w:tc>
          <w:tcPr>
            <w:tcW w:w="2337" w:type="dxa"/>
          </w:tcPr>
          <w:p w:rsidR="00C630DC" w:rsidRPr="00F84F90" w:rsidRDefault="00C630DC" w:rsidP="00835F06">
            <w:pPr>
              <w:rPr>
                <w:rFonts w:cs="Arial"/>
              </w:rPr>
            </w:pPr>
            <w:r w:rsidRPr="00F84F90">
              <w:rPr>
                <w:rFonts w:cs="Arial"/>
              </w:rPr>
              <w:t>Albumin</w:t>
            </w:r>
            <w:r w:rsidR="00285968">
              <w:rPr>
                <w:rFonts w:cs="Arial"/>
              </w:rPr>
              <w:t xml:space="preserve"> (g/dL)</w:t>
            </w:r>
          </w:p>
        </w:tc>
        <w:tc>
          <w:tcPr>
            <w:tcW w:w="1888" w:type="dxa"/>
          </w:tcPr>
          <w:p w:rsidR="00C630DC" w:rsidRDefault="00D6277E" w:rsidP="00835F06">
            <w:r>
              <w:t>4.00</w:t>
            </w:r>
          </w:p>
        </w:tc>
        <w:tc>
          <w:tcPr>
            <w:tcW w:w="1890" w:type="dxa"/>
          </w:tcPr>
          <w:p w:rsidR="00C630DC" w:rsidRDefault="00D6277E" w:rsidP="00835F06">
            <w:r>
              <w:t>3.91</w:t>
            </w:r>
          </w:p>
        </w:tc>
        <w:tc>
          <w:tcPr>
            <w:tcW w:w="2430" w:type="dxa"/>
          </w:tcPr>
          <w:p w:rsidR="00C630DC" w:rsidRDefault="00D6277E" w:rsidP="00835F06">
            <w:r>
              <w:t>0.611</w:t>
            </w:r>
          </w:p>
        </w:tc>
      </w:tr>
      <w:tr w:rsidR="00C630DC" w:rsidTr="001B571E">
        <w:tc>
          <w:tcPr>
            <w:tcW w:w="2337" w:type="dxa"/>
          </w:tcPr>
          <w:p w:rsidR="00C630DC" w:rsidRPr="00F84F90" w:rsidRDefault="00C630DC" w:rsidP="00835F06">
            <w:pPr>
              <w:rPr>
                <w:rFonts w:cs="Arial"/>
              </w:rPr>
            </w:pPr>
            <w:r w:rsidRPr="00F84F90">
              <w:rPr>
                <w:rFonts w:cs="Arial"/>
              </w:rPr>
              <w:t>Bilirubin</w:t>
            </w:r>
            <w:r w:rsidR="00A608D9">
              <w:rPr>
                <w:rFonts w:cs="Arial"/>
              </w:rPr>
              <w:t xml:space="preserve"> (mg/dL)</w:t>
            </w:r>
          </w:p>
        </w:tc>
        <w:tc>
          <w:tcPr>
            <w:tcW w:w="1888" w:type="dxa"/>
          </w:tcPr>
          <w:p w:rsidR="00C630DC" w:rsidRDefault="00D979C4" w:rsidP="00835F06">
            <w:r>
              <w:t>0.50</w:t>
            </w:r>
          </w:p>
        </w:tc>
        <w:tc>
          <w:tcPr>
            <w:tcW w:w="1890" w:type="dxa"/>
          </w:tcPr>
          <w:p w:rsidR="00C630DC" w:rsidRDefault="00D979C4" w:rsidP="00835F06">
            <w:r>
              <w:t>0.646</w:t>
            </w:r>
          </w:p>
        </w:tc>
        <w:tc>
          <w:tcPr>
            <w:tcW w:w="2430" w:type="dxa"/>
          </w:tcPr>
          <w:p w:rsidR="00C630DC" w:rsidRDefault="00D979C4" w:rsidP="00835F06">
            <w:r>
              <w:t>0.652</w:t>
            </w:r>
          </w:p>
        </w:tc>
      </w:tr>
      <w:tr w:rsidR="00C630DC" w:rsidTr="001B571E">
        <w:tc>
          <w:tcPr>
            <w:tcW w:w="2337" w:type="dxa"/>
          </w:tcPr>
          <w:p w:rsidR="00C630DC" w:rsidRDefault="00C630DC" w:rsidP="00835F06">
            <w:pPr>
              <w:rPr>
                <w:rFonts w:cs="Arial"/>
              </w:rPr>
            </w:pPr>
            <w:r w:rsidRPr="00F84F90">
              <w:rPr>
                <w:rFonts w:cs="Arial"/>
              </w:rPr>
              <w:t>Elective surgery</w:t>
            </w:r>
          </w:p>
          <w:p w:rsidR="00826376" w:rsidRPr="00F84F90" w:rsidRDefault="00826376" w:rsidP="00835F06">
            <w:pPr>
              <w:rPr>
                <w:rFonts w:cs="Arial"/>
              </w:rPr>
            </w:pPr>
            <w:r>
              <w:rPr>
                <w:rFonts w:cs="Arial"/>
              </w:rPr>
              <w:t>(Yes = 1)</w:t>
            </w:r>
          </w:p>
        </w:tc>
        <w:tc>
          <w:tcPr>
            <w:tcW w:w="1888" w:type="dxa"/>
          </w:tcPr>
          <w:p w:rsidR="00C630DC" w:rsidRDefault="005238BD" w:rsidP="00835F06">
            <w:r>
              <w:t>1</w:t>
            </w:r>
          </w:p>
        </w:tc>
        <w:tc>
          <w:tcPr>
            <w:tcW w:w="1890" w:type="dxa"/>
          </w:tcPr>
          <w:p w:rsidR="00C630DC" w:rsidRDefault="005238BD" w:rsidP="00835F06">
            <w:r>
              <w:t>0.798</w:t>
            </w:r>
          </w:p>
        </w:tc>
        <w:tc>
          <w:tcPr>
            <w:tcW w:w="2430" w:type="dxa"/>
          </w:tcPr>
          <w:p w:rsidR="00C630DC" w:rsidRDefault="005238BD" w:rsidP="00835F06">
            <w:r>
              <w:t>0.401</w:t>
            </w:r>
          </w:p>
        </w:tc>
      </w:tr>
      <w:tr w:rsidR="00C630DC" w:rsidTr="001B571E">
        <w:tc>
          <w:tcPr>
            <w:tcW w:w="2337" w:type="dxa"/>
          </w:tcPr>
          <w:p w:rsidR="00C630DC" w:rsidRPr="00F84F90" w:rsidRDefault="00B82222" w:rsidP="00835F06">
            <w:pPr>
              <w:rPr>
                <w:rFonts w:cs="Arial"/>
              </w:rPr>
            </w:pPr>
            <w:r>
              <w:rPr>
                <w:rFonts w:cs="Arial"/>
              </w:rPr>
              <w:t xml:space="preserve">Procedure-specific transfusion </w:t>
            </w:r>
            <w:r w:rsidR="00925631">
              <w:rPr>
                <w:rFonts w:cs="Arial"/>
              </w:rPr>
              <w:t>rate</w:t>
            </w:r>
            <w:r w:rsidR="00B00B6B">
              <w:rPr>
                <w:rFonts w:cs="Arial"/>
              </w:rPr>
              <w:t xml:space="preserve"> (%)</w:t>
            </w:r>
          </w:p>
        </w:tc>
        <w:tc>
          <w:tcPr>
            <w:tcW w:w="1888" w:type="dxa"/>
          </w:tcPr>
          <w:p w:rsidR="00C630DC" w:rsidRDefault="00CA4E21" w:rsidP="00835F06">
            <w:r>
              <w:t>0.2</w:t>
            </w:r>
            <w:r w:rsidR="008F6377">
              <w:t>9</w:t>
            </w:r>
          </w:p>
        </w:tc>
        <w:tc>
          <w:tcPr>
            <w:tcW w:w="1890" w:type="dxa"/>
          </w:tcPr>
          <w:p w:rsidR="00C630DC" w:rsidRDefault="00CA4E21" w:rsidP="00835F06">
            <w:r>
              <w:t>2.</w:t>
            </w:r>
            <w:r w:rsidR="008F6377">
              <w:t>40</w:t>
            </w:r>
          </w:p>
        </w:tc>
        <w:tc>
          <w:tcPr>
            <w:tcW w:w="2430" w:type="dxa"/>
          </w:tcPr>
          <w:p w:rsidR="00C630DC" w:rsidRDefault="003B5362" w:rsidP="00835F06">
            <w:r>
              <w:t>5.7</w:t>
            </w:r>
            <w:r w:rsidR="001C6061">
              <w:t>4</w:t>
            </w:r>
          </w:p>
        </w:tc>
      </w:tr>
    </w:tbl>
    <w:p w:rsidR="00C630DC" w:rsidRDefault="00C630DC" w:rsidP="00CD6A1E"/>
    <w:p w:rsidR="008D732E" w:rsidRDefault="008D732E">
      <w:r>
        <w:br w:type="page"/>
      </w:r>
    </w:p>
    <w:p w:rsidR="00D37A22" w:rsidRDefault="008D732E">
      <w:r w:rsidRPr="00121AAB">
        <w:rPr>
          <w:b/>
        </w:rPr>
        <w:lastRenderedPageBreak/>
        <w:t>Table S3</w:t>
      </w:r>
      <w:r w:rsidR="00E2744E" w:rsidRPr="00121AAB">
        <w:rPr>
          <w:b/>
        </w:rPr>
        <w:t xml:space="preserve"> </w:t>
      </w:r>
      <w:r w:rsidR="00E2744E">
        <w:t xml:space="preserve">– Model performance on </w:t>
      </w:r>
      <w:r w:rsidR="00D1043A">
        <w:t xml:space="preserve">the </w:t>
      </w:r>
      <w:r w:rsidR="00E2744E">
        <w:t xml:space="preserve">external validation data </w:t>
      </w:r>
      <w:r w:rsidR="002C7EF2">
        <w:t>for procedures with fewer than 50 occurrences in 2019.</w:t>
      </w:r>
    </w:p>
    <w:p w:rsidR="00EB7B62" w:rsidRDefault="00EB7B62"/>
    <w:p w:rsidR="00E56C74" w:rsidRDefault="00E56C74">
      <w:r>
        <w:t>Model performance depends on reliable procedure-specific transfusion data</w:t>
      </w:r>
      <w:r w:rsidR="00D66552">
        <w:t xml:space="preserve">. </w:t>
      </w:r>
      <w:r w:rsidR="00086D21">
        <w:t xml:space="preserve">Procedures with fewer than 50 </w:t>
      </w:r>
      <w:r w:rsidR="00D66552">
        <w:t xml:space="preserve">historic observations </w:t>
      </w:r>
      <w:r w:rsidR="000275F0">
        <w:t>have</w:t>
      </w:r>
      <w:r w:rsidR="00BD23FE">
        <w:t xml:space="preserve"> higher uncertainty</w:t>
      </w:r>
      <w:r w:rsidR="000275F0">
        <w:t xml:space="preserve"> in the estimate of historical procedure-specific transfusion rate. </w:t>
      </w:r>
      <w:r w:rsidR="006F54DF">
        <w:t>For example, historical transfusion data was only available for 2019 in the external validation dataset</w:t>
      </w:r>
      <w:r w:rsidR="00BF7937">
        <w:t xml:space="preserve">, and not for earlier time periods due to an electronic health record transition. </w:t>
      </w:r>
      <w:r w:rsidR="00874D17">
        <w:t>Therefore, only 2019 data could be used to compute historical procedure-specific transfusion rates.</w:t>
      </w:r>
      <w:r w:rsidR="007939C6">
        <w:t xml:space="preserve"> If a procedure was only performed 10 times </w:t>
      </w:r>
      <w:r w:rsidR="00255E03">
        <w:t xml:space="preserve">at the external validation institution in </w:t>
      </w:r>
      <w:r w:rsidR="007939C6">
        <w:t xml:space="preserve">2019, and 0 transfusions were observed, the naïve estimate of procedure-specific transfusion risk </w:t>
      </w:r>
      <w:r w:rsidR="00F70102">
        <w:t>would be</w:t>
      </w:r>
      <w:r w:rsidR="007939C6">
        <w:t xml:space="preserve"> 0/10 = 0%.</w:t>
      </w:r>
      <w:r w:rsidR="00255E03">
        <w:t xml:space="preserve"> </w:t>
      </w:r>
      <w:r w:rsidR="00250E3E">
        <w:t>However, the true transfusion rate could be much higher and due to the small number of samples, 0</w:t>
      </w:r>
      <w:r w:rsidR="00C7431E">
        <w:t>%</w:t>
      </w:r>
      <w:r w:rsidR="00250E3E">
        <w:t xml:space="preserve"> could have been observed by chan</w:t>
      </w:r>
      <w:r w:rsidR="00930F5F">
        <w:t>ce</w:t>
      </w:r>
      <w:r w:rsidR="0068213C">
        <w:t xml:space="preserve"> (95% CI </w:t>
      </w:r>
      <w:r w:rsidR="0068213C" w:rsidRPr="0068213C">
        <w:t>0 – 30.8%</w:t>
      </w:r>
      <w:r w:rsidR="0068213C">
        <w:t xml:space="preserve">). </w:t>
      </w:r>
      <w:r w:rsidR="004B16AA">
        <w:t>If that procedure had occurred 50 times with 0 transfusions observed, the procedure-specific transfusion risk estimate is more precise (95% CI 0 – 7.7%).</w:t>
      </w:r>
    </w:p>
    <w:p w:rsidR="006A490D" w:rsidRDefault="006A490D"/>
    <w:p w:rsidR="006A490D" w:rsidRDefault="006A490D">
      <w:r>
        <w:t xml:space="preserve">To evaluate model performance when imprecise estimates of procedure-specific transfusion rate are provided as input, we </w:t>
      </w:r>
      <w:r w:rsidR="00E5515D">
        <w:t xml:space="preserve">assessed model predictions </w:t>
      </w:r>
      <w:r w:rsidR="00942B43">
        <w:t xml:space="preserve">only </w:t>
      </w:r>
      <w:r w:rsidR="00E5515D">
        <w:t xml:space="preserve">for surgical cases with fewer than 50 occurrences </w:t>
      </w:r>
      <w:r w:rsidR="00116EBD">
        <w:t xml:space="preserve">contributing to procedure-specific transfusion risk estimates </w:t>
      </w:r>
      <w:r w:rsidR="00E5515D">
        <w:t>in the external validation dataset</w:t>
      </w:r>
      <w:r w:rsidR="00686DFB">
        <w:t xml:space="preserve">. Overall discrimination as measured with </w:t>
      </w:r>
      <w:r w:rsidR="006243DF">
        <w:t>c-statistic</w:t>
      </w:r>
      <w:r w:rsidR="00686DFB">
        <w:t xml:space="preserve"> and average precision was poor in comparison to </w:t>
      </w:r>
      <w:r w:rsidR="0077278E">
        <w:t>the results presented in the main manuscript (</w:t>
      </w:r>
      <w:r w:rsidR="00686DFB">
        <w:t>Table 3</w:t>
      </w:r>
      <w:r w:rsidR="0077278E">
        <w:t>)</w:t>
      </w:r>
      <w:r w:rsidR="00686DFB">
        <w:t>.</w:t>
      </w:r>
      <w:r w:rsidR="005E4384">
        <w:t xml:space="preserve"> </w:t>
      </w:r>
      <w:r w:rsidR="000012CE">
        <w:t>In addition, we</w:t>
      </w:r>
      <w:r w:rsidR="00B60A72">
        <w:t xml:space="preserve"> were unable to achieve </w:t>
      </w:r>
      <w:r w:rsidR="00096ABE">
        <w:t xml:space="preserve">96% sensitivity </w:t>
      </w:r>
      <w:r w:rsidR="00A9622E">
        <w:t xml:space="preserve">to detect transfusion </w:t>
      </w:r>
      <w:r w:rsidR="00096ABE">
        <w:t>regardless of decision threshold without simply recommending type and screens for all patients.</w:t>
      </w:r>
      <w:r w:rsidR="000012CE">
        <w:t xml:space="preserve"> Therefore, w</w:t>
      </w:r>
      <w:r w:rsidR="009E6A72">
        <w:t xml:space="preserve">e do not recommend using our model </w:t>
      </w:r>
      <w:r w:rsidR="0024662C">
        <w:t>with</w:t>
      </w:r>
      <w:r w:rsidR="009E6A72">
        <w:t xml:space="preserve"> </w:t>
      </w:r>
      <w:r w:rsidR="0024662C">
        <w:t>im</w:t>
      </w:r>
      <w:r w:rsidR="009E6A72">
        <w:t>precise procedure-specific transfusion rate estimates.</w:t>
      </w:r>
    </w:p>
    <w:p w:rsidR="00067818" w:rsidRDefault="00067818"/>
    <w:tbl>
      <w:tblPr>
        <w:tblW w:w="10440" w:type="dxa"/>
        <w:tblInd w:w="-3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080"/>
        <w:gridCol w:w="1620"/>
        <w:gridCol w:w="1620"/>
        <w:gridCol w:w="1620"/>
        <w:gridCol w:w="1620"/>
        <w:gridCol w:w="1620"/>
        <w:gridCol w:w="1260"/>
      </w:tblGrid>
      <w:tr w:rsidR="00067818" w:rsidRPr="006E7C0D" w:rsidTr="006E7C0D">
        <w:trPr>
          <w:trHeight w:val="312"/>
        </w:trPr>
        <w:tc>
          <w:tcPr>
            <w:tcW w:w="1080" w:type="dxa"/>
            <w:shd w:val="clear" w:color="auto" w:fill="auto"/>
            <w:noWrap/>
            <w:vAlign w:val="bottom"/>
            <w:hideMark/>
          </w:tcPr>
          <w:p w:rsidR="00067818" w:rsidRPr="006E7C0D" w:rsidRDefault="00067818" w:rsidP="00B859C4">
            <w:pPr>
              <w:rPr>
                <w:rFonts w:cs="Arial"/>
                <w:b/>
                <w:bCs/>
                <w:color w:val="000000"/>
                <w:sz w:val="22"/>
              </w:rPr>
            </w:pPr>
            <w:r w:rsidRPr="006E7C0D">
              <w:rPr>
                <w:rFonts w:cs="Arial"/>
                <w:b/>
                <w:bCs/>
                <w:color w:val="000000"/>
                <w:sz w:val="22"/>
              </w:rPr>
              <w:t>Model</w:t>
            </w:r>
          </w:p>
        </w:tc>
        <w:tc>
          <w:tcPr>
            <w:tcW w:w="1620" w:type="dxa"/>
            <w:shd w:val="clear" w:color="auto" w:fill="auto"/>
            <w:noWrap/>
            <w:vAlign w:val="bottom"/>
            <w:hideMark/>
          </w:tcPr>
          <w:p w:rsidR="00067818" w:rsidRPr="006E7C0D" w:rsidRDefault="00542BE3" w:rsidP="00B859C4">
            <w:pPr>
              <w:rPr>
                <w:rFonts w:cs="Arial"/>
                <w:b/>
                <w:bCs/>
                <w:color w:val="000000"/>
                <w:sz w:val="22"/>
              </w:rPr>
            </w:pPr>
            <w:r>
              <w:rPr>
                <w:rFonts w:cs="Arial"/>
                <w:b/>
                <w:bCs/>
                <w:color w:val="000000"/>
                <w:sz w:val="22"/>
              </w:rPr>
              <w:t>c-statistic</w:t>
            </w:r>
            <w:bookmarkStart w:id="0" w:name="_GoBack"/>
            <w:bookmarkEnd w:id="0"/>
          </w:p>
        </w:tc>
        <w:tc>
          <w:tcPr>
            <w:tcW w:w="1620" w:type="dxa"/>
            <w:shd w:val="clear" w:color="auto" w:fill="auto"/>
            <w:noWrap/>
            <w:vAlign w:val="bottom"/>
            <w:hideMark/>
          </w:tcPr>
          <w:p w:rsidR="00067818" w:rsidRPr="006E7C0D" w:rsidRDefault="00067818" w:rsidP="00B859C4">
            <w:pPr>
              <w:rPr>
                <w:rFonts w:cs="Arial"/>
                <w:b/>
                <w:bCs/>
                <w:color w:val="000000"/>
                <w:sz w:val="22"/>
              </w:rPr>
            </w:pPr>
            <w:r w:rsidRPr="006E7C0D">
              <w:rPr>
                <w:rFonts w:cs="Arial"/>
                <w:b/>
                <w:bCs/>
                <w:color w:val="000000"/>
                <w:sz w:val="22"/>
              </w:rPr>
              <w:t>Average Precision</w:t>
            </w:r>
          </w:p>
        </w:tc>
        <w:tc>
          <w:tcPr>
            <w:tcW w:w="1620" w:type="dxa"/>
            <w:shd w:val="clear" w:color="auto" w:fill="auto"/>
            <w:noWrap/>
            <w:vAlign w:val="bottom"/>
            <w:hideMark/>
          </w:tcPr>
          <w:p w:rsidR="00067818" w:rsidRPr="006E7C0D" w:rsidRDefault="00067818" w:rsidP="00B859C4">
            <w:pPr>
              <w:rPr>
                <w:rFonts w:cs="Arial"/>
                <w:b/>
                <w:bCs/>
                <w:color w:val="000000"/>
                <w:sz w:val="22"/>
              </w:rPr>
            </w:pPr>
            <w:r w:rsidRPr="006E7C0D">
              <w:rPr>
                <w:rFonts w:cs="Arial"/>
                <w:b/>
                <w:bCs/>
                <w:color w:val="000000"/>
                <w:sz w:val="22"/>
              </w:rPr>
              <w:t>Sensitivity</w:t>
            </w:r>
          </w:p>
        </w:tc>
        <w:tc>
          <w:tcPr>
            <w:tcW w:w="1620" w:type="dxa"/>
            <w:shd w:val="clear" w:color="auto" w:fill="auto"/>
            <w:noWrap/>
            <w:vAlign w:val="bottom"/>
            <w:hideMark/>
          </w:tcPr>
          <w:p w:rsidR="00067818" w:rsidRPr="006E7C0D" w:rsidRDefault="00067818" w:rsidP="00B859C4">
            <w:pPr>
              <w:rPr>
                <w:rFonts w:cs="Arial"/>
                <w:b/>
                <w:bCs/>
                <w:color w:val="000000"/>
                <w:sz w:val="22"/>
              </w:rPr>
            </w:pPr>
            <w:r w:rsidRPr="006E7C0D">
              <w:rPr>
                <w:rFonts w:cs="Arial"/>
                <w:b/>
                <w:bCs/>
                <w:color w:val="000000"/>
                <w:sz w:val="22"/>
              </w:rPr>
              <w:t>Specificity</w:t>
            </w:r>
          </w:p>
        </w:tc>
        <w:tc>
          <w:tcPr>
            <w:tcW w:w="1620" w:type="dxa"/>
            <w:shd w:val="clear" w:color="auto" w:fill="auto"/>
            <w:noWrap/>
            <w:vAlign w:val="bottom"/>
            <w:hideMark/>
          </w:tcPr>
          <w:p w:rsidR="00067818" w:rsidRPr="006E7C0D" w:rsidRDefault="00067818" w:rsidP="00B859C4">
            <w:pPr>
              <w:rPr>
                <w:rFonts w:cs="Arial"/>
                <w:b/>
                <w:bCs/>
                <w:color w:val="000000"/>
                <w:sz w:val="22"/>
              </w:rPr>
            </w:pPr>
            <w:r w:rsidRPr="006E7C0D">
              <w:rPr>
                <w:rFonts w:cs="Arial"/>
                <w:b/>
                <w:bCs/>
                <w:color w:val="000000"/>
                <w:sz w:val="22"/>
              </w:rPr>
              <w:t>Positive Predictive Value</w:t>
            </w:r>
          </w:p>
        </w:tc>
        <w:tc>
          <w:tcPr>
            <w:tcW w:w="1260" w:type="dxa"/>
            <w:shd w:val="clear" w:color="auto" w:fill="auto"/>
            <w:noWrap/>
            <w:vAlign w:val="bottom"/>
            <w:hideMark/>
          </w:tcPr>
          <w:p w:rsidR="00067818" w:rsidRPr="006E7C0D" w:rsidRDefault="00067818" w:rsidP="00B859C4">
            <w:pPr>
              <w:rPr>
                <w:rFonts w:cs="Arial"/>
                <w:b/>
                <w:bCs/>
                <w:color w:val="000000"/>
                <w:sz w:val="22"/>
              </w:rPr>
            </w:pPr>
            <w:r w:rsidRPr="006E7C0D">
              <w:rPr>
                <w:rFonts w:cs="Arial"/>
                <w:b/>
                <w:bCs/>
                <w:color w:val="000000"/>
                <w:sz w:val="22"/>
              </w:rPr>
              <w:t>% Positive</w:t>
            </w:r>
          </w:p>
        </w:tc>
      </w:tr>
      <w:tr w:rsidR="00067818" w:rsidRPr="006E7C0D" w:rsidTr="006E7C0D">
        <w:trPr>
          <w:trHeight w:val="312"/>
        </w:trPr>
        <w:tc>
          <w:tcPr>
            <w:tcW w:w="1080" w:type="dxa"/>
            <w:shd w:val="clear" w:color="auto" w:fill="auto"/>
            <w:noWrap/>
            <w:vAlign w:val="bottom"/>
            <w:hideMark/>
          </w:tcPr>
          <w:p w:rsidR="00067818" w:rsidRPr="006E7C0D" w:rsidRDefault="00067818" w:rsidP="00B859C4">
            <w:pPr>
              <w:rPr>
                <w:rFonts w:cs="Arial"/>
                <w:color w:val="000000"/>
                <w:sz w:val="22"/>
              </w:rPr>
            </w:pPr>
            <w:r w:rsidRPr="006E7C0D">
              <w:rPr>
                <w:rFonts w:cs="Arial"/>
                <w:color w:val="000000"/>
                <w:sz w:val="22"/>
              </w:rPr>
              <w:t>Baseline</w:t>
            </w:r>
          </w:p>
        </w:tc>
        <w:tc>
          <w:tcPr>
            <w:tcW w:w="1620" w:type="dxa"/>
            <w:shd w:val="clear" w:color="auto" w:fill="auto"/>
            <w:noWrap/>
            <w:vAlign w:val="bottom"/>
            <w:hideMark/>
          </w:tcPr>
          <w:p w:rsidR="00067818" w:rsidRPr="006E7C0D" w:rsidRDefault="00067818" w:rsidP="00B859C4">
            <w:pPr>
              <w:rPr>
                <w:rFonts w:cs="Arial"/>
                <w:color w:val="000000"/>
                <w:sz w:val="22"/>
              </w:rPr>
            </w:pPr>
            <w:r w:rsidRPr="006E7C0D">
              <w:rPr>
                <w:rFonts w:cs="Arial"/>
                <w:color w:val="000000"/>
                <w:sz w:val="22"/>
              </w:rPr>
              <w:t>0.</w:t>
            </w:r>
            <w:r w:rsidR="00D77E76" w:rsidRPr="006E7C0D">
              <w:rPr>
                <w:rFonts w:cs="Arial"/>
                <w:color w:val="000000"/>
                <w:sz w:val="22"/>
              </w:rPr>
              <w:t>816</w:t>
            </w:r>
            <w:r w:rsidRPr="006E7C0D">
              <w:rPr>
                <w:rFonts w:cs="Arial"/>
                <w:color w:val="000000"/>
                <w:sz w:val="22"/>
              </w:rPr>
              <w:t xml:space="preserve"> </w:t>
            </w:r>
          </w:p>
          <w:p w:rsidR="00067818" w:rsidRPr="006E7C0D" w:rsidRDefault="00067818" w:rsidP="00B859C4">
            <w:pPr>
              <w:rPr>
                <w:rFonts w:cs="Arial"/>
                <w:color w:val="000000"/>
                <w:sz w:val="22"/>
              </w:rPr>
            </w:pPr>
            <w:r w:rsidRPr="006E7C0D">
              <w:rPr>
                <w:rFonts w:cs="Arial"/>
                <w:color w:val="000000"/>
                <w:sz w:val="22"/>
              </w:rPr>
              <w:t>(0.</w:t>
            </w:r>
            <w:r w:rsidR="00D77E76" w:rsidRPr="006E7C0D">
              <w:rPr>
                <w:rFonts w:cs="Arial"/>
                <w:color w:val="000000"/>
                <w:sz w:val="22"/>
              </w:rPr>
              <w:t>804</w:t>
            </w:r>
            <w:r w:rsidRPr="006E7C0D">
              <w:rPr>
                <w:rFonts w:cs="Arial"/>
                <w:color w:val="000000"/>
                <w:sz w:val="22"/>
              </w:rPr>
              <w:t>-0.</w:t>
            </w:r>
            <w:r w:rsidR="00D77E76" w:rsidRPr="006E7C0D">
              <w:rPr>
                <w:rFonts w:cs="Arial"/>
                <w:color w:val="000000"/>
                <w:sz w:val="22"/>
              </w:rPr>
              <w:t>829</w:t>
            </w:r>
            <w:r w:rsidRPr="006E7C0D">
              <w:rPr>
                <w:rFonts w:cs="Arial"/>
                <w:color w:val="000000"/>
                <w:sz w:val="22"/>
              </w:rPr>
              <w:t>)</w:t>
            </w:r>
          </w:p>
        </w:tc>
        <w:tc>
          <w:tcPr>
            <w:tcW w:w="1620" w:type="dxa"/>
            <w:shd w:val="clear" w:color="auto" w:fill="auto"/>
            <w:noWrap/>
            <w:vAlign w:val="bottom"/>
            <w:hideMark/>
          </w:tcPr>
          <w:p w:rsidR="00067818" w:rsidRPr="006E7C0D" w:rsidRDefault="00067818" w:rsidP="00B859C4">
            <w:pPr>
              <w:rPr>
                <w:rFonts w:cs="Arial"/>
                <w:color w:val="000000"/>
                <w:sz w:val="22"/>
              </w:rPr>
            </w:pPr>
            <w:r w:rsidRPr="006E7C0D">
              <w:rPr>
                <w:rFonts w:cs="Arial"/>
                <w:color w:val="000000"/>
                <w:sz w:val="22"/>
              </w:rPr>
              <w:t>0.</w:t>
            </w:r>
            <w:r w:rsidR="00D77E76" w:rsidRPr="006E7C0D">
              <w:rPr>
                <w:rFonts w:cs="Arial"/>
                <w:color w:val="000000"/>
                <w:sz w:val="22"/>
              </w:rPr>
              <w:t>371</w:t>
            </w:r>
            <w:r w:rsidRPr="006E7C0D">
              <w:rPr>
                <w:rFonts w:cs="Arial"/>
                <w:color w:val="000000"/>
                <w:sz w:val="22"/>
              </w:rPr>
              <w:t xml:space="preserve"> </w:t>
            </w:r>
          </w:p>
          <w:p w:rsidR="00067818" w:rsidRPr="006E7C0D" w:rsidRDefault="00067818" w:rsidP="00B859C4">
            <w:pPr>
              <w:rPr>
                <w:rFonts w:cs="Arial"/>
                <w:color w:val="000000"/>
                <w:sz w:val="22"/>
              </w:rPr>
            </w:pPr>
            <w:r w:rsidRPr="006E7C0D">
              <w:rPr>
                <w:rFonts w:cs="Arial"/>
                <w:color w:val="000000"/>
                <w:sz w:val="22"/>
              </w:rPr>
              <w:t>(0.</w:t>
            </w:r>
            <w:r w:rsidR="00D77E76" w:rsidRPr="006E7C0D">
              <w:rPr>
                <w:rFonts w:cs="Arial"/>
                <w:color w:val="000000"/>
                <w:sz w:val="22"/>
              </w:rPr>
              <w:t>349</w:t>
            </w:r>
            <w:r w:rsidRPr="006E7C0D">
              <w:rPr>
                <w:rFonts w:cs="Arial"/>
                <w:color w:val="000000"/>
                <w:sz w:val="22"/>
              </w:rPr>
              <w:t>-0.</w:t>
            </w:r>
            <w:r w:rsidR="00D77E76" w:rsidRPr="006E7C0D">
              <w:rPr>
                <w:rFonts w:cs="Arial"/>
                <w:color w:val="000000"/>
                <w:sz w:val="22"/>
              </w:rPr>
              <w:t>396</w:t>
            </w:r>
            <w:r w:rsidRPr="006E7C0D">
              <w:rPr>
                <w:rFonts w:cs="Arial"/>
                <w:color w:val="000000"/>
                <w:sz w:val="22"/>
              </w:rPr>
              <w:t>)</w:t>
            </w:r>
          </w:p>
        </w:tc>
        <w:tc>
          <w:tcPr>
            <w:tcW w:w="1620" w:type="dxa"/>
            <w:shd w:val="clear" w:color="auto" w:fill="auto"/>
            <w:noWrap/>
            <w:vAlign w:val="bottom"/>
            <w:hideMark/>
          </w:tcPr>
          <w:p w:rsidR="00067818" w:rsidRPr="006E7C0D" w:rsidRDefault="00067818" w:rsidP="00B859C4">
            <w:pPr>
              <w:rPr>
                <w:rFonts w:cs="Arial"/>
                <w:color w:val="000000"/>
                <w:sz w:val="22"/>
              </w:rPr>
            </w:pPr>
            <w:r w:rsidRPr="006E7C0D">
              <w:rPr>
                <w:rFonts w:cs="Arial"/>
                <w:color w:val="000000"/>
                <w:sz w:val="22"/>
              </w:rPr>
              <w:t>0.</w:t>
            </w:r>
            <w:r w:rsidR="00D77E76" w:rsidRPr="006E7C0D">
              <w:rPr>
                <w:rFonts w:cs="Arial"/>
                <w:color w:val="000000"/>
                <w:sz w:val="22"/>
              </w:rPr>
              <w:t>840</w:t>
            </w:r>
            <w:r w:rsidRPr="006E7C0D">
              <w:rPr>
                <w:rFonts w:cs="Arial"/>
                <w:color w:val="000000"/>
                <w:sz w:val="22"/>
              </w:rPr>
              <w:t xml:space="preserve"> </w:t>
            </w:r>
          </w:p>
          <w:p w:rsidR="00067818" w:rsidRPr="006E7C0D" w:rsidRDefault="00067818" w:rsidP="00B859C4">
            <w:pPr>
              <w:rPr>
                <w:rFonts w:cs="Arial"/>
                <w:color w:val="000000"/>
                <w:sz w:val="22"/>
              </w:rPr>
            </w:pPr>
            <w:r w:rsidRPr="006E7C0D">
              <w:rPr>
                <w:rFonts w:cs="Arial"/>
                <w:color w:val="000000"/>
                <w:sz w:val="22"/>
              </w:rPr>
              <w:t>(0.</w:t>
            </w:r>
            <w:r w:rsidR="00D77E76" w:rsidRPr="006E7C0D">
              <w:rPr>
                <w:rFonts w:cs="Arial"/>
                <w:color w:val="000000"/>
                <w:sz w:val="22"/>
              </w:rPr>
              <w:t>819</w:t>
            </w:r>
            <w:r w:rsidRPr="006E7C0D">
              <w:rPr>
                <w:rFonts w:cs="Arial"/>
                <w:color w:val="000000"/>
                <w:sz w:val="22"/>
              </w:rPr>
              <w:t>-0.</w:t>
            </w:r>
            <w:r w:rsidR="00D77E76" w:rsidRPr="006E7C0D">
              <w:rPr>
                <w:rFonts w:cs="Arial"/>
                <w:color w:val="000000"/>
                <w:sz w:val="22"/>
              </w:rPr>
              <w:t>858</w:t>
            </w:r>
            <w:r w:rsidRPr="006E7C0D">
              <w:rPr>
                <w:rFonts w:cs="Arial"/>
                <w:color w:val="000000"/>
                <w:sz w:val="22"/>
              </w:rPr>
              <w:t>)</w:t>
            </w:r>
          </w:p>
        </w:tc>
        <w:tc>
          <w:tcPr>
            <w:tcW w:w="1620" w:type="dxa"/>
            <w:shd w:val="clear" w:color="auto" w:fill="auto"/>
            <w:noWrap/>
            <w:vAlign w:val="bottom"/>
            <w:hideMark/>
          </w:tcPr>
          <w:p w:rsidR="00067818" w:rsidRPr="006E7C0D" w:rsidRDefault="00067818" w:rsidP="00B859C4">
            <w:pPr>
              <w:rPr>
                <w:rFonts w:cs="Arial"/>
                <w:color w:val="000000"/>
                <w:sz w:val="22"/>
              </w:rPr>
            </w:pPr>
            <w:r w:rsidRPr="006E7C0D">
              <w:rPr>
                <w:rFonts w:cs="Arial"/>
                <w:color w:val="000000"/>
                <w:sz w:val="22"/>
              </w:rPr>
              <w:t>0.</w:t>
            </w:r>
            <w:r w:rsidR="00FD1890" w:rsidRPr="006E7C0D">
              <w:rPr>
                <w:rFonts w:cs="Arial"/>
                <w:color w:val="000000"/>
                <w:sz w:val="22"/>
              </w:rPr>
              <w:t>616</w:t>
            </w:r>
            <w:r w:rsidRPr="006E7C0D">
              <w:rPr>
                <w:rFonts w:cs="Arial"/>
                <w:color w:val="000000"/>
                <w:sz w:val="22"/>
              </w:rPr>
              <w:t xml:space="preserve"> </w:t>
            </w:r>
          </w:p>
          <w:p w:rsidR="00067818" w:rsidRPr="006E7C0D" w:rsidRDefault="00067818" w:rsidP="00B859C4">
            <w:pPr>
              <w:rPr>
                <w:rFonts w:cs="Arial"/>
                <w:color w:val="000000"/>
                <w:sz w:val="22"/>
              </w:rPr>
            </w:pPr>
            <w:r w:rsidRPr="006E7C0D">
              <w:rPr>
                <w:rFonts w:cs="Arial"/>
                <w:color w:val="000000"/>
                <w:sz w:val="22"/>
              </w:rPr>
              <w:t>(0.</w:t>
            </w:r>
            <w:r w:rsidR="00FD1890" w:rsidRPr="006E7C0D">
              <w:rPr>
                <w:rFonts w:cs="Arial"/>
                <w:color w:val="000000"/>
                <w:sz w:val="22"/>
              </w:rPr>
              <w:t>609</w:t>
            </w:r>
            <w:r w:rsidRPr="006E7C0D">
              <w:rPr>
                <w:rFonts w:cs="Arial"/>
                <w:color w:val="000000"/>
                <w:sz w:val="22"/>
              </w:rPr>
              <w:t>-0.</w:t>
            </w:r>
            <w:r w:rsidR="00FD1890" w:rsidRPr="006E7C0D">
              <w:rPr>
                <w:rFonts w:cs="Arial"/>
                <w:color w:val="000000"/>
                <w:sz w:val="22"/>
              </w:rPr>
              <w:t>622</w:t>
            </w:r>
            <w:r w:rsidRPr="006E7C0D">
              <w:rPr>
                <w:rFonts w:cs="Arial"/>
                <w:color w:val="000000"/>
                <w:sz w:val="22"/>
              </w:rPr>
              <w:t>)</w:t>
            </w:r>
          </w:p>
        </w:tc>
        <w:tc>
          <w:tcPr>
            <w:tcW w:w="1620" w:type="dxa"/>
            <w:shd w:val="clear" w:color="auto" w:fill="auto"/>
            <w:noWrap/>
            <w:vAlign w:val="bottom"/>
            <w:hideMark/>
          </w:tcPr>
          <w:p w:rsidR="00067818" w:rsidRPr="006E7C0D" w:rsidRDefault="00067818" w:rsidP="00B859C4">
            <w:pPr>
              <w:rPr>
                <w:rFonts w:cs="Arial"/>
                <w:color w:val="000000"/>
                <w:sz w:val="22"/>
              </w:rPr>
            </w:pPr>
            <w:r w:rsidRPr="006E7C0D">
              <w:rPr>
                <w:rFonts w:cs="Arial"/>
                <w:color w:val="000000"/>
                <w:sz w:val="22"/>
              </w:rPr>
              <w:t>0.1</w:t>
            </w:r>
            <w:r w:rsidR="00FD1890" w:rsidRPr="006E7C0D">
              <w:rPr>
                <w:rFonts w:cs="Arial"/>
                <w:color w:val="000000"/>
                <w:sz w:val="22"/>
              </w:rPr>
              <w:t>50</w:t>
            </w:r>
            <w:r w:rsidRPr="006E7C0D">
              <w:rPr>
                <w:rFonts w:cs="Arial"/>
                <w:color w:val="000000"/>
                <w:sz w:val="22"/>
              </w:rPr>
              <w:t xml:space="preserve"> </w:t>
            </w:r>
          </w:p>
          <w:p w:rsidR="00067818" w:rsidRPr="006E7C0D" w:rsidRDefault="00067818" w:rsidP="00B859C4">
            <w:pPr>
              <w:rPr>
                <w:rFonts w:cs="Arial"/>
                <w:color w:val="000000"/>
                <w:sz w:val="22"/>
              </w:rPr>
            </w:pPr>
            <w:r w:rsidRPr="006E7C0D">
              <w:rPr>
                <w:rFonts w:cs="Arial"/>
                <w:color w:val="000000"/>
                <w:sz w:val="22"/>
              </w:rPr>
              <w:t>(0.1</w:t>
            </w:r>
            <w:r w:rsidR="00FD1890" w:rsidRPr="006E7C0D">
              <w:rPr>
                <w:rFonts w:cs="Arial"/>
                <w:color w:val="000000"/>
                <w:sz w:val="22"/>
              </w:rPr>
              <w:t>43</w:t>
            </w:r>
            <w:r w:rsidRPr="006E7C0D">
              <w:rPr>
                <w:rFonts w:cs="Arial"/>
                <w:color w:val="000000"/>
                <w:sz w:val="22"/>
              </w:rPr>
              <w:t>-0.1</w:t>
            </w:r>
            <w:r w:rsidR="00FD1890" w:rsidRPr="006E7C0D">
              <w:rPr>
                <w:rFonts w:cs="Arial"/>
                <w:color w:val="000000"/>
                <w:sz w:val="22"/>
              </w:rPr>
              <w:t>58</w:t>
            </w:r>
            <w:r w:rsidRPr="006E7C0D">
              <w:rPr>
                <w:rFonts w:cs="Arial"/>
                <w:color w:val="000000"/>
                <w:sz w:val="22"/>
              </w:rPr>
              <w:t>)</w:t>
            </w:r>
          </w:p>
        </w:tc>
        <w:tc>
          <w:tcPr>
            <w:tcW w:w="1260" w:type="dxa"/>
            <w:shd w:val="clear" w:color="auto" w:fill="auto"/>
            <w:noWrap/>
            <w:vAlign w:val="bottom"/>
            <w:hideMark/>
          </w:tcPr>
          <w:p w:rsidR="00067818" w:rsidRPr="006E7C0D" w:rsidRDefault="00067818" w:rsidP="00B859C4">
            <w:pPr>
              <w:rPr>
                <w:rFonts w:cs="Arial"/>
                <w:color w:val="000000"/>
                <w:sz w:val="22"/>
              </w:rPr>
            </w:pPr>
            <w:r w:rsidRPr="006E7C0D">
              <w:rPr>
                <w:rFonts w:cs="Arial"/>
                <w:color w:val="000000"/>
                <w:sz w:val="22"/>
              </w:rPr>
              <w:t>4</w:t>
            </w:r>
            <w:r w:rsidR="00FD1890" w:rsidRPr="006E7C0D">
              <w:rPr>
                <w:rFonts w:cs="Arial"/>
                <w:color w:val="000000"/>
                <w:sz w:val="22"/>
              </w:rPr>
              <w:t>1.8</w:t>
            </w:r>
            <w:r w:rsidRPr="006E7C0D">
              <w:rPr>
                <w:rFonts w:cs="Arial"/>
                <w:color w:val="000000"/>
                <w:sz w:val="22"/>
              </w:rPr>
              <w:t xml:space="preserve">% </w:t>
            </w:r>
          </w:p>
          <w:p w:rsidR="00067818" w:rsidRPr="006E7C0D" w:rsidRDefault="00067818" w:rsidP="00B859C4">
            <w:pPr>
              <w:rPr>
                <w:rFonts w:cs="Arial"/>
                <w:color w:val="000000"/>
                <w:sz w:val="22"/>
              </w:rPr>
            </w:pPr>
            <w:r w:rsidRPr="006E7C0D">
              <w:rPr>
                <w:rFonts w:cs="Arial"/>
                <w:color w:val="000000"/>
                <w:sz w:val="22"/>
              </w:rPr>
              <w:t>(4</w:t>
            </w:r>
            <w:r w:rsidR="00FD1890" w:rsidRPr="006E7C0D">
              <w:rPr>
                <w:rFonts w:cs="Arial"/>
                <w:color w:val="000000"/>
                <w:sz w:val="22"/>
              </w:rPr>
              <w:t>1.2</w:t>
            </w:r>
            <w:r w:rsidRPr="006E7C0D">
              <w:rPr>
                <w:rFonts w:cs="Arial"/>
                <w:color w:val="000000"/>
                <w:sz w:val="22"/>
              </w:rPr>
              <w:t>-4</w:t>
            </w:r>
            <w:r w:rsidR="00FD1890" w:rsidRPr="006E7C0D">
              <w:rPr>
                <w:rFonts w:cs="Arial"/>
                <w:color w:val="000000"/>
                <w:sz w:val="22"/>
              </w:rPr>
              <w:t>2</w:t>
            </w:r>
            <w:r w:rsidRPr="006E7C0D">
              <w:rPr>
                <w:rFonts w:cs="Arial"/>
                <w:color w:val="000000"/>
                <w:sz w:val="22"/>
              </w:rPr>
              <w:t>.</w:t>
            </w:r>
            <w:r w:rsidR="00FD1890" w:rsidRPr="006E7C0D">
              <w:rPr>
                <w:rFonts w:cs="Arial"/>
                <w:color w:val="000000"/>
                <w:sz w:val="22"/>
              </w:rPr>
              <w:t>5</w:t>
            </w:r>
            <w:r w:rsidRPr="006E7C0D">
              <w:rPr>
                <w:rFonts w:cs="Arial"/>
                <w:color w:val="000000"/>
                <w:sz w:val="22"/>
              </w:rPr>
              <w:t>)</w:t>
            </w:r>
          </w:p>
        </w:tc>
      </w:tr>
      <w:tr w:rsidR="00067818" w:rsidRPr="006E7C0D" w:rsidTr="006E7C0D">
        <w:trPr>
          <w:trHeight w:val="312"/>
        </w:trPr>
        <w:tc>
          <w:tcPr>
            <w:tcW w:w="1080" w:type="dxa"/>
            <w:shd w:val="clear" w:color="auto" w:fill="auto"/>
            <w:noWrap/>
            <w:vAlign w:val="bottom"/>
            <w:hideMark/>
          </w:tcPr>
          <w:p w:rsidR="00067818" w:rsidRPr="006E7C0D" w:rsidRDefault="00067818" w:rsidP="00B859C4">
            <w:pPr>
              <w:rPr>
                <w:rFonts w:cs="Arial"/>
                <w:color w:val="000000"/>
                <w:sz w:val="22"/>
              </w:rPr>
            </w:pPr>
            <w:r w:rsidRPr="006E7C0D">
              <w:rPr>
                <w:rFonts w:cs="Arial"/>
                <w:color w:val="000000"/>
                <w:sz w:val="22"/>
              </w:rPr>
              <w:t>Gradient Boosting Machine</w:t>
            </w:r>
          </w:p>
        </w:tc>
        <w:tc>
          <w:tcPr>
            <w:tcW w:w="1620" w:type="dxa"/>
            <w:shd w:val="clear" w:color="auto" w:fill="auto"/>
            <w:noWrap/>
            <w:vAlign w:val="bottom"/>
            <w:hideMark/>
          </w:tcPr>
          <w:p w:rsidR="00067818" w:rsidRPr="006E7C0D" w:rsidRDefault="00067818" w:rsidP="00B859C4">
            <w:pPr>
              <w:rPr>
                <w:rFonts w:cs="Arial"/>
                <w:color w:val="000000"/>
                <w:sz w:val="22"/>
              </w:rPr>
            </w:pPr>
            <w:r w:rsidRPr="006E7C0D">
              <w:rPr>
                <w:rFonts w:cs="Arial"/>
                <w:color w:val="000000"/>
                <w:sz w:val="22"/>
              </w:rPr>
              <w:t>0.</w:t>
            </w:r>
            <w:r w:rsidR="00556C93" w:rsidRPr="006E7C0D">
              <w:rPr>
                <w:rFonts w:cs="Arial"/>
                <w:color w:val="000000"/>
                <w:sz w:val="22"/>
              </w:rPr>
              <w:t>876</w:t>
            </w:r>
            <w:r w:rsidRPr="006E7C0D">
              <w:rPr>
                <w:rFonts w:cs="Arial"/>
                <w:color w:val="000000"/>
                <w:sz w:val="22"/>
              </w:rPr>
              <w:t xml:space="preserve"> </w:t>
            </w:r>
          </w:p>
          <w:p w:rsidR="00067818" w:rsidRPr="006E7C0D" w:rsidRDefault="00067818" w:rsidP="00B859C4">
            <w:pPr>
              <w:rPr>
                <w:rFonts w:cs="Arial"/>
                <w:color w:val="000000"/>
                <w:sz w:val="22"/>
              </w:rPr>
            </w:pPr>
            <w:r w:rsidRPr="006E7C0D">
              <w:rPr>
                <w:rFonts w:cs="Arial"/>
                <w:color w:val="000000"/>
                <w:sz w:val="22"/>
              </w:rPr>
              <w:t>(0.</w:t>
            </w:r>
            <w:r w:rsidR="00556C93" w:rsidRPr="006E7C0D">
              <w:rPr>
                <w:rFonts w:cs="Arial"/>
                <w:color w:val="000000"/>
                <w:sz w:val="22"/>
              </w:rPr>
              <w:t>868</w:t>
            </w:r>
            <w:r w:rsidRPr="006E7C0D">
              <w:rPr>
                <w:rFonts w:cs="Arial"/>
                <w:color w:val="000000"/>
                <w:sz w:val="22"/>
              </w:rPr>
              <w:t>-0.</w:t>
            </w:r>
            <w:r w:rsidR="00556C93" w:rsidRPr="006E7C0D">
              <w:rPr>
                <w:rFonts w:cs="Arial"/>
                <w:color w:val="000000"/>
                <w:sz w:val="22"/>
              </w:rPr>
              <w:t>886</w:t>
            </w:r>
            <w:r w:rsidRPr="006E7C0D">
              <w:rPr>
                <w:rFonts w:cs="Arial"/>
                <w:color w:val="000000"/>
                <w:sz w:val="22"/>
              </w:rPr>
              <w:t>)</w:t>
            </w:r>
          </w:p>
        </w:tc>
        <w:tc>
          <w:tcPr>
            <w:tcW w:w="1620" w:type="dxa"/>
            <w:shd w:val="clear" w:color="auto" w:fill="auto"/>
            <w:noWrap/>
            <w:vAlign w:val="bottom"/>
            <w:hideMark/>
          </w:tcPr>
          <w:p w:rsidR="00067818" w:rsidRPr="006E7C0D" w:rsidRDefault="00067818" w:rsidP="00B859C4">
            <w:pPr>
              <w:rPr>
                <w:rFonts w:cs="Arial"/>
                <w:color w:val="000000"/>
                <w:sz w:val="22"/>
              </w:rPr>
            </w:pPr>
            <w:r w:rsidRPr="006E7C0D">
              <w:rPr>
                <w:rFonts w:cs="Arial"/>
                <w:color w:val="000000"/>
                <w:sz w:val="22"/>
              </w:rPr>
              <w:t>0.</w:t>
            </w:r>
            <w:r w:rsidR="00556C93" w:rsidRPr="006E7C0D">
              <w:rPr>
                <w:rFonts w:cs="Arial"/>
                <w:color w:val="000000"/>
                <w:sz w:val="22"/>
              </w:rPr>
              <w:t>460</w:t>
            </w:r>
            <w:r w:rsidRPr="006E7C0D">
              <w:rPr>
                <w:rFonts w:cs="Arial"/>
                <w:color w:val="000000"/>
                <w:sz w:val="22"/>
              </w:rPr>
              <w:t xml:space="preserve"> </w:t>
            </w:r>
          </w:p>
          <w:p w:rsidR="00067818" w:rsidRPr="006E7C0D" w:rsidRDefault="00067818" w:rsidP="00B859C4">
            <w:pPr>
              <w:rPr>
                <w:rFonts w:cs="Arial"/>
                <w:color w:val="000000"/>
                <w:sz w:val="22"/>
              </w:rPr>
            </w:pPr>
            <w:r w:rsidRPr="006E7C0D">
              <w:rPr>
                <w:rFonts w:cs="Arial"/>
                <w:color w:val="000000"/>
                <w:sz w:val="22"/>
              </w:rPr>
              <w:t>(0.</w:t>
            </w:r>
            <w:r w:rsidR="00556C93" w:rsidRPr="006E7C0D">
              <w:rPr>
                <w:rFonts w:cs="Arial"/>
                <w:color w:val="000000"/>
                <w:sz w:val="22"/>
              </w:rPr>
              <w:t>434</w:t>
            </w:r>
            <w:r w:rsidRPr="006E7C0D">
              <w:rPr>
                <w:rFonts w:cs="Arial"/>
                <w:color w:val="000000"/>
                <w:sz w:val="22"/>
              </w:rPr>
              <w:t>-0.</w:t>
            </w:r>
            <w:r w:rsidR="00556C93" w:rsidRPr="006E7C0D">
              <w:rPr>
                <w:rFonts w:cs="Arial"/>
                <w:color w:val="000000"/>
                <w:sz w:val="22"/>
              </w:rPr>
              <w:t>490</w:t>
            </w:r>
            <w:r w:rsidRPr="006E7C0D">
              <w:rPr>
                <w:rFonts w:cs="Arial"/>
                <w:color w:val="000000"/>
                <w:sz w:val="22"/>
              </w:rPr>
              <w:t>)</w:t>
            </w:r>
          </w:p>
        </w:tc>
        <w:tc>
          <w:tcPr>
            <w:tcW w:w="1620" w:type="dxa"/>
            <w:shd w:val="clear" w:color="auto" w:fill="auto"/>
            <w:noWrap/>
            <w:vAlign w:val="bottom"/>
            <w:hideMark/>
          </w:tcPr>
          <w:p w:rsidR="00067818" w:rsidRPr="006E7C0D" w:rsidRDefault="00067818" w:rsidP="00B859C4">
            <w:pPr>
              <w:rPr>
                <w:rFonts w:cs="Arial"/>
                <w:color w:val="000000"/>
                <w:sz w:val="22"/>
              </w:rPr>
            </w:pPr>
            <w:r w:rsidRPr="006E7C0D">
              <w:rPr>
                <w:rFonts w:cs="Arial"/>
                <w:color w:val="000000"/>
                <w:sz w:val="22"/>
              </w:rPr>
              <w:t>0.9</w:t>
            </w:r>
            <w:r w:rsidR="00BA691B" w:rsidRPr="006E7C0D">
              <w:rPr>
                <w:rFonts w:cs="Arial"/>
                <w:color w:val="000000"/>
                <w:sz w:val="22"/>
              </w:rPr>
              <w:t>18</w:t>
            </w:r>
            <w:r w:rsidRPr="006E7C0D">
              <w:rPr>
                <w:rFonts w:cs="Arial"/>
                <w:color w:val="000000"/>
                <w:sz w:val="22"/>
              </w:rPr>
              <w:t xml:space="preserve"> </w:t>
            </w:r>
          </w:p>
          <w:p w:rsidR="00067818" w:rsidRPr="006E7C0D" w:rsidRDefault="00067818" w:rsidP="00B859C4">
            <w:pPr>
              <w:rPr>
                <w:rFonts w:cs="Arial"/>
                <w:color w:val="000000"/>
                <w:sz w:val="22"/>
              </w:rPr>
            </w:pPr>
            <w:r w:rsidRPr="006E7C0D">
              <w:rPr>
                <w:rFonts w:cs="Arial"/>
                <w:color w:val="000000"/>
                <w:sz w:val="22"/>
              </w:rPr>
              <w:t>(0.</w:t>
            </w:r>
            <w:r w:rsidR="00BA691B" w:rsidRPr="006E7C0D">
              <w:rPr>
                <w:rFonts w:cs="Arial"/>
                <w:color w:val="000000"/>
                <w:sz w:val="22"/>
              </w:rPr>
              <w:t>904</w:t>
            </w:r>
            <w:r w:rsidRPr="006E7C0D">
              <w:rPr>
                <w:rFonts w:cs="Arial"/>
                <w:color w:val="000000"/>
                <w:sz w:val="22"/>
              </w:rPr>
              <w:t>-0.</w:t>
            </w:r>
            <w:r w:rsidR="00BA691B" w:rsidRPr="006E7C0D">
              <w:rPr>
                <w:rFonts w:cs="Arial"/>
                <w:color w:val="000000"/>
                <w:sz w:val="22"/>
              </w:rPr>
              <w:t>932</w:t>
            </w:r>
            <w:r w:rsidRPr="006E7C0D">
              <w:rPr>
                <w:rFonts w:cs="Arial"/>
                <w:color w:val="000000"/>
                <w:sz w:val="22"/>
              </w:rPr>
              <w:t>)</w:t>
            </w:r>
          </w:p>
        </w:tc>
        <w:tc>
          <w:tcPr>
            <w:tcW w:w="1620" w:type="dxa"/>
            <w:shd w:val="clear" w:color="auto" w:fill="auto"/>
            <w:noWrap/>
            <w:vAlign w:val="bottom"/>
            <w:hideMark/>
          </w:tcPr>
          <w:p w:rsidR="00067818" w:rsidRPr="006E7C0D" w:rsidRDefault="00067818" w:rsidP="00B859C4">
            <w:pPr>
              <w:rPr>
                <w:rFonts w:cs="Arial"/>
                <w:color w:val="000000"/>
                <w:sz w:val="22"/>
              </w:rPr>
            </w:pPr>
            <w:r w:rsidRPr="006E7C0D">
              <w:rPr>
                <w:rFonts w:cs="Arial"/>
                <w:color w:val="000000"/>
                <w:sz w:val="22"/>
              </w:rPr>
              <w:t>0.</w:t>
            </w:r>
            <w:r w:rsidR="00DD1AA9" w:rsidRPr="006E7C0D">
              <w:rPr>
                <w:rFonts w:cs="Arial"/>
                <w:color w:val="000000"/>
                <w:sz w:val="22"/>
              </w:rPr>
              <w:t>582</w:t>
            </w:r>
            <w:r w:rsidRPr="006E7C0D">
              <w:rPr>
                <w:rFonts w:cs="Arial"/>
                <w:color w:val="000000"/>
                <w:sz w:val="22"/>
              </w:rPr>
              <w:t xml:space="preserve"> </w:t>
            </w:r>
          </w:p>
          <w:p w:rsidR="00067818" w:rsidRPr="006E7C0D" w:rsidRDefault="00067818" w:rsidP="00B859C4">
            <w:pPr>
              <w:rPr>
                <w:rFonts w:cs="Arial"/>
                <w:color w:val="000000"/>
                <w:sz w:val="22"/>
              </w:rPr>
            </w:pPr>
            <w:r w:rsidRPr="006E7C0D">
              <w:rPr>
                <w:rFonts w:cs="Arial"/>
                <w:color w:val="000000"/>
                <w:sz w:val="22"/>
              </w:rPr>
              <w:t>(0.</w:t>
            </w:r>
            <w:r w:rsidR="00DD1AA9" w:rsidRPr="006E7C0D">
              <w:rPr>
                <w:rFonts w:cs="Arial"/>
                <w:color w:val="000000"/>
                <w:sz w:val="22"/>
              </w:rPr>
              <w:t>575</w:t>
            </w:r>
            <w:r w:rsidRPr="006E7C0D">
              <w:rPr>
                <w:rFonts w:cs="Arial"/>
                <w:color w:val="000000"/>
                <w:sz w:val="22"/>
              </w:rPr>
              <w:t>-0.</w:t>
            </w:r>
            <w:r w:rsidR="00DD1AA9" w:rsidRPr="006E7C0D">
              <w:rPr>
                <w:rFonts w:cs="Arial"/>
                <w:color w:val="000000"/>
                <w:sz w:val="22"/>
              </w:rPr>
              <w:t>589</w:t>
            </w:r>
            <w:r w:rsidRPr="006E7C0D">
              <w:rPr>
                <w:rFonts w:cs="Arial"/>
                <w:color w:val="000000"/>
                <w:sz w:val="22"/>
              </w:rPr>
              <w:t>)</w:t>
            </w:r>
          </w:p>
        </w:tc>
        <w:tc>
          <w:tcPr>
            <w:tcW w:w="1620" w:type="dxa"/>
            <w:shd w:val="clear" w:color="auto" w:fill="auto"/>
            <w:noWrap/>
            <w:vAlign w:val="bottom"/>
            <w:hideMark/>
          </w:tcPr>
          <w:p w:rsidR="00067818" w:rsidRPr="006E7C0D" w:rsidRDefault="00067818" w:rsidP="00B859C4">
            <w:pPr>
              <w:rPr>
                <w:rFonts w:cs="Arial"/>
                <w:color w:val="000000"/>
                <w:sz w:val="22"/>
              </w:rPr>
            </w:pPr>
            <w:r w:rsidRPr="006E7C0D">
              <w:rPr>
                <w:rFonts w:cs="Arial"/>
                <w:color w:val="000000"/>
                <w:sz w:val="22"/>
              </w:rPr>
              <w:t>0.</w:t>
            </w:r>
            <w:r w:rsidR="00DD1AA9" w:rsidRPr="006E7C0D">
              <w:rPr>
                <w:rFonts w:cs="Arial"/>
                <w:color w:val="000000"/>
                <w:sz w:val="22"/>
              </w:rPr>
              <w:t>151</w:t>
            </w:r>
          </w:p>
          <w:p w:rsidR="00067818" w:rsidRPr="006E7C0D" w:rsidRDefault="00067818" w:rsidP="00B859C4">
            <w:pPr>
              <w:rPr>
                <w:rFonts w:cs="Arial"/>
                <w:color w:val="000000"/>
                <w:sz w:val="22"/>
              </w:rPr>
            </w:pPr>
            <w:r w:rsidRPr="006E7C0D">
              <w:rPr>
                <w:rFonts w:cs="Arial"/>
                <w:color w:val="000000"/>
                <w:sz w:val="22"/>
              </w:rPr>
              <w:t>(0.</w:t>
            </w:r>
            <w:r w:rsidR="00DD1AA9" w:rsidRPr="006E7C0D">
              <w:rPr>
                <w:rFonts w:cs="Arial"/>
                <w:color w:val="000000"/>
                <w:sz w:val="22"/>
              </w:rPr>
              <w:t>144</w:t>
            </w:r>
            <w:r w:rsidRPr="006E7C0D">
              <w:rPr>
                <w:rFonts w:cs="Arial"/>
                <w:color w:val="000000"/>
                <w:sz w:val="22"/>
              </w:rPr>
              <w:t>-0.</w:t>
            </w:r>
            <w:r w:rsidR="00DD1AA9" w:rsidRPr="006E7C0D">
              <w:rPr>
                <w:rFonts w:cs="Arial"/>
                <w:color w:val="000000"/>
                <w:sz w:val="22"/>
              </w:rPr>
              <w:t>158</w:t>
            </w:r>
            <w:r w:rsidRPr="006E7C0D">
              <w:rPr>
                <w:rFonts w:cs="Arial"/>
                <w:color w:val="000000"/>
                <w:sz w:val="22"/>
              </w:rPr>
              <w:t>)</w:t>
            </w:r>
          </w:p>
        </w:tc>
        <w:tc>
          <w:tcPr>
            <w:tcW w:w="1260" w:type="dxa"/>
            <w:shd w:val="clear" w:color="auto" w:fill="auto"/>
            <w:noWrap/>
            <w:vAlign w:val="bottom"/>
            <w:hideMark/>
          </w:tcPr>
          <w:p w:rsidR="00067818" w:rsidRPr="006E7C0D" w:rsidRDefault="00C964BB" w:rsidP="00B859C4">
            <w:pPr>
              <w:rPr>
                <w:rFonts w:cs="Arial"/>
                <w:color w:val="000000"/>
                <w:sz w:val="22"/>
              </w:rPr>
            </w:pPr>
            <w:r w:rsidRPr="006E7C0D">
              <w:rPr>
                <w:rFonts w:cs="Arial"/>
                <w:color w:val="000000"/>
                <w:sz w:val="22"/>
              </w:rPr>
              <w:t>45.5</w:t>
            </w:r>
            <w:r w:rsidR="00067818" w:rsidRPr="006E7C0D">
              <w:rPr>
                <w:rFonts w:cs="Arial"/>
                <w:color w:val="000000"/>
                <w:sz w:val="22"/>
              </w:rPr>
              <w:t>% (</w:t>
            </w:r>
            <w:r w:rsidRPr="006E7C0D">
              <w:rPr>
                <w:rFonts w:cs="Arial"/>
                <w:color w:val="000000"/>
                <w:sz w:val="22"/>
              </w:rPr>
              <w:t>44.8</w:t>
            </w:r>
            <w:r w:rsidR="00067818" w:rsidRPr="006E7C0D">
              <w:rPr>
                <w:rFonts w:cs="Arial"/>
                <w:color w:val="000000"/>
                <w:sz w:val="22"/>
              </w:rPr>
              <w:t>-</w:t>
            </w:r>
            <w:r w:rsidRPr="006E7C0D">
              <w:rPr>
                <w:rFonts w:cs="Arial"/>
                <w:color w:val="000000"/>
                <w:sz w:val="22"/>
              </w:rPr>
              <w:t>46.2</w:t>
            </w:r>
            <w:r w:rsidR="00067818" w:rsidRPr="006E7C0D">
              <w:rPr>
                <w:rFonts w:cs="Arial"/>
                <w:color w:val="000000"/>
                <w:sz w:val="22"/>
              </w:rPr>
              <w:t>)</w:t>
            </w:r>
          </w:p>
        </w:tc>
      </w:tr>
    </w:tbl>
    <w:p w:rsidR="00067818" w:rsidRDefault="00067818"/>
    <w:p w:rsidR="00EB7B62" w:rsidRDefault="00EB7B62"/>
    <w:p w:rsidR="00EB7B62" w:rsidRDefault="00EB7B62"/>
    <w:p w:rsidR="000B1B0E" w:rsidRDefault="000B1B0E">
      <w:r>
        <w:br w:type="page"/>
      </w:r>
    </w:p>
    <w:p w:rsidR="000B1B0E" w:rsidRDefault="000B1B0E" w:rsidP="00CD6A1E">
      <w:r w:rsidRPr="00575B51">
        <w:rPr>
          <w:b/>
        </w:rPr>
        <w:lastRenderedPageBreak/>
        <w:t>Figure S1</w:t>
      </w:r>
      <w:r>
        <w:t xml:space="preserve"> – Illustration of </w:t>
      </w:r>
      <w:r w:rsidR="009735E9">
        <w:t>pre-operative note template used at Barnes Jewish Hospital. Clinicians (nurse practitioners and resident physicians) at the pre-operative assessment clinic complete this note template for all pre-surgical patients based on the patient interview and chart review. Clinicians flag the patient as having discrete comorbidities based on synthesis of the available data</w:t>
      </w:r>
      <w:r w:rsidR="004A36E5">
        <w:t xml:space="preserve"> by clicking the plus sign next to each listed comorbidity</w:t>
      </w:r>
      <w:r w:rsidR="009735E9">
        <w:t>. Illustrated below, the clinician has flagged this patient as having hypertension and diabetes.</w:t>
      </w:r>
      <w:r w:rsidR="00415A60">
        <w:t xml:space="preserve"> The comorbidities used for this study were abstracted from the flagged comorbidities in these pre-operative note templates with mapping of the comorbidities to note template buttons as follows: hypertension = </w:t>
      </w:r>
      <w:r w:rsidR="004A36E5">
        <w:t>“</w:t>
      </w:r>
      <w:r w:rsidR="00415A60">
        <w:t>HTN</w:t>
      </w:r>
      <w:r w:rsidR="004A36E5">
        <w:t>”</w:t>
      </w:r>
      <w:r w:rsidR="00415A60">
        <w:t xml:space="preserve">, congestive heart failure = </w:t>
      </w:r>
      <w:r w:rsidR="004A36E5">
        <w:t>“</w:t>
      </w:r>
      <w:r w:rsidR="00415A60">
        <w:t>CHF</w:t>
      </w:r>
      <w:r w:rsidR="004A36E5">
        <w:t>”</w:t>
      </w:r>
      <w:r w:rsidR="00415A60">
        <w:t xml:space="preserve">, smoking </w:t>
      </w:r>
      <w:r w:rsidR="004A36E5">
        <w:t>= “</w:t>
      </w:r>
      <w:r w:rsidR="00415A60">
        <w:t>Current smoker</w:t>
      </w:r>
      <w:r w:rsidR="004A36E5">
        <w:t>”</w:t>
      </w:r>
      <w:r w:rsidR="00415A60">
        <w:t>, chronic obstructive lung disease</w:t>
      </w:r>
      <w:r w:rsidR="004A36E5">
        <w:t xml:space="preserve"> = “COPD”</w:t>
      </w:r>
      <w:r w:rsidR="00415A60">
        <w:t>, dialysis</w:t>
      </w:r>
      <w:r w:rsidR="004A36E5">
        <w:t xml:space="preserve"> = “Dialysis”</w:t>
      </w:r>
      <w:r w:rsidR="00415A60">
        <w:t>, and diabetes</w:t>
      </w:r>
      <w:r w:rsidR="004A36E5">
        <w:t xml:space="preserve"> = “Diabetes Mellitus”</w:t>
      </w:r>
      <w:r w:rsidR="00415A60">
        <w:t>.</w:t>
      </w:r>
    </w:p>
    <w:p w:rsidR="009735E9" w:rsidRDefault="009735E9" w:rsidP="00CD6A1E"/>
    <w:p w:rsidR="000B1B0E" w:rsidRDefault="000B1B0E">
      <w:r w:rsidRPr="000B1B0E">
        <w:rPr>
          <w:noProof/>
        </w:rPr>
        <w:drawing>
          <wp:inline distT="0" distB="0" distL="0" distR="0" wp14:anchorId="7957E0A3" wp14:editId="4ECFA91A">
            <wp:extent cx="5943600" cy="583649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2313"/>
                    <a:stretch/>
                  </pic:blipFill>
                  <pic:spPr bwMode="auto">
                    <a:xfrm>
                      <a:off x="0" y="0"/>
                      <a:ext cx="5943600" cy="5836492"/>
                    </a:xfrm>
                    <a:prstGeom prst="rect">
                      <a:avLst/>
                    </a:prstGeom>
                    <a:ln>
                      <a:noFill/>
                    </a:ln>
                    <a:extLst>
                      <a:ext uri="{53640926-AAD7-44D8-BBD7-CCE9431645EC}">
                        <a14:shadowObscured xmlns:a14="http://schemas.microsoft.com/office/drawing/2010/main"/>
                      </a:ext>
                    </a:extLst>
                  </pic:spPr>
                </pic:pic>
              </a:graphicData>
            </a:graphic>
          </wp:inline>
        </w:drawing>
      </w:r>
      <w:r>
        <w:br w:type="page"/>
      </w:r>
    </w:p>
    <w:p w:rsidR="000B1B0E" w:rsidRDefault="00266E46" w:rsidP="00CD6A1E">
      <w:r w:rsidRPr="008A07A2">
        <w:rPr>
          <w:b/>
        </w:rPr>
        <w:lastRenderedPageBreak/>
        <w:t>Figure S2</w:t>
      </w:r>
      <w:r>
        <w:t xml:space="preserve"> – Calibration plots for model performance on the internal validation </w:t>
      </w:r>
      <w:r w:rsidR="0099625D">
        <w:t xml:space="preserve">(a) </w:t>
      </w:r>
      <w:r>
        <w:t xml:space="preserve">and external validation </w:t>
      </w:r>
      <w:r w:rsidR="0099625D">
        <w:t xml:space="preserve">(b) </w:t>
      </w:r>
      <w:r>
        <w:t>data.</w:t>
      </w:r>
      <w:r w:rsidR="00203A10">
        <w:t xml:space="preserve"> </w:t>
      </w:r>
      <w:r w:rsidR="00AF168F">
        <w:t>Perfect calibration</w:t>
      </w:r>
      <w:r w:rsidR="00203A10">
        <w:t xml:space="preserve"> is indicated by the </w:t>
      </w:r>
      <w:r w:rsidR="00D53CA6">
        <w:t>dashed</w:t>
      </w:r>
      <w:r w:rsidR="00203A10">
        <w:t xml:space="preserve"> black line.</w:t>
      </w:r>
      <w:r w:rsidR="008A1782">
        <w:t xml:space="preserve"> All models appear to over-estimate transfusion risk, with observed probability less than predicted probability.</w:t>
      </w:r>
    </w:p>
    <w:p w:rsidR="008B6E29" w:rsidRDefault="008B6E29" w:rsidP="00CD6A1E"/>
    <w:p w:rsidR="008B6E29" w:rsidRDefault="009A05FD" w:rsidP="00CD6A1E">
      <w:r>
        <w:rPr>
          <w:noProof/>
        </w:rPr>
        <w:drawing>
          <wp:inline distT="0" distB="0" distL="0" distR="0">
            <wp:extent cx="5539563" cy="274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ibration.png"/>
                    <pic:cNvPicPr/>
                  </pic:nvPicPr>
                  <pic:blipFill>
                    <a:blip r:embed="rId5">
                      <a:extLst>
                        <a:ext uri="{28A0092B-C50C-407E-A947-70E740481C1C}">
                          <a14:useLocalDpi xmlns:a14="http://schemas.microsoft.com/office/drawing/2010/main" val="0"/>
                        </a:ext>
                      </a:extLst>
                    </a:blip>
                    <a:stretch>
                      <a:fillRect/>
                    </a:stretch>
                  </pic:blipFill>
                  <pic:spPr>
                    <a:xfrm>
                      <a:off x="0" y="0"/>
                      <a:ext cx="5540869" cy="2747347"/>
                    </a:xfrm>
                    <a:prstGeom prst="rect">
                      <a:avLst/>
                    </a:prstGeom>
                  </pic:spPr>
                </pic:pic>
              </a:graphicData>
            </a:graphic>
          </wp:inline>
        </w:drawing>
      </w:r>
    </w:p>
    <w:p w:rsidR="002810E0" w:rsidRDefault="002810E0" w:rsidP="00CD6A1E"/>
    <w:p w:rsidR="00272529" w:rsidRDefault="00272529">
      <w:r>
        <w:br w:type="page"/>
      </w:r>
    </w:p>
    <w:p w:rsidR="00B07ACD" w:rsidRDefault="00272529" w:rsidP="00CD6A1E">
      <w:r w:rsidRPr="00A62E18">
        <w:rPr>
          <w:b/>
        </w:rPr>
        <w:lastRenderedPageBreak/>
        <w:t>Figure S3</w:t>
      </w:r>
      <w:r>
        <w:t xml:space="preserve"> – Net benefit analysis</w:t>
      </w:r>
      <w:r w:rsidR="00813E85">
        <w:t xml:space="preserve"> </w:t>
      </w:r>
      <w:r w:rsidR="00081800">
        <w:t>using</w:t>
      </w:r>
      <w:r w:rsidR="00813E85">
        <w:t xml:space="preserve"> the external validation cohort.</w:t>
      </w:r>
      <w:r w:rsidR="00081800">
        <w:t xml:space="preserve"> </w:t>
      </w:r>
    </w:p>
    <w:p w:rsidR="00B07ACD" w:rsidRDefault="00B07ACD" w:rsidP="00CD6A1E"/>
    <w:p w:rsidR="00B07ACD" w:rsidRDefault="00081800" w:rsidP="00CD6A1E">
      <w:r>
        <w:t xml:space="preserve">Net benefit analysis is based on the idea that </w:t>
      </w:r>
      <w:r w:rsidR="00B25829">
        <w:t>each</w:t>
      </w:r>
      <w:r>
        <w:t xml:space="preserve"> </w:t>
      </w:r>
      <w:r w:rsidR="00B25829">
        <w:t xml:space="preserve">possible </w:t>
      </w:r>
      <w:r>
        <w:t>decision threshold implies a value judgement on the tradeoff between true positives (ordering type and screens for patients who require transfusion) and false positives (ordering type and screens for patients who do not require transfusion)</w:t>
      </w:r>
      <w:r w:rsidR="00A4303F">
        <w:t>[31]</w:t>
      </w:r>
      <w:r>
        <w:t>; for example, a threshold of 0.05 implies that one would be willing to perform 20 additional type and screens to identify 1 additional patient who requires transfusion.</w:t>
      </w:r>
      <w:r w:rsidR="00B25829">
        <w:t xml:space="preserve"> For each possible decision threshold, </w:t>
      </w:r>
      <w:r w:rsidR="002769FC">
        <w:t>its implied value judgement is used to compute the “</w:t>
      </w:r>
      <w:r w:rsidR="007F7BA9">
        <w:t>value</w:t>
      </w:r>
      <w:r w:rsidR="002769FC">
        <w:t>” or net benefit of each model</w:t>
      </w:r>
      <w:r w:rsidR="00691EE4">
        <w:t xml:space="preserve"> based on its predictive performance</w:t>
      </w:r>
      <w:r w:rsidR="002769FC">
        <w:t>.</w:t>
      </w:r>
      <w:r w:rsidR="00157238">
        <w:t xml:space="preserve"> </w:t>
      </w:r>
    </w:p>
    <w:p w:rsidR="00B07ACD" w:rsidRDefault="00B07ACD" w:rsidP="00CD6A1E"/>
    <w:p w:rsidR="00A62E18" w:rsidRDefault="00D56EC1" w:rsidP="00CD6A1E">
      <w:r>
        <w:t>In the figure</w:t>
      </w:r>
      <w:r w:rsidR="002769FC">
        <w:t xml:space="preserve">, the baseline and gradient boosting models are compared to two other reference </w:t>
      </w:r>
      <w:r w:rsidR="00462311">
        <w:t>strategies</w:t>
      </w:r>
      <w:r w:rsidR="000D353A">
        <w:t xml:space="preserve"> for type and screen allocation:</w:t>
      </w:r>
      <w:r w:rsidR="002769FC">
        <w:t xml:space="preserve"> ordering type and screens for everyone, and ordering type and screens for no one.</w:t>
      </w:r>
      <w:r w:rsidR="0057197F">
        <w:t xml:space="preserve"> The gradient boosting model has the highest net benefit for all threshold probabilities &gt; 0.0012. For threshold probabilities &lt; 0.0012 (i.e., if one is willing to perform 833 or more type and screens to identify </w:t>
      </w:r>
      <w:r w:rsidR="007F1F13">
        <w:t>1</w:t>
      </w:r>
      <w:r w:rsidR="0057197F">
        <w:t xml:space="preserve"> patient who requires transfusion), the strategy of ordering type and screens for all patients has highest net benefit.</w:t>
      </w:r>
    </w:p>
    <w:p w:rsidR="00A62E18" w:rsidRDefault="00A62E18" w:rsidP="00CD6A1E"/>
    <w:p w:rsidR="00A62E18" w:rsidRDefault="00A62E18" w:rsidP="00CD6A1E"/>
    <w:p w:rsidR="00272529" w:rsidRDefault="00A62E18" w:rsidP="00CD6A1E">
      <w:r>
        <w:rPr>
          <w:noProof/>
        </w:rPr>
        <w:drawing>
          <wp:inline distT="0" distB="0" distL="0" distR="0" wp14:anchorId="6DEE5FDF" wp14:editId="6CE0E033">
            <wp:extent cx="6072964" cy="31685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t_benefi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72964" cy="3168503"/>
                    </a:xfrm>
                    <a:prstGeom prst="rect">
                      <a:avLst/>
                    </a:prstGeom>
                  </pic:spPr>
                </pic:pic>
              </a:graphicData>
            </a:graphic>
          </wp:inline>
        </w:drawing>
      </w:r>
    </w:p>
    <w:sectPr w:rsidR="00272529" w:rsidSect="001C0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FB"/>
    <w:rsid w:val="000012CE"/>
    <w:rsid w:val="000131AA"/>
    <w:rsid w:val="000275F0"/>
    <w:rsid w:val="00041511"/>
    <w:rsid w:val="000522E7"/>
    <w:rsid w:val="00067818"/>
    <w:rsid w:val="00074E76"/>
    <w:rsid w:val="00081800"/>
    <w:rsid w:val="00086B1E"/>
    <w:rsid w:val="00086D21"/>
    <w:rsid w:val="00096ABE"/>
    <w:rsid w:val="000B1B0E"/>
    <w:rsid w:val="000C0491"/>
    <w:rsid w:val="000C2173"/>
    <w:rsid w:val="000D1839"/>
    <w:rsid w:val="000D353A"/>
    <w:rsid w:val="000E65A0"/>
    <w:rsid w:val="00100940"/>
    <w:rsid w:val="00103BE1"/>
    <w:rsid w:val="00113781"/>
    <w:rsid w:val="00116EBD"/>
    <w:rsid w:val="00120C37"/>
    <w:rsid w:val="00121AAB"/>
    <w:rsid w:val="00126A1B"/>
    <w:rsid w:val="00126F69"/>
    <w:rsid w:val="00132FC8"/>
    <w:rsid w:val="00157238"/>
    <w:rsid w:val="00162D7B"/>
    <w:rsid w:val="001707D1"/>
    <w:rsid w:val="00191863"/>
    <w:rsid w:val="001A56F4"/>
    <w:rsid w:val="001B571E"/>
    <w:rsid w:val="001B5BFE"/>
    <w:rsid w:val="001C0484"/>
    <w:rsid w:val="001C6061"/>
    <w:rsid w:val="001D28FF"/>
    <w:rsid w:val="001E19F2"/>
    <w:rsid w:val="001E7A43"/>
    <w:rsid w:val="001F2BAE"/>
    <w:rsid w:val="00203A10"/>
    <w:rsid w:val="00210982"/>
    <w:rsid w:val="00225295"/>
    <w:rsid w:val="0023051E"/>
    <w:rsid w:val="00236C0D"/>
    <w:rsid w:val="0024662C"/>
    <w:rsid w:val="00246638"/>
    <w:rsid w:val="00250E3E"/>
    <w:rsid w:val="00252075"/>
    <w:rsid w:val="002541F4"/>
    <w:rsid w:val="00255E03"/>
    <w:rsid w:val="00266E46"/>
    <w:rsid w:val="002707B4"/>
    <w:rsid w:val="00271236"/>
    <w:rsid w:val="00272529"/>
    <w:rsid w:val="00276614"/>
    <w:rsid w:val="002769FC"/>
    <w:rsid w:val="00277B77"/>
    <w:rsid w:val="002800F2"/>
    <w:rsid w:val="002810E0"/>
    <w:rsid w:val="0028228E"/>
    <w:rsid w:val="00285968"/>
    <w:rsid w:val="002A5C67"/>
    <w:rsid w:val="002A6C5A"/>
    <w:rsid w:val="002B33C4"/>
    <w:rsid w:val="002B6E53"/>
    <w:rsid w:val="002C7EF2"/>
    <w:rsid w:val="002E4693"/>
    <w:rsid w:val="002E61B9"/>
    <w:rsid w:val="002F649B"/>
    <w:rsid w:val="002F6DDF"/>
    <w:rsid w:val="002F6E23"/>
    <w:rsid w:val="003119A4"/>
    <w:rsid w:val="003233AC"/>
    <w:rsid w:val="00335043"/>
    <w:rsid w:val="003367C3"/>
    <w:rsid w:val="00353915"/>
    <w:rsid w:val="00380FBB"/>
    <w:rsid w:val="003940EB"/>
    <w:rsid w:val="003951B4"/>
    <w:rsid w:val="00396584"/>
    <w:rsid w:val="003B5362"/>
    <w:rsid w:val="003D641E"/>
    <w:rsid w:val="003F38A1"/>
    <w:rsid w:val="00403C2D"/>
    <w:rsid w:val="00415A60"/>
    <w:rsid w:val="00443CD5"/>
    <w:rsid w:val="00447FF3"/>
    <w:rsid w:val="004524F7"/>
    <w:rsid w:val="00462311"/>
    <w:rsid w:val="00471E07"/>
    <w:rsid w:val="004770BF"/>
    <w:rsid w:val="004816ED"/>
    <w:rsid w:val="00493CFD"/>
    <w:rsid w:val="004A36E5"/>
    <w:rsid w:val="004B16AA"/>
    <w:rsid w:val="004B3330"/>
    <w:rsid w:val="004B51E6"/>
    <w:rsid w:val="004F14C4"/>
    <w:rsid w:val="004F6584"/>
    <w:rsid w:val="005000F7"/>
    <w:rsid w:val="005044D1"/>
    <w:rsid w:val="0050467D"/>
    <w:rsid w:val="005238BD"/>
    <w:rsid w:val="00535CD1"/>
    <w:rsid w:val="00542BE3"/>
    <w:rsid w:val="00547034"/>
    <w:rsid w:val="005522EF"/>
    <w:rsid w:val="00556C93"/>
    <w:rsid w:val="00563DD6"/>
    <w:rsid w:val="005640C5"/>
    <w:rsid w:val="0057197F"/>
    <w:rsid w:val="00575B51"/>
    <w:rsid w:val="005806E6"/>
    <w:rsid w:val="0058629D"/>
    <w:rsid w:val="005959D6"/>
    <w:rsid w:val="005C75B7"/>
    <w:rsid w:val="005E4384"/>
    <w:rsid w:val="00605D2E"/>
    <w:rsid w:val="00607592"/>
    <w:rsid w:val="006210E6"/>
    <w:rsid w:val="006243DF"/>
    <w:rsid w:val="006253DB"/>
    <w:rsid w:val="00633C3C"/>
    <w:rsid w:val="00652D8F"/>
    <w:rsid w:val="006671CC"/>
    <w:rsid w:val="0068213C"/>
    <w:rsid w:val="00684A75"/>
    <w:rsid w:val="0068645C"/>
    <w:rsid w:val="00686DFB"/>
    <w:rsid w:val="0069030C"/>
    <w:rsid w:val="00691EE4"/>
    <w:rsid w:val="006A490D"/>
    <w:rsid w:val="006B12C6"/>
    <w:rsid w:val="006E6FD0"/>
    <w:rsid w:val="006E7C0D"/>
    <w:rsid w:val="006F35E5"/>
    <w:rsid w:val="006F3615"/>
    <w:rsid w:val="006F54DF"/>
    <w:rsid w:val="0070304E"/>
    <w:rsid w:val="00707733"/>
    <w:rsid w:val="00725898"/>
    <w:rsid w:val="00726D47"/>
    <w:rsid w:val="007369CF"/>
    <w:rsid w:val="00762716"/>
    <w:rsid w:val="0077278E"/>
    <w:rsid w:val="007812E3"/>
    <w:rsid w:val="00785B3A"/>
    <w:rsid w:val="007928DE"/>
    <w:rsid w:val="007939C6"/>
    <w:rsid w:val="007E1461"/>
    <w:rsid w:val="007F1F13"/>
    <w:rsid w:val="007F7BA9"/>
    <w:rsid w:val="0080105E"/>
    <w:rsid w:val="00813E85"/>
    <w:rsid w:val="00817F39"/>
    <w:rsid w:val="00826376"/>
    <w:rsid w:val="00831D4F"/>
    <w:rsid w:val="00834461"/>
    <w:rsid w:val="00837850"/>
    <w:rsid w:val="00841F6B"/>
    <w:rsid w:val="008425EE"/>
    <w:rsid w:val="00874D17"/>
    <w:rsid w:val="008835F8"/>
    <w:rsid w:val="008908EC"/>
    <w:rsid w:val="008A07A2"/>
    <w:rsid w:val="008A1782"/>
    <w:rsid w:val="008A232B"/>
    <w:rsid w:val="008A51AD"/>
    <w:rsid w:val="008B6E29"/>
    <w:rsid w:val="008D732E"/>
    <w:rsid w:val="008E133F"/>
    <w:rsid w:val="008F20F9"/>
    <w:rsid w:val="008F30B5"/>
    <w:rsid w:val="008F6377"/>
    <w:rsid w:val="0090057F"/>
    <w:rsid w:val="00900619"/>
    <w:rsid w:val="00900652"/>
    <w:rsid w:val="009127CC"/>
    <w:rsid w:val="00921C21"/>
    <w:rsid w:val="009237AC"/>
    <w:rsid w:val="00925631"/>
    <w:rsid w:val="00930F5F"/>
    <w:rsid w:val="00942B43"/>
    <w:rsid w:val="00963407"/>
    <w:rsid w:val="009658F6"/>
    <w:rsid w:val="009735E9"/>
    <w:rsid w:val="00983281"/>
    <w:rsid w:val="0098464F"/>
    <w:rsid w:val="0099625D"/>
    <w:rsid w:val="00996702"/>
    <w:rsid w:val="009A0422"/>
    <w:rsid w:val="009A05FD"/>
    <w:rsid w:val="009B185C"/>
    <w:rsid w:val="009B3ECB"/>
    <w:rsid w:val="009B5D37"/>
    <w:rsid w:val="009B799E"/>
    <w:rsid w:val="009C137F"/>
    <w:rsid w:val="009E6A72"/>
    <w:rsid w:val="009F44D7"/>
    <w:rsid w:val="009F4A40"/>
    <w:rsid w:val="00A00E75"/>
    <w:rsid w:val="00A108BD"/>
    <w:rsid w:val="00A11D9E"/>
    <w:rsid w:val="00A21358"/>
    <w:rsid w:val="00A4303F"/>
    <w:rsid w:val="00A608D9"/>
    <w:rsid w:val="00A61189"/>
    <w:rsid w:val="00A62E18"/>
    <w:rsid w:val="00A67E5D"/>
    <w:rsid w:val="00A842A6"/>
    <w:rsid w:val="00A8576F"/>
    <w:rsid w:val="00A85BC9"/>
    <w:rsid w:val="00A9622E"/>
    <w:rsid w:val="00A97E0F"/>
    <w:rsid w:val="00AC342C"/>
    <w:rsid w:val="00AF168F"/>
    <w:rsid w:val="00B00B6B"/>
    <w:rsid w:val="00B06211"/>
    <w:rsid w:val="00B07ACD"/>
    <w:rsid w:val="00B25829"/>
    <w:rsid w:val="00B502AF"/>
    <w:rsid w:val="00B60A72"/>
    <w:rsid w:val="00B70557"/>
    <w:rsid w:val="00B80BD9"/>
    <w:rsid w:val="00B82222"/>
    <w:rsid w:val="00B972C7"/>
    <w:rsid w:val="00BA41BF"/>
    <w:rsid w:val="00BA691B"/>
    <w:rsid w:val="00BB3746"/>
    <w:rsid w:val="00BB3FB8"/>
    <w:rsid w:val="00BC28EC"/>
    <w:rsid w:val="00BD23FE"/>
    <w:rsid w:val="00BE1E21"/>
    <w:rsid w:val="00BF7937"/>
    <w:rsid w:val="00C03DF5"/>
    <w:rsid w:val="00C13BE8"/>
    <w:rsid w:val="00C17243"/>
    <w:rsid w:val="00C2025E"/>
    <w:rsid w:val="00C40CE6"/>
    <w:rsid w:val="00C45156"/>
    <w:rsid w:val="00C45A3E"/>
    <w:rsid w:val="00C630DC"/>
    <w:rsid w:val="00C64355"/>
    <w:rsid w:val="00C7431E"/>
    <w:rsid w:val="00C964BB"/>
    <w:rsid w:val="00CA1C08"/>
    <w:rsid w:val="00CA4E21"/>
    <w:rsid w:val="00CB53E2"/>
    <w:rsid w:val="00CD6260"/>
    <w:rsid w:val="00CD6273"/>
    <w:rsid w:val="00CD6A1E"/>
    <w:rsid w:val="00CE3585"/>
    <w:rsid w:val="00D07C4E"/>
    <w:rsid w:val="00D1043A"/>
    <w:rsid w:val="00D121CF"/>
    <w:rsid w:val="00D218B5"/>
    <w:rsid w:val="00D30D78"/>
    <w:rsid w:val="00D31484"/>
    <w:rsid w:val="00D37A22"/>
    <w:rsid w:val="00D53CA6"/>
    <w:rsid w:val="00D55AB4"/>
    <w:rsid w:val="00D56EC1"/>
    <w:rsid w:val="00D6277E"/>
    <w:rsid w:val="00D65A2F"/>
    <w:rsid w:val="00D66552"/>
    <w:rsid w:val="00D71BA4"/>
    <w:rsid w:val="00D77E76"/>
    <w:rsid w:val="00D979C4"/>
    <w:rsid w:val="00DA6803"/>
    <w:rsid w:val="00DD1AA9"/>
    <w:rsid w:val="00DF70E0"/>
    <w:rsid w:val="00E039D0"/>
    <w:rsid w:val="00E2744E"/>
    <w:rsid w:val="00E5515D"/>
    <w:rsid w:val="00E56C74"/>
    <w:rsid w:val="00E84E80"/>
    <w:rsid w:val="00E85E14"/>
    <w:rsid w:val="00E86EA0"/>
    <w:rsid w:val="00EB7891"/>
    <w:rsid w:val="00EB7A68"/>
    <w:rsid w:val="00EB7B62"/>
    <w:rsid w:val="00EC7D44"/>
    <w:rsid w:val="00F07958"/>
    <w:rsid w:val="00F2592C"/>
    <w:rsid w:val="00F45759"/>
    <w:rsid w:val="00F47A37"/>
    <w:rsid w:val="00F6451E"/>
    <w:rsid w:val="00F675DD"/>
    <w:rsid w:val="00F70102"/>
    <w:rsid w:val="00F723CA"/>
    <w:rsid w:val="00F7557F"/>
    <w:rsid w:val="00F84F90"/>
    <w:rsid w:val="00F861FB"/>
    <w:rsid w:val="00F90C5D"/>
    <w:rsid w:val="00FB2768"/>
    <w:rsid w:val="00FC1CDF"/>
    <w:rsid w:val="00FC3646"/>
    <w:rsid w:val="00FD1890"/>
    <w:rsid w:val="00FD2D9D"/>
    <w:rsid w:val="00FD461F"/>
    <w:rsid w:val="00FD4918"/>
    <w:rsid w:val="00FE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1A85"/>
  <w15:chartTrackingRefBased/>
  <w15:docId w15:val="{DE471CF2-A02F-164C-8586-5AF00115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A1E"/>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D9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1D9E"/>
    <w:rPr>
      <w:rFonts w:ascii="Times New Roman" w:hAnsi="Times New Roman" w:cs="Times New Roman"/>
      <w:sz w:val="18"/>
      <w:szCs w:val="18"/>
    </w:rPr>
  </w:style>
  <w:style w:type="table" w:styleId="TableGrid">
    <w:name w:val="Table Grid"/>
    <w:basedOn w:val="TableNormal"/>
    <w:uiPriority w:val="39"/>
    <w:rsid w:val="00113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L</dc:creator>
  <cp:keywords/>
  <dc:description/>
  <cp:lastModifiedBy>Sunny L</cp:lastModifiedBy>
  <cp:revision>227</cp:revision>
  <dcterms:created xsi:type="dcterms:W3CDTF">2021-04-23T21:03:00Z</dcterms:created>
  <dcterms:modified xsi:type="dcterms:W3CDTF">2021-12-07T21:25:00Z</dcterms:modified>
</cp:coreProperties>
</file>