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7C9E" w14:textId="18AC3A32" w:rsidR="0063103C" w:rsidRDefault="0063103C" w:rsidP="00D515D7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Supplemental Digital Content</w:t>
      </w:r>
    </w:p>
    <w:p w14:paraId="18689BB9" w14:textId="6D61833B" w:rsidR="00D515D7" w:rsidRDefault="00A356EB" w:rsidP="00D515D7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inline distT="0" distB="0" distL="0" distR="0" wp14:anchorId="50F4724F" wp14:editId="430F6FDA">
            <wp:extent cx="5943600" cy="2687955"/>
            <wp:effectExtent l="0" t="0" r="0" b="4445"/>
            <wp:docPr id="3" name="Picture 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393CB" w14:textId="0EDA192C" w:rsidR="00BE472F" w:rsidRDefault="00D515D7" w:rsidP="00D515D7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E5B64">
        <w:rPr>
          <w:rFonts w:ascii="Times New Roman" w:hAnsi="Times New Roman" w:cs="Times New Roman"/>
          <w:b/>
          <w:bCs/>
          <w:color w:val="000000" w:themeColor="text1"/>
        </w:rPr>
        <w:t xml:space="preserve">Figure 1. </w:t>
      </w:r>
      <w:r>
        <w:rPr>
          <w:rFonts w:ascii="Times New Roman" w:hAnsi="Times New Roman" w:cs="Times New Roman"/>
          <w:color w:val="000000" w:themeColor="text1"/>
        </w:rPr>
        <w:t>Parameter selection for dynamic connectivity analysis.</w:t>
      </w:r>
      <w:r w:rsidR="00BE472F">
        <w:rPr>
          <w:rFonts w:ascii="Times New Roman" w:hAnsi="Times New Roman" w:cs="Times New Roman"/>
          <w:color w:val="000000" w:themeColor="text1"/>
        </w:rPr>
        <w:t xml:space="preserve"> The cumulative sum of explained variance plots as a function of the number of retained principal components (PC) is shown in (A). The stability index which quantifies the reproducibility of clustering solutions for the studied dataset (smaller value suggests a higher agreement level) and the number of clusters (mean across 100 </w:t>
      </w:r>
      <w:proofErr w:type="gramStart"/>
      <w:r w:rsidR="00BE472F">
        <w:rPr>
          <w:rFonts w:ascii="Times New Roman" w:hAnsi="Times New Roman" w:cs="Times New Roman"/>
          <w:color w:val="000000" w:themeColor="text1"/>
        </w:rPr>
        <w:t>realizations;</w:t>
      </w:r>
      <w:proofErr w:type="gramEnd"/>
      <w:r w:rsidR="00BE472F">
        <w:rPr>
          <w:rFonts w:ascii="Times New Roman" w:hAnsi="Times New Roman" w:cs="Times New Roman"/>
          <w:color w:val="000000" w:themeColor="text1"/>
        </w:rPr>
        <w:t xml:space="preserve"> B). Fractional occupancy (FO)</w:t>
      </w:r>
      <w:r w:rsidR="005C493B">
        <w:rPr>
          <w:rFonts w:ascii="Times New Roman" w:hAnsi="Times New Roman" w:cs="Times New Roman"/>
          <w:color w:val="000000" w:themeColor="text1"/>
        </w:rPr>
        <w:t xml:space="preserve"> of the connectivity state associated with baseline</w:t>
      </w:r>
      <w:r w:rsidR="00BE472F">
        <w:rPr>
          <w:rFonts w:ascii="Times New Roman" w:hAnsi="Times New Roman" w:cs="Times New Roman"/>
          <w:color w:val="000000" w:themeColor="text1"/>
        </w:rPr>
        <w:t xml:space="preserve"> (left) and anesthetic state (right; from loss of consciousness to the discontinuation of anesthetic agent; mean across 100 realizations; C). </w:t>
      </w:r>
      <w:r w:rsidR="00BE472F" w:rsidRPr="00D515D7">
        <w:rPr>
          <w:rFonts w:ascii="Times New Roman" w:hAnsi="Times New Roman" w:cs="Times New Roman"/>
          <w:color w:val="000000" w:themeColor="text1"/>
        </w:rPr>
        <w:t xml:space="preserve">Under the assumption that the subjects were unconscious during anesthesia, the connectivity state associated with baseline ideally should </w:t>
      </w:r>
      <w:r w:rsidR="00BE472F">
        <w:rPr>
          <w:rFonts w:ascii="Times New Roman" w:hAnsi="Times New Roman" w:cs="Times New Roman"/>
          <w:color w:val="000000" w:themeColor="text1"/>
        </w:rPr>
        <w:t>differ from those during general</w:t>
      </w:r>
      <w:r w:rsidR="00BE472F" w:rsidRPr="00D515D7">
        <w:rPr>
          <w:rFonts w:ascii="Times New Roman" w:hAnsi="Times New Roman" w:cs="Times New Roman"/>
          <w:color w:val="000000" w:themeColor="text1"/>
        </w:rPr>
        <w:t xml:space="preserve"> anesthesia</w:t>
      </w:r>
      <w:r w:rsidR="00BE472F">
        <w:rPr>
          <w:rFonts w:ascii="Times New Roman" w:hAnsi="Times New Roman" w:cs="Times New Roman"/>
          <w:color w:val="000000" w:themeColor="text1"/>
        </w:rPr>
        <w:t xml:space="preserve"> (see Figure 2)</w:t>
      </w:r>
      <w:r w:rsidR="002B0790">
        <w:rPr>
          <w:rFonts w:ascii="Times New Roman" w:hAnsi="Times New Roman" w:cs="Times New Roman"/>
          <w:color w:val="000000" w:themeColor="text1"/>
        </w:rPr>
        <w:t xml:space="preserve">, thus </w:t>
      </w:r>
      <w:r w:rsidR="005C493B" w:rsidRPr="005C493B">
        <w:rPr>
          <w:rFonts w:ascii="Times New Roman" w:hAnsi="Times New Roman" w:cs="Times New Roman"/>
          <w:color w:val="000000" w:themeColor="text1"/>
        </w:rPr>
        <w:t>a smaller value of FO in anesthesia suggesting a better clustering solution</w:t>
      </w:r>
      <w:r w:rsidR="00BE472F">
        <w:rPr>
          <w:rFonts w:ascii="Times New Roman" w:hAnsi="Times New Roman" w:cs="Times New Roman"/>
          <w:color w:val="000000" w:themeColor="text1"/>
        </w:rPr>
        <w:t xml:space="preserve">. </w:t>
      </w:r>
      <w:r w:rsidR="003C6AA3">
        <w:rPr>
          <w:rFonts w:ascii="Times New Roman" w:hAnsi="Times New Roman" w:cs="Times New Roman"/>
          <w:color w:val="000000" w:themeColor="text1"/>
        </w:rPr>
        <w:t>Overall,</w:t>
      </w:r>
      <w:r w:rsidR="00BE472F">
        <w:rPr>
          <w:rFonts w:ascii="Times New Roman" w:hAnsi="Times New Roman" w:cs="Times New Roman"/>
          <w:color w:val="000000" w:themeColor="text1"/>
        </w:rPr>
        <w:t xml:space="preserve"> a 3-cluster solution showed the best performance (B</w:t>
      </w:r>
      <w:r w:rsidR="002B0790">
        <w:rPr>
          <w:rFonts w:ascii="Times New Roman" w:hAnsi="Times New Roman" w:cs="Times New Roman"/>
          <w:color w:val="000000" w:themeColor="text1"/>
        </w:rPr>
        <w:t xml:space="preserve">) </w:t>
      </w:r>
      <w:r w:rsidR="005C493B">
        <w:rPr>
          <w:rFonts w:ascii="Times New Roman" w:hAnsi="Times New Roman" w:cs="Times New Roman"/>
          <w:color w:val="000000" w:themeColor="text1"/>
        </w:rPr>
        <w:t xml:space="preserve">followed by 4- to 7- cluster solutions </w:t>
      </w:r>
      <w:r w:rsidR="002B0790">
        <w:rPr>
          <w:rFonts w:ascii="Times New Roman" w:hAnsi="Times New Roman" w:cs="Times New Roman"/>
          <w:color w:val="000000" w:themeColor="text1"/>
        </w:rPr>
        <w:t>but</w:t>
      </w:r>
      <w:r w:rsidR="00BE472F">
        <w:rPr>
          <w:rFonts w:ascii="Times New Roman" w:hAnsi="Times New Roman" w:cs="Times New Roman"/>
          <w:color w:val="000000" w:themeColor="text1"/>
        </w:rPr>
        <w:t xml:space="preserve"> balancing statistical robustness with the </w:t>
      </w:r>
      <w:proofErr w:type="gramStart"/>
      <w:r w:rsidR="00BE472F">
        <w:rPr>
          <w:rFonts w:ascii="Times New Roman" w:hAnsi="Times New Roman" w:cs="Times New Roman"/>
          <w:color w:val="000000" w:themeColor="text1"/>
        </w:rPr>
        <w:t>aforementioned assumption</w:t>
      </w:r>
      <w:proofErr w:type="gramEnd"/>
      <w:r w:rsidR="00BE472F">
        <w:rPr>
          <w:rFonts w:ascii="Times New Roman" w:hAnsi="Times New Roman" w:cs="Times New Roman"/>
          <w:color w:val="000000" w:themeColor="text1"/>
        </w:rPr>
        <w:t xml:space="preserve"> and supported by the empirical findings</w:t>
      </w:r>
      <w:r w:rsidR="002B0790">
        <w:rPr>
          <w:rFonts w:ascii="Times New Roman" w:hAnsi="Times New Roman" w:cs="Times New Roman"/>
          <w:color w:val="000000" w:themeColor="text1"/>
        </w:rPr>
        <w:t xml:space="preserve"> the </w:t>
      </w:r>
      <w:r w:rsidR="00BE472F">
        <w:rPr>
          <w:rFonts w:ascii="Times New Roman" w:hAnsi="Times New Roman" w:cs="Times New Roman"/>
          <w:color w:val="000000" w:themeColor="text1"/>
        </w:rPr>
        <w:t xml:space="preserve">7-cluster solution was determined to be the optimal fit. For the 7-cluster solution, the stability index (mean </w:t>
      </w:r>
      <w:r w:rsidR="00BE472F" w:rsidRPr="00BE472F">
        <w:rPr>
          <w:rFonts w:ascii="Times New Roman" w:hAnsi="Times New Roman" w:cs="Times New Roman"/>
          <w:color w:val="000000" w:themeColor="text1"/>
        </w:rPr>
        <w:t>±</w:t>
      </w:r>
      <w:r w:rsidR="00BE472F">
        <w:rPr>
          <w:rFonts w:ascii="Times New Roman" w:hAnsi="Times New Roman" w:cs="Times New Roman"/>
          <w:color w:val="000000" w:themeColor="text1"/>
        </w:rPr>
        <w:t xml:space="preserve"> SD) and fractional occupancy in baseline (blue line) and anesthesia (red line; mean </w:t>
      </w:r>
      <w:r w:rsidR="00BE472F" w:rsidRPr="00BE472F">
        <w:rPr>
          <w:rFonts w:ascii="Times New Roman" w:hAnsi="Times New Roman" w:cs="Times New Roman"/>
          <w:color w:val="000000" w:themeColor="text1"/>
        </w:rPr>
        <w:t>±</w:t>
      </w:r>
      <w:r w:rsidR="00BE472F">
        <w:rPr>
          <w:rFonts w:ascii="Times New Roman" w:hAnsi="Times New Roman" w:cs="Times New Roman"/>
          <w:color w:val="000000" w:themeColor="text1"/>
        </w:rPr>
        <w:t xml:space="preserve"> SD) as a </w:t>
      </w:r>
      <w:r w:rsidR="00BE472F">
        <w:rPr>
          <w:rFonts w:ascii="Times New Roman" w:hAnsi="Times New Roman" w:cs="Times New Roman"/>
          <w:color w:val="000000" w:themeColor="text1"/>
        </w:rPr>
        <w:lastRenderedPageBreak/>
        <w:t>function of the cumulative sum of explained variance are shown (D and E, respectively). When the retained principal components contained 30-40% of variance, the stability index demonstrated better performance, but the baseline-associated state demonstrated worse performance. When the explained variance achieved 90% or higher, both methods demonstrated stable performance; therefore, we chose the retained principal components that explained 90% of the variance.</w:t>
      </w:r>
    </w:p>
    <w:p w14:paraId="562755E5" w14:textId="77777777" w:rsidR="00D515D7" w:rsidRDefault="00D515D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0FD0DA4F" w14:textId="4C856E11" w:rsidR="00BE472F" w:rsidRDefault="00D515D7" w:rsidP="00D515D7">
      <w:pPr>
        <w:spacing w:line="480" w:lineRule="auto"/>
        <w:rPr>
          <w:rFonts w:ascii="Times New Roman" w:eastAsia="Calibri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  <w:r w:rsidR="00A356EB"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inline distT="0" distB="0" distL="0" distR="0" wp14:anchorId="35DC6A54" wp14:editId="16C1B972">
            <wp:extent cx="5943600" cy="3756660"/>
            <wp:effectExtent l="0" t="0" r="0" b="254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5B64">
        <w:rPr>
          <w:rFonts w:ascii="Times New Roman" w:hAnsi="Times New Roman" w:cs="Times New Roman"/>
          <w:b/>
          <w:bCs/>
          <w:color w:val="000000" w:themeColor="text1"/>
        </w:rPr>
        <w:t xml:space="preserve">Figure </w:t>
      </w:r>
      <w:r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1E5B64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BE472F">
        <w:rPr>
          <w:rFonts w:ascii="Times New Roman" w:hAnsi="Times New Roman" w:cs="Times New Roman"/>
          <w:color w:val="000000" w:themeColor="text1"/>
        </w:rPr>
        <w:t xml:space="preserve">Representative </w:t>
      </w:r>
      <w:proofErr w:type="spellStart"/>
      <w:r w:rsidR="00BE472F">
        <w:rPr>
          <w:rFonts w:ascii="Times New Roman" w:hAnsi="Times New Roman" w:cs="Times New Roman"/>
          <w:color w:val="000000" w:themeColor="text1"/>
        </w:rPr>
        <w:t>connectograms</w:t>
      </w:r>
      <w:proofErr w:type="spellEnd"/>
      <w:r w:rsidR="00BE472F">
        <w:rPr>
          <w:rFonts w:ascii="Times New Roman" w:hAnsi="Times New Roman" w:cs="Times New Roman"/>
          <w:color w:val="000000" w:themeColor="text1"/>
        </w:rPr>
        <w:t xml:space="preserve"> from subject E01 showing the three weighted phase lag index connectivity bands used for </w:t>
      </w:r>
      <w:r w:rsidR="00BE472F">
        <w:rPr>
          <w:rFonts w:ascii="Times New Roman" w:hAnsi="Times New Roman" w:cs="Times New Roman"/>
          <w:i/>
          <w:iCs/>
          <w:color w:val="000000" w:themeColor="text1"/>
        </w:rPr>
        <w:t xml:space="preserve">post hoc </w:t>
      </w:r>
      <w:r w:rsidR="00BE472F">
        <w:rPr>
          <w:rFonts w:ascii="Times New Roman" w:hAnsi="Times New Roman" w:cs="Times New Roman"/>
          <w:color w:val="000000" w:themeColor="text1"/>
        </w:rPr>
        <w:t xml:space="preserve">analysis of the temporal variation in cortical connectivity during the stable surgical anesthesia period which </w:t>
      </w:r>
      <w:r w:rsidR="00FD4B88">
        <w:rPr>
          <w:rFonts w:ascii="Times New Roman" w:hAnsi="Times New Roman" w:cs="Times New Roman"/>
          <w:color w:val="000000" w:themeColor="text1"/>
        </w:rPr>
        <w:t xml:space="preserve">is </w:t>
      </w:r>
      <w:r w:rsidR="00BE472F">
        <w:rPr>
          <w:rFonts w:ascii="Times New Roman" w:hAnsi="Times New Roman" w:cs="Times New Roman"/>
          <w:color w:val="000000" w:themeColor="text1"/>
        </w:rPr>
        <w:t xml:space="preserve">shown in Figure 5. Note the </w:t>
      </w:r>
      <w:r w:rsidR="00BE472F">
        <w:rPr>
          <w:rFonts w:ascii="Times New Roman" w:eastAsia="Calibri" w:hAnsi="Times New Roman" w:cs="Times New Roman"/>
          <w:iCs/>
          <w:color w:val="000000" w:themeColor="text1"/>
        </w:rPr>
        <w:t>prefrontal-frontal (2-6.5 H</w:t>
      </w:r>
      <w:r w:rsidR="00FD4B88">
        <w:rPr>
          <w:rFonts w:ascii="Times New Roman" w:eastAsia="Calibri" w:hAnsi="Times New Roman" w:cs="Times New Roman"/>
          <w:iCs/>
          <w:color w:val="000000" w:themeColor="text1"/>
        </w:rPr>
        <w:t>z</w:t>
      </w:r>
      <w:r w:rsidR="00BE472F">
        <w:rPr>
          <w:rFonts w:ascii="Times New Roman" w:eastAsia="Calibri" w:hAnsi="Times New Roman" w:cs="Times New Roman"/>
          <w:iCs/>
          <w:color w:val="000000" w:themeColor="text1"/>
        </w:rPr>
        <w:t>, and 7-13 H</w:t>
      </w:r>
      <w:r w:rsidR="00FD4B88">
        <w:rPr>
          <w:rFonts w:ascii="Times New Roman" w:eastAsia="Calibri" w:hAnsi="Times New Roman" w:cs="Times New Roman"/>
          <w:iCs/>
          <w:color w:val="000000" w:themeColor="text1"/>
        </w:rPr>
        <w:t>z</w:t>
      </w:r>
      <w:r w:rsidR="00BE472F">
        <w:rPr>
          <w:rFonts w:ascii="Times New Roman" w:eastAsia="Calibri" w:hAnsi="Times New Roman" w:cs="Times New Roman"/>
          <w:iCs/>
          <w:color w:val="000000" w:themeColor="text1"/>
        </w:rPr>
        <w:t>) and frontal-parietal (7-13 H</w:t>
      </w:r>
      <w:r w:rsidR="00FD4B88">
        <w:rPr>
          <w:rFonts w:ascii="Times New Roman" w:eastAsia="Calibri" w:hAnsi="Times New Roman" w:cs="Times New Roman"/>
          <w:iCs/>
          <w:color w:val="000000" w:themeColor="text1"/>
        </w:rPr>
        <w:t>z</w:t>
      </w:r>
      <w:r w:rsidR="00BE472F">
        <w:rPr>
          <w:rFonts w:ascii="Times New Roman" w:eastAsia="Calibri" w:hAnsi="Times New Roman" w:cs="Times New Roman"/>
          <w:iCs/>
          <w:color w:val="000000" w:themeColor="text1"/>
        </w:rPr>
        <w:t xml:space="preserve">) functional connectivity bands used for analysis. </w:t>
      </w:r>
    </w:p>
    <w:p w14:paraId="6172713A" w14:textId="56E8FBB2" w:rsidR="00895531" w:rsidRDefault="00895531">
      <w:pPr>
        <w:rPr>
          <w:rFonts w:ascii="Times New Roman" w:eastAsia="Calibri" w:hAnsi="Times New Roman" w:cs="Times New Roman"/>
          <w:iCs/>
          <w:color w:val="000000" w:themeColor="text1"/>
        </w:rPr>
      </w:pPr>
      <w:r>
        <w:rPr>
          <w:rFonts w:ascii="Times New Roman" w:eastAsia="Calibri" w:hAnsi="Times New Roman" w:cs="Times New Roman"/>
          <w:iCs/>
          <w:color w:val="000000" w:themeColor="text1"/>
        </w:rPr>
        <w:br w:type="page"/>
      </w:r>
    </w:p>
    <w:p w14:paraId="1A8D7BDF" w14:textId="77777777" w:rsidR="00E067A5" w:rsidRDefault="00E067A5" w:rsidP="00E067A5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A </w:t>
      </w:r>
    </w:p>
    <w:p w14:paraId="40D5DA4D" w14:textId="5D11FC64" w:rsidR="00E067A5" w:rsidRDefault="00A356EB" w:rsidP="00E067A5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160C6B76" wp14:editId="75834D41">
            <wp:extent cx="5532120" cy="1818034"/>
            <wp:effectExtent l="0" t="0" r="0" b="0"/>
            <wp:docPr id="2" name="Picture 1" descr="Chart, scatter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080188A-71D2-4607-A64A-0AA23A73D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hart, scatter chart&#10;&#10;Description automatically generated">
                      <a:extLst>
                        <a:ext uri="{FF2B5EF4-FFF2-40B4-BE49-F238E27FC236}">
                          <a16:creationId xmlns:a16="http://schemas.microsoft.com/office/drawing/2014/main" id="{B080188A-71D2-4607-A64A-0AA23A73D1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181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48FF7" w14:textId="77777777" w:rsidR="00E067A5" w:rsidRDefault="00E067A5" w:rsidP="00E067A5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B </w:t>
      </w:r>
    </w:p>
    <w:p w14:paraId="00B3E853" w14:textId="55F819C5" w:rsidR="00E067A5" w:rsidRDefault="00A356EB" w:rsidP="00E067A5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2A01724F" wp14:editId="148B0F14">
            <wp:extent cx="5532120" cy="1818035"/>
            <wp:effectExtent l="0" t="0" r="0" b="0"/>
            <wp:docPr id="5" name="Picture 2" descr="Chart, scatter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D60B26E-214A-4876-A2B4-FB306A3E14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hart, scatter chart&#10;&#10;Description automatically generated">
                      <a:extLst>
                        <a:ext uri="{FF2B5EF4-FFF2-40B4-BE49-F238E27FC236}">
                          <a16:creationId xmlns:a16="http://schemas.microsoft.com/office/drawing/2014/main" id="{0D60B26E-214A-4876-A2B4-FB306A3E14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181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479B8" w14:textId="77777777" w:rsidR="00E067A5" w:rsidRDefault="00E067A5" w:rsidP="00E067A5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C </w:t>
      </w:r>
    </w:p>
    <w:p w14:paraId="281E38DA" w14:textId="2B42CA3D" w:rsidR="00E067A5" w:rsidRDefault="000911F1" w:rsidP="00E067A5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3C553DD5" wp14:editId="6D280E6F">
            <wp:extent cx="5943600" cy="1746250"/>
            <wp:effectExtent l="0" t="0" r="0" b="6350"/>
            <wp:docPr id="7" name="Picture 1" descr="Chart, scatter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116867B-E39E-4CFD-BEF7-A741727633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Chart, scatter chart&#10;&#10;Description automatically generated">
                      <a:extLst>
                        <a:ext uri="{FF2B5EF4-FFF2-40B4-BE49-F238E27FC236}">
                          <a16:creationId xmlns:a16="http://schemas.microsoft.com/office/drawing/2014/main" id="{5116867B-E39E-4CFD-BEF7-A741727633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04003" w14:textId="77777777" w:rsidR="00E067A5" w:rsidRDefault="00E067A5" w:rsidP="00E067A5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2C149BBB" w14:textId="470DEF54" w:rsidR="00E067A5" w:rsidRDefault="00E067A5" w:rsidP="00E067A5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E5B64">
        <w:rPr>
          <w:rFonts w:ascii="Times New Roman" w:hAnsi="Times New Roman" w:cs="Times New Roman"/>
          <w:b/>
          <w:bCs/>
          <w:color w:val="000000" w:themeColor="text1"/>
        </w:rPr>
        <w:t xml:space="preserve">Figure </w:t>
      </w:r>
      <w:r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1E5B64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Association of age and temporal variations in the three dominant connectivity patterns (</w:t>
      </w:r>
      <w:r w:rsidRPr="00550A9A">
        <w:rPr>
          <w:rFonts w:ascii="Times New Roman" w:hAnsi="Times New Roman" w:cs="Times New Roman"/>
          <w:color w:val="000000" w:themeColor="text1"/>
        </w:rPr>
        <w:t xml:space="preserve">prefrontal-frontal 2-6.5Hz </w:t>
      </w:r>
      <w:r>
        <w:rPr>
          <w:rFonts w:ascii="Times New Roman" w:hAnsi="Times New Roman" w:cs="Times New Roman"/>
          <w:color w:val="000000" w:themeColor="text1"/>
        </w:rPr>
        <w:t>[</w:t>
      </w:r>
      <w:r w:rsidRPr="00550A9A">
        <w:rPr>
          <w:rFonts w:ascii="Times New Roman" w:hAnsi="Times New Roman" w:cs="Times New Roman"/>
          <w:color w:val="000000" w:themeColor="text1"/>
        </w:rPr>
        <w:t>left</w:t>
      </w:r>
      <w:r>
        <w:rPr>
          <w:rFonts w:ascii="Times New Roman" w:hAnsi="Times New Roman" w:cs="Times New Roman"/>
          <w:color w:val="000000" w:themeColor="text1"/>
        </w:rPr>
        <w:t xml:space="preserve"> column]</w:t>
      </w:r>
      <w:r w:rsidRPr="00550A9A">
        <w:rPr>
          <w:rFonts w:ascii="Times New Roman" w:hAnsi="Times New Roman" w:cs="Times New Roman"/>
          <w:color w:val="000000" w:themeColor="text1"/>
        </w:rPr>
        <w:t xml:space="preserve">, prefrontal-frontal 7-13Hz </w:t>
      </w:r>
      <w:r>
        <w:rPr>
          <w:rFonts w:ascii="Times New Roman" w:hAnsi="Times New Roman" w:cs="Times New Roman"/>
          <w:color w:val="000000" w:themeColor="text1"/>
        </w:rPr>
        <w:t>[</w:t>
      </w:r>
      <w:r w:rsidRPr="00550A9A">
        <w:rPr>
          <w:rFonts w:ascii="Times New Roman" w:hAnsi="Times New Roman" w:cs="Times New Roman"/>
          <w:color w:val="000000" w:themeColor="text1"/>
        </w:rPr>
        <w:t>middle</w:t>
      </w:r>
      <w:r>
        <w:rPr>
          <w:rFonts w:ascii="Times New Roman" w:hAnsi="Times New Roman" w:cs="Times New Roman"/>
          <w:color w:val="000000" w:themeColor="text1"/>
        </w:rPr>
        <w:t xml:space="preserve"> column]</w:t>
      </w:r>
      <w:r w:rsidRPr="00550A9A">
        <w:rPr>
          <w:rFonts w:ascii="Times New Roman" w:hAnsi="Times New Roman" w:cs="Times New Roman"/>
          <w:color w:val="000000" w:themeColor="text1"/>
        </w:rPr>
        <w:t xml:space="preserve">, and frontal-parietal 7-13Hz </w:t>
      </w:r>
      <w:r>
        <w:rPr>
          <w:rFonts w:ascii="Times New Roman" w:hAnsi="Times New Roman" w:cs="Times New Roman"/>
          <w:color w:val="000000" w:themeColor="text1"/>
        </w:rPr>
        <w:t>[</w:t>
      </w:r>
      <w:r w:rsidRPr="00550A9A">
        <w:rPr>
          <w:rFonts w:ascii="Times New Roman" w:hAnsi="Times New Roman" w:cs="Times New Roman"/>
          <w:color w:val="000000" w:themeColor="text1"/>
        </w:rPr>
        <w:t>right</w:t>
      </w:r>
      <w:r>
        <w:rPr>
          <w:rFonts w:ascii="Times New Roman" w:hAnsi="Times New Roman" w:cs="Times New Roman"/>
          <w:color w:val="000000" w:themeColor="text1"/>
        </w:rPr>
        <w:t xml:space="preserve"> column]</w:t>
      </w:r>
      <w:r w:rsidRPr="00550A9A">
        <w:rPr>
          <w:rFonts w:ascii="Times New Roman" w:hAnsi="Times New Roman" w:cs="Times New Roman"/>
          <w:color w:val="000000" w:themeColor="text1"/>
        </w:rPr>
        <w:t xml:space="preserve"> bands</w:t>
      </w:r>
      <w:r>
        <w:rPr>
          <w:rFonts w:ascii="Times New Roman" w:hAnsi="Times New Roman" w:cs="Times New Roman"/>
          <w:color w:val="000000" w:themeColor="text1"/>
        </w:rPr>
        <w:t xml:space="preserve">) during the stable surgical anesthesia period. </w:t>
      </w:r>
      <w:r>
        <w:rPr>
          <w:rFonts w:ascii="Times New Roman" w:hAnsi="Times New Roman" w:cs="Times New Roman"/>
          <w:color w:val="000000" w:themeColor="text1"/>
        </w:rPr>
        <w:lastRenderedPageBreak/>
        <w:t xml:space="preserve">Multivariable linear regressions showing the association of age and the coefficient of variation for the weighted phase lag index controlling for the: average minimum alveolar concentration </w:t>
      </w:r>
      <w:r w:rsidRPr="00D67348">
        <w:rPr>
          <w:rFonts w:ascii="Times New Roman" w:hAnsi="Times New Roman" w:cs="Times New Roman"/>
          <w:color w:val="000000" w:themeColor="text1"/>
        </w:rPr>
        <w:t>during the stable surgical anesthesia period (n=49; panel A), intraoperative morphine equivalents (n=49; panel B), or maintenance of general anesthesia supplemented with (n=11) or without (n=38) nitrous</w:t>
      </w:r>
      <w:r>
        <w:rPr>
          <w:rFonts w:ascii="Times New Roman" w:hAnsi="Times New Roman" w:cs="Times New Roman"/>
          <w:color w:val="000000" w:themeColor="text1"/>
        </w:rPr>
        <w:t xml:space="preserve"> oxide (panel C). Regression lines for panels A and B are plotted at the mean average minimum alveolar concentration (MAC) and intraoperative morphine equivalents (</w:t>
      </w:r>
      <w:proofErr w:type="spellStart"/>
      <w:r>
        <w:rPr>
          <w:rFonts w:ascii="Times New Roman" w:hAnsi="Times New Roman" w:cs="Times New Roman"/>
          <w:color w:val="000000" w:themeColor="text1"/>
        </w:rPr>
        <w:t>MorphineEq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), respectively. The regression lines for panel C </w:t>
      </w:r>
      <w:r w:rsidR="008202F8">
        <w:rPr>
          <w:rFonts w:ascii="Times New Roman" w:hAnsi="Times New Roman" w:cs="Times New Roman"/>
          <w:color w:val="000000" w:themeColor="text1"/>
        </w:rPr>
        <w:t xml:space="preserve">are plotted for </w:t>
      </w:r>
      <w:r>
        <w:rPr>
          <w:rFonts w:ascii="Times New Roman" w:hAnsi="Times New Roman" w:cs="Times New Roman"/>
          <w:color w:val="000000" w:themeColor="text1"/>
        </w:rPr>
        <w:t>both the binary outcome (yes/no) variables for supplementation with</w:t>
      </w:r>
      <w:r w:rsidR="004B3ACA">
        <w:rPr>
          <w:rFonts w:ascii="Times New Roman" w:hAnsi="Times New Roman" w:cs="Times New Roman"/>
          <w:color w:val="000000" w:themeColor="text1"/>
        </w:rPr>
        <w:t xml:space="preserve"> (red circle)</w:t>
      </w:r>
      <w:r>
        <w:rPr>
          <w:rFonts w:ascii="Times New Roman" w:hAnsi="Times New Roman" w:cs="Times New Roman"/>
          <w:color w:val="000000" w:themeColor="text1"/>
        </w:rPr>
        <w:t xml:space="preserve"> or without </w:t>
      </w:r>
      <w:r w:rsidR="004B3ACA">
        <w:rPr>
          <w:rFonts w:ascii="Times New Roman" w:hAnsi="Times New Roman" w:cs="Times New Roman"/>
          <w:color w:val="000000" w:themeColor="text1"/>
        </w:rPr>
        <w:t xml:space="preserve">(blue circle) </w:t>
      </w:r>
      <w:r>
        <w:rPr>
          <w:rFonts w:ascii="Times New Roman" w:hAnsi="Times New Roman" w:cs="Times New Roman"/>
          <w:color w:val="000000" w:themeColor="text1"/>
        </w:rPr>
        <w:t xml:space="preserve">nitrous oxide (N2O). </w:t>
      </w:r>
      <w:r w:rsidRPr="001D2F00">
        <w:rPr>
          <w:rFonts w:ascii="Times New Roman" w:hAnsi="Times New Roman" w:cs="Times New Roman"/>
          <w:color w:val="000000" w:themeColor="text1"/>
        </w:rPr>
        <w:t>The line equation and p-values for slopes are shown in the upper left corner of each connectivity band. *</w:t>
      </w:r>
      <w:proofErr w:type="gramStart"/>
      <w:r w:rsidRPr="001D2F00">
        <w:rPr>
          <w:rFonts w:ascii="Times New Roman" w:hAnsi="Times New Roman" w:cs="Times New Roman"/>
          <w:color w:val="000000" w:themeColor="text1"/>
        </w:rPr>
        <w:t>denotes</w:t>
      </w:r>
      <w:proofErr w:type="gramEnd"/>
      <w:r w:rsidRPr="001D2F00">
        <w:rPr>
          <w:rFonts w:ascii="Times New Roman" w:hAnsi="Times New Roman" w:cs="Times New Roman"/>
          <w:color w:val="000000" w:themeColor="text1"/>
        </w:rPr>
        <w:t xml:space="preserve"> statistical significance (p&lt;0.05).</w:t>
      </w:r>
    </w:p>
    <w:p w14:paraId="2DA70EA1" w14:textId="77777777" w:rsidR="00E067A5" w:rsidRDefault="00E067A5" w:rsidP="00E067A5"/>
    <w:p w14:paraId="7CE90B14" w14:textId="77777777" w:rsidR="00E067A5" w:rsidRDefault="00E067A5" w:rsidP="00E067A5"/>
    <w:p w14:paraId="64D2A374" w14:textId="77777777" w:rsidR="00350189" w:rsidRDefault="00350189"/>
    <w:sectPr w:rsidR="00350189" w:rsidSect="00DF7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F4AAC"/>
    <w:multiLevelType w:val="hybridMultilevel"/>
    <w:tmpl w:val="2132E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F7"/>
    <w:rsid w:val="00015E25"/>
    <w:rsid w:val="00045CC9"/>
    <w:rsid w:val="000911F1"/>
    <w:rsid w:val="00095259"/>
    <w:rsid w:val="000C2675"/>
    <w:rsid w:val="000E3132"/>
    <w:rsid w:val="000E7310"/>
    <w:rsid w:val="00102AB2"/>
    <w:rsid w:val="001525CC"/>
    <w:rsid w:val="00152EC0"/>
    <w:rsid w:val="00154946"/>
    <w:rsid w:val="00166D36"/>
    <w:rsid w:val="001912A0"/>
    <w:rsid w:val="001B3BB4"/>
    <w:rsid w:val="001D2F00"/>
    <w:rsid w:val="002619D5"/>
    <w:rsid w:val="002A357E"/>
    <w:rsid w:val="002A3F12"/>
    <w:rsid w:val="002A707B"/>
    <w:rsid w:val="002B0790"/>
    <w:rsid w:val="002F1BFF"/>
    <w:rsid w:val="00307B76"/>
    <w:rsid w:val="00311E6D"/>
    <w:rsid w:val="003126D1"/>
    <w:rsid w:val="00320A88"/>
    <w:rsid w:val="00350189"/>
    <w:rsid w:val="003554B5"/>
    <w:rsid w:val="00362EF8"/>
    <w:rsid w:val="00397450"/>
    <w:rsid w:val="003B3909"/>
    <w:rsid w:val="003C6AA3"/>
    <w:rsid w:val="003E2BAF"/>
    <w:rsid w:val="004142EB"/>
    <w:rsid w:val="004465D6"/>
    <w:rsid w:val="00462FC0"/>
    <w:rsid w:val="00464154"/>
    <w:rsid w:val="00481546"/>
    <w:rsid w:val="004B3ACA"/>
    <w:rsid w:val="004B6F95"/>
    <w:rsid w:val="004E2EF8"/>
    <w:rsid w:val="004F5A11"/>
    <w:rsid w:val="00522E28"/>
    <w:rsid w:val="00554897"/>
    <w:rsid w:val="005C493B"/>
    <w:rsid w:val="005D2DA2"/>
    <w:rsid w:val="006071C1"/>
    <w:rsid w:val="006117BD"/>
    <w:rsid w:val="006218BD"/>
    <w:rsid w:val="0063103C"/>
    <w:rsid w:val="006318ED"/>
    <w:rsid w:val="006859DA"/>
    <w:rsid w:val="006C72E0"/>
    <w:rsid w:val="006D149F"/>
    <w:rsid w:val="006D5656"/>
    <w:rsid w:val="00713542"/>
    <w:rsid w:val="00720525"/>
    <w:rsid w:val="00767755"/>
    <w:rsid w:val="007816DB"/>
    <w:rsid w:val="00786178"/>
    <w:rsid w:val="007936B3"/>
    <w:rsid w:val="008202F8"/>
    <w:rsid w:val="0084388E"/>
    <w:rsid w:val="00863867"/>
    <w:rsid w:val="00895531"/>
    <w:rsid w:val="008D61F0"/>
    <w:rsid w:val="008F5471"/>
    <w:rsid w:val="0095644F"/>
    <w:rsid w:val="009800EA"/>
    <w:rsid w:val="009950F7"/>
    <w:rsid w:val="009A1E35"/>
    <w:rsid w:val="009A62E4"/>
    <w:rsid w:val="009B2078"/>
    <w:rsid w:val="009B7781"/>
    <w:rsid w:val="009F0665"/>
    <w:rsid w:val="009F5F7B"/>
    <w:rsid w:val="00A0739E"/>
    <w:rsid w:val="00A272B7"/>
    <w:rsid w:val="00A356EB"/>
    <w:rsid w:val="00AA6698"/>
    <w:rsid w:val="00AB15F0"/>
    <w:rsid w:val="00B17152"/>
    <w:rsid w:val="00B42DD0"/>
    <w:rsid w:val="00BB0D49"/>
    <w:rsid w:val="00BC3340"/>
    <w:rsid w:val="00BD040B"/>
    <w:rsid w:val="00BE472F"/>
    <w:rsid w:val="00BF4BF3"/>
    <w:rsid w:val="00C3525B"/>
    <w:rsid w:val="00CE0749"/>
    <w:rsid w:val="00CE1663"/>
    <w:rsid w:val="00D21C44"/>
    <w:rsid w:val="00D5130B"/>
    <w:rsid w:val="00D515D7"/>
    <w:rsid w:val="00D92F3D"/>
    <w:rsid w:val="00DA1CE5"/>
    <w:rsid w:val="00DC73A0"/>
    <w:rsid w:val="00DF72D5"/>
    <w:rsid w:val="00E067A5"/>
    <w:rsid w:val="00E101DE"/>
    <w:rsid w:val="00E1295B"/>
    <w:rsid w:val="00E60B89"/>
    <w:rsid w:val="00E71A3F"/>
    <w:rsid w:val="00E72359"/>
    <w:rsid w:val="00E84549"/>
    <w:rsid w:val="00E918C7"/>
    <w:rsid w:val="00EB6458"/>
    <w:rsid w:val="00EE4810"/>
    <w:rsid w:val="00EF7C4B"/>
    <w:rsid w:val="00FA319F"/>
    <w:rsid w:val="00FA4E43"/>
    <w:rsid w:val="00FC0263"/>
    <w:rsid w:val="00F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0B9E0"/>
  <w15:chartTrackingRefBased/>
  <w15:docId w15:val="{027CE138-01F5-C641-A7B4-D4957532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5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4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5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4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7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2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Puglia, Michael</dc:creator>
  <cp:keywords/>
  <dc:description/>
  <cp:lastModifiedBy>Puglia, Michael</cp:lastModifiedBy>
  <cp:revision>7</cp:revision>
  <dcterms:created xsi:type="dcterms:W3CDTF">2022-03-15T14:17:00Z</dcterms:created>
  <dcterms:modified xsi:type="dcterms:W3CDTF">2022-03-15T17:28:00Z</dcterms:modified>
</cp:coreProperties>
</file>