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FEEF7" w14:textId="77777777" w:rsidR="005C4D0F" w:rsidRPr="005C4D0F" w:rsidRDefault="005C4D0F" w:rsidP="005C4D0F">
      <w:pPr>
        <w:keepNext/>
        <w:keepLines/>
        <w:spacing w:before="120" w:after="120" w:line="360" w:lineRule="auto"/>
        <w:outlineLvl w:val="0"/>
        <w:rPr>
          <w:rFonts w:ascii="Times New Roman" w:eastAsiaTheme="majorEastAsia" w:hAnsi="Times New Roman" w:cstheme="majorBidi"/>
          <w:b/>
          <w:color w:val="000000" w:themeColor="text1"/>
          <w:sz w:val="24"/>
          <w:szCs w:val="32"/>
        </w:rPr>
      </w:pPr>
      <w:r w:rsidRPr="005C4D0F">
        <w:rPr>
          <w:rFonts w:ascii="Times New Roman" w:eastAsiaTheme="majorEastAsia" w:hAnsi="Times New Roman" w:cstheme="majorBidi"/>
          <w:b/>
          <w:color w:val="000000" w:themeColor="text1"/>
          <w:sz w:val="24"/>
          <w:szCs w:val="32"/>
        </w:rPr>
        <w:t>Supplemental Tables</w:t>
      </w:r>
    </w:p>
    <w:p w14:paraId="6CBF6134"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0" w:name="_Ref111724586"/>
      <w:bookmarkStart w:id="1" w:name="_Ref111724513"/>
      <w:r w:rsidRPr="005C4D0F">
        <w:rPr>
          <w:rFonts w:ascii="Times New Roman" w:eastAsia="SimSun" w:hAnsi="Times New Roman" w:cs="Arial (Body CS)"/>
          <w:iCs/>
          <w:color w:val="000000" w:themeColor="text1"/>
          <w:sz w:val="24"/>
          <w:szCs w:val="18"/>
        </w:rPr>
        <w:t xml:space="preserve">Supplemental Table </w:t>
      </w:r>
      <w:r w:rsidRPr="005C4D0F">
        <w:rPr>
          <w:rFonts w:ascii="Times New Roman" w:eastAsia="SimSun" w:hAnsi="Times New Roman" w:cs="Arial (Body CS)"/>
          <w:iCs/>
          <w:noProof/>
          <w:color w:val="000000" w:themeColor="text1"/>
          <w:sz w:val="24"/>
          <w:szCs w:val="18"/>
        </w:rPr>
        <w:t>1</w:t>
      </w:r>
      <w:bookmarkEnd w:id="0"/>
      <w:r w:rsidRPr="005C4D0F">
        <w:rPr>
          <w:rFonts w:ascii="Times New Roman" w:eastAsia="SimSun" w:hAnsi="Times New Roman" w:cs="Arial (Body CS)"/>
          <w:iCs/>
          <w:color w:val="000000" w:themeColor="text1"/>
          <w:sz w:val="24"/>
          <w:szCs w:val="18"/>
        </w:rPr>
        <w:t>. Strength of evidence for outcomes in randomized controlled trials comparing carbohydrate-containing clear liquids with fasting in adults.</w:t>
      </w:r>
      <w:bookmarkEnd w:id="1"/>
    </w:p>
    <w:p w14:paraId="0501022D"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24"/>
          <w:szCs w:val="24"/>
        </w:rPr>
        <w:drawing>
          <wp:inline distT="0" distB="0" distL="0" distR="0" wp14:anchorId="6E246CBC" wp14:editId="1595CF86">
            <wp:extent cx="5943600" cy="548703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487035"/>
                    </a:xfrm>
                    <a:prstGeom prst="rect">
                      <a:avLst/>
                    </a:prstGeom>
                  </pic:spPr>
                </pic:pic>
              </a:graphicData>
            </a:graphic>
          </wp:inline>
        </w:drawing>
      </w:r>
    </w:p>
    <w:p w14:paraId="378CAD58" w14:textId="77777777" w:rsidR="009C4959" w:rsidRDefault="00EB7FC0" w:rsidP="009C4959">
      <w:pPr>
        <w:pStyle w:val="Tablefootnote"/>
        <w:rPr>
          <w:rFonts w:cs="Times New Roman"/>
          <w:lang w:eastAsia="ja-JP"/>
        </w:rPr>
      </w:pPr>
      <w:bookmarkStart w:id="2" w:name="_Hlk116361099"/>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bookmarkEnd w:id="2"/>
    <w:p w14:paraId="0D487506" w14:textId="77777777" w:rsidR="000C20E0" w:rsidRDefault="005C4D0F" w:rsidP="00C07B02">
      <w:pPr>
        <w:pStyle w:val="Tablefootnote"/>
      </w:pPr>
      <w:r w:rsidRPr="005C4D0F">
        <w:t>GRADE: Grading of Recommendations Assessment, Development and Evaluation; ACCF/AHA; American College of Cardiology Foundation/American Heart Association; RR: risk ratio; SMD: standardized mean difference; MD: mean difference; RCT: randomized controlled trial; NRSI: nonrandomized studies of interventions.</w:t>
      </w:r>
      <w:r w:rsidR="00C07B02">
        <w:t xml:space="preserve"> </w:t>
      </w:r>
    </w:p>
    <w:p w14:paraId="1A95E417" w14:textId="77777777" w:rsidR="003A4FED" w:rsidRDefault="005C4D0F" w:rsidP="003A4FED">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 </w:t>
      </w:r>
    </w:p>
    <w:p w14:paraId="04C0640E" w14:textId="14DA6D0A" w:rsidR="005C4D0F" w:rsidRPr="005C4D0F" w:rsidRDefault="005C4D0F" w:rsidP="003A4FED">
      <w:pPr>
        <w:pStyle w:val="Tablefootnote"/>
      </w:pPr>
      <w:r w:rsidRPr="005C4D0F">
        <w:rPr>
          <w:vertAlign w:val="superscript"/>
        </w:rPr>
        <w:t>1</w:t>
      </w:r>
      <w:r w:rsidRPr="005C4D0F">
        <w:t xml:space="preserve"> ● Limited, ●● Important, ●●● Critical.</w:t>
      </w:r>
    </w:p>
    <w:p w14:paraId="63CB1C24"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sz w:val="24"/>
          <w:szCs w:val="24"/>
        </w:rPr>
        <w:br w:type="page"/>
      </w:r>
    </w:p>
    <w:p w14:paraId="0203791E"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5C4D0F">
        <w:rPr>
          <w:rFonts w:ascii="Times New Roman" w:eastAsia="SimSun" w:hAnsi="Times New Roman" w:cs="Arial (Body CS)"/>
          <w:iCs/>
          <w:color w:val="000000" w:themeColor="text1"/>
          <w:sz w:val="24"/>
          <w:szCs w:val="18"/>
        </w:rPr>
        <w:lastRenderedPageBreak/>
        <w:t>Supplemental Table 1 (continued). Strength of evidence for outcomes in randomized controlled trials comparing carbohydrate-containing clear liquids with fasting in adults.</w:t>
      </w:r>
    </w:p>
    <w:p w14:paraId="5A4A1491"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24"/>
          <w:szCs w:val="24"/>
        </w:rPr>
        <w:drawing>
          <wp:inline distT="0" distB="0" distL="0" distR="0" wp14:anchorId="06737987" wp14:editId="1709D5A9">
            <wp:extent cx="5943600" cy="481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
                      <a:extLst>
                        <a:ext uri="{28A0092B-C50C-407E-A947-70E740481C1C}">
                          <a14:useLocalDpi xmlns:a14="http://schemas.microsoft.com/office/drawing/2010/main" val="0"/>
                        </a:ext>
                      </a:extLst>
                    </a:blip>
                    <a:stretch>
                      <a:fillRect/>
                    </a:stretch>
                  </pic:blipFill>
                  <pic:spPr>
                    <a:xfrm>
                      <a:off x="0" y="0"/>
                      <a:ext cx="5943600" cy="481965"/>
                    </a:xfrm>
                    <a:prstGeom prst="rect">
                      <a:avLst/>
                    </a:prstGeom>
                  </pic:spPr>
                </pic:pic>
              </a:graphicData>
            </a:graphic>
          </wp:inline>
        </w:drawing>
      </w:r>
    </w:p>
    <w:p w14:paraId="6703E002"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24"/>
          <w:szCs w:val="24"/>
        </w:rPr>
        <w:drawing>
          <wp:inline distT="0" distB="0" distL="0" distR="0" wp14:anchorId="6F566EE9" wp14:editId="3B7C43ED">
            <wp:extent cx="5943600" cy="3571240"/>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571240"/>
                    </a:xfrm>
                    <a:prstGeom prst="rect">
                      <a:avLst/>
                    </a:prstGeom>
                  </pic:spPr>
                </pic:pic>
              </a:graphicData>
            </a:graphic>
          </wp:inline>
        </w:drawing>
      </w:r>
    </w:p>
    <w:p w14:paraId="27BEFDAF" w14:textId="77777777" w:rsidR="000C20E0" w:rsidRDefault="000C20E0" w:rsidP="000C20E0">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558B53CE" w14:textId="77777777" w:rsidR="00897B14" w:rsidRDefault="005C4D0F" w:rsidP="00897B14">
      <w:pPr>
        <w:pStyle w:val="Tablefootnote"/>
      </w:pPr>
      <w:r w:rsidRPr="005C4D0F">
        <w:t>GRADE: Grading of Recommendations Assessment, Development and Evaluation; ACCF/AHA; American College of Cardiology Foundation/American Heart Association; RR: risk ratio; SMD: standardized mean difference; MD: mean difference; RCT: randomized controlled trial; NRSI: nonrandomized studies of interventions.</w:t>
      </w:r>
    </w:p>
    <w:p w14:paraId="52CA1CFD" w14:textId="77777777" w:rsidR="003A4FED" w:rsidRDefault="005C4D0F" w:rsidP="003A4FED">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 </w:t>
      </w:r>
    </w:p>
    <w:p w14:paraId="0773E6E4" w14:textId="144C6BA4" w:rsidR="005C4D0F" w:rsidRPr="005C4D0F" w:rsidRDefault="005C4D0F" w:rsidP="003A4FED">
      <w:pPr>
        <w:pStyle w:val="Tablefootnote"/>
      </w:pPr>
      <w:r w:rsidRPr="005C4D0F">
        <w:rPr>
          <w:vertAlign w:val="superscript"/>
        </w:rPr>
        <w:t>1</w:t>
      </w:r>
      <w:r w:rsidRPr="005C4D0F">
        <w:t xml:space="preserve"> ● Limited, ●● Important, ●●● Critical.</w:t>
      </w:r>
    </w:p>
    <w:p w14:paraId="046D7D9E" w14:textId="77777777" w:rsidR="005C4D0F" w:rsidRPr="005C4D0F" w:rsidRDefault="005C4D0F" w:rsidP="005C4D0F">
      <w:pPr>
        <w:spacing w:after="0" w:line="240" w:lineRule="auto"/>
        <w:rPr>
          <w:rFonts w:ascii="Times New Roman" w:eastAsia="Times New Roman" w:hAnsi="Times New Roman" w:cs="Times New Roman"/>
          <w:sz w:val="24"/>
          <w:szCs w:val="24"/>
        </w:rPr>
      </w:pPr>
    </w:p>
    <w:p w14:paraId="7778C021"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2</w:t>
      </w:r>
      <w:r w:rsidRPr="005C4D0F">
        <w:rPr>
          <w:rFonts w:ascii="Times New Roman" w:eastAsia="SimSun" w:hAnsi="Times New Roman" w:cs="Arial (Body CS)"/>
          <w:iCs/>
          <w:color w:val="000000" w:themeColor="text1"/>
          <w:sz w:val="24"/>
          <w:szCs w:val="18"/>
        </w:rPr>
        <w:t>. GRADE domains for strength of evidence by outcome - carbohydrate-containing clear liquids compared with fasting in adults.</w:t>
      </w:r>
    </w:p>
    <w:p w14:paraId="6E6FB8DB"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24"/>
          <w:szCs w:val="24"/>
        </w:rPr>
        <w:drawing>
          <wp:inline distT="0" distB="0" distL="0" distR="0" wp14:anchorId="63979FAF" wp14:editId="4AD5EE04">
            <wp:extent cx="5943600" cy="3872230"/>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72230"/>
                    </a:xfrm>
                    <a:prstGeom prst="rect">
                      <a:avLst/>
                    </a:prstGeom>
                  </pic:spPr>
                </pic:pic>
              </a:graphicData>
            </a:graphic>
          </wp:inline>
        </w:drawing>
      </w:r>
    </w:p>
    <w:p w14:paraId="4F13A7F6"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rPr>
        <w:t xml:space="preserve">GRADE: Grading of Recommendations Assessment, Development and Evaluation; RCT: randomized controlled trial; NRSI: nonrandomized study of interventions. </w:t>
      </w:r>
    </w:p>
    <w:p w14:paraId="401F72B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w:t>
      </w:r>
      <w:r w:rsidRPr="005C4D0F">
        <w:rPr>
          <w:rFonts w:ascii="Times New Roman" w:eastAsiaTheme="majorEastAsia" w:hAnsi="Times New Roman" w:cs="Arial"/>
          <w:color w:val="000000"/>
          <w:sz w:val="18"/>
          <w:szCs w:val="18"/>
        </w:rPr>
        <w:t xml:space="preserve"> 95% prediction interval includes the null effect. I2 not large for pooled RR, but moderate when OR pooled (58%).</w:t>
      </w:r>
    </w:p>
    <w:p w14:paraId="117FC07A"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Too few studies to examine small study effects, but smaller studies showed larger relative reductions.</w:t>
      </w:r>
    </w:p>
    <w:p w14:paraId="6D07C96E"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3</w:t>
      </w:r>
      <w:r w:rsidRPr="005C4D0F">
        <w:rPr>
          <w:rFonts w:ascii="Times New Roman" w:eastAsiaTheme="majorEastAsia" w:hAnsi="Times New Roman" w:cs="Arial"/>
          <w:color w:val="000000"/>
          <w:sz w:val="18"/>
          <w:szCs w:val="18"/>
        </w:rPr>
        <w:t xml:space="preserve"> Considerable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 69%) and 95% prediction interval includes the null effect.</w:t>
      </w:r>
    </w:p>
    <w:p w14:paraId="5EC77B3E"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4</w:t>
      </w:r>
      <w:r w:rsidRPr="005C4D0F">
        <w:rPr>
          <w:rFonts w:ascii="Times New Roman" w:eastAsiaTheme="majorEastAsia" w:hAnsi="Times New Roman" w:cs="Arial"/>
          <w:color w:val="000000"/>
          <w:sz w:val="18"/>
          <w:szCs w:val="18"/>
        </w:rPr>
        <w:t xml:space="preserve"> Wide 95% prediction interval.</w:t>
      </w:r>
    </w:p>
    <w:p w14:paraId="25CFE426"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5</w:t>
      </w:r>
      <w:r w:rsidRPr="005C4D0F">
        <w:rPr>
          <w:rFonts w:ascii="Times New Roman" w:eastAsiaTheme="majorEastAsia" w:hAnsi="Times New Roman" w:cs="Arial"/>
          <w:color w:val="000000"/>
          <w:sz w:val="18"/>
          <w:szCs w:val="18"/>
        </w:rPr>
        <w:t xml:space="preserve"> Wide 95% prediction interval (but smaller excluding outliers, -1.74 to -0.14).</w:t>
      </w:r>
    </w:p>
    <w:p w14:paraId="33704B7D"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6</w:t>
      </w:r>
      <w:r w:rsidRPr="005C4D0F">
        <w:rPr>
          <w:rFonts w:ascii="Times New Roman" w:eastAsiaTheme="majorEastAsia" w:hAnsi="Times New Roman" w:cs="Arial"/>
          <w:color w:val="000000"/>
          <w:sz w:val="18"/>
          <w:szCs w:val="18"/>
        </w:rPr>
        <w:t xml:space="preserve"> Wide 95% prediction interval accompanying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 42%).</w:t>
      </w:r>
    </w:p>
    <w:p w14:paraId="760CD166"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7</w:t>
      </w:r>
      <w:r w:rsidRPr="005C4D0F">
        <w:rPr>
          <w:rFonts w:ascii="Times New Roman" w:eastAsiaTheme="majorEastAsia" w:hAnsi="Times New Roman" w:cs="Arial"/>
          <w:color w:val="000000"/>
          <w:sz w:val="18"/>
          <w:szCs w:val="18"/>
        </w:rPr>
        <w:t xml:space="preserve"> Wide pooled confidence interval.</w:t>
      </w:r>
    </w:p>
    <w:p w14:paraId="64CA31D6"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8</w:t>
      </w:r>
      <w:r w:rsidRPr="005C4D0F">
        <w:rPr>
          <w:rFonts w:ascii="Times New Roman" w:eastAsiaTheme="majorEastAsia" w:hAnsi="Times New Roman" w:cs="Arial"/>
          <w:color w:val="000000"/>
          <w:sz w:val="18"/>
          <w:szCs w:val="18"/>
        </w:rPr>
        <w:t xml:space="preserve"> Studies report inconsistent results.</w:t>
      </w:r>
    </w:p>
    <w:p w14:paraId="3BE6BB47"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9</w:t>
      </w:r>
      <w:r w:rsidRPr="005C4D0F">
        <w:rPr>
          <w:rFonts w:ascii="Times New Roman" w:eastAsiaTheme="majorEastAsia" w:hAnsi="Times New Roman" w:cs="Arial"/>
          <w:color w:val="000000"/>
          <w:sz w:val="18"/>
          <w:szCs w:val="18"/>
        </w:rPr>
        <w:t xml:space="preserve"> Small sample sizes.</w:t>
      </w:r>
    </w:p>
    <w:p w14:paraId="1DAB7926"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10</w:t>
      </w:r>
      <w:r w:rsidRPr="005C4D0F">
        <w:rPr>
          <w:rFonts w:ascii="Times New Roman" w:eastAsiaTheme="majorEastAsia" w:hAnsi="Times New Roman" w:cs="Arial"/>
          <w:color w:val="000000"/>
          <w:sz w:val="18"/>
          <w:szCs w:val="18"/>
        </w:rPr>
        <w:t xml:space="preserve"> Unclear ascertainment accuracy except </w:t>
      </w:r>
      <w:proofErr w:type="spellStart"/>
      <w:r w:rsidRPr="005C4D0F">
        <w:rPr>
          <w:rFonts w:ascii="Times New Roman" w:eastAsiaTheme="majorEastAsia" w:hAnsi="Times New Roman" w:cs="Arial"/>
          <w:color w:val="000000"/>
          <w:sz w:val="18"/>
          <w:szCs w:val="18"/>
        </w:rPr>
        <w:t>Koeppe</w:t>
      </w:r>
      <w:proofErr w:type="spellEnd"/>
      <w:r w:rsidRPr="005C4D0F">
        <w:rPr>
          <w:rFonts w:ascii="Times New Roman" w:eastAsiaTheme="majorEastAsia" w:hAnsi="Times New Roman" w:cs="Arial"/>
          <w:color w:val="000000"/>
          <w:sz w:val="18"/>
          <w:szCs w:val="18"/>
        </w:rPr>
        <w:t xml:space="preserve"> 2013 (endoscopy).</w:t>
      </w:r>
    </w:p>
    <w:p w14:paraId="56535EED"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11</w:t>
      </w:r>
      <w:r w:rsidRPr="005C4D0F">
        <w:rPr>
          <w:rFonts w:ascii="Times New Roman" w:eastAsiaTheme="majorEastAsia" w:hAnsi="Times New Roman" w:cs="Arial"/>
          <w:color w:val="000000"/>
          <w:sz w:val="18"/>
          <w:szCs w:val="18"/>
        </w:rPr>
        <w:t xml:space="preserve"> Only 1 study reported regurgitation.</w:t>
      </w:r>
    </w:p>
    <w:p w14:paraId="576D85CF"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12</w:t>
      </w:r>
      <w:r w:rsidRPr="005C4D0F">
        <w:rPr>
          <w:rFonts w:ascii="Times New Roman" w:eastAsiaTheme="majorEastAsia" w:hAnsi="Times New Roman" w:cs="Arial"/>
          <w:color w:val="000000"/>
          <w:sz w:val="18"/>
          <w:szCs w:val="18"/>
        </w:rPr>
        <w:t xml:space="preserve"> Wide confidence interval in one RCT and not events in other trials.</w:t>
      </w:r>
    </w:p>
    <w:p w14:paraId="1FB33CA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13</w:t>
      </w:r>
      <w:r w:rsidRPr="005C4D0F">
        <w:rPr>
          <w:rFonts w:ascii="Times New Roman" w:eastAsiaTheme="majorEastAsia" w:hAnsi="Times New Roman" w:cs="Arial"/>
          <w:color w:val="000000"/>
          <w:sz w:val="18"/>
          <w:szCs w:val="18"/>
        </w:rPr>
        <w:t xml:space="preserve"> One study with high percentage of missing values.</w:t>
      </w:r>
    </w:p>
    <w:p w14:paraId="3A29AB94"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14</w:t>
      </w:r>
      <w:r w:rsidRPr="005C4D0F">
        <w:rPr>
          <w:rFonts w:ascii="Times New Roman" w:eastAsiaTheme="majorEastAsia" w:hAnsi="Times New Roman" w:cs="Arial"/>
          <w:color w:val="000000"/>
          <w:sz w:val="18"/>
          <w:szCs w:val="18"/>
        </w:rPr>
        <w:t xml:space="preserve"> Two studies reported events (14% vs. 17% and 0% vs. 7%) and 3 studies reported no events.</w:t>
      </w:r>
    </w:p>
    <w:p w14:paraId="6BA8245B"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15</w:t>
      </w:r>
      <w:r w:rsidRPr="005C4D0F">
        <w:rPr>
          <w:rFonts w:ascii="Times New Roman" w:eastAsiaTheme="majorEastAsia" w:hAnsi="Times New Roman" w:cs="Arial"/>
          <w:color w:val="000000"/>
          <w:sz w:val="18"/>
          <w:szCs w:val="18"/>
        </w:rPr>
        <w:t xml:space="preserve"> Wide confidence intervals for two effect estimates consistent with either CHO or fasting being accompanied by less vomiting, and remaining studies reporting no events.</w:t>
      </w:r>
    </w:p>
    <w:p w14:paraId="2C879DDD"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16</w:t>
      </w:r>
      <w:r w:rsidRPr="005C4D0F">
        <w:rPr>
          <w:rFonts w:ascii="Times New Roman" w:eastAsiaTheme="majorEastAsia" w:hAnsi="Times New Roman" w:cs="Arial"/>
          <w:color w:val="000000"/>
          <w:sz w:val="18"/>
          <w:szCs w:val="18"/>
        </w:rPr>
        <w:t xml:space="preserve"> Two of 14 studies with high percentage of missing values; remaining studies low risk of bias.</w:t>
      </w:r>
    </w:p>
    <w:p w14:paraId="69BFE2DA"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17</w:t>
      </w:r>
      <w:r w:rsidRPr="005C4D0F">
        <w:rPr>
          <w:rFonts w:ascii="Times New Roman" w:eastAsiaTheme="majorEastAsia" w:hAnsi="Times New Roman" w:cs="Arial"/>
          <w:color w:val="000000"/>
          <w:sz w:val="18"/>
          <w:szCs w:val="18"/>
        </w:rPr>
        <w:t xml:space="preserve"> Considerable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 80%) but not clinically relevant (between study mean difference 2.1 mL).</w:t>
      </w:r>
    </w:p>
    <w:p w14:paraId="016EAE8C"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18</w:t>
      </w:r>
      <w:r w:rsidRPr="005C4D0F">
        <w:rPr>
          <w:rFonts w:ascii="Times New Roman" w:eastAsiaTheme="majorEastAsia" w:hAnsi="Times New Roman" w:cs="Arial"/>
          <w:color w:val="000000"/>
          <w:sz w:val="18"/>
          <w:szCs w:val="18"/>
        </w:rPr>
        <w:t xml:space="preserve"> Strength of relationship with aspiration unclear, but for comparative purposes may be direct.</w:t>
      </w:r>
    </w:p>
    <w:p w14:paraId="0E2AF32D"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19</w:t>
      </w:r>
      <w:r w:rsidRPr="005C4D0F">
        <w:rPr>
          <w:rFonts w:ascii="Times New Roman" w:eastAsiaTheme="majorEastAsia" w:hAnsi="Times New Roman" w:cs="Arial"/>
          <w:color w:val="000000"/>
          <w:sz w:val="18"/>
          <w:szCs w:val="18"/>
        </w:rPr>
        <w:t xml:space="preserve">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 53%.</w:t>
      </w:r>
    </w:p>
    <w:p w14:paraId="20BFAF50"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3</w:t>
      </w:r>
      <w:r w:rsidRPr="005C4D0F">
        <w:rPr>
          <w:rFonts w:ascii="Times New Roman" w:eastAsia="SimSun" w:hAnsi="Times New Roman" w:cs="Arial (Body CS)"/>
          <w:iCs/>
          <w:color w:val="000000" w:themeColor="text1"/>
          <w:sz w:val="24"/>
          <w:szCs w:val="18"/>
        </w:rPr>
        <w:t xml:space="preserve">. Strength of evidence for outcomes in randomized controlled trials comparing carbohydrate-containing clear liquids with non-caloric clear liquids in adults. </w:t>
      </w:r>
    </w:p>
    <w:p w14:paraId="74B5443F"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18"/>
          <w:szCs w:val="18"/>
        </w:rPr>
        <w:drawing>
          <wp:inline distT="0" distB="0" distL="0" distR="0" wp14:anchorId="0C18E972" wp14:editId="251B8616">
            <wp:extent cx="4983120" cy="6703255"/>
            <wp:effectExtent l="0" t="0" r="0" b="254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191" cy="6718147"/>
                    </a:xfrm>
                    <a:prstGeom prst="rect">
                      <a:avLst/>
                    </a:prstGeom>
                  </pic:spPr>
                </pic:pic>
              </a:graphicData>
            </a:graphic>
          </wp:inline>
        </w:drawing>
      </w:r>
    </w:p>
    <w:p w14:paraId="096EA81E" w14:textId="77777777" w:rsidR="00897B14" w:rsidRDefault="00897B14" w:rsidP="00897B14">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2365872C" w14:textId="77777777" w:rsidR="00FF61B3" w:rsidRDefault="005C4D0F" w:rsidP="00FF61B3">
      <w:pPr>
        <w:pStyle w:val="Tablefootnote"/>
      </w:pPr>
      <w:r w:rsidRPr="005C4D0F">
        <w:t>GRADE: Grading of Recommendations Assessment, Development and Evaluation; ACCF/AHA; American College of Cardiology Foundation/American Heart Association; RR: risk ratio; SMD: standardized mean difference; MD: mean difference; RCT: randomized controlled trial.</w:t>
      </w:r>
    </w:p>
    <w:p w14:paraId="68FAB187" w14:textId="77777777" w:rsidR="00FF61B3" w:rsidRDefault="005C4D0F" w:rsidP="00FF61B3">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 </w:t>
      </w:r>
    </w:p>
    <w:p w14:paraId="3C8FC728" w14:textId="52462B5F" w:rsidR="005C4D0F" w:rsidRPr="005C4D0F" w:rsidRDefault="005C4D0F" w:rsidP="00FF61B3">
      <w:pPr>
        <w:pStyle w:val="Tablefootnote"/>
      </w:pPr>
      <w:r w:rsidRPr="005C4D0F">
        <w:rPr>
          <w:vertAlign w:val="superscript"/>
        </w:rPr>
        <w:t>1</w:t>
      </w:r>
      <w:r w:rsidRPr="005C4D0F">
        <w:t xml:space="preserve"> ● Limited, ●● Important, ●●● Critical.</w:t>
      </w:r>
    </w:p>
    <w:p w14:paraId="72D82B76" w14:textId="77777777" w:rsidR="005C4D0F" w:rsidRPr="005C4D0F" w:rsidRDefault="005C4D0F" w:rsidP="005C4D0F">
      <w:pPr>
        <w:spacing w:after="0" w:line="240" w:lineRule="auto"/>
        <w:rPr>
          <w:rFonts w:ascii="Times New Roman" w:eastAsia="Times New Roman" w:hAnsi="Times New Roman" w:cs="Times New Roman"/>
          <w:sz w:val="24"/>
          <w:szCs w:val="24"/>
        </w:rPr>
      </w:pPr>
    </w:p>
    <w:p w14:paraId="6A083737" w14:textId="77777777" w:rsidR="005C4D0F" w:rsidRPr="005C4D0F" w:rsidRDefault="005C4D0F" w:rsidP="005C4D0F">
      <w:pPr>
        <w:spacing w:after="0" w:line="240" w:lineRule="auto"/>
        <w:rPr>
          <w:rFonts w:ascii="Times New Roman" w:eastAsia="Times New Roman" w:hAnsi="Times New Roman" w:cs="Times New Roman"/>
          <w:sz w:val="24"/>
          <w:szCs w:val="24"/>
        </w:rPr>
      </w:pPr>
      <w:bookmarkStart w:id="3" w:name="_Ref111724602"/>
      <w:r w:rsidRPr="005C4D0F">
        <w:rPr>
          <w:rFonts w:ascii="Times New Roman" w:eastAsia="Times New Roman" w:hAnsi="Times New Roman" w:cs="Times New Roman"/>
          <w:sz w:val="24"/>
          <w:szCs w:val="24"/>
        </w:rPr>
        <w:t xml:space="preserve">Supplemental Table </w:t>
      </w:r>
      <w:r w:rsidRPr="005C4D0F">
        <w:rPr>
          <w:rFonts w:ascii="Times New Roman" w:eastAsia="Times New Roman" w:hAnsi="Times New Roman" w:cs="Times New Roman"/>
          <w:noProof/>
          <w:sz w:val="24"/>
          <w:szCs w:val="24"/>
        </w:rPr>
        <w:t>4</w:t>
      </w:r>
      <w:bookmarkEnd w:id="3"/>
      <w:r w:rsidRPr="005C4D0F">
        <w:rPr>
          <w:rFonts w:ascii="Times New Roman" w:eastAsia="Times New Roman" w:hAnsi="Times New Roman" w:cs="Times New Roman"/>
          <w:sz w:val="24"/>
          <w:szCs w:val="24"/>
        </w:rPr>
        <w:t>. GRADE domains for outcomes from randomized controlled trials comparing carbohydrate-containing clear liquids with non-caloric clear liquids in adults.</w:t>
      </w:r>
    </w:p>
    <w:p w14:paraId="583B21CE"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24"/>
          <w:szCs w:val="24"/>
        </w:rPr>
        <w:drawing>
          <wp:inline distT="0" distB="0" distL="0" distR="0" wp14:anchorId="1C21EB8B" wp14:editId="5C560278">
            <wp:extent cx="5937336" cy="3278221"/>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7336" cy="3278221"/>
                    </a:xfrm>
                    <a:prstGeom prst="rect">
                      <a:avLst/>
                    </a:prstGeom>
                  </pic:spPr>
                </pic:pic>
              </a:graphicData>
            </a:graphic>
          </wp:inline>
        </w:drawing>
      </w:r>
    </w:p>
    <w:p w14:paraId="6F8CBA18"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rPr>
        <w:t xml:space="preserve">GRADE: Grading of Recommendations Assessment, Development and Evaluation; RCT: randomized controlled trial; NRSI: nonrandomized study of interventions. </w:t>
      </w:r>
    </w:p>
    <w:p w14:paraId="04CC17E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w:t>
      </w:r>
      <w:r w:rsidRPr="005C4D0F">
        <w:rPr>
          <w:rFonts w:ascii="Times New Roman" w:eastAsiaTheme="majorEastAsia" w:hAnsi="Times New Roman" w:cs="Arial"/>
          <w:color w:val="000000"/>
          <w:sz w:val="18"/>
          <w:szCs w:val="18"/>
        </w:rPr>
        <w:t xml:space="preserve"> Substantial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=66%) yielding a 95% prediction interval consistent with lower hunger scores accompanied by either carbohydrate.</w:t>
      </w:r>
    </w:p>
    <w:p w14:paraId="24BD525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Single study cannot assess consistency.</w:t>
      </w:r>
    </w:p>
    <w:p w14:paraId="0E0C4BD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3</w:t>
      </w:r>
      <w:r w:rsidRPr="005C4D0F">
        <w:rPr>
          <w:rFonts w:ascii="Times New Roman" w:eastAsiaTheme="majorEastAsia" w:hAnsi="Times New Roman" w:cs="Arial"/>
          <w:color w:val="000000"/>
          <w:sz w:val="18"/>
          <w:szCs w:val="18"/>
        </w:rPr>
        <w:t xml:space="preserve"> No reported thirst in carbohydrate arm.</w:t>
      </w:r>
    </w:p>
    <w:p w14:paraId="08C5489A"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4</w:t>
      </w:r>
      <w:r w:rsidRPr="005C4D0F">
        <w:rPr>
          <w:rFonts w:ascii="Times New Roman" w:eastAsiaTheme="majorEastAsia" w:hAnsi="Times New Roman" w:cs="Arial"/>
          <w:color w:val="000000"/>
          <w:sz w:val="18"/>
          <w:szCs w:val="18"/>
        </w:rPr>
        <w:t xml:space="preserve"> Considerable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=79%) yielding a 95% prediction interval consistent with lower thirst scores accompanied by either carbohydrate or clear liquids.</w:t>
      </w:r>
    </w:p>
    <w:p w14:paraId="137EEDDA"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5</w:t>
      </w:r>
      <w:r w:rsidRPr="005C4D0F">
        <w:rPr>
          <w:rFonts w:ascii="Times New Roman" w:eastAsiaTheme="majorEastAsia" w:hAnsi="Times New Roman" w:cs="Arial"/>
          <w:color w:val="000000"/>
          <w:sz w:val="18"/>
          <w:szCs w:val="18"/>
        </w:rPr>
        <w:t xml:space="preserve"> Wide confidence intervals indicate uncertainty concerning results.</w:t>
      </w:r>
    </w:p>
    <w:p w14:paraId="077776A0"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6</w:t>
      </w:r>
      <w:r w:rsidRPr="005C4D0F">
        <w:rPr>
          <w:rFonts w:ascii="Times New Roman" w:eastAsiaTheme="majorEastAsia" w:hAnsi="Times New Roman" w:cs="Arial"/>
          <w:color w:val="000000"/>
          <w:sz w:val="18"/>
          <w:szCs w:val="18"/>
        </w:rPr>
        <w:t xml:space="preserve"> One study reported more nausea with carbohydrate drinks vs. water, 1 study did not detect a difference, and 2 studies reported no events.</w:t>
      </w:r>
    </w:p>
    <w:p w14:paraId="0D0E94F8"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7</w:t>
      </w:r>
      <w:r w:rsidRPr="005C4D0F">
        <w:rPr>
          <w:rFonts w:ascii="Times New Roman" w:eastAsiaTheme="majorEastAsia" w:hAnsi="Times New Roman" w:cs="Arial"/>
          <w:color w:val="000000"/>
          <w:sz w:val="18"/>
          <w:szCs w:val="18"/>
        </w:rPr>
        <w:t xml:space="preserve"> Very wide confidence interval for 2 effect estimates and 2 studies with no events.</w:t>
      </w:r>
    </w:p>
    <w:p w14:paraId="0375B47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8</w:t>
      </w:r>
      <w:r w:rsidRPr="005C4D0F">
        <w:rPr>
          <w:rFonts w:ascii="Times New Roman" w:eastAsiaTheme="majorEastAsia" w:hAnsi="Times New Roman" w:cs="Arial"/>
          <w:color w:val="000000"/>
          <w:sz w:val="18"/>
          <w:szCs w:val="18"/>
        </w:rPr>
        <w:t xml:space="preserve"> Limited by absence of nausea (1 of 4 studies reported no nausea), and small sample sizes of individual studies (2 of 4 studies with population &lt;100).</w:t>
      </w:r>
    </w:p>
    <w:p w14:paraId="55988F1F"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9</w:t>
      </w:r>
      <w:r w:rsidRPr="005C4D0F">
        <w:rPr>
          <w:rFonts w:ascii="Times New Roman" w:eastAsiaTheme="majorEastAsia" w:hAnsi="Times New Roman" w:cs="Arial"/>
          <w:color w:val="000000"/>
          <w:sz w:val="18"/>
          <w:szCs w:val="18"/>
        </w:rPr>
        <w:t xml:space="preserve"> Data limited to 2 studies.</w:t>
      </w:r>
    </w:p>
    <w:p w14:paraId="58B76EF4"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10</w:t>
      </w:r>
      <w:r w:rsidRPr="005C4D0F">
        <w:rPr>
          <w:rFonts w:ascii="Times New Roman" w:eastAsiaTheme="majorEastAsia" w:hAnsi="Times New Roman" w:cs="Arial"/>
          <w:color w:val="000000"/>
          <w:sz w:val="18"/>
          <w:szCs w:val="18"/>
        </w:rPr>
        <w:t xml:space="preserve"> One effect estimate calculated from means and confidence intervals.</w:t>
      </w:r>
    </w:p>
    <w:p w14:paraId="1028668D"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11</w:t>
      </w:r>
      <w:r w:rsidRPr="005C4D0F">
        <w:rPr>
          <w:rFonts w:ascii="Times New Roman" w:eastAsiaTheme="majorEastAsia" w:hAnsi="Times New Roman" w:cs="Arial"/>
          <w:color w:val="000000"/>
          <w:sz w:val="18"/>
          <w:szCs w:val="18"/>
        </w:rPr>
        <w:t xml:space="preserve"> Precision cannot be determined with zero events reported.</w:t>
      </w:r>
    </w:p>
    <w:p w14:paraId="78F2F5E0"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12</w:t>
      </w:r>
      <w:r w:rsidRPr="005C4D0F">
        <w:rPr>
          <w:rFonts w:ascii="Times New Roman" w:eastAsiaTheme="majorEastAsia" w:hAnsi="Times New Roman" w:cs="Arial"/>
          <w:color w:val="000000"/>
          <w:sz w:val="18"/>
          <w:szCs w:val="18"/>
        </w:rPr>
        <w:t xml:space="preserve"> One study with high percentage of missing values.</w:t>
      </w:r>
    </w:p>
    <w:p w14:paraId="1BCF9D98"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13</w:t>
      </w:r>
      <w:r w:rsidRPr="005C4D0F">
        <w:rPr>
          <w:rFonts w:ascii="Times New Roman" w:eastAsiaTheme="majorEastAsia" w:hAnsi="Times New Roman" w:cs="Arial"/>
          <w:color w:val="000000"/>
          <w:sz w:val="18"/>
          <w:szCs w:val="18"/>
        </w:rPr>
        <w:t xml:space="preserve"> Wide confidence interval and 7 events.</w:t>
      </w:r>
    </w:p>
    <w:p w14:paraId="06DD969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14</w:t>
      </w:r>
      <w:r w:rsidRPr="005C4D0F">
        <w:rPr>
          <w:rFonts w:ascii="Times New Roman" w:eastAsiaTheme="majorEastAsia" w:hAnsi="Times New Roman" w:cs="Arial"/>
          <w:color w:val="000000"/>
          <w:sz w:val="18"/>
          <w:szCs w:val="18"/>
        </w:rPr>
        <w:t xml:space="preserve"> Strength of relationship with aspiration not clearly defined.</w:t>
      </w:r>
    </w:p>
    <w:p w14:paraId="7DE674BE"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15</w:t>
      </w:r>
      <w:r w:rsidRPr="005C4D0F">
        <w:rPr>
          <w:rFonts w:ascii="Times New Roman" w:eastAsiaTheme="majorEastAsia" w:hAnsi="Times New Roman" w:cs="Arial"/>
          <w:color w:val="000000"/>
          <w:sz w:val="18"/>
          <w:szCs w:val="18"/>
        </w:rPr>
        <w:t xml:space="preserve"> One study did not report pH on all study participants.</w:t>
      </w:r>
    </w:p>
    <w:p w14:paraId="0D199A1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16</w:t>
      </w:r>
      <w:r w:rsidRPr="005C4D0F">
        <w:rPr>
          <w:rFonts w:ascii="Times New Roman" w:eastAsiaTheme="majorEastAsia" w:hAnsi="Times New Roman" w:cs="Arial"/>
          <w:color w:val="000000"/>
          <w:sz w:val="18"/>
          <w:szCs w:val="18"/>
        </w:rPr>
        <w:t xml:space="preserve"> Small number of participants.</w:t>
      </w:r>
    </w:p>
    <w:p w14:paraId="2A38D140"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sz w:val="24"/>
          <w:szCs w:val="24"/>
        </w:rPr>
        <w:br w:type="page"/>
      </w:r>
    </w:p>
    <w:p w14:paraId="60C051E0"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4" w:name="_Ref111724752"/>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5</w:t>
      </w:r>
      <w:bookmarkEnd w:id="4"/>
      <w:r w:rsidRPr="005C4D0F">
        <w:rPr>
          <w:rFonts w:ascii="Times New Roman" w:eastAsia="SimSun" w:hAnsi="Times New Roman" w:cs="Arial (Body CS)"/>
          <w:iCs/>
          <w:color w:val="000000" w:themeColor="text1"/>
          <w:sz w:val="24"/>
          <w:szCs w:val="18"/>
        </w:rPr>
        <w:t xml:space="preserve">. </w:t>
      </w:r>
      <w:r w:rsidRPr="005C4D0F">
        <w:rPr>
          <w:rFonts w:ascii="Times New Roman" w:eastAsia="SimSun" w:hAnsi="Times New Roman" w:cs="Times New Roman"/>
          <w:iCs/>
          <w:color w:val="333333"/>
          <w:sz w:val="24"/>
          <w:szCs w:val="24"/>
          <w:shd w:val="clear" w:color="auto" w:fill="FFFFFF"/>
        </w:rPr>
        <w:t xml:space="preserve">Mean differences in residual gastric volumes (mL) and 95% credible intervals from network meta-analysis. Comparisons are top to bottom below the diagonal (e.g., fasting versus complex carbohydrate-containing clear liquids is 1.75 mL). Note that differences were not identified between any comparators, nor were the 95% credible intervals consistent with potential clinically important differences. High confidence (CINeMA) for comparison between complex and simple carbohydrates. </w:t>
      </w:r>
    </w:p>
    <w:p w14:paraId="4D11DF1B" w14:textId="77777777" w:rsidR="005C4D0F" w:rsidRPr="005C4D0F" w:rsidRDefault="005C4D0F" w:rsidP="005C4D0F">
      <w:pPr>
        <w:spacing w:after="0" w:line="240" w:lineRule="auto"/>
        <w:rPr>
          <w:rFonts w:ascii="Times New Roman" w:eastAsia="Times New Roman" w:hAnsi="Times New Roman" w:cs="Times New Roman"/>
          <w:sz w:val="24"/>
          <w:szCs w:val="24"/>
        </w:rPr>
      </w:pPr>
      <w:r w:rsidRPr="005C4D0F">
        <w:rPr>
          <w:rFonts w:ascii="Times New Roman" w:eastAsia="Times New Roman" w:hAnsi="Times New Roman" w:cs="Times New Roman"/>
          <w:noProof/>
          <w:sz w:val="24"/>
          <w:szCs w:val="24"/>
        </w:rPr>
        <w:drawing>
          <wp:inline distT="0" distB="0" distL="0" distR="0" wp14:anchorId="6AA9A0AA" wp14:editId="08858941">
            <wp:extent cx="4387174" cy="1409896"/>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12908" cy="1418166"/>
                    </a:xfrm>
                    <a:prstGeom prst="rect">
                      <a:avLst/>
                    </a:prstGeom>
                  </pic:spPr>
                </pic:pic>
              </a:graphicData>
            </a:graphic>
          </wp:inline>
        </w:drawing>
      </w:r>
    </w:p>
    <w:p w14:paraId="41A8FBC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rPr>
        <w:t>CHO: carbohydrate; Comp: complex; Simp: simple.</w:t>
      </w:r>
    </w:p>
    <w:p w14:paraId="0ACEF90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p>
    <w:p w14:paraId="41333F54"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highlight w:val="yellow"/>
        </w:rPr>
      </w:pPr>
      <w:bookmarkStart w:id="5" w:name="_Ref111724770"/>
      <w:r w:rsidRPr="005C4D0F">
        <w:rPr>
          <w:rFonts w:ascii="Times New Roman" w:eastAsia="SimSun" w:hAnsi="Times New Roman" w:cs="Arial (Body CS)"/>
          <w:iCs/>
          <w:color w:val="000000" w:themeColor="text1"/>
          <w:sz w:val="24"/>
          <w:szCs w:val="18"/>
        </w:rPr>
        <w:t xml:space="preserve">Supplemental Table </w:t>
      </w:r>
      <w:r w:rsidRPr="005C4D0F">
        <w:rPr>
          <w:rFonts w:ascii="Times New Roman" w:eastAsia="SimSun" w:hAnsi="Times New Roman" w:cs="Arial (Body CS)"/>
          <w:iCs/>
          <w:noProof/>
          <w:color w:val="000000" w:themeColor="text1"/>
          <w:sz w:val="24"/>
          <w:szCs w:val="18"/>
        </w:rPr>
        <w:t>6</w:t>
      </w:r>
      <w:bookmarkEnd w:id="5"/>
      <w:r w:rsidRPr="005C4D0F">
        <w:rPr>
          <w:rFonts w:ascii="Times New Roman" w:eastAsia="SimSun" w:hAnsi="Times New Roman" w:cs="Arial (Body CS)"/>
          <w:iCs/>
          <w:color w:val="000000" w:themeColor="text1"/>
          <w:sz w:val="24"/>
          <w:szCs w:val="18"/>
        </w:rPr>
        <w:t>. Standardized mean differences in patient-rated hunger and 95% CIs from network meta-analysis. Comparisons including direct and indirect evidence are top to bottom below the diagonal (e.g., a standardized mean difference between complex carbohydrate-containing clear liquids and simple carbohydrates of 0.27). Estimates above the diagonal include only the direct evidence for the corresponding comparison. Any differences across the diagonals reflect inconsistency between direct and indirect evidence. Despite some inconsistencies, and low confidence (CINeMA) for the comparison between complex and simple carbohydrates, the results offer no evidence to support a difference in patient rated hunger between complex and simple carbohydrate-containing clear liquids.</w:t>
      </w:r>
    </w:p>
    <w:p w14:paraId="66115A8C" w14:textId="77777777" w:rsidR="005C4D0F" w:rsidRPr="005C4D0F" w:rsidRDefault="005C4D0F" w:rsidP="005C4D0F">
      <w:pPr>
        <w:keepNext/>
        <w:spacing w:after="0" w:line="240" w:lineRule="auto"/>
        <w:rPr>
          <w:rFonts w:ascii="Times New Roman" w:eastAsia="SimSun" w:hAnsi="Times New Roman"/>
          <w:highlight w:val="yellow"/>
        </w:rPr>
      </w:pPr>
      <w:r w:rsidRPr="005C4D0F">
        <w:rPr>
          <w:rFonts w:ascii="Times New Roman" w:eastAsia="SimSun" w:hAnsi="Times New Roman"/>
          <w:noProof/>
        </w:rPr>
        <w:drawing>
          <wp:inline distT="0" distB="0" distL="0" distR="0" wp14:anchorId="05EF40E2" wp14:editId="4698CF68">
            <wp:extent cx="4386580" cy="1398341"/>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41019" cy="1415695"/>
                    </a:xfrm>
                    <a:prstGeom prst="rect">
                      <a:avLst/>
                    </a:prstGeom>
                  </pic:spPr>
                </pic:pic>
              </a:graphicData>
            </a:graphic>
          </wp:inline>
        </w:drawing>
      </w:r>
    </w:p>
    <w:p w14:paraId="42CB8F51"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rPr>
        <w:t>CHO: carbohydrate; Comp: complex; Simp: simple.</w:t>
      </w:r>
    </w:p>
    <w:p w14:paraId="1645E3D4" w14:textId="77777777" w:rsidR="005C4D0F" w:rsidRPr="005C4D0F" w:rsidRDefault="005C4D0F" w:rsidP="005C4D0F">
      <w:pPr>
        <w:spacing w:after="0" w:line="240" w:lineRule="auto"/>
        <w:rPr>
          <w:rFonts w:ascii="Times New Roman" w:eastAsia="Times New Roman" w:hAnsi="Times New Roman" w:cs="Times New Roman"/>
          <w:sz w:val="24"/>
          <w:szCs w:val="24"/>
        </w:rPr>
      </w:pPr>
    </w:p>
    <w:p w14:paraId="124207D9"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6" w:name="_Ref111724863"/>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7</w:t>
      </w:r>
      <w:bookmarkEnd w:id="6"/>
      <w:r w:rsidRPr="005C4D0F">
        <w:rPr>
          <w:rFonts w:ascii="Times New Roman" w:eastAsia="SimSun" w:hAnsi="Times New Roman" w:cs="Arial (Body CS)"/>
          <w:iCs/>
          <w:color w:val="000000" w:themeColor="text1"/>
          <w:sz w:val="24"/>
          <w:szCs w:val="18"/>
        </w:rPr>
        <w:t>. Strength of evidence for outcomes from studies comparing protein-containing clear liquids with fasting in adults (all randomized except for aspiration evidence).</w:t>
      </w:r>
    </w:p>
    <w:p w14:paraId="0A33BC6B" w14:textId="77777777" w:rsidR="005C4D0F" w:rsidRPr="005C4D0F" w:rsidRDefault="005C4D0F" w:rsidP="005C4D0F">
      <w:pPr>
        <w:keepNext/>
        <w:spacing w:after="0" w:line="240" w:lineRule="auto"/>
        <w:rPr>
          <w:rFonts w:ascii="Times New Roman" w:eastAsia="SimSun" w:hAnsi="Times New Roman"/>
          <w:sz w:val="16"/>
          <w:szCs w:val="16"/>
        </w:rPr>
      </w:pPr>
      <w:r w:rsidRPr="005C4D0F">
        <w:rPr>
          <w:rFonts w:ascii="Times New Roman" w:eastAsia="SimSun" w:hAnsi="Times New Roman"/>
          <w:noProof/>
          <w:sz w:val="16"/>
          <w:szCs w:val="16"/>
        </w:rPr>
        <w:drawing>
          <wp:inline distT="0" distB="0" distL="0" distR="0" wp14:anchorId="6F59902F" wp14:editId="59FD5F3F">
            <wp:extent cx="5924145" cy="5977308"/>
            <wp:effectExtent l="0" t="0" r="0" b="444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7048" cy="6010507"/>
                    </a:xfrm>
                    <a:prstGeom prst="rect">
                      <a:avLst/>
                    </a:prstGeom>
                  </pic:spPr>
                </pic:pic>
              </a:graphicData>
            </a:graphic>
          </wp:inline>
        </w:drawing>
      </w:r>
    </w:p>
    <w:p w14:paraId="0A58A1C0" w14:textId="77777777" w:rsidR="003A4FED" w:rsidRDefault="003A4FED" w:rsidP="003A4FED">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32AB8927" w14:textId="77777777" w:rsidR="003A4FED" w:rsidRDefault="005C4D0F" w:rsidP="003A4FED">
      <w:pPr>
        <w:pStyle w:val="Tablefootnote"/>
      </w:pPr>
      <w:r w:rsidRPr="005C4D0F">
        <w:t>GRADE: Grading of Recommendations Assessment, Development and Evaluation; ACCF/AHA; American College of Cardiology Foundation/American Heart Association; RCT: randomized controlled trial; RR: risk ratio; MD: mean difference.</w:t>
      </w:r>
    </w:p>
    <w:p w14:paraId="7FEE8958" w14:textId="77777777" w:rsidR="003A4FED" w:rsidRDefault="005C4D0F" w:rsidP="003A4FED">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7875F18F" w14:textId="002AAAFE" w:rsidR="005C4D0F" w:rsidRPr="005C4D0F" w:rsidRDefault="005C4D0F" w:rsidP="003A4FED">
      <w:pPr>
        <w:pStyle w:val="Tablefootnote"/>
      </w:pPr>
      <w:r w:rsidRPr="005C4D0F">
        <w:rPr>
          <w:vertAlign w:val="superscript"/>
        </w:rPr>
        <w:t>1</w:t>
      </w:r>
      <w:r w:rsidRPr="005C4D0F">
        <w:t> ● Limited, ●● Important, ●●● Critical.</w:t>
      </w:r>
    </w:p>
    <w:p w14:paraId="5FC1051E" w14:textId="4F4E06B6"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8</w:t>
      </w:r>
      <w:r w:rsidRPr="005C4D0F">
        <w:rPr>
          <w:rFonts w:ascii="Times New Roman" w:eastAsia="SimSun" w:hAnsi="Times New Roman" w:cs="Arial (Body CS)"/>
          <w:iCs/>
          <w:color w:val="000000" w:themeColor="text1"/>
          <w:sz w:val="24"/>
          <w:szCs w:val="18"/>
        </w:rPr>
        <w:t>. GRADE domains for strength of evidence by outcome</w:t>
      </w:r>
      <w:r w:rsidR="002F5EE8">
        <w:rPr>
          <w:rFonts w:ascii="Times New Roman" w:eastAsia="SimSun" w:hAnsi="Times New Roman" w:cs="Arial (Body CS)"/>
          <w:iCs/>
          <w:color w:val="000000" w:themeColor="text1"/>
          <w:sz w:val="24"/>
          <w:szCs w:val="18"/>
        </w:rPr>
        <w:t>—</w:t>
      </w:r>
      <w:r w:rsidRPr="005C4D0F">
        <w:rPr>
          <w:rFonts w:ascii="Times New Roman" w:eastAsia="SimSun" w:hAnsi="Times New Roman" w:cs="Arial (Body CS)"/>
          <w:iCs/>
          <w:color w:val="000000" w:themeColor="text1"/>
          <w:sz w:val="24"/>
          <w:szCs w:val="18"/>
        </w:rPr>
        <w:t>protein-containing clear liquids compared with fasting in adults.</w:t>
      </w:r>
    </w:p>
    <w:p w14:paraId="0AEE27A5"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683BDD9C" wp14:editId="5BB18ED3">
            <wp:extent cx="5955823" cy="3482502"/>
            <wp:effectExtent l="0" t="0" r="63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3896" cy="3493069"/>
                    </a:xfrm>
                    <a:prstGeom prst="rect">
                      <a:avLst/>
                    </a:prstGeom>
                  </pic:spPr>
                </pic:pic>
              </a:graphicData>
            </a:graphic>
          </wp:inline>
        </w:drawing>
      </w:r>
    </w:p>
    <w:p w14:paraId="6D738CF3"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rPr>
        <w:t>RCT: randomized controlled trial; NRSI: nonrandomized studies of interventions.</w:t>
      </w:r>
    </w:p>
    <w:p w14:paraId="04F34655"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1</w:t>
      </w:r>
      <w:r w:rsidRPr="005C4D0F">
        <w:rPr>
          <w:rFonts w:ascii="Times New Roman" w:eastAsia="SimSun" w:hAnsi="Times New Roman"/>
          <w:sz w:val="18"/>
          <w:szCs w:val="18"/>
        </w:rPr>
        <w:t> Single study cannot assess consistency.</w:t>
      </w:r>
    </w:p>
    <w:p w14:paraId="03DDEEB1"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2</w:t>
      </w:r>
      <w:r w:rsidRPr="005C4D0F">
        <w:rPr>
          <w:rFonts w:ascii="Times New Roman" w:eastAsia="SimSun" w:hAnsi="Times New Roman"/>
          <w:sz w:val="18"/>
          <w:szCs w:val="18"/>
        </w:rPr>
        <w:t> Results estimated using reported medians, IQRs, and ranges.</w:t>
      </w:r>
    </w:p>
    <w:p w14:paraId="741ABE89"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3</w:t>
      </w:r>
      <w:r w:rsidRPr="005C4D0F">
        <w:rPr>
          <w:rFonts w:ascii="Times New Roman" w:eastAsia="SimSun" w:hAnsi="Times New Roman"/>
          <w:sz w:val="18"/>
          <w:szCs w:val="18"/>
        </w:rPr>
        <w:t> Wide confidence intervals consistent with either carbohydrate/protein drinks or fasting being accompanied by less risk of thirst.</w:t>
      </w:r>
    </w:p>
    <w:p w14:paraId="410C7D7D"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4</w:t>
      </w:r>
      <w:r w:rsidRPr="005C4D0F">
        <w:rPr>
          <w:rFonts w:ascii="Times New Roman" w:eastAsia="SimSun" w:hAnsi="Times New Roman"/>
          <w:sz w:val="18"/>
          <w:szCs w:val="18"/>
        </w:rPr>
        <w:t> Small sample size.</w:t>
      </w:r>
    </w:p>
    <w:p w14:paraId="1736F7A9"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5</w:t>
      </w:r>
      <w:r w:rsidRPr="005C4D0F">
        <w:rPr>
          <w:rFonts w:ascii="Times New Roman" w:eastAsia="SimSun" w:hAnsi="Times New Roman"/>
          <w:sz w:val="18"/>
          <w:szCs w:val="18"/>
        </w:rPr>
        <w:t> Two studies with high percentage of missing values.</w:t>
      </w:r>
    </w:p>
    <w:p w14:paraId="32C7BA4E"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6</w:t>
      </w:r>
      <w:r w:rsidRPr="005C4D0F">
        <w:rPr>
          <w:rFonts w:ascii="Times New Roman" w:eastAsia="SimSun" w:hAnsi="Times New Roman"/>
          <w:sz w:val="18"/>
          <w:szCs w:val="18"/>
        </w:rPr>
        <w:t> Three of 4 studies reported zero events.</w:t>
      </w:r>
    </w:p>
    <w:p w14:paraId="334306BF"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7</w:t>
      </w:r>
      <w:r w:rsidRPr="005C4D0F">
        <w:rPr>
          <w:rFonts w:ascii="Times New Roman" w:eastAsia="SimSun" w:hAnsi="Times New Roman"/>
          <w:sz w:val="18"/>
          <w:szCs w:val="18"/>
        </w:rPr>
        <w:t> High percentage of missing values.</w:t>
      </w:r>
    </w:p>
    <w:p w14:paraId="2D66A102"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8</w:t>
      </w:r>
      <w:r w:rsidRPr="005C4D0F">
        <w:rPr>
          <w:rFonts w:ascii="Times New Roman" w:eastAsia="SimSun" w:hAnsi="Times New Roman"/>
          <w:sz w:val="18"/>
          <w:szCs w:val="18"/>
        </w:rPr>
        <w:t> Precision cannot be determined with zero events reported.</w:t>
      </w:r>
    </w:p>
    <w:p w14:paraId="553B987A"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9</w:t>
      </w:r>
      <w:r w:rsidRPr="005C4D0F">
        <w:rPr>
          <w:rFonts w:ascii="Times New Roman" w:eastAsia="SimSun" w:hAnsi="Times New Roman"/>
          <w:sz w:val="18"/>
          <w:szCs w:val="18"/>
        </w:rPr>
        <w:t> One study with high percentage of missing values.</w:t>
      </w:r>
    </w:p>
    <w:p w14:paraId="6A55567C"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10</w:t>
      </w:r>
      <w:r w:rsidRPr="005C4D0F">
        <w:rPr>
          <w:rFonts w:ascii="Times New Roman" w:eastAsia="SimSun" w:hAnsi="Times New Roman"/>
          <w:sz w:val="18"/>
          <w:szCs w:val="18"/>
        </w:rPr>
        <w:t xml:space="preserve"> Heterogeneity </w:t>
      </w:r>
      <w:r w:rsidRPr="005C4D0F">
        <w:rPr>
          <w:rFonts w:ascii="Times New Roman" w:eastAsia="SimSun" w:hAnsi="Times New Roman"/>
          <w:i/>
          <w:iCs/>
          <w:sz w:val="18"/>
          <w:szCs w:val="18"/>
        </w:rPr>
        <w:t>I</w:t>
      </w:r>
      <w:r w:rsidRPr="005C4D0F">
        <w:rPr>
          <w:rFonts w:ascii="Times New Roman" w:eastAsia="SimSun" w:hAnsi="Times New Roman"/>
          <w:sz w:val="18"/>
          <w:szCs w:val="18"/>
          <w:vertAlign w:val="superscript"/>
        </w:rPr>
        <w:t>2</w:t>
      </w:r>
      <w:r w:rsidRPr="005C4D0F">
        <w:rPr>
          <w:rFonts w:ascii="Times New Roman" w:eastAsia="SimSun" w:hAnsi="Times New Roman"/>
          <w:sz w:val="18"/>
          <w:szCs w:val="18"/>
        </w:rPr>
        <w:t> = 11%.</w:t>
      </w:r>
    </w:p>
    <w:p w14:paraId="66E3CEE7"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sz w:val="18"/>
          <w:szCs w:val="18"/>
          <w:vertAlign w:val="superscript"/>
        </w:rPr>
        <w:t>11</w:t>
      </w:r>
      <w:r w:rsidRPr="005C4D0F">
        <w:rPr>
          <w:rFonts w:ascii="Times New Roman" w:eastAsia="SimSun" w:hAnsi="Times New Roman"/>
          <w:sz w:val="18"/>
          <w:szCs w:val="18"/>
        </w:rPr>
        <w:t> Strength of relationship with aspiration not clearly defined.</w:t>
      </w:r>
    </w:p>
    <w:p w14:paraId="4C85576C" w14:textId="77777777" w:rsidR="005C4D0F" w:rsidRPr="005C4D0F" w:rsidRDefault="005C4D0F" w:rsidP="005C4D0F">
      <w:pPr>
        <w:spacing w:after="0" w:line="240" w:lineRule="auto"/>
        <w:rPr>
          <w:rFonts w:ascii="Times New Roman" w:eastAsia="Times New Roman" w:hAnsi="Times New Roman" w:cs="Times New Roman"/>
          <w:sz w:val="18"/>
          <w:szCs w:val="18"/>
        </w:rPr>
      </w:pPr>
    </w:p>
    <w:p w14:paraId="3277AC77"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9</w:t>
      </w:r>
      <w:r w:rsidRPr="005C4D0F">
        <w:rPr>
          <w:rFonts w:ascii="Times New Roman" w:eastAsia="SimSun" w:hAnsi="Times New Roman" w:cs="Arial (Body CS)"/>
          <w:iCs/>
          <w:color w:val="000000" w:themeColor="text1"/>
          <w:sz w:val="24"/>
          <w:szCs w:val="18"/>
        </w:rPr>
        <w:t>. Strength of evidence for outcomes in randomized controlled trials comparing protein-containing clear liquids with non-caloric clear liquids in adults.</w:t>
      </w:r>
    </w:p>
    <w:p w14:paraId="34203017"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45C116BC" wp14:editId="1B91FB39">
            <wp:extent cx="5929006" cy="4824919"/>
            <wp:effectExtent l="0" t="0" r="1905" b="127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6197" cy="4855184"/>
                    </a:xfrm>
                    <a:prstGeom prst="rect">
                      <a:avLst/>
                    </a:prstGeom>
                  </pic:spPr>
                </pic:pic>
              </a:graphicData>
            </a:graphic>
          </wp:inline>
        </w:drawing>
      </w:r>
    </w:p>
    <w:p w14:paraId="50DAE2DC" w14:textId="77777777" w:rsidR="003A4FED" w:rsidRDefault="003A4FED" w:rsidP="003A4FED">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2C0262C5" w14:textId="77777777" w:rsidR="003A4FED" w:rsidRDefault="005C4D0F" w:rsidP="003A4FED">
      <w:pPr>
        <w:pStyle w:val="Tablefootnote"/>
      </w:pPr>
      <w:r w:rsidRPr="005C4D0F">
        <w:t>GRADE: Grading of Recommendations Assessment, Development and Evaluation; ACCF/AHA; American College of Cardiology Foundation/American Heart Association; RCT: randomized controlled trial; RR: risk ratio; MD: mean difference.</w:t>
      </w:r>
    </w:p>
    <w:p w14:paraId="511CC964" w14:textId="77777777" w:rsidR="003A4FED" w:rsidRDefault="005C4D0F" w:rsidP="003A4FED">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3143208A" w14:textId="6DCF9F3D" w:rsidR="005C4D0F" w:rsidRPr="005C4D0F" w:rsidRDefault="005C4D0F" w:rsidP="003A4FED">
      <w:pPr>
        <w:pStyle w:val="Tablefootnote"/>
      </w:pPr>
      <w:r w:rsidRPr="005C4D0F">
        <w:rPr>
          <w:vertAlign w:val="superscript"/>
        </w:rPr>
        <w:t>1</w:t>
      </w:r>
      <w:r w:rsidRPr="005C4D0F">
        <w:t> ● Limited, ●● Important, ●●● Critical.</w:t>
      </w:r>
    </w:p>
    <w:p w14:paraId="7744141D" w14:textId="77777777" w:rsidR="005C4D0F" w:rsidRPr="005C4D0F" w:rsidRDefault="005C4D0F" w:rsidP="005C4D0F">
      <w:pPr>
        <w:spacing w:after="0" w:line="240" w:lineRule="auto"/>
        <w:rPr>
          <w:rFonts w:ascii="Times New Roman" w:eastAsia="SimSun" w:hAnsi="Times New Roman"/>
          <w:sz w:val="18"/>
          <w:szCs w:val="18"/>
        </w:rPr>
      </w:pPr>
      <w:r w:rsidRPr="005C4D0F">
        <w:rPr>
          <w:rFonts w:ascii="Times New Roman" w:eastAsia="Times New Roman" w:hAnsi="Times New Roman" w:cs="Times New Roman"/>
          <w:sz w:val="18"/>
          <w:szCs w:val="18"/>
        </w:rPr>
        <w:br w:type="page"/>
      </w:r>
    </w:p>
    <w:p w14:paraId="09C48F67"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7" w:name="_Ref111724877"/>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10</w:t>
      </w:r>
      <w:bookmarkEnd w:id="7"/>
      <w:r w:rsidRPr="005C4D0F">
        <w:rPr>
          <w:rFonts w:ascii="Times New Roman" w:eastAsia="SimSun" w:hAnsi="Times New Roman" w:cs="Arial (Body CS)"/>
          <w:iCs/>
          <w:color w:val="000000" w:themeColor="text1"/>
          <w:sz w:val="24"/>
          <w:szCs w:val="18"/>
        </w:rPr>
        <w:t>. GRADE domains for strength of evidence ratings by outcome - protein-containing clear liquids compared with non-caloric clear liquids in adults.</w:t>
      </w:r>
    </w:p>
    <w:p w14:paraId="54BE276D"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4A5F73C7" wp14:editId="4AE96A5D">
            <wp:extent cx="5922377" cy="2548647"/>
            <wp:effectExtent l="0" t="0" r="0" b="444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4015" cy="2566566"/>
                    </a:xfrm>
                    <a:prstGeom prst="rect">
                      <a:avLst/>
                    </a:prstGeom>
                  </pic:spPr>
                </pic:pic>
              </a:graphicData>
            </a:graphic>
          </wp:inline>
        </w:drawing>
      </w:r>
    </w:p>
    <w:p w14:paraId="1DFB659A" w14:textId="77777777" w:rsidR="005C4D0F" w:rsidRPr="005C4D0F" w:rsidRDefault="005C4D0F" w:rsidP="00255AB8">
      <w:pPr>
        <w:pStyle w:val="Tablefootnote"/>
      </w:pPr>
      <w:r w:rsidRPr="005C4D0F">
        <w:t>RCT: randomized controlled trial.</w:t>
      </w:r>
    </w:p>
    <w:p w14:paraId="50759917" w14:textId="77777777" w:rsidR="005C4D0F" w:rsidRPr="005C4D0F" w:rsidRDefault="005C4D0F" w:rsidP="00255AB8">
      <w:pPr>
        <w:pStyle w:val="Tablefootnote"/>
      </w:pPr>
      <w:r w:rsidRPr="005C4D0F">
        <w:rPr>
          <w:vertAlign w:val="superscript"/>
        </w:rPr>
        <w:t>1</w:t>
      </w:r>
      <w:r w:rsidRPr="005C4D0F">
        <w:t> Single study cannot assess consistency.</w:t>
      </w:r>
    </w:p>
    <w:p w14:paraId="4A7EE085" w14:textId="77777777" w:rsidR="005C4D0F" w:rsidRPr="005C4D0F" w:rsidRDefault="005C4D0F" w:rsidP="00255AB8">
      <w:pPr>
        <w:pStyle w:val="Tablefootnote"/>
      </w:pPr>
      <w:r w:rsidRPr="005C4D0F">
        <w:rPr>
          <w:vertAlign w:val="superscript"/>
        </w:rPr>
        <w:t>2</w:t>
      </w:r>
      <w:r w:rsidRPr="005C4D0F">
        <w:t> Results estimated using reported medians, IQRs, and ranges.</w:t>
      </w:r>
    </w:p>
    <w:p w14:paraId="00782E01" w14:textId="77777777" w:rsidR="005C4D0F" w:rsidRPr="005C4D0F" w:rsidRDefault="005C4D0F" w:rsidP="00255AB8">
      <w:pPr>
        <w:pStyle w:val="Tablefootnote"/>
      </w:pPr>
      <w:r w:rsidRPr="005C4D0F">
        <w:rPr>
          <w:vertAlign w:val="superscript"/>
        </w:rPr>
        <w:t>3</w:t>
      </w:r>
      <w:r w:rsidRPr="005C4D0F">
        <w:t> Studies report inconsistent results.</w:t>
      </w:r>
    </w:p>
    <w:p w14:paraId="1D898E1E" w14:textId="77777777" w:rsidR="005C4D0F" w:rsidRPr="005C4D0F" w:rsidRDefault="005C4D0F" w:rsidP="00255AB8">
      <w:pPr>
        <w:pStyle w:val="Tablefootnote"/>
      </w:pPr>
      <w:r w:rsidRPr="005C4D0F">
        <w:rPr>
          <w:vertAlign w:val="superscript"/>
        </w:rPr>
        <w:t>4</w:t>
      </w:r>
      <w:r w:rsidRPr="005C4D0F">
        <w:t> Small sample size.</w:t>
      </w:r>
    </w:p>
    <w:p w14:paraId="411DDFC1" w14:textId="77777777" w:rsidR="005C4D0F" w:rsidRPr="005C4D0F" w:rsidRDefault="005C4D0F" w:rsidP="00255AB8">
      <w:pPr>
        <w:pStyle w:val="Tablefootnote"/>
      </w:pPr>
      <w:r w:rsidRPr="005C4D0F">
        <w:rPr>
          <w:vertAlign w:val="superscript"/>
        </w:rPr>
        <w:t>5</w:t>
      </w:r>
      <w:r w:rsidRPr="005C4D0F">
        <w:t> Precision cannot be determined with a single event reported.</w:t>
      </w:r>
    </w:p>
    <w:p w14:paraId="321DBFB3" w14:textId="77777777" w:rsidR="005C4D0F" w:rsidRPr="005C4D0F" w:rsidRDefault="005C4D0F" w:rsidP="00255AB8">
      <w:pPr>
        <w:pStyle w:val="Tablefootnote"/>
      </w:pPr>
      <w:r w:rsidRPr="005C4D0F">
        <w:rPr>
          <w:vertAlign w:val="superscript"/>
        </w:rPr>
        <w:t>6</w:t>
      </w:r>
      <w:r w:rsidRPr="005C4D0F">
        <w:t> One study with high percentage of missing values.</w:t>
      </w:r>
    </w:p>
    <w:p w14:paraId="3A500A3F" w14:textId="77777777" w:rsidR="005C4D0F" w:rsidRPr="005C4D0F" w:rsidRDefault="005C4D0F" w:rsidP="00255AB8">
      <w:pPr>
        <w:pStyle w:val="Tablefootnote"/>
      </w:pPr>
      <w:r w:rsidRPr="005C4D0F">
        <w:rPr>
          <w:vertAlign w:val="superscript"/>
        </w:rPr>
        <w:t>7</w:t>
      </w:r>
      <w:r w:rsidRPr="005C4D0F">
        <w:t> Precision cannot be determined with zero events reported.</w:t>
      </w:r>
    </w:p>
    <w:p w14:paraId="2BA5F305" w14:textId="77777777" w:rsidR="005C4D0F" w:rsidRPr="005C4D0F" w:rsidRDefault="005C4D0F" w:rsidP="005C4D0F">
      <w:pPr>
        <w:spacing w:after="0" w:line="240" w:lineRule="auto"/>
        <w:rPr>
          <w:rFonts w:ascii="Times New Roman" w:eastAsia="Times New Roman" w:hAnsi="Times New Roman" w:cs="Times New Roman"/>
          <w:sz w:val="24"/>
          <w:szCs w:val="24"/>
        </w:rPr>
      </w:pPr>
    </w:p>
    <w:p w14:paraId="1868E262"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8" w:name="_Ref111725000"/>
      <w:r w:rsidRPr="005C4D0F">
        <w:rPr>
          <w:rFonts w:ascii="Times New Roman" w:eastAsia="SimSun" w:hAnsi="Times New Roman" w:cs="Arial (Body CS)"/>
          <w:iCs/>
          <w:color w:val="000000" w:themeColor="text1"/>
          <w:sz w:val="24"/>
          <w:szCs w:val="18"/>
        </w:rPr>
        <w:t xml:space="preserve">Supplemental Table </w:t>
      </w:r>
      <w:r w:rsidRPr="005C4D0F">
        <w:rPr>
          <w:rFonts w:ascii="Times New Roman" w:eastAsia="SimSun" w:hAnsi="Times New Roman" w:cs="Arial (Body CS)"/>
          <w:iCs/>
          <w:noProof/>
          <w:color w:val="000000" w:themeColor="text1"/>
          <w:sz w:val="24"/>
          <w:szCs w:val="18"/>
        </w:rPr>
        <w:t>11</w:t>
      </w:r>
      <w:bookmarkEnd w:id="8"/>
      <w:r w:rsidRPr="005C4D0F">
        <w:rPr>
          <w:rFonts w:ascii="Times New Roman" w:eastAsia="SimSun" w:hAnsi="Times New Roman" w:cs="Arial (Body CS)"/>
          <w:iCs/>
          <w:color w:val="000000" w:themeColor="text1"/>
          <w:sz w:val="24"/>
          <w:szCs w:val="18"/>
        </w:rPr>
        <w:t>. Strength of evidence for residual gastric volume from crossover studies comparing protein-containing clear liquids with carbohydrate-containing clear liquids in adults.</w:t>
      </w:r>
    </w:p>
    <w:p w14:paraId="0AC17BBB"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77A26027" wp14:editId="2B4FA75D">
            <wp:extent cx="5937222" cy="1420239"/>
            <wp:effectExtent l="0" t="0" r="0" b="254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95985" cy="1434296"/>
                    </a:xfrm>
                    <a:prstGeom prst="rect">
                      <a:avLst/>
                    </a:prstGeom>
                  </pic:spPr>
                </pic:pic>
              </a:graphicData>
            </a:graphic>
          </wp:inline>
        </w:drawing>
      </w:r>
    </w:p>
    <w:p w14:paraId="17972644" w14:textId="77777777" w:rsidR="002D741E" w:rsidRDefault="002D741E" w:rsidP="002D741E">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28916A24" w14:textId="77777777" w:rsidR="002D741E" w:rsidRDefault="005C4D0F" w:rsidP="002D741E">
      <w:pPr>
        <w:pStyle w:val="Tablefootnote"/>
      </w:pPr>
      <w:r w:rsidRPr="005C4D0F">
        <w:t>GRADE: Grading of Recommendations Assessment, Development and Evaluation; ACCF/AHA; American College of Cardiology Foundation/American Heart Association; MD: mean difference.</w:t>
      </w:r>
    </w:p>
    <w:p w14:paraId="036625F7" w14:textId="77777777" w:rsidR="002D741E" w:rsidRDefault="005C4D0F" w:rsidP="002D741E">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r w:rsidR="002D741E">
        <w:rPr>
          <w:shd w:val="clear" w:color="auto" w:fill="FFFFFF"/>
        </w:rPr>
        <w:t>.</w:t>
      </w:r>
    </w:p>
    <w:p w14:paraId="01CAA958" w14:textId="20D4163F" w:rsidR="005C4D0F" w:rsidRPr="005C4D0F" w:rsidRDefault="005C4D0F" w:rsidP="002D741E">
      <w:pPr>
        <w:pStyle w:val="Tablefootnote"/>
      </w:pPr>
      <w:r w:rsidRPr="005C4D0F">
        <w:rPr>
          <w:vertAlign w:val="superscript"/>
        </w:rPr>
        <w:t>1</w:t>
      </w:r>
      <w:r w:rsidRPr="005C4D0F">
        <w:t> ● Limited, ●● Important, ●●● Critical.</w:t>
      </w:r>
    </w:p>
    <w:p w14:paraId="56CF5362" w14:textId="77777777" w:rsidR="005C4D0F" w:rsidRPr="005C4D0F" w:rsidRDefault="005C4D0F" w:rsidP="005C4D0F">
      <w:pPr>
        <w:spacing w:after="0" w:line="240" w:lineRule="auto"/>
        <w:rPr>
          <w:rFonts w:ascii="Times New Roman" w:eastAsia="SimSun" w:hAnsi="Times New Roman"/>
          <w:sz w:val="24"/>
        </w:rPr>
      </w:pPr>
      <w:r w:rsidRPr="005C4D0F">
        <w:rPr>
          <w:rFonts w:ascii="Times New Roman" w:eastAsia="Times New Roman" w:hAnsi="Times New Roman" w:cs="Times New Roman"/>
          <w:sz w:val="24"/>
          <w:szCs w:val="24"/>
        </w:rPr>
        <w:br w:type="page"/>
      </w:r>
    </w:p>
    <w:p w14:paraId="6ABEBC34"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9" w:name="_Ref111725017"/>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12</w:t>
      </w:r>
      <w:bookmarkEnd w:id="9"/>
      <w:r w:rsidRPr="005C4D0F">
        <w:rPr>
          <w:rFonts w:ascii="Times New Roman" w:eastAsia="SimSun" w:hAnsi="Times New Roman" w:cs="Arial (Body CS)"/>
          <w:iCs/>
          <w:color w:val="000000" w:themeColor="text1"/>
          <w:sz w:val="24"/>
          <w:szCs w:val="18"/>
        </w:rPr>
        <w:t>. GRADE domains for residual gastric volume - protein-containing clear liquids compared with carbohydrate-containing clear liquids in adults.</w:t>
      </w:r>
    </w:p>
    <w:p w14:paraId="3247136C"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29D4638B" wp14:editId="53FB8D48">
            <wp:extent cx="5466945" cy="711987"/>
            <wp:effectExtent l="0" t="0" r="0" b="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1428" cy="717780"/>
                    </a:xfrm>
                    <a:prstGeom prst="rect">
                      <a:avLst/>
                    </a:prstGeom>
                  </pic:spPr>
                </pic:pic>
              </a:graphicData>
            </a:graphic>
          </wp:inline>
        </w:drawing>
      </w:r>
    </w:p>
    <w:p w14:paraId="6BC0EBBA"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w:t>
      </w:r>
      <w:r w:rsidRPr="005C4D0F">
        <w:rPr>
          <w:rFonts w:ascii="Times New Roman" w:eastAsiaTheme="majorEastAsia" w:hAnsi="Times New Roman" w:cs="Arial"/>
          <w:color w:val="000000"/>
          <w:sz w:val="18"/>
          <w:szCs w:val="18"/>
        </w:rPr>
        <w:t> Single study with high dropout rate.</w:t>
      </w:r>
    </w:p>
    <w:p w14:paraId="63202213"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xml:space="preserve"> Heterogeneity </w:t>
      </w:r>
      <w:r w:rsidRPr="005C4D0F">
        <w:rPr>
          <w:rFonts w:ascii="Times New Roman" w:eastAsiaTheme="majorEastAsia" w:hAnsi="Times New Roman" w:cs="Arial"/>
          <w:i/>
          <w:iCs/>
          <w:color w:val="000000"/>
          <w:sz w:val="18"/>
          <w:szCs w:val="18"/>
        </w:rPr>
        <w:t>I</w:t>
      </w: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 100%.</w:t>
      </w:r>
    </w:p>
    <w:p w14:paraId="62C81522"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3</w:t>
      </w:r>
      <w:r w:rsidRPr="005C4D0F">
        <w:rPr>
          <w:rFonts w:ascii="Times New Roman" w:eastAsiaTheme="majorEastAsia" w:hAnsi="Times New Roman" w:cs="Arial"/>
          <w:color w:val="000000"/>
          <w:sz w:val="18"/>
          <w:szCs w:val="18"/>
        </w:rPr>
        <w:t> Strength of relationship with aspiration not clearly defined.</w:t>
      </w:r>
    </w:p>
    <w:p w14:paraId="30DF9836"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4</w:t>
      </w:r>
      <w:r w:rsidRPr="005C4D0F">
        <w:rPr>
          <w:rFonts w:ascii="Times New Roman" w:eastAsiaTheme="majorEastAsia" w:hAnsi="Times New Roman" w:cs="Arial"/>
          <w:color w:val="000000"/>
          <w:sz w:val="18"/>
          <w:szCs w:val="18"/>
        </w:rPr>
        <w:t> Wide confidence intervals consistent with either protein/carbohydrate drinks or carbohydrate being accompanied by larger residual gastric volume.</w:t>
      </w:r>
    </w:p>
    <w:p w14:paraId="0CDF27D0"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0" w:name="_Ref111725095"/>
      <w:r w:rsidRPr="005C4D0F">
        <w:rPr>
          <w:rFonts w:ascii="Times New Roman" w:eastAsia="SimSun" w:hAnsi="Times New Roman" w:cs="Arial (Body CS)"/>
          <w:iCs/>
          <w:color w:val="000000" w:themeColor="text1"/>
          <w:sz w:val="24"/>
          <w:szCs w:val="18"/>
        </w:rPr>
        <w:t xml:space="preserve">Supplemental Table </w:t>
      </w:r>
      <w:r w:rsidRPr="005C4D0F">
        <w:rPr>
          <w:rFonts w:ascii="Times New Roman" w:eastAsia="SimSun" w:hAnsi="Times New Roman" w:cs="Arial (Body CS)"/>
          <w:iCs/>
          <w:noProof/>
          <w:color w:val="000000" w:themeColor="text1"/>
          <w:sz w:val="24"/>
          <w:szCs w:val="18"/>
        </w:rPr>
        <w:t>13</w:t>
      </w:r>
      <w:bookmarkEnd w:id="10"/>
      <w:r w:rsidRPr="005C4D0F">
        <w:rPr>
          <w:rFonts w:ascii="Times New Roman" w:eastAsia="SimSun" w:hAnsi="Times New Roman" w:cs="Arial (Body CS)"/>
          <w:iCs/>
          <w:color w:val="000000" w:themeColor="text1"/>
          <w:sz w:val="24"/>
          <w:szCs w:val="18"/>
        </w:rPr>
        <w:t>. Strength of evidence in chewing gum studies.</w:t>
      </w:r>
    </w:p>
    <w:p w14:paraId="68070205"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7467EF6D" wp14:editId="65CBE793">
            <wp:extent cx="5466715" cy="5114533"/>
            <wp:effectExtent l="0" t="0" r="0" b="381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2432" cy="5176016"/>
                    </a:xfrm>
                    <a:prstGeom prst="rect">
                      <a:avLst/>
                    </a:prstGeom>
                  </pic:spPr>
                </pic:pic>
              </a:graphicData>
            </a:graphic>
          </wp:inline>
        </w:drawing>
      </w:r>
    </w:p>
    <w:p w14:paraId="3A25ED58" w14:textId="77777777" w:rsidR="00F96ED1" w:rsidRDefault="00F96ED1" w:rsidP="00F96ED1">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71CC1664" w14:textId="77777777" w:rsidR="00F96ED1" w:rsidRDefault="005C4D0F" w:rsidP="00F96ED1">
      <w:pPr>
        <w:pStyle w:val="Tablefootnote"/>
      </w:pPr>
      <w:r w:rsidRPr="005C4D0F">
        <w:t>GRADE: Grading of Recommendations Assessment, Development and Evaluation; ACCF/AHA; American College of Cardiology Foundation/American Heart Association; RCT: randomized controlled trial; MD: mean difference.</w:t>
      </w:r>
    </w:p>
    <w:p w14:paraId="2DAA08A3" w14:textId="77777777" w:rsidR="00F96ED1" w:rsidRDefault="005C4D0F" w:rsidP="00F96ED1">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3B80B840" w14:textId="3A8F7C8D" w:rsidR="005C4D0F" w:rsidRPr="005C4D0F" w:rsidRDefault="005C4D0F" w:rsidP="00F96ED1">
      <w:pPr>
        <w:pStyle w:val="Tablefootnote"/>
      </w:pPr>
      <w:r w:rsidRPr="005C4D0F">
        <w:rPr>
          <w:vertAlign w:val="superscript"/>
        </w:rPr>
        <w:t>1</w:t>
      </w:r>
      <w:r w:rsidRPr="005C4D0F">
        <w:t> ● Limited, ●● Important, ●●● Critical.</w:t>
      </w:r>
    </w:p>
    <w:p w14:paraId="5429421F"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1" w:name="_Ref111725117"/>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14</w:t>
      </w:r>
      <w:bookmarkEnd w:id="11"/>
      <w:r w:rsidRPr="005C4D0F">
        <w:rPr>
          <w:rFonts w:ascii="Times New Roman" w:eastAsia="SimSun" w:hAnsi="Times New Roman" w:cs="Arial (Body CS)"/>
          <w:iCs/>
          <w:color w:val="000000" w:themeColor="text1"/>
          <w:sz w:val="24"/>
          <w:szCs w:val="18"/>
        </w:rPr>
        <w:t xml:space="preserve">. GRADE domains for strength of evidence ratings in chewing gum studies. </w:t>
      </w:r>
    </w:p>
    <w:p w14:paraId="4DDA750E"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3E741531" wp14:editId="065DD677">
            <wp:extent cx="5914417" cy="2957209"/>
            <wp:effectExtent l="0" t="0" r="3810" b="190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2963" cy="2976482"/>
                    </a:xfrm>
                    <a:prstGeom prst="rect">
                      <a:avLst/>
                    </a:prstGeom>
                  </pic:spPr>
                </pic:pic>
              </a:graphicData>
            </a:graphic>
          </wp:inline>
        </w:drawing>
      </w:r>
    </w:p>
    <w:p w14:paraId="50C9731A"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rPr>
        <w:t>RCT: randomized controlled trials.</w:t>
      </w:r>
    </w:p>
    <w:p w14:paraId="5B517E3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w:t>
      </w:r>
      <w:r w:rsidRPr="005C4D0F">
        <w:rPr>
          <w:rFonts w:ascii="Times New Roman" w:eastAsiaTheme="majorEastAsia" w:hAnsi="Times New Roman" w:cs="Arial"/>
          <w:color w:val="000000"/>
          <w:sz w:val="18"/>
          <w:szCs w:val="18"/>
        </w:rPr>
        <w:t> Single study cannot assess consistency.</w:t>
      </w:r>
    </w:p>
    <w:p w14:paraId="6062FE28"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Small sample size.</w:t>
      </w:r>
    </w:p>
    <w:p w14:paraId="50BD34FF"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3</w:t>
      </w:r>
      <w:r w:rsidRPr="005C4D0F">
        <w:rPr>
          <w:rFonts w:ascii="Times New Roman" w:eastAsiaTheme="majorEastAsia" w:hAnsi="Times New Roman" w:cs="Arial"/>
          <w:color w:val="000000"/>
          <w:sz w:val="18"/>
          <w:szCs w:val="18"/>
        </w:rPr>
        <w:t> Studies report inconsistent results.</w:t>
      </w:r>
    </w:p>
    <w:p w14:paraId="05A70D22"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4</w:t>
      </w:r>
      <w:r w:rsidRPr="005C4D0F">
        <w:rPr>
          <w:rFonts w:ascii="Times New Roman" w:eastAsiaTheme="majorEastAsia" w:hAnsi="Times New Roman" w:cs="Arial"/>
          <w:color w:val="000000"/>
          <w:sz w:val="18"/>
          <w:szCs w:val="18"/>
        </w:rPr>
        <w:t> Heterogeneity of results.</w:t>
      </w:r>
    </w:p>
    <w:p w14:paraId="74AF7371"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5</w:t>
      </w:r>
      <w:r w:rsidRPr="005C4D0F">
        <w:rPr>
          <w:rFonts w:ascii="Times New Roman" w:eastAsiaTheme="majorEastAsia" w:hAnsi="Times New Roman" w:cs="Arial"/>
          <w:color w:val="000000"/>
          <w:sz w:val="18"/>
          <w:szCs w:val="18"/>
        </w:rPr>
        <w:t> Strength of relationship with aspiration not clearly defined.</w:t>
      </w:r>
    </w:p>
    <w:p w14:paraId="09ECA8B2"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6</w:t>
      </w:r>
      <w:r w:rsidRPr="005C4D0F">
        <w:rPr>
          <w:rFonts w:ascii="Times New Roman" w:eastAsiaTheme="majorEastAsia" w:hAnsi="Times New Roman" w:cs="Arial"/>
          <w:color w:val="000000"/>
          <w:sz w:val="18"/>
          <w:szCs w:val="18"/>
        </w:rPr>
        <w:t> Upper bound unlikely to cross the decision-making threshold.</w:t>
      </w:r>
    </w:p>
    <w:p w14:paraId="571064D8"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7</w:t>
      </w:r>
      <w:r w:rsidRPr="005C4D0F">
        <w:rPr>
          <w:rFonts w:ascii="Times New Roman" w:eastAsiaTheme="majorEastAsia" w:hAnsi="Times New Roman" w:cs="Arial"/>
          <w:color w:val="000000"/>
          <w:sz w:val="18"/>
          <w:szCs w:val="18"/>
        </w:rPr>
        <w:t> Small sample size, single trial cannot be assessed.</w:t>
      </w:r>
    </w:p>
    <w:p w14:paraId="2AF98471" w14:textId="77777777" w:rsidR="005C4D0F" w:rsidRPr="005C4D0F" w:rsidRDefault="005C4D0F" w:rsidP="005C4D0F">
      <w:pPr>
        <w:spacing w:after="0" w:line="240" w:lineRule="auto"/>
        <w:rPr>
          <w:rFonts w:ascii="Times New Roman" w:eastAsia="SimSun" w:hAnsi="Times New Roman"/>
          <w:sz w:val="18"/>
          <w:szCs w:val="18"/>
        </w:rPr>
      </w:pPr>
      <w:r w:rsidRPr="005C4D0F">
        <w:rPr>
          <w:rFonts w:ascii="Times New Roman" w:eastAsia="Times New Roman" w:hAnsi="Times New Roman" w:cs="Times New Roman"/>
          <w:sz w:val="18"/>
          <w:szCs w:val="18"/>
        </w:rPr>
        <w:br w:type="page"/>
      </w:r>
    </w:p>
    <w:p w14:paraId="415AB1F3"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2" w:name="_Ref111725188"/>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15</w:t>
      </w:r>
      <w:bookmarkEnd w:id="12"/>
      <w:r w:rsidRPr="005C4D0F">
        <w:rPr>
          <w:rFonts w:ascii="Times New Roman" w:eastAsia="SimSun" w:hAnsi="Times New Roman" w:cs="Arial (Body CS)"/>
          <w:iCs/>
          <w:color w:val="000000" w:themeColor="text1"/>
          <w:sz w:val="24"/>
          <w:szCs w:val="18"/>
        </w:rPr>
        <w:t>. Residual gastric volumes at induction in randomized controlled trials of adult patients undergoing surgery according to fasting and gum chewing.</w:t>
      </w:r>
    </w:p>
    <w:p w14:paraId="4F699B62" w14:textId="77777777" w:rsidR="005C4D0F" w:rsidRPr="005C4D0F" w:rsidRDefault="005C4D0F" w:rsidP="005C4D0F">
      <w:pPr>
        <w:keepNext/>
        <w:spacing w:after="0" w:line="240" w:lineRule="auto"/>
        <w:rPr>
          <w:rFonts w:ascii="Times New Roman" w:eastAsia="SimSun" w:hAnsi="Times New Roman"/>
        </w:rPr>
      </w:pPr>
      <w:r w:rsidRPr="005C4D0F">
        <w:rPr>
          <w:rFonts w:ascii="Times New Roman" w:eastAsia="SimSun" w:hAnsi="Times New Roman"/>
          <w:noProof/>
        </w:rPr>
        <w:drawing>
          <wp:inline distT="0" distB="0" distL="0" distR="0" wp14:anchorId="58F948A7" wp14:editId="6E651C10">
            <wp:extent cx="5943600" cy="6419850"/>
            <wp:effectExtent l="0" t="0" r="0" b="6350"/>
            <wp:docPr id="58" name="Picture 5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419850"/>
                    </a:xfrm>
                    <a:prstGeom prst="rect">
                      <a:avLst/>
                    </a:prstGeom>
                  </pic:spPr>
                </pic:pic>
              </a:graphicData>
            </a:graphic>
          </wp:inline>
        </w:drawing>
      </w:r>
    </w:p>
    <w:p w14:paraId="217ACBDB"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rPr>
        <w:t>RGV: residual gastric volume; SD: standard deviation; IQR: interquartile range; RCT: randomized controlled trial; Bicarb: bicarbonate; Asp: aspiration; US: ultra- sound; NR: not reported.</w:t>
      </w:r>
    </w:p>
    <w:p w14:paraId="7EEB4E72"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a</w:t>
      </w:r>
      <w:r w:rsidRPr="005C4D0F">
        <w:rPr>
          <w:rFonts w:ascii="Times New Roman" w:eastAsia="Times New Roman" w:hAnsi="Times New Roman" w:cs="Times New Roman"/>
          <w:sz w:val="18"/>
          <w:szCs w:val="18"/>
        </w:rPr>
        <w:t> Before induction.</w:t>
      </w:r>
    </w:p>
    <w:p w14:paraId="242D6CF8"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b</w:t>
      </w:r>
      <w:r w:rsidRPr="005C4D0F">
        <w:rPr>
          <w:rFonts w:ascii="Times New Roman" w:eastAsia="Times New Roman" w:hAnsi="Times New Roman" w:cs="Times New Roman"/>
          <w:sz w:val="18"/>
          <w:szCs w:val="18"/>
        </w:rPr>
        <w:t> Smokers.</w:t>
      </w:r>
    </w:p>
    <w:p w14:paraId="7DBA1BD0"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c</w:t>
      </w:r>
      <w:r w:rsidRPr="005C4D0F">
        <w:rPr>
          <w:rFonts w:ascii="Times New Roman" w:eastAsia="Times New Roman" w:hAnsi="Times New Roman" w:cs="Times New Roman"/>
          <w:sz w:val="18"/>
          <w:szCs w:val="18"/>
        </w:rPr>
        <w:t> mL/kg.</w:t>
      </w:r>
    </w:p>
    <w:p w14:paraId="67CA03D4"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d</w:t>
      </w:r>
      <w:r w:rsidRPr="005C4D0F">
        <w:rPr>
          <w:rFonts w:ascii="Times New Roman" w:eastAsia="Times New Roman" w:hAnsi="Times New Roman" w:cs="Times New Roman"/>
          <w:sz w:val="18"/>
          <w:szCs w:val="18"/>
        </w:rPr>
        <w:t> 2 hours after ingestion of 250 mL and gum chewing.</w:t>
      </w:r>
    </w:p>
    <w:p w14:paraId="4C01D33A"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e</w:t>
      </w:r>
      <w:r w:rsidRPr="005C4D0F">
        <w:rPr>
          <w:rFonts w:ascii="Times New Roman" w:eastAsia="Times New Roman" w:hAnsi="Times New Roman" w:cs="Times New Roman"/>
          <w:sz w:val="18"/>
          <w:szCs w:val="18"/>
        </w:rPr>
        <w:t> p &lt; 0.001 for comparison with fasting.</w:t>
      </w:r>
    </w:p>
    <w:p w14:paraId="7D113188"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3" w:name="_Ref111725223"/>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16</w:t>
      </w:r>
      <w:bookmarkEnd w:id="13"/>
      <w:r w:rsidRPr="005C4D0F">
        <w:rPr>
          <w:rFonts w:ascii="Times New Roman" w:eastAsia="SimSun" w:hAnsi="Times New Roman" w:cs="Arial (Body CS)"/>
          <w:iCs/>
          <w:color w:val="000000" w:themeColor="text1"/>
          <w:sz w:val="24"/>
          <w:szCs w:val="18"/>
        </w:rPr>
        <w:t>. Gastric pH at induction in randomized controlled trials of patients undergoing surgery according to gum chewing, fasting, and liquid.</w:t>
      </w:r>
    </w:p>
    <w:p w14:paraId="17A629F7" w14:textId="77777777" w:rsidR="005C4D0F" w:rsidRPr="005C4D0F" w:rsidRDefault="005C4D0F" w:rsidP="005C4D0F">
      <w:pPr>
        <w:keepNext/>
        <w:spacing w:after="0" w:line="240" w:lineRule="auto"/>
        <w:rPr>
          <w:rFonts w:ascii="Times New Roman" w:eastAsia="SimSun" w:hAnsi="Times New Roman"/>
        </w:rPr>
      </w:pPr>
      <w:r w:rsidRPr="005C4D0F">
        <w:rPr>
          <w:rFonts w:ascii="Times New Roman" w:eastAsia="SimSun" w:hAnsi="Times New Roman"/>
          <w:noProof/>
        </w:rPr>
        <w:drawing>
          <wp:inline distT="0" distB="0" distL="0" distR="0" wp14:anchorId="37F27325" wp14:editId="6B382A7B">
            <wp:extent cx="5943600" cy="6404610"/>
            <wp:effectExtent l="0" t="0" r="0" b="0"/>
            <wp:docPr id="59" name="Picture 5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404610"/>
                    </a:xfrm>
                    <a:prstGeom prst="rect">
                      <a:avLst/>
                    </a:prstGeom>
                  </pic:spPr>
                </pic:pic>
              </a:graphicData>
            </a:graphic>
          </wp:inline>
        </w:drawing>
      </w:r>
    </w:p>
    <w:p w14:paraId="5CA4B06F"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rPr>
        <w:t>Asp: aspiration; Bicarb: bicarbonate; IQR: interquartile range; NR: not reported; RCT: randomized controlled trial; SD: standard deviation.</w:t>
      </w:r>
    </w:p>
    <w:p w14:paraId="35118C02"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a</w:t>
      </w:r>
      <w:r w:rsidRPr="005C4D0F">
        <w:rPr>
          <w:rFonts w:ascii="Times New Roman" w:eastAsia="Times New Roman" w:hAnsi="Times New Roman" w:cs="Times New Roman"/>
          <w:sz w:val="18"/>
          <w:szCs w:val="18"/>
        </w:rPr>
        <w:t> Before induction.</w:t>
      </w:r>
    </w:p>
    <w:p w14:paraId="7D3501F6" w14:textId="77777777" w:rsidR="005C4D0F" w:rsidRP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vertAlign w:val="superscript"/>
        </w:rPr>
        <w:t>b</w:t>
      </w:r>
      <w:r w:rsidRPr="005C4D0F">
        <w:rPr>
          <w:rFonts w:ascii="Times New Roman" w:eastAsia="Times New Roman" w:hAnsi="Times New Roman" w:cs="Times New Roman"/>
          <w:sz w:val="18"/>
          <w:szCs w:val="18"/>
        </w:rPr>
        <w:t> Smokers.</w:t>
      </w:r>
    </w:p>
    <w:p w14:paraId="75994761" w14:textId="77777777" w:rsidR="005C4D0F" w:rsidRPr="005C4D0F" w:rsidRDefault="005C4D0F" w:rsidP="005C4D0F">
      <w:pPr>
        <w:spacing w:after="0" w:line="240" w:lineRule="auto"/>
        <w:rPr>
          <w:rFonts w:ascii="Times New Roman" w:eastAsia="SimSun" w:hAnsi="Times New Roman"/>
          <w:sz w:val="18"/>
          <w:szCs w:val="18"/>
        </w:rPr>
      </w:pPr>
      <w:r w:rsidRPr="005C4D0F">
        <w:rPr>
          <w:rFonts w:ascii="Times New Roman" w:eastAsia="Times New Roman" w:hAnsi="Times New Roman" w:cs="Times New Roman"/>
          <w:sz w:val="18"/>
          <w:szCs w:val="18"/>
        </w:rPr>
        <w:br w:type="page"/>
      </w:r>
    </w:p>
    <w:p w14:paraId="14544EC0" w14:textId="77777777"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4" w:name="_Ref111725520"/>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17</w:t>
      </w:r>
      <w:bookmarkEnd w:id="14"/>
      <w:r w:rsidRPr="005C4D0F">
        <w:rPr>
          <w:rFonts w:ascii="Times New Roman" w:eastAsia="SimSun" w:hAnsi="Times New Roman" w:cs="Arial (Body CS)"/>
          <w:iCs/>
          <w:color w:val="000000" w:themeColor="text1"/>
          <w:sz w:val="24"/>
          <w:szCs w:val="18"/>
        </w:rPr>
        <w:t>. Strength of evidence for selected outcomes comparing 1- and 2-hour clear liquid fasting duration in pediatrics.</w:t>
      </w:r>
    </w:p>
    <w:p w14:paraId="015DCEA1"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64C29AEE" wp14:editId="52627BD9">
            <wp:extent cx="5546477" cy="6710289"/>
            <wp:effectExtent l="0" t="0" r="3810" b="0"/>
            <wp:docPr id="61" name="Picture 61"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2042" cy="6729120"/>
                    </a:xfrm>
                    <a:prstGeom prst="rect">
                      <a:avLst/>
                    </a:prstGeom>
                  </pic:spPr>
                </pic:pic>
              </a:graphicData>
            </a:graphic>
          </wp:inline>
        </w:drawing>
      </w:r>
    </w:p>
    <w:p w14:paraId="46011631" w14:textId="77777777" w:rsidR="002F5EE8" w:rsidRDefault="002F5EE8" w:rsidP="002F5EE8">
      <w:pPr>
        <w:pStyle w:val="Tablefootnote"/>
        <w:rPr>
          <w:rFonts w:cs="Times New Roman"/>
          <w:lang w:eastAsia="ja-JP"/>
        </w:rPr>
      </w:pPr>
      <w:r w:rsidRPr="003873BB">
        <w:rPr>
          <w:rFonts w:cs="Times New Roman"/>
        </w:rPr>
        <w:t>GRADE</w:t>
      </w:r>
      <w:r>
        <w:rPr>
          <w:rFonts w:cs="Times New Roman"/>
        </w:rPr>
        <w:t xml:space="preserve"> strength of evidence</w:t>
      </w:r>
      <w:r w:rsidRPr="003873BB">
        <w:rPr>
          <w:rFonts w:cs="Times New Roman"/>
        </w:rPr>
        <w:t xml:space="preserve">: </w:t>
      </w:r>
      <w:r w:rsidRPr="003873BB">
        <w:rPr>
          <w:rFonts w:ascii="Cambria Math" w:hAnsi="Cambria Math" w:cs="Cambria Math"/>
        </w:rPr>
        <w:t>⨁⨁⨁⨁</w:t>
      </w:r>
      <w:r w:rsidRPr="003873BB">
        <w:rPr>
          <w:rFonts w:cs="Times New Roman"/>
          <w:sz w:val="16"/>
          <w:szCs w:val="16"/>
          <w:lang w:eastAsia="ja-JP"/>
        </w:rPr>
        <w:t xml:space="preserve"> </w:t>
      </w:r>
      <w:r>
        <w:rPr>
          <w:rFonts w:cs="Times New Roman"/>
          <w:lang w:eastAsia="ja-JP"/>
        </w:rPr>
        <w:t xml:space="preserve">high, </w:t>
      </w:r>
      <w:r w:rsidRPr="003873BB">
        <w:rPr>
          <w:rFonts w:ascii="Cambria Math" w:hAnsi="Cambria Math" w:cs="Cambria Math"/>
        </w:rPr>
        <w:t>⨁⨁⨁</w:t>
      </w:r>
      <w:r w:rsidRPr="009C4959">
        <w:rPr>
          <w:rFonts w:ascii="Segoe UI Symbol" w:hAnsi="Segoe UI Symbol" w:cs="Segoe UI Symbol"/>
          <w:sz w:val="16"/>
          <w:szCs w:val="16"/>
          <w:lang w:eastAsia="ja-JP"/>
        </w:rPr>
        <w:t>◯</w:t>
      </w:r>
      <w:r w:rsidRPr="009C4959">
        <w:rPr>
          <w:rFonts w:ascii="Cambria Math" w:hAnsi="Cambria Math" w:cs="Cambria Math"/>
        </w:rPr>
        <w:t xml:space="preserve"> </w:t>
      </w:r>
      <w:r w:rsidRPr="003873BB">
        <w:rPr>
          <w:rFonts w:cs="Times New Roman"/>
          <w:lang w:eastAsia="ja-JP"/>
        </w:rPr>
        <w:t>moderate</w:t>
      </w:r>
      <w:r>
        <w:rPr>
          <w:rFonts w:cs="Times New Roman"/>
          <w:lang w:eastAsia="ja-JP"/>
        </w:rPr>
        <w:t xml:space="preserve">, </w:t>
      </w:r>
      <w:r w:rsidRPr="003873BB">
        <w:rPr>
          <w:rFonts w:ascii="Cambria Math" w:hAnsi="Cambria Math" w:cs="Cambria Math"/>
        </w:rPr>
        <w:t>⨁⨁</w:t>
      </w:r>
      <w:r w:rsidRPr="00BC61E7">
        <w:rPr>
          <w:rFonts w:ascii="Segoe UI Symbol" w:hAnsi="Segoe UI Symbol" w:cs="Segoe UI Symbol"/>
          <w:spacing w:val="-20"/>
          <w:sz w:val="16"/>
          <w:szCs w:val="16"/>
          <w:lang w:eastAsia="ja-JP"/>
        </w:rPr>
        <w:t>◯◯</w:t>
      </w:r>
      <w:r w:rsidRPr="00BC61E7">
        <w:rPr>
          <w:rFonts w:asciiTheme="minorHAnsi" w:hAnsiTheme="minorHAnsi" w:cstheme="minorHAnsi"/>
          <w:sz w:val="16"/>
          <w:szCs w:val="16"/>
          <w:lang w:eastAsia="ja-JP"/>
        </w:rPr>
        <w:t xml:space="preserve"> </w:t>
      </w:r>
      <w:r>
        <w:rPr>
          <w:rFonts w:cs="Times New Roman"/>
          <w:lang w:eastAsia="ja-JP"/>
        </w:rPr>
        <w:t xml:space="preserve">low, </w:t>
      </w:r>
      <w:r w:rsidRPr="003873BB">
        <w:rPr>
          <w:rFonts w:ascii="Cambria Math" w:hAnsi="Cambria Math" w:cs="Cambria Math"/>
        </w:rPr>
        <w:t>⨁</w:t>
      </w:r>
      <w:r w:rsidRPr="00835101">
        <w:rPr>
          <w:rFonts w:ascii="Segoe UI Symbol" w:hAnsi="Segoe UI Symbol" w:cs="Segoe UI Symbol"/>
          <w:spacing w:val="-20"/>
          <w:sz w:val="16"/>
          <w:szCs w:val="16"/>
          <w:lang w:eastAsia="ja-JP"/>
        </w:rPr>
        <w:t>◯◯◯</w:t>
      </w:r>
      <w:r w:rsidRPr="003873BB">
        <w:rPr>
          <w:rFonts w:cs="Times New Roman"/>
          <w:sz w:val="16"/>
          <w:szCs w:val="16"/>
          <w:lang w:eastAsia="ja-JP"/>
        </w:rPr>
        <w:t xml:space="preserve"> </w:t>
      </w:r>
      <w:r>
        <w:rPr>
          <w:rFonts w:cs="Times New Roman"/>
          <w:lang w:eastAsia="ja-JP"/>
        </w:rPr>
        <w:t>very low</w:t>
      </w:r>
      <w:r w:rsidRPr="003873BB">
        <w:rPr>
          <w:rFonts w:cs="Times New Roman"/>
          <w:lang w:eastAsia="ja-JP"/>
        </w:rPr>
        <w:t>.</w:t>
      </w:r>
    </w:p>
    <w:p w14:paraId="237E1769" w14:textId="77777777" w:rsidR="002F5EE8" w:rsidRDefault="005C4D0F" w:rsidP="002F5EE8">
      <w:pPr>
        <w:pStyle w:val="Tablefootnote"/>
      </w:pPr>
      <w:r w:rsidRPr="005C4D0F">
        <w:t>GRADE: Grading of Recommendations Assessment, Development and Evaluation; ACCF/AHA; American College of Cardiology Foundation/American Heart Association; RCT: randomized controlled trial.</w:t>
      </w:r>
    </w:p>
    <w:p w14:paraId="1F2B489A" w14:textId="77777777" w:rsidR="004248C7" w:rsidRDefault="005C4D0F" w:rsidP="004248C7">
      <w:pPr>
        <w:pStyle w:val="Tablefootnote"/>
        <w:rPr>
          <w:shd w:val="clear" w:color="auto" w:fill="FFFFFF"/>
        </w:rPr>
      </w:pPr>
      <w:r w:rsidRPr="005C4D0F">
        <w:rPr>
          <w:shd w:val="clear" w:color="auto" w:fill="FFFFFF"/>
        </w:rPr>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1153219E" w14:textId="455669F2" w:rsidR="005C4D0F" w:rsidRPr="005C4D0F" w:rsidRDefault="005C4D0F" w:rsidP="004248C7">
      <w:pPr>
        <w:pStyle w:val="Tablefootnote"/>
      </w:pPr>
      <w:r w:rsidRPr="005C4D0F">
        <w:rPr>
          <w:vertAlign w:val="superscript"/>
        </w:rPr>
        <w:t>1</w:t>
      </w:r>
      <w:r w:rsidRPr="005C4D0F">
        <w:t> ● Limited, ●● Important, ●●● Critical.</w:t>
      </w:r>
    </w:p>
    <w:p w14:paraId="3D3D5449" w14:textId="77777777" w:rsidR="005C4D0F" w:rsidRPr="005C4D0F" w:rsidRDefault="005C4D0F" w:rsidP="005C4D0F">
      <w:pPr>
        <w:spacing w:after="0" w:line="240" w:lineRule="auto"/>
        <w:rPr>
          <w:rFonts w:ascii="Times New Roman" w:eastAsia="Times New Roman" w:hAnsi="Times New Roman" w:cs="Times New Roman"/>
          <w:sz w:val="18"/>
          <w:szCs w:val="18"/>
        </w:rPr>
      </w:pPr>
    </w:p>
    <w:p w14:paraId="74D73C99" w14:textId="77777777" w:rsidR="005C4D0F" w:rsidRPr="00AF2260" w:rsidRDefault="005C4D0F" w:rsidP="00AF2260">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5" w:name="_Ref111725278"/>
      <w:r w:rsidRPr="00AF2260">
        <w:rPr>
          <w:rFonts w:ascii="Times New Roman" w:eastAsia="SimSun" w:hAnsi="Times New Roman" w:cs="Arial (Body CS)"/>
          <w:iCs/>
          <w:color w:val="000000" w:themeColor="text1"/>
          <w:sz w:val="24"/>
          <w:szCs w:val="18"/>
        </w:rPr>
        <w:t>Supplemental Table 18</w:t>
      </w:r>
      <w:bookmarkEnd w:id="15"/>
      <w:r w:rsidRPr="00AF2260">
        <w:rPr>
          <w:rFonts w:ascii="Times New Roman" w:eastAsia="SimSun" w:hAnsi="Times New Roman" w:cs="Arial (Body CS)"/>
          <w:iCs/>
          <w:color w:val="000000" w:themeColor="text1"/>
          <w:sz w:val="24"/>
          <w:szCs w:val="18"/>
        </w:rPr>
        <w:t>. GRADE domains for strength of evidence ratings in studies comparing 1- and 2-hour clear liquid fasting duration in pediatrics.</w:t>
      </w:r>
    </w:p>
    <w:p w14:paraId="003CAFC0"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611493E1" wp14:editId="6D7A1067">
            <wp:extent cx="5943600" cy="2824480"/>
            <wp:effectExtent l="0" t="0" r="0"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824480"/>
                    </a:xfrm>
                    <a:prstGeom prst="rect">
                      <a:avLst/>
                    </a:prstGeom>
                  </pic:spPr>
                </pic:pic>
              </a:graphicData>
            </a:graphic>
          </wp:inline>
        </w:drawing>
      </w:r>
    </w:p>
    <w:p w14:paraId="332EF719"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rPr>
        <w:t>RCT: randomized controlled trial; NRSI: nonrandomized studies of interventions.</w:t>
      </w:r>
    </w:p>
    <w:p w14:paraId="2BCA4337"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w:t>
      </w:r>
      <w:r w:rsidRPr="005C4D0F">
        <w:rPr>
          <w:rFonts w:ascii="Times New Roman" w:eastAsiaTheme="majorEastAsia" w:hAnsi="Times New Roman" w:cs="Arial"/>
          <w:color w:val="000000"/>
          <w:sz w:val="18"/>
          <w:szCs w:val="18"/>
        </w:rPr>
        <w:t> Single study cannot assess consistency.</w:t>
      </w:r>
    </w:p>
    <w:p w14:paraId="098161A3"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2</w:t>
      </w:r>
      <w:r w:rsidRPr="005C4D0F">
        <w:rPr>
          <w:rFonts w:ascii="Times New Roman" w:eastAsiaTheme="majorEastAsia" w:hAnsi="Times New Roman" w:cs="Arial"/>
          <w:color w:val="000000"/>
          <w:sz w:val="18"/>
          <w:szCs w:val="18"/>
        </w:rPr>
        <w:t> Limited sample for ordinal scale.</w:t>
      </w:r>
    </w:p>
    <w:p w14:paraId="438B56B9"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3</w:t>
      </w:r>
      <w:r w:rsidRPr="005C4D0F">
        <w:rPr>
          <w:rFonts w:ascii="Times New Roman" w:eastAsiaTheme="majorEastAsia" w:hAnsi="Times New Roman" w:cs="Arial"/>
          <w:color w:val="000000"/>
          <w:sz w:val="18"/>
          <w:szCs w:val="18"/>
        </w:rPr>
        <w:t> Conflicting trial results.</w:t>
      </w:r>
    </w:p>
    <w:p w14:paraId="538ACD00"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4</w:t>
      </w:r>
      <w:r w:rsidRPr="005C4D0F">
        <w:rPr>
          <w:rFonts w:ascii="Times New Roman" w:eastAsiaTheme="majorEastAsia" w:hAnsi="Times New Roman" w:cs="Arial"/>
          <w:color w:val="000000"/>
          <w:sz w:val="18"/>
          <w:szCs w:val="18"/>
        </w:rPr>
        <w:t> One RCT conducted in children with cyanotic congenital heart disease.</w:t>
      </w:r>
    </w:p>
    <w:p w14:paraId="0EE7520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5</w:t>
      </w:r>
      <w:r w:rsidRPr="005C4D0F">
        <w:rPr>
          <w:rFonts w:ascii="Times New Roman" w:eastAsiaTheme="majorEastAsia" w:hAnsi="Times New Roman" w:cs="Arial"/>
          <w:color w:val="000000"/>
          <w:sz w:val="18"/>
          <w:szCs w:val="18"/>
        </w:rPr>
        <w:t> Different metrics.</w:t>
      </w:r>
    </w:p>
    <w:p w14:paraId="5B423533"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6</w:t>
      </w:r>
      <w:r w:rsidRPr="005C4D0F">
        <w:rPr>
          <w:rFonts w:ascii="Times New Roman" w:eastAsiaTheme="majorEastAsia" w:hAnsi="Times New Roman" w:cs="Arial"/>
          <w:color w:val="000000"/>
          <w:sz w:val="18"/>
          <w:szCs w:val="18"/>
        </w:rPr>
        <w:t> Limited sample for nominal scale.</w:t>
      </w:r>
    </w:p>
    <w:p w14:paraId="15FFC5E3"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7</w:t>
      </w:r>
      <w:r w:rsidRPr="005C4D0F">
        <w:rPr>
          <w:rFonts w:ascii="Times New Roman" w:eastAsiaTheme="majorEastAsia" w:hAnsi="Times New Roman" w:cs="Arial"/>
          <w:color w:val="000000"/>
          <w:sz w:val="18"/>
          <w:szCs w:val="18"/>
        </w:rPr>
        <w:t> Beck 2020b judged at serious risk of bias.</w:t>
      </w:r>
    </w:p>
    <w:p w14:paraId="10575F92"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8</w:t>
      </w:r>
      <w:r w:rsidRPr="005C4D0F">
        <w:rPr>
          <w:rFonts w:ascii="Times New Roman" w:eastAsiaTheme="majorEastAsia" w:hAnsi="Times New Roman" w:cs="Arial"/>
          <w:color w:val="000000"/>
          <w:sz w:val="18"/>
          <w:szCs w:val="18"/>
        </w:rPr>
        <w:t> Single large observational study rates consistent with prior literature; RCT substantially higher.</w:t>
      </w:r>
    </w:p>
    <w:p w14:paraId="02FA302C"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9</w:t>
      </w:r>
      <w:r w:rsidRPr="005C4D0F">
        <w:rPr>
          <w:rFonts w:ascii="Times New Roman" w:eastAsiaTheme="majorEastAsia" w:hAnsi="Times New Roman" w:cs="Arial"/>
          <w:color w:val="000000"/>
          <w:sz w:val="18"/>
          <w:szCs w:val="18"/>
        </w:rPr>
        <w:t> Wide confidence interval from large observational study.</w:t>
      </w:r>
    </w:p>
    <w:p w14:paraId="5316AA13"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10</w:t>
      </w:r>
      <w:r w:rsidRPr="005C4D0F">
        <w:rPr>
          <w:rFonts w:ascii="Times New Roman" w:eastAsiaTheme="majorEastAsia" w:hAnsi="Times New Roman" w:cs="Arial"/>
          <w:color w:val="000000"/>
          <w:sz w:val="18"/>
          <w:szCs w:val="18"/>
        </w:rPr>
        <w:t> Publication bias unlikely, but unable to assess.</w:t>
      </w:r>
    </w:p>
    <w:p w14:paraId="27878D8C"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11</w:t>
      </w:r>
      <w:r w:rsidRPr="005C4D0F">
        <w:rPr>
          <w:rFonts w:ascii="Times New Roman" w:eastAsiaTheme="majorEastAsia" w:hAnsi="Times New Roman" w:cs="Arial"/>
          <w:color w:val="000000"/>
          <w:sz w:val="18"/>
          <w:szCs w:val="18"/>
        </w:rPr>
        <w:t> Risk ratios included wide range of plausible effects.</w:t>
      </w:r>
    </w:p>
    <w:p w14:paraId="164DFAE5"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12</w:t>
      </w:r>
      <w:r w:rsidRPr="005C4D0F">
        <w:rPr>
          <w:rFonts w:ascii="Times New Roman" w:eastAsiaTheme="majorEastAsia" w:hAnsi="Times New Roman" w:cs="Arial"/>
          <w:color w:val="000000"/>
          <w:sz w:val="18"/>
          <w:szCs w:val="18"/>
        </w:rPr>
        <w:t> Inconsistent results for return to baseline gastric volume. A single RCT compared 1- and 2-hour clear liquid fasting.</w:t>
      </w:r>
    </w:p>
    <w:p w14:paraId="489EDE29"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13</w:t>
      </w:r>
      <w:r w:rsidRPr="005C4D0F">
        <w:rPr>
          <w:rFonts w:ascii="Times New Roman" w:eastAsiaTheme="majorEastAsia" w:hAnsi="Times New Roman" w:cs="Arial"/>
          <w:color w:val="000000"/>
          <w:sz w:val="18"/>
          <w:szCs w:val="18"/>
        </w:rPr>
        <w:t> Strength of relationship with aspiration not clearly defined.</w:t>
      </w:r>
    </w:p>
    <w:p w14:paraId="11BDA2DD"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14</w:t>
      </w:r>
      <w:r w:rsidRPr="005C4D0F">
        <w:rPr>
          <w:rFonts w:ascii="Times New Roman" w:eastAsiaTheme="majorEastAsia" w:hAnsi="Times New Roman" w:cs="Arial"/>
          <w:color w:val="000000"/>
          <w:sz w:val="18"/>
          <w:szCs w:val="18"/>
        </w:rPr>
        <w:t> Strength of relationship with aspiration outcomes not clearly defined.</w:t>
      </w:r>
    </w:p>
    <w:p w14:paraId="331DB534"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15</w:t>
      </w:r>
      <w:r w:rsidRPr="005C4D0F">
        <w:rPr>
          <w:rFonts w:ascii="Times New Roman" w:eastAsiaTheme="majorEastAsia" w:hAnsi="Times New Roman" w:cs="Arial"/>
          <w:color w:val="000000"/>
          <w:sz w:val="18"/>
          <w:szCs w:val="18"/>
        </w:rPr>
        <w:t> Not rated down, incorporated downgrade in inconsistency domain.</w:t>
      </w:r>
    </w:p>
    <w:p w14:paraId="15BD5938" w14:textId="600F409C" w:rsidR="005C4D0F" w:rsidRDefault="005C4D0F" w:rsidP="005C4D0F">
      <w:pPr>
        <w:spacing w:after="0" w:line="240" w:lineRule="auto"/>
        <w:rPr>
          <w:rFonts w:ascii="Times New Roman" w:eastAsia="Times New Roman" w:hAnsi="Times New Roman" w:cs="Times New Roman"/>
          <w:sz w:val="18"/>
          <w:szCs w:val="18"/>
        </w:rPr>
      </w:pPr>
      <w:r w:rsidRPr="005C4D0F">
        <w:rPr>
          <w:rFonts w:ascii="Times New Roman" w:eastAsia="Times New Roman" w:hAnsi="Times New Roman" w:cs="Times New Roman"/>
          <w:sz w:val="18"/>
          <w:szCs w:val="18"/>
        </w:rPr>
        <w:br w:type="page"/>
      </w:r>
    </w:p>
    <w:p w14:paraId="46F65B90" w14:textId="48902165" w:rsidR="009E23F2" w:rsidRDefault="009E23F2" w:rsidP="009E23F2">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5C4D0F">
        <w:rPr>
          <w:rFonts w:ascii="Times New Roman" w:eastAsia="SimSun" w:hAnsi="Times New Roman" w:cs="Arial (Body CS)"/>
          <w:iCs/>
          <w:color w:val="000000" w:themeColor="text1"/>
          <w:sz w:val="24"/>
          <w:szCs w:val="18"/>
        </w:rPr>
        <w:lastRenderedPageBreak/>
        <w:t xml:space="preserve">Supplemental Table </w:t>
      </w:r>
      <w:r w:rsidRPr="005C4D0F">
        <w:rPr>
          <w:rFonts w:ascii="Times New Roman" w:eastAsia="SimSun" w:hAnsi="Times New Roman" w:cs="Arial (Body CS)"/>
          <w:iCs/>
          <w:noProof/>
          <w:color w:val="000000" w:themeColor="text1"/>
          <w:sz w:val="24"/>
          <w:szCs w:val="18"/>
        </w:rPr>
        <w:t>19</w:t>
      </w:r>
      <w:r w:rsidRPr="005C4D0F">
        <w:rPr>
          <w:rFonts w:ascii="Times New Roman" w:eastAsia="SimSun" w:hAnsi="Times New Roman" w:cs="Arial (Body CS)"/>
          <w:iCs/>
          <w:color w:val="000000" w:themeColor="text1"/>
          <w:sz w:val="24"/>
          <w:szCs w:val="18"/>
        </w:rPr>
        <w:t xml:space="preserve">. </w:t>
      </w:r>
      <w:r w:rsidRPr="009E23F2">
        <w:rPr>
          <w:rFonts w:ascii="Times New Roman" w:eastAsia="SimSun" w:hAnsi="Times New Roman" w:cs="Arial (Body CS)"/>
          <w:iCs/>
          <w:color w:val="000000" w:themeColor="text1"/>
          <w:sz w:val="24"/>
          <w:szCs w:val="18"/>
        </w:rPr>
        <w:t>Incidence of aspiration and regurgitation</w:t>
      </w:r>
      <w:r>
        <w:rPr>
          <w:rFonts w:ascii="Times New Roman" w:eastAsia="SimSun" w:hAnsi="Times New Roman" w:cs="Arial (Body CS)"/>
          <w:iCs/>
          <w:color w:val="000000" w:themeColor="text1"/>
          <w:sz w:val="24"/>
          <w:szCs w:val="18"/>
        </w:rPr>
        <w:t xml:space="preserve"> in pediatric patients according to clear liquid fasting duration. </w:t>
      </w:r>
    </w:p>
    <w:p w14:paraId="5C5E0E22" w14:textId="512D97DD" w:rsidR="009E23F2" w:rsidRDefault="009E23F2" w:rsidP="009E23F2">
      <w:r>
        <w:rPr>
          <w:noProof/>
        </w:rPr>
        <w:drawing>
          <wp:inline distT="0" distB="0" distL="0" distR="0" wp14:anchorId="25078305" wp14:editId="49D02523">
            <wp:extent cx="4892790" cy="2901696"/>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898843" cy="2905285"/>
                    </a:xfrm>
                    <a:prstGeom prst="rect">
                      <a:avLst/>
                    </a:prstGeom>
                  </pic:spPr>
                </pic:pic>
              </a:graphicData>
            </a:graphic>
          </wp:inline>
        </w:drawing>
      </w:r>
    </w:p>
    <w:p w14:paraId="49483D51" w14:textId="1F0BD9D5" w:rsidR="009E23F2" w:rsidRPr="009E23F2" w:rsidRDefault="009E23F2" w:rsidP="000F15D4">
      <w:pPr>
        <w:spacing w:line="240" w:lineRule="auto"/>
        <w:rPr>
          <w:rFonts w:ascii="Times New Roman" w:hAnsi="Times New Roman" w:cs="Times New Roman"/>
        </w:rPr>
      </w:pPr>
      <w:r w:rsidRPr="009E23F2">
        <w:rPr>
          <w:rFonts w:ascii="Times New Roman" w:hAnsi="Times New Roman" w:cs="Times New Roman"/>
        </w:rPr>
        <w:t>Beck2020b includes suspected and confirmed cases of aspiration; 1227 (10.2%) emergency procedures. One suspected aspiration with a recorded clear liquid fluid fasting time of 0.98 hours. One episode of suspect</w:t>
      </w:r>
      <w:r w:rsidR="000F15D4">
        <w:rPr>
          <w:rFonts w:ascii="Times New Roman" w:hAnsi="Times New Roman" w:cs="Times New Roman"/>
        </w:rPr>
        <w:t>ed</w:t>
      </w:r>
      <w:r w:rsidRPr="009E23F2">
        <w:rPr>
          <w:rFonts w:ascii="Times New Roman" w:hAnsi="Times New Roman" w:cs="Times New Roman"/>
        </w:rPr>
        <w:t xml:space="preserve"> aspiration occurred in </w:t>
      </w:r>
      <w:r w:rsidR="000F15D4">
        <w:rPr>
          <w:rFonts w:ascii="Times New Roman" w:hAnsi="Times New Roman" w:cs="Times New Roman"/>
        </w:rPr>
        <w:t xml:space="preserve">a </w:t>
      </w:r>
      <w:r w:rsidRPr="009E23F2">
        <w:rPr>
          <w:rFonts w:ascii="Times New Roman" w:hAnsi="Times New Roman" w:cs="Times New Roman"/>
        </w:rPr>
        <w:t>child with incarcerated hernia not included (unclear if in &gt;4-hour category</w:t>
      </w:r>
      <w:r>
        <w:rPr>
          <w:rFonts w:ascii="Times New Roman" w:hAnsi="Times New Roman" w:cs="Times New Roman"/>
        </w:rPr>
        <w:t>)</w:t>
      </w:r>
      <w:r w:rsidRPr="009E23F2">
        <w:rPr>
          <w:rFonts w:ascii="Times New Roman" w:hAnsi="Times New Roman" w:cs="Times New Roman"/>
        </w:rPr>
        <w:t>.</w:t>
      </w:r>
    </w:p>
    <w:p w14:paraId="7365157A" w14:textId="77777777" w:rsidR="009E23F2" w:rsidRDefault="009E23F2" w:rsidP="009E23F2"/>
    <w:p w14:paraId="5D27E58E" w14:textId="77777777" w:rsidR="009E23F2" w:rsidRPr="009E23F2" w:rsidRDefault="009E23F2" w:rsidP="009E23F2"/>
    <w:p w14:paraId="442E8021" w14:textId="74237A87" w:rsidR="009E23F2" w:rsidRDefault="009E23F2">
      <w:pPr>
        <w:rPr>
          <w:rFonts w:ascii="Times New Roman" w:eastAsia="SimSun" w:hAnsi="Times New Roman"/>
          <w:sz w:val="18"/>
          <w:szCs w:val="18"/>
        </w:rPr>
      </w:pPr>
      <w:r>
        <w:rPr>
          <w:rFonts w:ascii="Times New Roman" w:eastAsia="SimSun" w:hAnsi="Times New Roman"/>
          <w:sz w:val="18"/>
          <w:szCs w:val="18"/>
        </w:rPr>
        <w:br w:type="page"/>
      </w:r>
    </w:p>
    <w:p w14:paraId="1020775F" w14:textId="77777777" w:rsidR="009E23F2" w:rsidRPr="005C4D0F" w:rsidRDefault="009E23F2" w:rsidP="005C4D0F">
      <w:pPr>
        <w:spacing w:after="0" w:line="240" w:lineRule="auto"/>
        <w:rPr>
          <w:rFonts w:ascii="Times New Roman" w:eastAsia="SimSun" w:hAnsi="Times New Roman"/>
          <w:sz w:val="18"/>
          <w:szCs w:val="18"/>
        </w:rPr>
      </w:pPr>
    </w:p>
    <w:p w14:paraId="1C147E35" w14:textId="1C91A023" w:rsidR="005C4D0F" w:rsidRPr="005C4D0F" w:rsidRDefault="005C4D0F" w:rsidP="005C4D0F">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6" w:name="_Ref111725308"/>
      <w:r w:rsidRPr="005C4D0F">
        <w:rPr>
          <w:rFonts w:ascii="Times New Roman" w:eastAsia="SimSun" w:hAnsi="Times New Roman" w:cs="Arial (Body CS)"/>
          <w:iCs/>
          <w:color w:val="000000" w:themeColor="text1"/>
          <w:sz w:val="24"/>
          <w:szCs w:val="18"/>
        </w:rPr>
        <w:t xml:space="preserve">Supplemental Table </w:t>
      </w:r>
      <w:bookmarkEnd w:id="16"/>
      <w:r w:rsidR="009E23F2">
        <w:rPr>
          <w:rFonts w:ascii="Times New Roman" w:eastAsia="SimSun" w:hAnsi="Times New Roman" w:cs="Arial (Body CS)"/>
          <w:iCs/>
          <w:noProof/>
          <w:color w:val="000000" w:themeColor="text1"/>
          <w:sz w:val="24"/>
          <w:szCs w:val="18"/>
        </w:rPr>
        <w:t>20</w:t>
      </w:r>
      <w:r w:rsidRPr="005C4D0F">
        <w:rPr>
          <w:rFonts w:ascii="Times New Roman" w:eastAsia="SimSun" w:hAnsi="Times New Roman" w:cs="Arial (Body CS)"/>
          <w:iCs/>
          <w:color w:val="000000" w:themeColor="text1"/>
          <w:sz w:val="24"/>
          <w:szCs w:val="18"/>
        </w:rPr>
        <w:t>. Results from studies reporting gastric volumes over time in pediatric patients. Note that although studies are arranged by design from an evidence perspective, the relationship reported is independent of design.</w:t>
      </w:r>
    </w:p>
    <w:p w14:paraId="593A67F5" w14:textId="77777777" w:rsidR="005C4D0F" w:rsidRPr="005C4D0F" w:rsidRDefault="005C4D0F" w:rsidP="005C4D0F">
      <w:pPr>
        <w:keepNext/>
        <w:spacing w:after="0" w:line="240" w:lineRule="auto"/>
        <w:rPr>
          <w:rFonts w:ascii="Times New Roman" w:eastAsia="SimSun" w:hAnsi="Times New Roman"/>
          <w:sz w:val="18"/>
          <w:szCs w:val="18"/>
        </w:rPr>
      </w:pPr>
      <w:r w:rsidRPr="005C4D0F">
        <w:rPr>
          <w:rFonts w:ascii="Times New Roman" w:eastAsia="SimSun" w:hAnsi="Times New Roman"/>
          <w:noProof/>
          <w:sz w:val="18"/>
          <w:szCs w:val="18"/>
        </w:rPr>
        <w:drawing>
          <wp:inline distT="0" distB="0" distL="0" distR="0" wp14:anchorId="7ED42E4F" wp14:editId="2D01864F">
            <wp:extent cx="5943600" cy="5202555"/>
            <wp:effectExtent l="0" t="0" r="0" b="4445"/>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5202555"/>
                    </a:xfrm>
                    <a:prstGeom prst="rect">
                      <a:avLst/>
                    </a:prstGeom>
                  </pic:spPr>
                </pic:pic>
              </a:graphicData>
            </a:graphic>
          </wp:inline>
        </w:drawing>
      </w:r>
    </w:p>
    <w:p w14:paraId="30B2FE64"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rPr>
        <w:t>CHO: carbohydrate; GAA: gastric antral area; GFV: gastric fluid volume; M: mean; MD: mean difference; Med: median; SD: standard deviation.</w:t>
      </w:r>
    </w:p>
    <w:p w14:paraId="5DD61ABE"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a</w:t>
      </w:r>
      <w:r w:rsidRPr="005C4D0F">
        <w:rPr>
          <w:rFonts w:ascii="Times New Roman" w:eastAsiaTheme="majorEastAsia" w:hAnsi="Times New Roman" w:cs="Arial"/>
          <w:color w:val="000000"/>
          <w:sz w:val="18"/>
          <w:szCs w:val="18"/>
        </w:rPr>
        <w:t> Clear liquid arm from trial.</w:t>
      </w:r>
    </w:p>
    <w:p w14:paraId="79CCD1BF"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b</w:t>
      </w:r>
      <w:r w:rsidRPr="005C4D0F">
        <w:rPr>
          <w:rFonts w:ascii="Times New Roman" w:eastAsiaTheme="majorEastAsia" w:hAnsi="Times New Roman" w:cs="Arial"/>
          <w:color w:val="000000"/>
          <w:sz w:val="18"/>
          <w:szCs w:val="18"/>
        </w:rPr>
        <w:t> Time when probability of returning to baseline &gt; 0.95.</w:t>
      </w:r>
    </w:p>
    <w:p w14:paraId="41978DB7" w14:textId="77777777" w:rsidR="005C4D0F" w:rsidRPr="005C4D0F" w:rsidRDefault="005C4D0F" w:rsidP="005C4D0F">
      <w:pPr>
        <w:keepLines/>
        <w:spacing w:after="120" w:line="240" w:lineRule="auto"/>
        <w:contextualSpacing/>
        <w:textAlignment w:val="baseline"/>
        <w:rPr>
          <w:rFonts w:ascii="Times New Roman" w:eastAsiaTheme="majorEastAsia" w:hAnsi="Times New Roman" w:cs="Arial"/>
          <w:color w:val="000000"/>
          <w:sz w:val="18"/>
          <w:szCs w:val="18"/>
        </w:rPr>
      </w:pPr>
      <w:r w:rsidRPr="005C4D0F">
        <w:rPr>
          <w:rFonts w:ascii="Times New Roman" w:eastAsiaTheme="majorEastAsia" w:hAnsi="Times New Roman" w:cs="Arial"/>
          <w:color w:val="000000"/>
          <w:sz w:val="18"/>
          <w:szCs w:val="18"/>
          <w:vertAlign w:val="superscript"/>
        </w:rPr>
        <w:t>c</w:t>
      </w:r>
      <w:r w:rsidRPr="005C4D0F">
        <w:rPr>
          <w:rFonts w:ascii="Times New Roman" w:eastAsiaTheme="majorEastAsia" w:hAnsi="Times New Roman" w:cs="Arial"/>
          <w:color w:val="000000"/>
          <w:sz w:val="18"/>
          <w:szCs w:val="18"/>
        </w:rPr>
        <w:t> Approximate times.</w:t>
      </w:r>
    </w:p>
    <w:p w14:paraId="1DE7C73A" w14:textId="77777777" w:rsidR="00455470" w:rsidRDefault="00455470"/>
    <w:sectPr w:rsidR="004554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dy CS)">
    <w:altName w:val="Arial"/>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D0F"/>
    <w:rsid w:val="000C20E0"/>
    <w:rsid w:val="000F15D4"/>
    <w:rsid w:val="00255AB8"/>
    <w:rsid w:val="002D741E"/>
    <w:rsid w:val="002F5EE8"/>
    <w:rsid w:val="003A4FED"/>
    <w:rsid w:val="004248C7"/>
    <w:rsid w:val="00455470"/>
    <w:rsid w:val="004C36C0"/>
    <w:rsid w:val="005C4D0F"/>
    <w:rsid w:val="007F7568"/>
    <w:rsid w:val="008104FF"/>
    <w:rsid w:val="00897B14"/>
    <w:rsid w:val="009C4959"/>
    <w:rsid w:val="009E23F2"/>
    <w:rsid w:val="00AF2260"/>
    <w:rsid w:val="00BC2605"/>
    <w:rsid w:val="00BC61E7"/>
    <w:rsid w:val="00C07B02"/>
    <w:rsid w:val="00EB7FC0"/>
    <w:rsid w:val="00EF1C37"/>
    <w:rsid w:val="00F96ED1"/>
    <w:rsid w:val="00FF6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E59B"/>
  <w15:chartTrackingRefBased/>
  <w15:docId w15:val="{DEF764B2-3D99-474B-B6B8-57CAC6DA1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ootnote">
    <w:name w:val="Table footnote"/>
    <w:basedOn w:val="Normal"/>
    <w:next w:val="Normal"/>
    <w:qFormat/>
    <w:rsid w:val="00EB7FC0"/>
    <w:pPr>
      <w:keepLines/>
      <w:spacing w:after="120" w:line="240" w:lineRule="auto"/>
      <w:contextualSpacing/>
      <w:textAlignment w:val="baseline"/>
    </w:pPr>
    <w:rPr>
      <w:rFonts w:ascii="Times New Roman" w:eastAsiaTheme="majorEastAsia" w:hAnsi="Times New Roman"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418470">
      <w:bodyDiv w:val="1"/>
      <w:marLeft w:val="0"/>
      <w:marRight w:val="0"/>
      <w:marTop w:val="0"/>
      <w:marBottom w:val="0"/>
      <w:divBdr>
        <w:top w:val="none" w:sz="0" w:space="0" w:color="auto"/>
        <w:left w:val="none" w:sz="0" w:space="0" w:color="auto"/>
        <w:bottom w:val="none" w:sz="0" w:space="0" w:color="auto"/>
        <w:right w:val="none" w:sz="0" w:space="0" w:color="auto"/>
      </w:divBdr>
    </w:div>
    <w:div w:id="1084765930">
      <w:bodyDiv w:val="1"/>
      <w:marLeft w:val="0"/>
      <w:marRight w:val="0"/>
      <w:marTop w:val="0"/>
      <w:marBottom w:val="0"/>
      <w:divBdr>
        <w:top w:val="none" w:sz="0" w:space="0" w:color="auto"/>
        <w:left w:val="none" w:sz="0" w:space="0" w:color="auto"/>
        <w:bottom w:val="none" w:sz="0" w:space="0" w:color="auto"/>
        <w:right w:val="none" w:sz="0" w:space="0" w:color="auto"/>
      </w:divBdr>
      <w:divsChild>
        <w:div w:id="306864043">
          <w:marLeft w:val="0"/>
          <w:marRight w:val="0"/>
          <w:marTop w:val="0"/>
          <w:marBottom w:val="0"/>
          <w:divBdr>
            <w:top w:val="none" w:sz="0" w:space="0" w:color="auto"/>
            <w:left w:val="none" w:sz="0" w:space="0" w:color="auto"/>
            <w:bottom w:val="none" w:sz="0" w:space="0" w:color="auto"/>
            <w:right w:val="none" w:sz="0" w:space="0" w:color="auto"/>
          </w:divBdr>
        </w:div>
      </w:divsChild>
    </w:div>
    <w:div w:id="1918897739">
      <w:bodyDiv w:val="1"/>
      <w:marLeft w:val="0"/>
      <w:marRight w:val="0"/>
      <w:marTop w:val="0"/>
      <w:marBottom w:val="0"/>
      <w:divBdr>
        <w:top w:val="none" w:sz="0" w:space="0" w:color="auto"/>
        <w:left w:val="none" w:sz="0" w:space="0" w:color="auto"/>
        <w:bottom w:val="none" w:sz="0" w:space="0" w:color="auto"/>
        <w:right w:val="none" w:sz="0" w:space="0" w:color="auto"/>
      </w:divBdr>
      <w:divsChild>
        <w:div w:id="106433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g xmlns="91143fd5-8e31-4ddf-ba96-271c3d2b304d" xsi:nil="true"/>
    <Note xmlns="91143fd5-8e31-4ddf-ba96-271c3d2b304d" xsi:nil="true"/>
    <Date xmlns="91143fd5-8e31-4ddf-ba96-271c3d2b304d" xsi:nil="true"/>
    <Date_x002f_Time xmlns="91143fd5-8e31-4ddf-ba96-271c3d2b30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752B7B4742F547AB23AEF11ACBE52B" ma:contentTypeVersion="14" ma:contentTypeDescription="Create a new document." ma:contentTypeScope="" ma:versionID="336fc6144a6dcc8b0077b50ca56e07b9">
  <xsd:schema xmlns:xsd="http://www.w3.org/2001/XMLSchema" xmlns:xs="http://www.w3.org/2001/XMLSchema" xmlns:p="http://schemas.microsoft.com/office/2006/metadata/properties" xmlns:ns2="91143fd5-8e31-4ddf-ba96-271c3d2b304d" xmlns:ns3="65467c28-9bc8-42ae-b610-6791a9f9ca87" targetNamespace="http://schemas.microsoft.com/office/2006/metadata/properties" ma:root="true" ma:fieldsID="53f5f0d0717b48eda247655c02190eb6" ns2:_="" ns3:_="">
    <xsd:import namespace="91143fd5-8e31-4ddf-ba96-271c3d2b304d"/>
    <xsd:import namespace="65467c28-9bc8-42ae-b610-6791a9f9ca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ate" minOccurs="0"/>
                <xsd:element ref="ns2:Date_x002f_Time" minOccurs="0"/>
                <xsd:element ref="ns2:Tag"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43fd5-8e31-4ddf-ba96-271c3d2b3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Date_x002f_Time" ma:index="19" nillable="true" ma:displayName="Date/Time" ma:format="DateOnly" ma:internalName="Date_x002f_Time">
      <xsd:simpleType>
        <xsd:restriction base="dms:DateTime"/>
      </xsd:simpleType>
    </xsd:element>
    <xsd:element name="Tag" ma:index="20" nillable="true" ma:displayName="Tag" ma:description="Highlight" ma:format="Dropdown" ma:internalName="Tag">
      <xsd:simpleType>
        <xsd:union memberTypes="dms:Text">
          <xsd:simpleType>
            <xsd:restriction base="dms:Choice">
              <xsd:enumeration value="Current"/>
              <xsd:enumeration value="Old"/>
              <xsd:enumeration value="Pending"/>
            </xsd:restriction>
          </xsd:simpleType>
        </xsd:union>
      </xsd:simpleType>
    </xsd:element>
    <xsd:element name="Note" ma:index="21" nillable="true" ma:displayName="Note" ma:internalName="Not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67c28-9bc8-42ae-b610-6791a9f9c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E531A-1F33-438C-8EA5-D3A9AEC5F48C}">
  <ds:schemaRefs>
    <ds:schemaRef ds:uri="http://schemas.microsoft.com/office/2006/metadata/properties"/>
    <ds:schemaRef ds:uri="http://schemas.microsoft.com/office/infopath/2007/PartnerControls"/>
    <ds:schemaRef ds:uri="91143fd5-8e31-4ddf-ba96-271c3d2b304d"/>
  </ds:schemaRefs>
</ds:datastoreItem>
</file>

<file path=customXml/itemProps2.xml><?xml version="1.0" encoding="utf-8"?>
<ds:datastoreItem xmlns:ds="http://schemas.openxmlformats.org/officeDocument/2006/customXml" ds:itemID="{CC60455B-D40D-4412-9EB1-FA4577ED8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43fd5-8e31-4ddf-ba96-271c3d2b304d"/>
    <ds:schemaRef ds:uri="65467c28-9bc8-42ae-b610-6791a9f9c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4FF6A-6A47-4CD7-B12A-7CA9FDB88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2460</Words>
  <Characters>14023</Characters>
  <Application>Microsoft Office Word</Application>
  <DocSecurity>0</DocSecurity>
  <Lines>116</Lines>
  <Paragraphs>32</Paragraphs>
  <ScaleCrop>false</ScaleCrop>
  <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Marbella</dc:creator>
  <cp:keywords/>
  <dc:description/>
  <cp:lastModifiedBy>m grant</cp:lastModifiedBy>
  <cp:revision>22</cp:revision>
  <cp:lastPrinted>2022-10-11T13:06:00Z</cp:lastPrinted>
  <dcterms:created xsi:type="dcterms:W3CDTF">2022-08-23T23:02:00Z</dcterms:created>
  <dcterms:modified xsi:type="dcterms:W3CDTF">2022-11-08T17:44:00Z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0x01010093752B7B4742F547AB23AEF11ACBE52B</vt:lpwstr>
  </property>
</Properties>
</file>