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771F7" w14:textId="75A05088" w:rsidR="00915C3E" w:rsidRDefault="00CD3D24">
      <w:r>
        <w:rPr>
          <w:noProof/>
        </w:rPr>
        <w:drawing>
          <wp:inline distT="0" distB="0" distL="0" distR="0" wp14:anchorId="625618C1" wp14:editId="5AE775E2">
            <wp:extent cx="5734050" cy="573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E671F" w14:textId="4F06D186" w:rsidR="00CD3D24" w:rsidRDefault="00CD3D24"/>
    <w:p w14:paraId="39DB5B9A" w14:textId="77777777" w:rsidR="00CD3D24" w:rsidRPr="003B7AC6" w:rsidRDefault="00CD3D24" w:rsidP="00CD3D24">
      <w:pPr>
        <w:spacing w:before="120" w:line="360" w:lineRule="auto"/>
        <w:jc w:val="both"/>
      </w:pPr>
      <w:r w:rsidRPr="003B7AC6">
        <w:rPr>
          <w:b/>
        </w:rPr>
        <w:t xml:space="preserve">Supplemental Figure 4:  Morphine 0.2 mg/kg (n=44, blue) vs. hydromorphone 0.05 mg/kg (n=45, red) analgesia. </w:t>
      </w:r>
      <w:r w:rsidRPr="003B7AC6">
        <w:t xml:space="preserve"> Shown are self-reported VAS scores (0-100) over time at six specific discrete temperatures (“ramp and hold” method).  Results are the marginal mean and the 25% and 75% quantiles.</w:t>
      </w:r>
    </w:p>
    <w:p w14:paraId="53A0E389" w14:textId="77777777" w:rsidR="00CD3D24" w:rsidRDefault="00CD3D24"/>
    <w:sectPr w:rsidR="00CD3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24"/>
    <w:rsid w:val="00915C3E"/>
    <w:rsid w:val="00CD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88B28"/>
  <w15:chartTrackingRefBased/>
  <w15:docId w15:val="{8BDDB49F-2DB2-4D22-9531-7BF5FBC6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Laura</dc:creator>
  <cp:keywords/>
  <dc:description/>
  <cp:lastModifiedBy>Mitchell, Laura</cp:lastModifiedBy>
  <cp:revision>1</cp:revision>
  <dcterms:created xsi:type="dcterms:W3CDTF">2023-03-29T17:04:00Z</dcterms:created>
  <dcterms:modified xsi:type="dcterms:W3CDTF">2023-03-29T17:05:00Z</dcterms:modified>
</cp:coreProperties>
</file>