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46A1A" w14:textId="3D5E8E6F" w:rsidR="00EE0EA9" w:rsidRPr="000309F2" w:rsidRDefault="00B66538" w:rsidP="002E6BBB">
      <w:pPr>
        <w:spacing w:before="200" w:after="0" w:line="240" w:lineRule="auto"/>
        <w:jc w:val="right"/>
        <w:rPr>
          <w:b/>
          <w:bCs/>
          <w:spacing w:val="6"/>
          <w:sz w:val="21"/>
          <w:szCs w:val="21"/>
        </w:rPr>
      </w:pPr>
      <w:r>
        <w:rPr>
          <w:spacing w:val="6"/>
          <w:sz w:val="21"/>
          <w:szCs w:val="21"/>
        </w:rPr>
        <w:t>OBSTETRIC CARE CONSENSUS</w:t>
      </w:r>
      <w:r w:rsidR="00EE0EA9" w:rsidRPr="000309F2">
        <w:rPr>
          <w:spacing w:val="6"/>
          <w:sz w:val="21"/>
          <w:szCs w:val="21"/>
        </w:rPr>
        <w:t xml:space="preserve"> </w:t>
      </w:r>
      <w:r w:rsidR="00EE0EA9" w:rsidRPr="000309F2">
        <w:rPr>
          <w:b/>
          <w:bCs/>
          <w:spacing w:val="6"/>
          <w:sz w:val="21"/>
          <w:szCs w:val="21"/>
        </w:rPr>
        <w:t xml:space="preserve">EVIDENCE </w:t>
      </w:r>
      <w:r w:rsidR="00852657">
        <w:rPr>
          <w:b/>
          <w:bCs/>
          <w:spacing w:val="6"/>
          <w:sz w:val="21"/>
          <w:szCs w:val="21"/>
        </w:rPr>
        <w:t>MAP</w:t>
      </w:r>
    </w:p>
    <w:p w14:paraId="36E71800" w14:textId="1D1E1717" w:rsidR="00EE0EA9" w:rsidRPr="002E6BBB" w:rsidRDefault="00EE0EA9" w:rsidP="00EE0EA9">
      <w:pPr>
        <w:spacing w:after="0"/>
        <w:jc w:val="right"/>
        <w:rPr>
          <w:sz w:val="21"/>
          <w:szCs w:val="21"/>
        </w:rPr>
      </w:pPr>
    </w:p>
    <w:p w14:paraId="065298CD" w14:textId="266890CB" w:rsidR="000309F2" w:rsidRDefault="009747F6" w:rsidP="00323BBA">
      <w:pPr>
        <w:spacing w:after="120" w:line="240" w:lineRule="auto"/>
        <w:jc w:val="right"/>
        <w:rPr>
          <w:rFonts w:ascii="Arial Nova Light" w:hAnsi="Arial Nova Light"/>
          <w:sz w:val="20"/>
          <w:szCs w:val="20"/>
        </w:rPr>
      </w:pPr>
      <w:r w:rsidRPr="00323BBA">
        <w:rPr>
          <w:rFonts w:ascii="Arial Nova Light" w:hAnsi="Arial Nova Light"/>
          <w:noProof/>
          <w:sz w:val="20"/>
          <w:szCs w:val="20"/>
        </w:rPr>
        <mc:AlternateContent>
          <mc:Choice Requires="wps">
            <w:drawing>
              <wp:anchor distT="45720" distB="45720" distL="114300" distR="114300" simplePos="0" relativeHeight="251659263" behindDoc="0" locked="0" layoutInCell="1" allowOverlap="1" wp14:anchorId="08673416" wp14:editId="12446961">
                <wp:simplePos x="0" y="0"/>
                <wp:positionH relativeFrom="margin">
                  <wp:align>right</wp:align>
                </wp:positionH>
                <wp:positionV relativeFrom="topMargin">
                  <wp:posOffset>1112520</wp:posOffset>
                </wp:positionV>
                <wp:extent cx="9258300" cy="9677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0" cy="967740"/>
                        </a:xfrm>
                        <a:prstGeom prst="rect">
                          <a:avLst/>
                        </a:prstGeom>
                        <a:noFill/>
                        <a:ln w="9525">
                          <a:noFill/>
                          <a:miter lim="800000"/>
                          <a:headEnd/>
                          <a:tailEnd/>
                        </a:ln>
                      </wps:spPr>
                      <wps:txbx>
                        <w:txbxContent>
                          <w:p w14:paraId="1932B711" w14:textId="24306FF9" w:rsidR="005B42BB" w:rsidRPr="00323BBA" w:rsidRDefault="005B42BB" w:rsidP="00323BBA">
                            <w:pPr>
                              <w:spacing w:after="0"/>
                              <w:rPr>
                                <w:rFonts w:cstheme="minorHAnsi"/>
                                <w:b/>
                                <w:bCs/>
                                <w:sz w:val="36"/>
                                <w:szCs w:val="36"/>
                              </w:rPr>
                            </w:pPr>
                            <w:r w:rsidRPr="00323BBA">
                              <w:rPr>
                                <w:rFonts w:cstheme="minorHAnsi"/>
                                <w:b/>
                                <w:bCs/>
                                <w:sz w:val="36"/>
                                <w:szCs w:val="36"/>
                              </w:rPr>
                              <w:t xml:space="preserve">Evidence </w:t>
                            </w:r>
                            <w:r>
                              <w:rPr>
                                <w:rFonts w:cstheme="minorHAnsi"/>
                                <w:b/>
                                <w:bCs/>
                                <w:sz w:val="36"/>
                                <w:szCs w:val="36"/>
                              </w:rPr>
                              <w:t>Map</w:t>
                            </w:r>
                          </w:p>
                          <w:p w14:paraId="49A5D4BA" w14:textId="4FF3F243" w:rsidR="005B42BB" w:rsidRPr="002378B7" w:rsidRDefault="00B66538" w:rsidP="00323BBA">
                            <w:pPr>
                              <w:spacing w:after="0"/>
                              <w:rPr>
                                <w:rFonts w:ascii="Arial Nova Light" w:hAnsi="Arial Nova Light"/>
                                <w:sz w:val="34"/>
                                <w:szCs w:val="34"/>
                              </w:rPr>
                            </w:pPr>
                            <w:r>
                              <w:rPr>
                                <w:rFonts w:cstheme="minorHAnsi"/>
                                <w:sz w:val="34"/>
                                <w:szCs w:val="34"/>
                              </w:rPr>
                              <w:t xml:space="preserve">Pregnancy </w:t>
                            </w:r>
                            <w:r w:rsidR="007F449B">
                              <w:rPr>
                                <w:rFonts w:cstheme="minorHAnsi"/>
                                <w:sz w:val="34"/>
                                <w:szCs w:val="34"/>
                              </w:rPr>
                              <w:t>with Anticipated Delivery at Age 35 and Beyond</w:t>
                            </w:r>
                          </w:p>
                          <w:p w14:paraId="10AD570A" w14:textId="41C28665" w:rsidR="005B42BB" w:rsidRDefault="005B42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73416" id="_x0000_t202" coordsize="21600,21600" o:spt="202" path="m,l,21600r21600,l21600,xe">
                <v:stroke joinstyle="miter"/>
                <v:path gradientshapeok="t" o:connecttype="rect"/>
              </v:shapetype>
              <v:shape id="Text Box 2" o:spid="_x0000_s1026" type="#_x0000_t202" style="position:absolute;left:0;text-align:left;margin-left:677.8pt;margin-top:87.6pt;width:729pt;height:76.2pt;z-index:251659263;visibility:visible;mso-wrap-style:square;mso-width-percent:0;mso-height-percent:0;mso-wrap-distance-left:9pt;mso-wrap-distance-top:3.6pt;mso-wrap-distance-right:9pt;mso-wrap-distance-bottom:3.6pt;mso-position-horizontal:righ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" filled="f" stroked="f">
                <v:textbox>
                  <w:txbxContent>
                    <w:p w14:paraId="1932B711" w14:textId="24306FF9" w:rsidR="005B42BB" w:rsidRPr="00323BBA" w:rsidRDefault="005B42BB" w:rsidP="00323BBA">
                      <w:pPr>
                        <w:spacing w:after="0"/>
                        <w:rPr>
                          <w:rFonts w:cstheme="minorHAnsi"/>
                          <w:b/>
                          <w:bCs/>
                          <w:sz w:val="36"/>
                          <w:szCs w:val="36"/>
                        </w:rPr>
                      </w:pPr>
                      <w:r w:rsidRPr="00323BBA">
                        <w:rPr>
                          <w:rFonts w:cstheme="minorHAnsi"/>
                          <w:b/>
                          <w:bCs/>
                          <w:sz w:val="36"/>
                          <w:szCs w:val="36"/>
                        </w:rPr>
                        <w:t xml:space="preserve">Evidence </w:t>
                      </w:r>
                      <w:r>
                        <w:rPr>
                          <w:rFonts w:cstheme="minorHAnsi"/>
                          <w:b/>
                          <w:bCs/>
                          <w:sz w:val="36"/>
                          <w:szCs w:val="36"/>
                        </w:rPr>
                        <w:t>Map</w:t>
                      </w:r>
                    </w:p>
                    <w:p w14:paraId="49A5D4BA" w14:textId="4FF3F243" w:rsidR="005B42BB" w:rsidRPr="002378B7" w:rsidRDefault="00B66538" w:rsidP="00323BBA">
                      <w:pPr>
                        <w:spacing w:after="0"/>
                        <w:rPr>
                          <w:rFonts w:ascii="Arial Nova Light" w:hAnsi="Arial Nova Light"/>
                          <w:sz w:val="34"/>
                          <w:szCs w:val="34"/>
                        </w:rPr>
                      </w:pPr>
                      <w:r>
                        <w:rPr>
                          <w:rFonts w:cstheme="minorHAnsi"/>
                          <w:sz w:val="34"/>
                          <w:szCs w:val="34"/>
                        </w:rPr>
                        <w:t xml:space="preserve">Pregnancy </w:t>
                      </w:r>
                      <w:r w:rsidR="007F449B">
                        <w:rPr>
                          <w:rFonts w:cstheme="minorHAnsi"/>
                          <w:sz w:val="34"/>
                          <w:szCs w:val="34"/>
                        </w:rPr>
                        <w:t>with Anticipated Delivery at Age 35 and Beyond</w:t>
                      </w:r>
                    </w:p>
                    <w:p w14:paraId="10AD570A" w14:textId="41C28665" w:rsidR="005B42BB" w:rsidRDefault="005B42BB"/>
                  </w:txbxContent>
                </v:textbox>
                <w10:wrap anchorx="margin" anchory="margin"/>
              </v:shape>
            </w:pict>
          </mc:Fallback>
        </mc:AlternateContent>
      </w:r>
      <w:r w:rsidR="00323BBA">
        <w:rPr>
          <w:rFonts w:ascii="Arial Nova Light" w:hAnsi="Arial Nova Light"/>
          <w:sz w:val="20"/>
          <w:szCs w:val="20"/>
        </w:rPr>
        <w:t>SUPPLEMENTAL DIGITAL CONTENT</w:t>
      </w:r>
    </w:p>
    <w:p w14:paraId="5CD87186" w14:textId="497F2FA2" w:rsidR="00323BBA" w:rsidRPr="000B21DB" w:rsidRDefault="00B66538" w:rsidP="00AC1EB1">
      <w:pPr>
        <w:spacing w:after="0"/>
        <w:jc w:val="right"/>
        <w:rPr>
          <w:rFonts w:ascii="Arial Nova Light" w:hAnsi="Arial Nova Light"/>
          <w:sz w:val="20"/>
          <w:szCs w:val="20"/>
        </w:rPr>
      </w:pPr>
      <w:r w:rsidRPr="000B21DB">
        <w:rPr>
          <w:rFonts w:ascii="Arial Nova Light" w:hAnsi="Arial Nova Light"/>
          <w:sz w:val="20"/>
          <w:szCs w:val="20"/>
        </w:rPr>
        <w:t>OBSTETRIC CARE CONSENSUS</w:t>
      </w:r>
      <w:r w:rsidR="00323BBA" w:rsidRPr="000B21DB">
        <w:rPr>
          <w:rFonts w:ascii="Arial Nova Light" w:hAnsi="Arial Nova Light"/>
          <w:sz w:val="20"/>
          <w:szCs w:val="20"/>
        </w:rPr>
        <w:t xml:space="preserve"> NUMBER </w:t>
      </w:r>
      <w:r w:rsidR="000B21DB" w:rsidRPr="000B21DB">
        <w:rPr>
          <w:rFonts w:ascii="Arial Nova Light" w:hAnsi="Arial Nova Light"/>
          <w:sz w:val="20"/>
          <w:szCs w:val="20"/>
        </w:rPr>
        <w:t>11</w:t>
      </w:r>
    </w:p>
    <w:p w14:paraId="4668794E" w14:textId="310275F6" w:rsidR="00323BBA" w:rsidRDefault="00323BBA" w:rsidP="00AC1EB1">
      <w:pPr>
        <w:spacing w:after="0"/>
        <w:jc w:val="right"/>
        <w:rPr>
          <w:rFonts w:ascii="Arial Nova Light" w:hAnsi="Arial Nova Light"/>
          <w:sz w:val="20"/>
          <w:szCs w:val="20"/>
        </w:rPr>
      </w:pPr>
    </w:p>
    <w:p w14:paraId="667B2C99" w14:textId="5E2B4464" w:rsidR="000309F2" w:rsidRDefault="000309F2" w:rsidP="00AC1EB1">
      <w:pPr>
        <w:spacing w:after="0"/>
        <w:jc w:val="right"/>
        <w:rPr>
          <w:rFonts w:ascii="Arial Nova Light" w:hAnsi="Arial Nova Light"/>
          <w:sz w:val="20"/>
          <w:szCs w:val="20"/>
        </w:rPr>
      </w:pPr>
    </w:p>
    <w:p w14:paraId="58090DF6" w14:textId="21E95986" w:rsidR="00AC1EB1" w:rsidRDefault="00AC1EB1" w:rsidP="00581FFA">
      <w:pPr>
        <w:spacing w:after="0"/>
        <w:rPr>
          <w:rFonts w:ascii="Arial Nova Light" w:hAnsi="Arial Nova Light"/>
          <w:sz w:val="20"/>
          <w:szCs w:val="20"/>
        </w:rPr>
      </w:pPr>
    </w:p>
    <w:p w14:paraId="4810D770" w14:textId="173EED11" w:rsidR="00F94539" w:rsidRDefault="00F94539" w:rsidP="007735D8">
      <w:pPr>
        <w:spacing w:after="0" w:line="240" w:lineRule="auto"/>
        <w:rPr>
          <w:rFonts w:ascii="Arial Nova Light" w:hAnsi="Arial Nova Light"/>
          <w:sz w:val="20"/>
          <w:szCs w:val="20"/>
        </w:rPr>
      </w:pPr>
    </w:p>
    <w:tbl>
      <w:tblPr>
        <w:tblpPr w:leftFromText="187" w:rightFromText="187" w:tblpY="2809"/>
        <w:tblOverlap w:val="neve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7"/>
        <w:gridCol w:w="4799"/>
        <w:gridCol w:w="4799"/>
      </w:tblGrid>
      <w:tr w:rsidR="000718B0" w:rsidRPr="00EE0EA9" w14:paraId="666D62B6" w14:textId="77777777" w:rsidTr="00496ADD">
        <w:trPr>
          <w:cantSplit/>
          <w:trHeight w:val="167"/>
        </w:trPr>
        <w:tc>
          <w:tcPr>
            <w:tcW w:w="14395" w:type="dxa"/>
            <w:gridSpan w:val="3"/>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3B0914BD" w14:textId="77777777" w:rsidR="000718B0" w:rsidRPr="00581FFA" w:rsidRDefault="000718B0" w:rsidP="00496ADD">
            <w:pPr>
              <w:spacing w:before="120" w:after="120" w:line="240" w:lineRule="auto"/>
              <w:rPr>
                <w:rFonts w:cstheme="minorHAnsi"/>
                <w:b/>
                <w:bCs/>
                <w:sz w:val="20"/>
                <w:szCs w:val="20"/>
              </w:rPr>
            </w:pPr>
            <w:r>
              <w:rPr>
                <w:rFonts w:cstheme="minorHAnsi"/>
                <w:b/>
                <w:bCs/>
                <w:sz w:val="20"/>
                <w:szCs w:val="20"/>
              </w:rPr>
              <w:t>Antepartum</w:t>
            </w:r>
          </w:p>
        </w:tc>
      </w:tr>
      <w:tr w:rsidR="000718B0" w:rsidRPr="00EE0EA9" w14:paraId="3AB4457E" w14:textId="77777777" w:rsidTr="00496ADD">
        <w:trPr>
          <w:cantSplit/>
          <w:trHeight w:val="167"/>
        </w:trPr>
        <w:tc>
          <w:tcPr>
            <w:tcW w:w="14395" w:type="dxa"/>
            <w:gridSpan w:val="3"/>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0D70C7F9" w14:textId="77777777" w:rsidR="000718B0" w:rsidRDefault="000718B0" w:rsidP="00496ADD">
            <w:pPr>
              <w:spacing w:before="120" w:after="120" w:line="240" w:lineRule="auto"/>
              <w:rPr>
                <w:rFonts w:cstheme="minorHAnsi"/>
                <w:b/>
                <w:bCs/>
                <w:sz w:val="20"/>
                <w:szCs w:val="20"/>
              </w:rPr>
            </w:pPr>
            <w:r>
              <w:rPr>
                <w:rFonts w:cstheme="minorHAnsi"/>
                <w:b/>
                <w:bCs/>
                <w:sz w:val="20"/>
                <w:szCs w:val="20"/>
              </w:rPr>
              <w:t xml:space="preserve">Maternal Risks </w:t>
            </w:r>
          </w:p>
        </w:tc>
      </w:tr>
      <w:tr w:rsidR="000718B0" w:rsidRPr="00EE0EA9" w14:paraId="535D9E21" w14:textId="77777777" w:rsidTr="00496ADD">
        <w:trPr>
          <w:cantSplit/>
          <w:trHeight w:val="167"/>
        </w:trPr>
        <w:tc>
          <w:tcPr>
            <w:tcW w:w="14395" w:type="dxa"/>
            <w:gridSpan w:val="3"/>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F2F2F2" w:themeFill="background1" w:themeFillShade="F2"/>
            <w:vAlign w:val="center"/>
          </w:tcPr>
          <w:p w14:paraId="30DAC8CB" w14:textId="77777777" w:rsidR="000718B0" w:rsidRDefault="000718B0" w:rsidP="00496ADD">
            <w:pPr>
              <w:spacing w:before="120" w:after="120" w:line="240" w:lineRule="auto"/>
              <w:rPr>
                <w:rFonts w:cstheme="minorHAnsi"/>
                <w:b/>
                <w:bCs/>
                <w:sz w:val="18"/>
                <w:szCs w:val="18"/>
              </w:rPr>
            </w:pPr>
            <w:r w:rsidRPr="009D4417">
              <w:rPr>
                <w:rFonts w:cstheme="minorHAnsi"/>
                <w:b/>
                <w:bCs/>
                <w:sz w:val="18"/>
                <w:szCs w:val="18"/>
              </w:rPr>
              <w:t>RECOMMENDATION STATEMENT</w:t>
            </w:r>
            <w:r>
              <w:rPr>
                <w:rFonts w:cstheme="minorHAnsi"/>
                <w:b/>
                <w:bCs/>
                <w:sz w:val="18"/>
                <w:szCs w:val="18"/>
              </w:rPr>
              <w:t>S</w:t>
            </w:r>
          </w:p>
          <w:p w14:paraId="5455DB4D" w14:textId="77777777" w:rsidR="000718B0" w:rsidRPr="00FF50BB" w:rsidRDefault="000718B0" w:rsidP="00496ADD">
            <w:pPr>
              <w:spacing w:before="120" w:after="120" w:line="240" w:lineRule="auto"/>
              <w:rPr>
                <w:rFonts w:cstheme="minorHAnsi"/>
                <w:sz w:val="17"/>
                <w:szCs w:val="17"/>
              </w:rPr>
            </w:pPr>
            <w:r w:rsidRPr="0086373D">
              <w:rPr>
                <w:rFonts w:cstheme="minorHAnsi"/>
                <w:sz w:val="17"/>
                <w:szCs w:val="17"/>
              </w:rPr>
              <w:t xml:space="preserve">We suggest that pregnancy with anticipated delivery at and beyond 35 years of age be recognized as a risk factor for adverse maternal, fetal, and neonatal outcomes when counseling patients and determining management plans. Nuanced counseling will be dependent on the pregnant individual’s specific age and comorbidities. </w:t>
            </w:r>
            <w:r w:rsidRPr="00FF50BB">
              <w:rPr>
                <w:rFonts w:cstheme="minorHAnsi"/>
                <w:sz w:val="17"/>
                <w:szCs w:val="17"/>
              </w:rPr>
              <w:t>(GRADE 2C)</w:t>
            </w:r>
          </w:p>
          <w:p w14:paraId="7CCB04B7" w14:textId="77777777" w:rsidR="000718B0" w:rsidRDefault="000718B0" w:rsidP="00496ADD">
            <w:pPr>
              <w:spacing w:before="120" w:after="120" w:line="240" w:lineRule="auto"/>
              <w:rPr>
                <w:rFonts w:cstheme="minorHAnsi"/>
                <w:sz w:val="17"/>
                <w:szCs w:val="17"/>
              </w:rPr>
            </w:pPr>
            <w:r w:rsidRPr="00AF7FF6">
              <w:rPr>
                <w:rFonts w:cstheme="minorHAnsi"/>
                <w:sz w:val="17"/>
                <w:szCs w:val="17"/>
              </w:rPr>
              <w:t xml:space="preserve">We recommend daily low-dose aspirin for the reduction of preeclampsia for pregnant individuals age 35 or older in the setting of at least one other moderate risk factor. </w:t>
            </w:r>
            <w:r w:rsidRPr="00FF50BB">
              <w:rPr>
                <w:rFonts w:cstheme="minorHAnsi"/>
                <w:sz w:val="17"/>
                <w:szCs w:val="17"/>
              </w:rPr>
              <w:t>(GRADE 1B)</w:t>
            </w:r>
          </w:p>
          <w:p w14:paraId="1380E854" w14:textId="77777777" w:rsidR="000718B0" w:rsidRPr="009D4417" w:rsidRDefault="000718B0" w:rsidP="00496ADD">
            <w:pPr>
              <w:spacing w:before="120" w:after="120" w:line="240" w:lineRule="auto"/>
              <w:rPr>
                <w:rFonts w:cstheme="minorHAnsi"/>
                <w:sz w:val="18"/>
                <w:szCs w:val="18"/>
              </w:rPr>
            </w:pPr>
            <w:r w:rsidRPr="003467DE">
              <w:rPr>
                <w:rFonts w:cstheme="minorHAnsi"/>
                <w:sz w:val="17"/>
                <w:szCs w:val="17"/>
              </w:rPr>
              <w:t xml:space="preserve">We suggest counseling that vaginal delivery is safe and appropriate if there are no other maternal or fetal indications for cesarean delivery. Counseling should include a discussion of the risks of cesarean, the patient’s comorbidities, and the patient’s preferences and goals. Advancing patient age alone is not an indication for cesarean delivery. </w:t>
            </w:r>
            <w:r w:rsidRPr="003421BD">
              <w:rPr>
                <w:rFonts w:cstheme="minorHAnsi"/>
                <w:sz w:val="17"/>
                <w:szCs w:val="17"/>
              </w:rPr>
              <w:t>(GRADE 2B)</w:t>
            </w:r>
          </w:p>
        </w:tc>
      </w:tr>
      <w:tr w:rsidR="000718B0" w:rsidRPr="00EE0EA9" w14:paraId="7AAC4312" w14:textId="77777777" w:rsidTr="00496ADD">
        <w:trPr>
          <w:cantSplit/>
          <w:trHeight w:val="167"/>
        </w:trPr>
        <w:tc>
          <w:tcPr>
            <w:tcW w:w="14395" w:type="dxa"/>
            <w:gridSpan w:val="3"/>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auto"/>
            <w:vAlign w:val="center"/>
          </w:tcPr>
          <w:p w14:paraId="498839FF" w14:textId="77777777" w:rsidR="000718B0" w:rsidRDefault="000718B0" w:rsidP="00496ADD">
            <w:pPr>
              <w:spacing w:before="120" w:after="120" w:line="240" w:lineRule="auto"/>
              <w:rPr>
                <w:rFonts w:cstheme="minorHAnsi"/>
                <w:b/>
                <w:bCs/>
                <w:sz w:val="18"/>
                <w:szCs w:val="18"/>
              </w:rPr>
            </w:pPr>
            <w:r>
              <w:rPr>
                <w:rFonts w:cstheme="minorHAnsi"/>
                <w:b/>
                <w:bCs/>
                <w:sz w:val="18"/>
                <w:szCs w:val="18"/>
              </w:rPr>
              <w:t>SUPPORTING EVIDENCE</w:t>
            </w:r>
          </w:p>
          <w:p w14:paraId="0A25B598" w14:textId="77777777" w:rsidR="000718B0" w:rsidRDefault="000718B0" w:rsidP="00496ADD">
            <w:pPr>
              <w:spacing w:before="120" w:after="120" w:line="240" w:lineRule="auto"/>
              <w:rPr>
                <w:rFonts w:cstheme="minorHAnsi"/>
                <w:b/>
                <w:bCs/>
                <w:sz w:val="18"/>
                <w:szCs w:val="18"/>
              </w:rPr>
            </w:pPr>
            <w:r>
              <w:rPr>
                <w:rFonts w:cstheme="minorHAnsi"/>
                <w:b/>
                <w:bCs/>
                <w:sz w:val="18"/>
                <w:szCs w:val="18"/>
              </w:rPr>
              <w:t>Related Guidelines</w:t>
            </w:r>
          </w:p>
          <w:p w14:paraId="63B44668" w14:textId="77777777" w:rsidR="000718B0" w:rsidRPr="00F97CC8" w:rsidRDefault="000718B0" w:rsidP="00496ADD">
            <w:pPr>
              <w:spacing w:before="120" w:after="120" w:line="240" w:lineRule="auto"/>
              <w:rPr>
                <w:rFonts w:cstheme="minorHAnsi"/>
                <w:sz w:val="17"/>
                <w:szCs w:val="17"/>
              </w:rPr>
            </w:pPr>
            <w:r w:rsidRPr="00F97CC8">
              <w:rPr>
                <w:rFonts w:cstheme="minorHAnsi"/>
                <w:sz w:val="17"/>
                <w:szCs w:val="17"/>
                <w:u w:val="single"/>
              </w:rPr>
              <w:t>United States Preventive Services Task Force (USPSTF) Recommendations Statement 2021:</w:t>
            </w:r>
            <w:r w:rsidRPr="00F97CC8">
              <w:rPr>
                <w:rFonts w:cstheme="minorHAnsi"/>
                <w:sz w:val="17"/>
                <w:szCs w:val="17"/>
              </w:rPr>
              <w:t xml:space="preserve"> Aspirin Use to Prevent Preeclampsia and Related Morbidity and Mortality: Recommends the use of low-dose aspirin (81 mg/day) as preventive medication after 12 weeks of gestation in persons who are at high risk for preeclampsia (Grade B)</w:t>
            </w:r>
          </w:p>
          <w:p w14:paraId="15FDFAD8" w14:textId="77777777" w:rsidR="000718B0" w:rsidRPr="00F97CC8" w:rsidRDefault="000718B0" w:rsidP="00496ADD">
            <w:pPr>
              <w:spacing w:before="120" w:after="120" w:line="240" w:lineRule="auto"/>
              <w:rPr>
                <w:rFonts w:cstheme="minorHAnsi"/>
                <w:sz w:val="17"/>
                <w:szCs w:val="17"/>
              </w:rPr>
            </w:pPr>
            <w:r w:rsidRPr="00F97CC8">
              <w:rPr>
                <w:rFonts w:cstheme="minorHAnsi"/>
                <w:sz w:val="17"/>
                <w:szCs w:val="17"/>
                <w:u w:val="single"/>
              </w:rPr>
              <w:t>American College of Obstetricians and Gynecologists (ACOG) and Society for Maternal-Fetal Medicine (SMFM) Practice Advisory 2021</w:t>
            </w:r>
            <w:r w:rsidRPr="00F97CC8">
              <w:rPr>
                <w:rFonts w:cstheme="minorHAnsi"/>
                <w:sz w:val="17"/>
                <w:szCs w:val="17"/>
              </w:rPr>
              <w:t>: Low-dose aspirin (81 mg/d) prophylaxis is recommended for: Pregnant individuals at high risk of preeclampsia with one or more of the following risk factors: History of preeclampsia, especially when accompanied by an adverse outcome, Multifetal gestation, Chronic hypertension, Pregestational type 1 or 2 diabetes, Kidney disease, Autoimmune disease (</w:t>
            </w:r>
            <w:proofErr w:type="spellStart"/>
            <w:r w:rsidRPr="00F97CC8">
              <w:rPr>
                <w:rFonts w:cstheme="minorHAnsi"/>
                <w:sz w:val="17"/>
                <w:szCs w:val="17"/>
              </w:rPr>
              <w:t>ie</w:t>
            </w:r>
            <w:proofErr w:type="spellEnd"/>
            <w:r w:rsidRPr="00F97CC8">
              <w:rPr>
                <w:rFonts w:cstheme="minorHAnsi"/>
                <w:sz w:val="17"/>
                <w:szCs w:val="17"/>
              </w:rPr>
              <w:t>, systemic lupus erythematous, antiphospholipid syndrome), Combinations of multiple moderate-risk factors</w:t>
            </w:r>
          </w:p>
          <w:p w14:paraId="4B8CFBFF" w14:textId="77777777" w:rsidR="000718B0" w:rsidRPr="009D4417" w:rsidRDefault="000718B0" w:rsidP="00496ADD">
            <w:pPr>
              <w:spacing w:before="120" w:after="120" w:line="240" w:lineRule="auto"/>
              <w:rPr>
                <w:rFonts w:cstheme="minorHAnsi"/>
                <w:sz w:val="17"/>
                <w:szCs w:val="17"/>
              </w:rPr>
            </w:pPr>
            <w:r w:rsidRPr="00F97CC8">
              <w:rPr>
                <w:rFonts w:cstheme="minorHAnsi"/>
                <w:sz w:val="17"/>
                <w:szCs w:val="17"/>
                <w:u w:val="single"/>
              </w:rPr>
              <w:t>ACOG Committee Opinion #743 2018:</w:t>
            </w:r>
            <w:r w:rsidRPr="00F97CC8">
              <w:rPr>
                <w:rFonts w:cstheme="minorHAnsi"/>
                <w:sz w:val="17"/>
                <w:szCs w:val="17"/>
              </w:rPr>
              <w:t xml:space="preserve"> Low-Dose Aspirin Use During Pregnancy: Maternal age of 35 years of older is a moderate-risk factor for preeclampsia. Consider low-dose aspirin if the patient has one or more moderate risk factors.</w:t>
            </w:r>
            <w:r>
              <w:rPr>
                <w:rFonts w:cstheme="minorHAnsi"/>
                <w:sz w:val="17"/>
                <w:szCs w:val="17"/>
              </w:rPr>
              <w:t xml:space="preserve"> </w:t>
            </w:r>
          </w:p>
        </w:tc>
      </w:tr>
      <w:tr w:rsidR="000718B0" w:rsidRPr="00EE0EA9" w14:paraId="7845D68E" w14:textId="77777777" w:rsidTr="00496ADD">
        <w:trPr>
          <w:cantSplit/>
          <w:trHeight w:val="167"/>
        </w:trPr>
        <w:tc>
          <w:tcPr>
            <w:tcW w:w="4797" w:type="dxa"/>
            <w:tcBorders>
              <w:top w:val="nil"/>
              <w:left w:val="single" w:sz="4" w:space="0" w:color="D9D9D9" w:themeColor="background1" w:themeShade="D9"/>
              <w:bottom w:val="nil"/>
              <w:right w:val="nil"/>
            </w:tcBorders>
            <w:shd w:val="clear" w:color="auto" w:fill="auto"/>
            <w:vAlign w:val="center"/>
          </w:tcPr>
          <w:p w14:paraId="3D95F6C9" w14:textId="77777777" w:rsidR="000718B0" w:rsidRPr="00DD1DC0" w:rsidRDefault="000718B0" w:rsidP="00496ADD">
            <w:pPr>
              <w:spacing w:before="120" w:after="120" w:line="240" w:lineRule="auto"/>
              <w:rPr>
                <w:rFonts w:cstheme="minorHAnsi"/>
                <w:b/>
                <w:bCs/>
                <w:sz w:val="17"/>
                <w:szCs w:val="17"/>
              </w:rPr>
            </w:pPr>
            <w:r w:rsidRPr="00DD1DC0">
              <w:rPr>
                <w:rFonts w:cstheme="minorHAnsi"/>
                <w:b/>
                <w:bCs/>
                <w:sz w:val="17"/>
                <w:szCs w:val="17"/>
              </w:rPr>
              <w:t>Category I</w:t>
            </w:r>
          </w:p>
          <w:p w14:paraId="3D295091" w14:textId="77777777" w:rsidR="000718B0" w:rsidRPr="00DD1DC0" w:rsidRDefault="000718B0" w:rsidP="00496ADD">
            <w:pPr>
              <w:spacing w:before="120" w:after="120" w:line="240" w:lineRule="auto"/>
              <w:rPr>
                <w:rFonts w:cstheme="minorHAnsi"/>
                <w:sz w:val="17"/>
                <w:szCs w:val="17"/>
              </w:rPr>
            </w:pPr>
            <w:r w:rsidRPr="00DD1DC0">
              <w:rPr>
                <w:rFonts w:cstheme="minorHAnsi"/>
                <w:sz w:val="17"/>
                <w:szCs w:val="17"/>
              </w:rPr>
              <w:t>Systematic review</w:t>
            </w:r>
            <w:r>
              <w:rPr>
                <w:rFonts w:cstheme="minorHAnsi"/>
                <w:sz w:val="17"/>
                <w:szCs w:val="17"/>
              </w:rPr>
              <w:t>s</w:t>
            </w:r>
            <w:r w:rsidRPr="00DD1DC0">
              <w:rPr>
                <w:rFonts w:cstheme="minorHAnsi"/>
                <w:sz w:val="17"/>
                <w:szCs w:val="17"/>
              </w:rPr>
              <w:t>/meta-analys</w:t>
            </w:r>
            <w:r>
              <w:rPr>
                <w:rFonts w:cstheme="minorHAnsi"/>
                <w:sz w:val="17"/>
                <w:szCs w:val="17"/>
              </w:rPr>
              <w:t>es</w:t>
            </w:r>
          </w:p>
          <w:p w14:paraId="75049274" w14:textId="77777777" w:rsidR="000718B0" w:rsidRPr="00F97CC8" w:rsidRDefault="000718B0" w:rsidP="00496ADD">
            <w:pPr>
              <w:spacing w:before="120" w:after="120" w:line="240" w:lineRule="auto"/>
              <w:rPr>
                <w:rFonts w:cstheme="minorHAnsi"/>
                <w:sz w:val="17"/>
                <w:szCs w:val="17"/>
              </w:rPr>
            </w:pPr>
            <w:proofErr w:type="spellStart"/>
            <w:r w:rsidRPr="00F97CC8">
              <w:rPr>
                <w:rFonts w:cstheme="minorHAnsi"/>
                <w:sz w:val="17"/>
                <w:szCs w:val="17"/>
                <w:u w:val="single"/>
              </w:rPr>
              <w:t>Bayrampour</w:t>
            </w:r>
            <w:proofErr w:type="spellEnd"/>
            <w:r w:rsidRPr="00F97CC8">
              <w:rPr>
                <w:rFonts w:cstheme="minorHAnsi"/>
                <w:sz w:val="17"/>
                <w:szCs w:val="17"/>
                <w:u w:val="single"/>
              </w:rPr>
              <w:t xml:space="preserve"> 2010</w:t>
            </w:r>
            <w:r w:rsidRPr="00F97CC8">
              <w:rPr>
                <w:rFonts w:cstheme="minorHAnsi"/>
                <w:sz w:val="17"/>
                <w:szCs w:val="17"/>
              </w:rPr>
              <w:t xml:space="preserve"> all included studies illustrated an increased risk of cesarean birth among older women; fifteen studies adjusted this association for potential confounders, which suggests that a valid and independent association is likely to exist between advanced maternal age and cesarean </w:t>
            </w:r>
            <w:r w:rsidRPr="00F97CC8">
              <w:rPr>
                <w:rFonts w:cstheme="minorHAnsi"/>
                <w:sz w:val="17"/>
                <w:szCs w:val="17"/>
              </w:rPr>
              <w:lastRenderedPageBreak/>
              <w:t>birth; however, the associated factors for this increased risk are not totally understood in the literature</w:t>
            </w:r>
          </w:p>
          <w:p w14:paraId="4B736CCB" w14:textId="77777777" w:rsidR="000718B0" w:rsidRDefault="000718B0" w:rsidP="00496ADD">
            <w:pPr>
              <w:spacing w:before="120" w:after="120" w:line="240" w:lineRule="auto"/>
              <w:rPr>
                <w:rFonts w:cstheme="minorHAnsi"/>
                <w:sz w:val="17"/>
                <w:szCs w:val="17"/>
              </w:rPr>
            </w:pPr>
            <w:r w:rsidRPr="00F97CC8">
              <w:rPr>
                <w:rFonts w:cstheme="minorHAnsi"/>
                <w:sz w:val="17"/>
                <w:szCs w:val="17"/>
                <w:u w:val="single"/>
              </w:rPr>
              <w:t>Pinheiro 2019</w:t>
            </w:r>
            <w:r w:rsidRPr="00F97CC8">
              <w:rPr>
                <w:rFonts w:cstheme="minorHAnsi"/>
                <w:sz w:val="17"/>
                <w:szCs w:val="17"/>
              </w:rPr>
              <w:t xml:space="preserve"> advanced maternal age women are at a higher risk of adverse obstetrical and perinatal outcomes; in both comparisons, worse outcomes were more prevalent in the older group, suggesting that poorer outcomes are more prevalent with increasing age</w:t>
            </w:r>
          </w:p>
          <w:p w14:paraId="26217CF1" w14:textId="77777777" w:rsidR="000718B0" w:rsidRDefault="000718B0" w:rsidP="00496ADD">
            <w:pPr>
              <w:spacing w:before="120" w:after="120" w:line="240" w:lineRule="auto"/>
              <w:rPr>
                <w:rFonts w:cstheme="minorHAnsi"/>
                <w:sz w:val="17"/>
                <w:szCs w:val="17"/>
              </w:rPr>
            </w:pPr>
          </w:p>
          <w:p w14:paraId="6DC2F12E" w14:textId="77777777" w:rsidR="000718B0" w:rsidRDefault="000718B0" w:rsidP="00496ADD">
            <w:pPr>
              <w:spacing w:before="120" w:after="120" w:line="240" w:lineRule="auto"/>
              <w:rPr>
                <w:rFonts w:cstheme="minorHAnsi"/>
                <w:sz w:val="17"/>
                <w:szCs w:val="17"/>
              </w:rPr>
            </w:pPr>
          </w:p>
          <w:p w14:paraId="6AAB646D" w14:textId="77777777" w:rsidR="000718B0" w:rsidRDefault="000718B0" w:rsidP="00496ADD">
            <w:pPr>
              <w:spacing w:before="120" w:after="120" w:line="240" w:lineRule="auto"/>
              <w:rPr>
                <w:rFonts w:cstheme="minorHAnsi"/>
                <w:sz w:val="17"/>
                <w:szCs w:val="17"/>
              </w:rPr>
            </w:pPr>
          </w:p>
          <w:p w14:paraId="4C388708" w14:textId="77777777" w:rsidR="000718B0" w:rsidRDefault="000718B0" w:rsidP="00496ADD">
            <w:pPr>
              <w:spacing w:before="120" w:after="120" w:line="240" w:lineRule="auto"/>
              <w:rPr>
                <w:rFonts w:cstheme="minorHAnsi"/>
                <w:sz w:val="17"/>
                <w:szCs w:val="17"/>
              </w:rPr>
            </w:pPr>
          </w:p>
          <w:p w14:paraId="2FA12B27" w14:textId="77777777" w:rsidR="000718B0" w:rsidRDefault="000718B0" w:rsidP="00496ADD">
            <w:pPr>
              <w:spacing w:before="120" w:after="120" w:line="240" w:lineRule="auto"/>
              <w:rPr>
                <w:rFonts w:cstheme="minorHAnsi"/>
                <w:sz w:val="17"/>
                <w:szCs w:val="17"/>
              </w:rPr>
            </w:pPr>
          </w:p>
          <w:p w14:paraId="55014A90" w14:textId="77777777" w:rsidR="000718B0" w:rsidRDefault="000718B0" w:rsidP="00496ADD">
            <w:pPr>
              <w:spacing w:before="120" w:after="120" w:line="240" w:lineRule="auto"/>
              <w:rPr>
                <w:rFonts w:cstheme="minorHAnsi"/>
                <w:sz w:val="17"/>
                <w:szCs w:val="17"/>
              </w:rPr>
            </w:pPr>
          </w:p>
          <w:p w14:paraId="2D965686" w14:textId="77777777" w:rsidR="000718B0" w:rsidRDefault="000718B0" w:rsidP="00496ADD">
            <w:pPr>
              <w:spacing w:before="120" w:after="120" w:line="240" w:lineRule="auto"/>
              <w:rPr>
                <w:rFonts w:cstheme="minorHAnsi"/>
                <w:sz w:val="17"/>
                <w:szCs w:val="17"/>
              </w:rPr>
            </w:pPr>
          </w:p>
          <w:p w14:paraId="7B820ED8" w14:textId="77777777" w:rsidR="000718B0" w:rsidRDefault="000718B0" w:rsidP="00496ADD">
            <w:pPr>
              <w:spacing w:before="120" w:after="120" w:line="240" w:lineRule="auto"/>
              <w:rPr>
                <w:rFonts w:cstheme="minorHAnsi"/>
                <w:sz w:val="17"/>
                <w:szCs w:val="17"/>
              </w:rPr>
            </w:pPr>
          </w:p>
          <w:p w14:paraId="47806F33" w14:textId="77777777" w:rsidR="000718B0" w:rsidRDefault="000718B0" w:rsidP="00496ADD">
            <w:pPr>
              <w:spacing w:before="120" w:after="120" w:line="240" w:lineRule="auto"/>
              <w:rPr>
                <w:rFonts w:cstheme="minorHAnsi"/>
                <w:sz w:val="17"/>
                <w:szCs w:val="17"/>
              </w:rPr>
            </w:pPr>
          </w:p>
          <w:p w14:paraId="2536E5C0" w14:textId="77777777" w:rsidR="000718B0" w:rsidRDefault="000718B0" w:rsidP="00496ADD">
            <w:pPr>
              <w:spacing w:before="120" w:after="120" w:line="240" w:lineRule="auto"/>
              <w:rPr>
                <w:rFonts w:cstheme="minorHAnsi"/>
                <w:sz w:val="17"/>
                <w:szCs w:val="17"/>
              </w:rPr>
            </w:pPr>
          </w:p>
          <w:p w14:paraId="4618B1A5" w14:textId="77777777" w:rsidR="000718B0" w:rsidRDefault="000718B0" w:rsidP="00496ADD">
            <w:pPr>
              <w:spacing w:before="120" w:after="120" w:line="240" w:lineRule="auto"/>
              <w:rPr>
                <w:rFonts w:cstheme="minorHAnsi"/>
                <w:sz w:val="17"/>
                <w:szCs w:val="17"/>
              </w:rPr>
            </w:pPr>
          </w:p>
          <w:p w14:paraId="3C63D7F0" w14:textId="77777777" w:rsidR="000718B0" w:rsidRDefault="000718B0" w:rsidP="00496ADD">
            <w:pPr>
              <w:spacing w:before="120" w:after="120" w:line="240" w:lineRule="auto"/>
              <w:rPr>
                <w:rFonts w:cstheme="minorHAnsi"/>
                <w:sz w:val="17"/>
                <w:szCs w:val="17"/>
              </w:rPr>
            </w:pPr>
          </w:p>
          <w:p w14:paraId="5D5FF996" w14:textId="77777777" w:rsidR="000718B0" w:rsidRDefault="000718B0" w:rsidP="00496ADD">
            <w:pPr>
              <w:spacing w:before="120" w:after="120" w:line="240" w:lineRule="auto"/>
              <w:rPr>
                <w:rFonts w:cstheme="minorHAnsi"/>
                <w:sz w:val="17"/>
                <w:szCs w:val="17"/>
              </w:rPr>
            </w:pPr>
          </w:p>
          <w:p w14:paraId="45F6E2CF" w14:textId="77777777" w:rsidR="000718B0" w:rsidRDefault="000718B0" w:rsidP="00496ADD">
            <w:pPr>
              <w:spacing w:before="120" w:after="120" w:line="240" w:lineRule="auto"/>
              <w:rPr>
                <w:rFonts w:cstheme="minorHAnsi"/>
                <w:sz w:val="17"/>
                <w:szCs w:val="17"/>
              </w:rPr>
            </w:pPr>
          </w:p>
          <w:p w14:paraId="2B67E795" w14:textId="77777777" w:rsidR="000718B0" w:rsidRDefault="000718B0" w:rsidP="00496ADD">
            <w:pPr>
              <w:spacing w:before="120" w:after="120" w:line="240" w:lineRule="auto"/>
              <w:rPr>
                <w:rFonts w:cstheme="minorHAnsi"/>
                <w:sz w:val="17"/>
                <w:szCs w:val="17"/>
              </w:rPr>
            </w:pPr>
          </w:p>
          <w:p w14:paraId="4C2C0470" w14:textId="77777777" w:rsidR="000718B0" w:rsidRDefault="000718B0" w:rsidP="00496ADD">
            <w:pPr>
              <w:spacing w:before="120" w:after="120" w:line="240" w:lineRule="auto"/>
              <w:rPr>
                <w:rFonts w:cstheme="minorHAnsi"/>
                <w:sz w:val="17"/>
                <w:szCs w:val="17"/>
              </w:rPr>
            </w:pPr>
          </w:p>
          <w:p w14:paraId="4FB31733" w14:textId="77777777" w:rsidR="000718B0" w:rsidRDefault="000718B0" w:rsidP="00496ADD">
            <w:pPr>
              <w:spacing w:before="120" w:after="120" w:line="240" w:lineRule="auto"/>
              <w:rPr>
                <w:rFonts w:cstheme="minorHAnsi"/>
                <w:sz w:val="17"/>
                <w:szCs w:val="17"/>
              </w:rPr>
            </w:pPr>
          </w:p>
          <w:p w14:paraId="248DE98E" w14:textId="77777777" w:rsidR="000718B0" w:rsidRDefault="000718B0" w:rsidP="00496ADD">
            <w:pPr>
              <w:spacing w:before="120" w:after="120" w:line="240" w:lineRule="auto"/>
              <w:rPr>
                <w:rFonts w:cstheme="minorHAnsi"/>
                <w:sz w:val="17"/>
                <w:szCs w:val="17"/>
              </w:rPr>
            </w:pPr>
          </w:p>
          <w:p w14:paraId="7345A0E2" w14:textId="77777777" w:rsidR="000718B0" w:rsidRPr="00DD1DC0" w:rsidRDefault="000718B0" w:rsidP="00496ADD">
            <w:pPr>
              <w:spacing w:before="120" w:after="120" w:line="240" w:lineRule="auto"/>
              <w:rPr>
                <w:rFonts w:cstheme="minorHAnsi"/>
                <w:sz w:val="17"/>
                <w:szCs w:val="17"/>
              </w:rPr>
            </w:pPr>
          </w:p>
        </w:tc>
        <w:tc>
          <w:tcPr>
            <w:tcW w:w="4799" w:type="dxa"/>
            <w:tcBorders>
              <w:top w:val="nil"/>
              <w:left w:val="nil"/>
              <w:bottom w:val="nil"/>
              <w:right w:val="nil"/>
            </w:tcBorders>
            <w:shd w:val="clear" w:color="auto" w:fill="auto"/>
            <w:vAlign w:val="center"/>
          </w:tcPr>
          <w:p w14:paraId="5139F610" w14:textId="77777777" w:rsidR="000718B0" w:rsidRDefault="000718B0" w:rsidP="00496ADD">
            <w:pPr>
              <w:spacing w:before="120" w:after="120" w:line="240" w:lineRule="auto"/>
              <w:rPr>
                <w:rFonts w:cstheme="minorHAnsi"/>
                <w:b/>
                <w:bCs/>
                <w:sz w:val="17"/>
                <w:szCs w:val="17"/>
              </w:rPr>
            </w:pPr>
            <w:r w:rsidRPr="00DD1DC0">
              <w:rPr>
                <w:rFonts w:cstheme="minorHAnsi"/>
                <w:b/>
                <w:bCs/>
                <w:sz w:val="17"/>
                <w:szCs w:val="17"/>
              </w:rPr>
              <w:lastRenderedPageBreak/>
              <w:t>Category II</w:t>
            </w:r>
          </w:p>
          <w:p w14:paraId="37A1964F" w14:textId="77777777" w:rsidR="000718B0" w:rsidRPr="00F97CC8" w:rsidRDefault="000718B0" w:rsidP="00496ADD">
            <w:pPr>
              <w:spacing w:before="120" w:after="120" w:line="240" w:lineRule="auto"/>
              <w:rPr>
                <w:rFonts w:cstheme="minorHAnsi"/>
                <w:sz w:val="17"/>
                <w:szCs w:val="17"/>
              </w:rPr>
            </w:pPr>
            <w:proofErr w:type="spellStart"/>
            <w:r w:rsidRPr="00F97CC8">
              <w:rPr>
                <w:rFonts w:cstheme="minorHAnsi"/>
                <w:sz w:val="17"/>
                <w:szCs w:val="17"/>
                <w:u w:val="single"/>
              </w:rPr>
              <w:t>Rademaker</w:t>
            </w:r>
            <w:proofErr w:type="spellEnd"/>
            <w:r w:rsidRPr="00F97CC8">
              <w:rPr>
                <w:rFonts w:cstheme="minorHAnsi"/>
                <w:sz w:val="17"/>
                <w:szCs w:val="17"/>
                <w:u w:val="single"/>
              </w:rPr>
              <w:t xml:space="preserve"> 2021</w:t>
            </w:r>
            <w:r w:rsidRPr="00F97CC8">
              <w:rPr>
                <w:rFonts w:cstheme="minorHAnsi"/>
                <w:sz w:val="17"/>
                <w:szCs w:val="17"/>
              </w:rPr>
              <w:t xml:space="preserve"> the risk of adverse maternal and perinatal outcomes for women over 40 years old surges as age increases; a novel aspect was the consistent increased risks not only for primigravid women but also for multigravida</w:t>
            </w:r>
          </w:p>
          <w:p w14:paraId="4D102E03" w14:textId="77777777" w:rsidR="000718B0" w:rsidRPr="00F97CC8" w:rsidRDefault="000718B0" w:rsidP="00496ADD">
            <w:pPr>
              <w:spacing w:before="120" w:after="120" w:line="240" w:lineRule="auto"/>
              <w:rPr>
                <w:rFonts w:cstheme="minorHAnsi"/>
                <w:sz w:val="17"/>
                <w:szCs w:val="17"/>
              </w:rPr>
            </w:pPr>
            <w:r w:rsidRPr="00F97CC8">
              <w:rPr>
                <w:rFonts w:cstheme="minorHAnsi"/>
                <w:sz w:val="17"/>
                <w:szCs w:val="17"/>
                <w:u w:val="single"/>
              </w:rPr>
              <w:t xml:space="preserve">Smithson 2021 </w:t>
            </w:r>
            <w:r w:rsidRPr="00F97CC8">
              <w:rPr>
                <w:rFonts w:cstheme="minorHAnsi"/>
                <w:sz w:val="17"/>
                <w:szCs w:val="17"/>
              </w:rPr>
              <w:t xml:space="preserve">there were several important significant differences in the outcomes between women of very advanced maternal age women and women of advanced </w:t>
            </w:r>
            <w:r w:rsidRPr="00F97CC8">
              <w:rPr>
                <w:rFonts w:cstheme="minorHAnsi"/>
                <w:sz w:val="17"/>
                <w:szCs w:val="17"/>
              </w:rPr>
              <w:lastRenderedPageBreak/>
              <w:t>maternal age, especially concerning hypertensive disorders and cesarean delivery rates</w:t>
            </w:r>
          </w:p>
          <w:p w14:paraId="00C216B7" w14:textId="77777777" w:rsidR="000718B0" w:rsidRPr="00F97CC8" w:rsidRDefault="000718B0" w:rsidP="00496ADD">
            <w:pPr>
              <w:spacing w:before="120" w:after="120" w:line="240" w:lineRule="auto"/>
              <w:rPr>
                <w:rFonts w:cstheme="minorHAnsi"/>
                <w:sz w:val="17"/>
                <w:szCs w:val="17"/>
              </w:rPr>
            </w:pPr>
            <w:r w:rsidRPr="00F97CC8">
              <w:rPr>
                <w:rFonts w:cstheme="minorHAnsi"/>
                <w:sz w:val="17"/>
                <w:szCs w:val="17"/>
                <w:u w:val="single"/>
              </w:rPr>
              <w:t>Bergholt 2020</w:t>
            </w:r>
            <w:r w:rsidRPr="00F97CC8">
              <w:rPr>
                <w:rFonts w:cstheme="minorHAnsi"/>
                <w:sz w:val="17"/>
                <w:szCs w:val="17"/>
              </w:rPr>
              <w:t xml:space="preserve"> advanced maternal age (AMA) is associated with increased risk of cesarean section in women undergoing labor induction with a single cephalic presentation at term without a previous cesarean section; the absolute risk of cesarean section is 3-5 times higher across 5-year age groups in nulliparous relative to multiparous women having induced labor</w:t>
            </w:r>
          </w:p>
          <w:p w14:paraId="30EE13FE" w14:textId="77777777" w:rsidR="000718B0" w:rsidRPr="00F97CC8" w:rsidRDefault="000718B0" w:rsidP="00496ADD">
            <w:pPr>
              <w:spacing w:before="120" w:after="120" w:line="240" w:lineRule="auto"/>
              <w:rPr>
                <w:rFonts w:cstheme="minorHAnsi"/>
                <w:sz w:val="17"/>
                <w:szCs w:val="17"/>
              </w:rPr>
            </w:pPr>
            <w:proofErr w:type="spellStart"/>
            <w:r w:rsidRPr="00F97CC8">
              <w:rPr>
                <w:rFonts w:cstheme="minorHAnsi"/>
                <w:sz w:val="17"/>
                <w:szCs w:val="17"/>
                <w:u w:val="single"/>
              </w:rPr>
              <w:t>Scime</w:t>
            </w:r>
            <w:proofErr w:type="spellEnd"/>
            <w:r w:rsidRPr="00F97CC8">
              <w:rPr>
                <w:rFonts w:cstheme="minorHAnsi"/>
                <w:sz w:val="17"/>
                <w:szCs w:val="17"/>
                <w:u w:val="single"/>
              </w:rPr>
              <w:t xml:space="preserve"> 2020</w:t>
            </w:r>
            <w:r w:rsidRPr="00F97CC8">
              <w:rPr>
                <w:rFonts w:cstheme="minorHAnsi"/>
                <w:sz w:val="17"/>
                <w:szCs w:val="17"/>
              </w:rPr>
              <w:t xml:space="preserve"> of the pregnancy complications studied, advanced maternal age only modified the association between </w:t>
            </w:r>
            <w:r>
              <w:rPr>
                <w:rFonts w:cstheme="minorHAnsi"/>
                <w:sz w:val="17"/>
                <w:szCs w:val="17"/>
              </w:rPr>
              <w:t>preterm birth (</w:t>
            </w:r>
            <w:r w:rsidRPr="00F97CC8">
              <w:rPr>
                <w:rFonts w:cstheme="minorHAnsi"/>
                <w:sz w:val="17"/>
                <w:szCs w:val="17"/>
              </w:rPr>
              <w:t>PTB</w:t>
            </w:r>
            <w:r>
              <w:rPr>
                <w:rFonts w:cstheme="minorHAnsi"/>
                <w:sz w:val="17"/>
                <w:szCs w:val="17"/>
              </w:rPr>
              <w:t>)</w:t>
            </w:r>
            <w:r w:rsidRPr="00F97CC8">
              <w:rPr>
                <w:rFonts w:cstheme="minorHAnsi"/>
                <w:sz w:val="17"/>
                <w:szCs w:val="17"/>
              </w:rPr>
              <w:t xml:space="preserve"> and preeclampsia, such that older women with preeclampsia have a higher risk for</w:t>
            </w:r>
            <w:r>
              <w:rPr>
                <w:rFonts w:cstheme="minorHAnsi"/>
                <w:sz w:val="17"/>
                <w:szCs w:val="17"/>
              </w:rPr>
              <w:t xml:space="preserve"> spontaneous/</w:t>
            </w:r>
            <w:r w:rsidRPr="004F24EC">
              <w:rPr>
                <w:rFonts w:cstheme="minorHAnsi"/>
                <w:sz w:val="17"/>
                <w:szCs w:val="17"/>
              </w:rPr>
              <w:t>iatrogenic</w:t>
            </w:r>
            <w:r>
              <w:rPr>
                <w:rFonts w:cstheme="minorHAnsi"/>
                <w:sz w:val="17"/>
                <w:szCs w:val="17"/>
              </w:rPr>
              <w:t xml:space="preserve"> PTB </w:t>
            </w:r>
            <w:r w:rsidRPr="00F97CC8">
              <w:rPr>
                <w:rFonts w:cstheme="minorHAnsi"/>
                <w:sz w:val="17"/>
                <w:szCs w:val="17"/>
              </w:rPr>
              <w:t>than younger counterparts</w:t>
            </w:r>
          </w:p>
          <w:p w14:paraId="3881C2E1" w14:textId="77777777" w:rsidR="000718B0" w:rsidRDefault="000718B0" w:rsidP="00496ADD">
            <w:pPr>
              <w:spacing w:before="120" w:after="120" w:line="240" w:lineRule="auto"/>
              <w:rPr>
                <w:rFonts w:cstheme="minorHAnsi"/>
                <w:sz w:val="17"/>
                <w:szCs w:val="17"/>
              </w:rPr>
            </w:pPr>
            <w:proofErr w:type="spellStart"/>
            <w:r w:rsidRPr="00F97CC8">
              <w:rPr>
                <w:rFonts w:cstheme="minorHAnsi"/>
                <w:sz w:val="17"/>
                <w:szCs w:val="17"/>
                <w:u w:val="single"/>
              </w:rPr>
              <w:t>Casteleiro</w:t>
            </w:r>
            <w:proofErr w:type="spellEnd"/>
            <w:r w:rsidRPr="00F97CC8">
              <w:rPr>
                <w:rFonts w:cstheme="minorHAnsi"/>
                <w:sz w:val="17"/>
                <w:szCs w:val="17"/>
                <w:u w:val="single"/>
              </w:rPr>
              <w:t xml:space="preserve"> 2019</w:t>
            </w:r>
            <w:r w:rsidRPr="00F97CC8">
              <w:rPr>
                <w:rFonts w:cstheme="minorHAnsi"/>
                <w:sz w:val="17"/>
                <w:szCs w:val="17"/>
              </w:rPr>
              <w:t xml:space="preserve"> results</w:t>
            </w:r>
            <w:r w:rsidRPr="00FF50BB">
              <w:rPr>
                <w:rFonts w:cstheme="minorHAnsi"/>
                <w:sz w:val="17"/>
                <w:szCs w:val="17"/>
              </w:rPr>
              <w:t xml:space="preserve"> support the association between AMA and suffering repeated abortions; likewise, being of AMA was associated with a greater risk of suffering from gestational diabetes, especially among primiparous women, as well as being associated with both instrumental deliveries and cesareans among both primiparous and multiparous women</w:t>
            </w:r>
          </w:p>
          <w:p w14:paraId="651DFB47" w14:textId="77777777" w:rsidR="000718B0" w:rsidRPr="00F97CC8" w:rsidRDefault="000718B0" w:rsidP="00496ADD">
            <w:pPr>
              <w:spacing w:before="120" w:after="120" w:line="240" w:lineRule="auto"/>
              <w:rPr>
                <w:rFonts w:cstheme="minorHAnsi"/>
                <w:sz w:val="17"/>
                <w:szCs w:val="17"/>
              </w:rPr>
            </w:pPr>
            <w:proofErr w:type="spellStart"/>
            <w:r w:rsidRPr="00F97CC8">
              <w:rPr>
                <w:rFonts w:cstheme="minorHAnsi"/>
                <w:sz w:val="17"/>
                <w:szCs w:val="17"/>
                <w:u w:val="single"/>
              </w:rPr>
              <w:t>Claramonte</w:t>
            </w:r>
            <w:proofErr w:type="spellEnd"/>
            <w:r w:rsidRPr="00F97CC8">
              <w:rPr>
                <w:rFonts w:cstheme="minorHAnsi"/>
                <w:sz w:val="17"/>
                <w:szCs w:val="17"/>
                <w:u w:val="single"/>
              </w:rPr>
              <w:t xml:space="preserve"> Nieto 2019</w:t>
            </w:r>
            <w:r w:rsidRPr="00F97CC8">
              <w:rPr>
                <w:rFonts w:cstheme="minorHAnsi"/>
                <w:sz w:val="17"/>
                <w:szCs w:val="17"/>
              </w:rPr>
              <w:t xml:space="preserve"> maternal age is an independent risk factor for adverse obstetric outcomes; age ≥ 40 years was associated to relevant increased risks and reveals to be an adequate cut-off to define AMA in our population</w:t>
            </w:r>
          </w:p>
          <w:p w14:paraId="4A3DCA87" w14:textId="77777777" w:rsidR="000718B0" w:rsidRPr="00F97CC8" w:rsidRDefault="000718B0" w:rsidP="00496ADD">
            <w:pPr>
              <w:spacing w:before="120" w:after="120" w:line="240" w:lineRule="auto"/>
              <w:rPr>
                <w:rFonts w:cstheme="minorHAnsi"/>
                <w:sz w:val="17"/>
                <w:szCs w:val="17"/>
              </w:rPr>
            </w:pPr>
            <w:proofErr w:type="spellStart"/>
            <w:r w:rsidRPr="00F97CC8">
              <w:rPr>
                <w:rFonts w:cstheme="minorHAnsi"/>
                <w:sz w:val="17"/>
                <w:szCs w:val="17"/>
                <w:u w:val="single"/>
              </w:rPr>
              <w:t>Kanmaz</w:t>
            </w:r>
            <w:proofErr w:type="spellEnd"/>
            <w:r w:rsidRPr="00F97CC8">
              <w:rPr>
                <w:rFonts w:cstheme="minorHAnsi"/>
                <w:sz w:val="17"/>
                <w:szCs w:val="17"/>
                <w:u w:val="single"/>
              </w:rPr>
              <w:t xml:space="preserve"> 2019</w:t>
            </w:r>
            <w:r w:rsidRPr="00F97CC8">
              <w:rPr>
                <w:rFonts w:cstheme="minorHAnsi"/>
                <w:sz w:val="17"/>
                <w:szCs w:val="17"/>
              </w:rPr>
              <w:t xml:space="preserve"> most of the prenatal complications were found to increase in the advanced maternal age group; the caesarian section rate was found to be higher in all advanced maternal age groups; there was no significant relationship between 5 Minute Apgar scores of &lt;7 and perinatal mortality and post-term pregnancy and parity; globally, advanced maternal age pregnancy shows an increase as a result pregnancy complication will increase; it is important to make an appropriate follow-up for pregnancies of advance maternal age mothers</w:t>
            </w:r>
          </w:p>
          <w:p w14:paraId="3F8F80EC" w14:textId="77777777" w:rsidR="000718B0" w:rsidRPr="00F97CC8" w:rsidRDefault="000718B0" w:rsidP="00496ADD">
            <w:pPr>
              <w:spacing w:before="120" w:after="120" w:line="240" w:lineRule="auto"/>
              <w:rPr>
                <w:rFonts w:cstheme="minorHAnsi"/>
                <w:sz w:val="17"/>
                <w:szCs w:val="17"/>
              </w:rPr>
            </w:pPr>
            <w:r w:rsidRPr="00F97CC8">
              <w:rPr>
                <w:rFonts w:cstheme="minorHAnsi"/>
                <w:sz w:val="17"/>
                <w:szCs w:val="17"/>
                <w:u w:val="single"/>
              </w:rPr>
              <w:t>Kim 2019</w:t>
            </w:r>
            <w:r w:rsidRPr="00F97CC8">
              <w:rPr>
                <w:rFonts w:cstheme="minorHAnsi"/>
                <w:sz w:val="17"/>
                <w:szCs w:val="17"/>
              </w:rPr>
              <w:t xml:space="preserve"> advanced maternal</w:t>
            </w:r>
            <w:r w:rsidRPr="001219E9">
              <w:rPr>
                <w:rFonts w:cstheme="minorHAnsi"/>
                <w:sz w:val="17"/>
                <w:szCs w:val="17"/>
              </w:rPr>
              <w:t xml:space="preserve"> age is an independent risk factor of emergency </w:t>
            </w:r>
            <w:proofErr w:type="spellStart"/>
            <w:r>
              <w:rPr>
                <w:rFonts w:cstheme="minorHAnsi"/>
                <w:sz w:val="17"/>
                <w:szCs w:val="17"/>
              </w:rPr>
              <w:t>ceasarean</w:t>
            </w:r>
            <w:proofErr w:type="spellEnd"/>
            <w:r>
              <w:rPr>
                <w:rFonts w:cstheme="minorHAnsi"/>
                <w:sz w:val="17"/>
                <w:szCs w:val="17"/>
              </w:rPr>
              <w:t xml:space="preserve"> section (</w:t>
            </w:r>
            <w:r w:rsidRPr="001219E9">
              <w:rPr>
                <w:rFonts w:cstheme="minorHAnsi"/>
                <w:sz w:val="17"/>
                <w:szCs w:val="17"/>
              </w:rPr>
              <w:t>CS</w:t>
            </w:r>
            <w:r>
              <w:rPr>
                <w:rFonts w:cstheme="minorHAnsi"/>
                <w:sz w:val="17"/>
                <w:szCs w:val="17"/>
              </w:rPr>
              <w:t>)</w:t>
            </w:r>
            <w:r w:rsidRPr="001219E9">
              <w:rPr>
                <w:rFonts w:cstheme="minorHAnsi"/>
                <w:sz w:val="17"/>
                <w:szCs w:val="17"/>
              </w:rPr>
              <w:t xml:space="preserve"> due to </w:t>
            </w:r>
            <w:proofErr w:type="spellStart"/>
            <w:r w:rsidRPr="001219E9">
              <w:rPr>
                <w:rFonts w:cstheme="minorHAnsi"/>
                <w:sz w:val="17"/>
                <w:szCs w:val="17"/>
              </w:rPr>
              <w:t>nonreassuring</w:t>
            </w:r>
            <w:proofErr w:type="spellEnd"/>
            <w:r w:rsidRPr="001219E9">
              <w:rPr>
                <w:rFonts w:cstheme="minorHAnsi"/>
                <w:sz w:val="17"/>
                <w:szCs w:val="17"/>
              </w:rPr>
              <w:t xml:space="preserve"> fetal heart rate or arrest disorder during the trial of vaginal delivery; the risk of emergency CS was also increased when labor induction was performed; therefore, the risk of emergency CS needs to be considered, especially when the labor induction is </w:t>
            </w:r>
            <w:r w:rsidRPr="00F97CC8">
              <w:rPr>
                <w:rFonts w:cstheme="minorHAnsi"/>
                <w:sz w:val="17"/>
                <w:szCs w:val="17"/>
              </w:rPr>
              <w:t>planned, in women aged 40 or more</w:t>
            </w:r>
          </w:p>
          <w:p w14:paraId="7F51BC71" w14:textId="77777777" w:rsidR="000718B0" w:rsidRPr="00F97CC8" w:rsidRDefault="000718B0" w:rsidP="00496ADD">
            <w:pPr>
              <w:spacing w:before="120" w:after="120" w:line="240" w:lineRule="auto"/>
              <w:rPr>
                <w:rFonts w:cstheme="minorHAnsi"/>
                <w:sz w:val="17"/>
                <w:szCs w:val="17"/>
              </w:rPr>
            </w:pPr>
            <w:r w:rsidRPr="00F97CC8">
              <w:rPr>
                <w:rFonts w:cstheme="minorHAnsi"/>
                <w:sz w:val="17"/>
                <w:szCs w:val="17"/>
                <w:u w:val="single"/>
              </w:rPr>
              <w:t>Leonard 2019</w:t>
            </w:r>
            <w:r w:rsidRPr="00F97CC8">
              <w:rPr>
                <w:rFonts w:cstheme="minorHAnsi"/>
                <w:sz w:val="17"/>
                <w:szCs w:val="17"/>
              </w:rPr>
              <w:t xml:space="preserve"> pre-pregnancy health and cesarean delivery are important risk factors for severe maternal morbidity but do not explain an increasing trend of severe maternal morbidity in California during 2007–2014</w:t>
            </w:r>
          </w:p>
          <w:p w14:paraId="7DB72BAA" w14:textId="77777777" w:rsidR="000718B0" w:rsidRPr="00F97CC8" w:rsidRDefault="000718B0" w:rsidP="00496ADD">
            <w:pPr>
              <w:spacing w:before="120" w:after="120" w:line="240" w:lineRule="auto"/>
              <w:rPr>
                <w:rFonts w:cstheme="minorHAnsi"/>
                <w:sz w:val="17"/>
                <w:szCs w:val="17"/>
              </w:rPr>
            </w:pPr>
            <w:proofErr w:type="spellStart"/>
            <w:r w:rsidRPr="00F97CC8">
              <w:rPr>
                <w:rFonts w:cstheme="minorHAnsi"/>
                <w:sz w:val="17"/>
                <w:szCs w:val="17"/>
                <w:u w:val="single"/>
              </w:rPr>
              <w:lastRenderedPageBreak/>
              <w:t>Marozio</w:t>
            </w:r>
            <w:proofErr w:type="spellEnd"/>
            <w:r w:rsidRPr="00F97CC8">
              <w:rPr>
                <w:rFonts w:cstheme="minorHAnsi"/>
                <w:sz w:val="17"/>
                <w:szCs w:val="17"/>
                <w:u w:val="single"/>
              </w:rPr>
              <w:t xml:space="preserve"> 2019</w:t>
            </w:r>
            <w:r w:rsidRPr="00F97CC8">
              <w:rPr>
                <w:rFonts w:cstheme="minorHAnsi"/>
                <w:sz w:val="17"/>
                <w:szCs w:val="17"/>
              </w:rPr>
              <w:t xml:space="preserve"> maternal age over 40 years is an independent risk factor for adverse pregnancy outcomes, particularly for the mother; pregnancies in women over 40 years should be considered at risk and carefully monitored with individualized care protocols</w:t>
            </w:r>
          </w:p>
          <w:p w14:paraId="77131942" w14:textId="77777777" w:rsidR="000718B0" w:rsidRPr="00F97CC8" w:rsidRDefault="000718B0" w:rsidP="00496ADD">
            <w:pPr>
              <w:spacing w:before="120" w:after="120" w:line="240" w:lineRule="auto"/>
              <w:rPr>
                <w:rFonts w:cstheme="minorHAnsi"/>
                <w:sz w:val="17"/>
                <w:szCs w:val="17"/>
              </w:rPr>
            </w:pPr>
            <w:r w:rsidRPr="00F97CC8">
              <w:rPr>
                <w:rFonts w:cstheme="minorHAnsi"/>
                <w:sz w:val="17"/>
                <w:szCs w:val="17"/>
                <w:u w:val="single"/>
              </w:rPr>
              <w:t>Molina-Garcia 2019</w:t>
            </w:r>
            <w:r w:rsidRPr="00F97CC8">
              <w:rPr>
                <w:rFonts w:cstheme="minorHAnsi"/>
                <w:sz w:val="17"/>
                <w:szCs w:val="17"/>
              </w:rPr>
              <w:t xml:space="preserve"> advanced maternal age is associated with a higher incidence of pathology during pregnancy and </w:t>
            </w:r>
            <w:proofErr w:type="spellStart"/>
            <w:r w:rsidRPr="00F97CC8">
              <w:rPr>
                <w:rFonts w:cstheme="minorHAnsi"/>
                <w:sz w:val="17"/>
                <w:szCs w:val="17"/>
              </w:rPr>
              <w:t>dystocic</w:t>
            </w:r>
            <w:proofErr w:type="spellEnd"/>
            <w:r w:rsidRPr="00F97CC8">
              <w:rPr>
                <w:rFonts w:cstheme="minorHAnsi"/>
                <w:sz w:val="17"/>
                <w:szCs w:val="17"/>
              </w:rPr>
              <w:t xml:space="preserve"> labor</w:t>
            </w:r>
          </w:p>
          <w:p w14:paraId="32BCE699" w14:textId="77777777" w:rsidR="000718B0" w:rsidRPr="00F97CC8" w:rsidRDefault="000718B0" w:rsidP="00496ADD">
            <w:pPr>
              <w:spacing w:before="120" w:after="120" w:line="240" w:lineRule="auto"/>
              <w:rPr>
                <w:rFonts w:cstheme="minorHAnsi"/>
                <w:sz w:val="17"/>
                <w:szCs w:val="17"/>
              </w:rPr>
            </w:pPr>
            <w:r w:rsidRPr="00F97CC8">
              <w:rPr>
                <w:rFonts w:cstheme="minorHAnsi"/>
                <w:sz w:val="17"/>
                <w:szCs w:val="17"/>
                <w:u w:val="single"/>
              </w:rPr>
              <w:t>Salman 2019</w:t>
            </w:r>
            <w:r w:rsidRPr="00F97CC8">
              <w:rPr>
                <w:rFonts w:cstheme="minorHAnsi"/>
                <w:sz w:val="17"/>
                <w:szCs w:val="17"/>
              </w:rPr>
              <w:t xml:space="preserve"> </w:t>
            </w:r>
            <w:r>
              <w:rPr>
                <w:rFonts w:cstheme="minorHAnsi"/>
                <w:sz w:val="17"/>
                <w:szCs w:val="17"/>
              </w:rPr>
              <w:t>AMA</w:t>
            </w:r>
            <w:r w:rsidRPr="00F97CC8">
              <w:rPr>
                <w:rFonts w:cstheme="minorHAnsi"/>
                <w:sz w:val="17"/>
                <w:szCs w:val="17"/>
              </w:rPr>
              <w:t xml:space="preserve"> primiparous women attempting trial of labor (TOL) have comparable outcome to those seeking scheduled cesarean delivery (CD), however, women with failed trial of labor (</w:t>
            </w:r>
            <w:proofErr w:type="spellStart"/>
            <w:r w:rsidRPr="00F97CC8">
              <w:rPr>
                <w:rFonts w:cstheme="minorHAnsi"/>
                <w:sz w:val="17"/>
                <w:szCs w:val="17"/>
              </w:rPr>
              <w:t>fTOL</w:t>
            </w:r>
            <w:proofErr w:type="spellEnd"/>
            <w:r w:rsidRPr="00F97CC8">
              <w:rPr>
                <w:rFonts w:cstheme="minorHAnsi"/>
                <w:sz w:val="17"/>
                <w:szCs w:val="17"/>
              </w:rPr>
              <w:t>) have higher rates of adverse neonatal outcome</w:t>
            </w:r>
          </w:p>
          <w:p w14:paraId="13E74B89" w14:textId="77777777" w:rsidR="000718B0" w:rsidRPr="00F97CC8" w:rsidRDefault="000718B0" w:rsidP="00496ADD">
            <w:pPr>
              <w:spacing w:before="120" w:after="120" w:line="240" w:lineRule="auto"/>
              <w:rPr>
                <w:rFonts w:cstheme="minorHAnsi"/>
                <w:sz w:val="17"/>
                <w:szCs w:val="17"/>
              </w:rPr>
            </w:pPr>
            <w:r w:rsidRPr="00F97CC8">
              <w:rPr>
                <w:rFonts w:cstheme="minorHAnsi"/>
                <w:sz w:val="17"/>
                <w:szCs w:val="17"/>
                <w:u w:val="single"/>
              </w:rPr>
              <w:t>Arya 2018</w:t>
            </w:r>
            <w:r w:rsidRPr="00F97CC8">
              <w:rPr>
                <w:rFonts w:cstheme="minorHAnsi"/>
                <w:sz w:val="17"/>
                <w:szCs w:val="17"/>
              </w:rPr>
              <w:t xml:space="preserve"> detected a dose–response association between maternal age and the risk of multiple maternal and fetal complications</w:t>
            </w:r>
          </w:p>
          <w:p w14:paraId="2B4972FB" w14:textId="77777777" w:rsidR="000718B0" w:rsidRPr="00F97CC8" w:rsidRDefault="000718B0" w:rsidP="00496ADD">
            <w:pPr>
              <w:spacing w:after="0" w:line="240" w:lineRule="auto"/>
              <w:rPr>
                <w:rFonts w:cstheme="minorHAnsi"/>
                <w:sz w:val="17"/>
                <w:szCs w:val="17"/>
              </w:rPr>
            </w:pPr>
            <w:r w:rsidRPr="00F97CC8">
              <w:rPr>
                <w:rFonts w:cstheme="minorHAnsi"/>
                <w:sz w:val="17"/>
                <w:szCs w:val="17"/>
                <w:u w:val="single"/>
              </w:rPr>
              <w:t xml:space="preserve">Frederiksen 2018 </w:t>
            </w:r>
            <w:r w:rsidRPr="00F97CC8">
              <w:rPr>
                <w:rFonts w:cstheme="minorHAnsi"/>
                <w:sz w:val="17"/>
                <w:szCs w:val="17"/>
              </w:rPr>
              <w:t>women older than 40 years have a high-</w:t>
            </w:r>
          </w:p>
          <w:p w14:paraId="3BCCC11B" w14:textId="77777777" w:rsidR="000718B0" w:rsidRPr="00F97CC8" w:rsidRDefault="000718B0" w:rsidP="00496ADD">
            <w:pPr>
              <w:spacing w:after="0" w:line="240" w:lineRule="auto"/>
              <w:rPr>
                <w:rFonts w:cstheme="minorHAnsi"/>
                <w:sz w:val="17"/>
                <w:szCs w:val="17"/>
              </w:rPr>
            </w:pPr>
            <w:proofErr w:type="spellStart"/>
            <w:r w:rsidRPr="00F97CC8">
              <w:rPr>
                <w:rFonts w:cstheme="minorHAnsi"/>
                <w:sz w:val="17"/>
                <w:szCs w:val="17"/>
              </w:rPr>
              <w:t>er</w:t>
            </w:r>
            <w:proofErr w:type="spellEnd"/>
            <w:r w:rsidRPr="00F97CC8">
              <w:rPr>
                <w:rFonts w:cstheme="minorHAnsi"/>
                <w:sz w:val="17"/>
                <w:szCs w:val="17"/>
              </w:rPr>
              <w:t xml:space="preserve"> risk of chromosomal abnormalities, miscarriage, and</w:t>
            </w:r>
          </w:p>
          <w:p w14:paraId="3918EBF2" w14:textId="77777777" w:rsidR="000718B0" w:rsidRPr="00F97CC8" w:rsidRDefault="000718B0" w:rsidP="00496ADD">
            <w:pPr>
              <w:spacing w:after="0" w:line="240" w:lineRule="auto"/>
              <w:rPr>
                <w:rFonts w:cstheme="minorHAnsi"/>
                <w:sz w:val="17"/>
                <w:szCs w:val="17"/>
              </w:rPr>
            </w:pPr>
            <w:r w:rsidRPr="00F97CC8">
              <w:rPr>
                <w:rFonts w:cstheme="minorHAnsi"/>
                <w:sz w:val="17"/>
                <w:szCs w:val="17"/>
              </w:rPr>
              <w:t>birth before 34 weeks of gestation than younger women</w:t>
            </w:r>
          </w:p>
          <w:p w14:paraId="0C20732A" w14:textId="77777777" w:rsidR="000718B0" w:rsidRPr="00F97CC8" w:rsidRDefault="000718B0" w:rsidP="00496ADD">
            <w:pPr>
              <w:spacing w:after="0" w:line="240" w:lineRule="auto"/>
              <w:rPr>
                <w:rFonts w:cstheme="minorHAnsi"/>
                <w:sz w:val="17"/>
                <w:szCs w:val="17"/>
              </w:rPr>
            </w:pPr>
            <w:r w:rsidRPr="00F97CC8">
              <w:rPr>
                <w:rFonts w:cstheme="minorHAnsi"/>
                <w:sz w:val="17"/>
                <w:szCs w:val="17"/>
              </w:rPr>
              <w:t>and should be monitored accordingly; no increased risk</w:t>
            </w:r>
          </w:p>
          <w:p w14:paraId="53EEDA57" w14:textId="77777777" w:rsidR="000718B0" w:rsidRPr="00F97CC8" w:rsidRDefault="000718B0" w:rsidP="00496ADD">
            <w:pPr>
              <w:spacing w:after="0" w:line="240" w:lineRule="auto"/>
              <w:rPr>
                <w:rFonts w:cstheme="minorHAnsi"/>
                <w:sz w:val="17"/>
                <w:szCs w:val="17"/>
              </w:rPr>
            </w:pPr>
            <w:r w:rsidRPr="00F97CC8">
              <w:rPr>
                <w:rFonts w:cstheme="minorHAnsi"/>
                <w:sz w:val="17"/>
                <w:szCs w:val="17"/>
              </w:rPr>
              <w:t>was observed for stillbirth and other congenital</w:t>
            </w:r>
            <w:r>
              <w:rPr>
                <w:rFonts w:cstheme="minorHAnsi"/>
                <w:sz w:val="17"/>
                <w:szCs w:val="17"/>
              </w:rPr>
              <w:t xml:space="preserve"> </w:t>
            </w:r>
            <w:r w:rsidRPr="00F97CC8">
              <w:rPr>
                <w:rFonts w:cstheme="minorHAnsi"/>
                <w:sz w:val="17"/>
                <w:szCs w:val="17"/>
              </w:rPr>
              <w:t>malformations; several factors increase the risk of adverse</w:t>
            </w:r>
          </w:p>
          <w:p w14:paraId="0D3B0B68" w14:textId="77777777" w:rsidR="000718B0" w:rsidRPr="00F97CC8" w:rsidRDefault="000718B0" w:rsidP="00496ADD">
            <w:pPr>
              <w:spacing w:after="0" w:line="240" w:lineRule="auto"/>
              <w:rPr>
                <w:rFonts w:cstheme="minorHAnsi"/>
                <w:sz w:val="17"/>
                <w:szCs w:val="17"/>
              </w:rPr>
            </w:pPr>
            <w:r w:rsidRPr="00F97CC8">
              <w:rPr>
                <w:rFonts w:cstheme="minorHAnsi"/>
                <w:sz w:val="17"/>
                <w:szCs w:val="17"/>
              </w:rPr>
              <w:t>pregnancy outcomes, but advanced maternal age drives</w:t>
            </w:r>
          </w:p>
          <w:p w14:paraId="2D31596B" w14:textId="77777777" w:rsidR="000718B0" w:rsidRPr="00F97CC8" w:rsidRDefault="000718B0" w:rsidP="00496ADD">
            <w:pPr>
              <w:spacing w:after="0" w:line="240" w:lineRule="auto"/>
              <w:rPr>
                <w:rFonts w:cstheme="minorHAnsi"/>
                <w:sz w:val="17"/>
                <w:szCs w:val="17"/>
              </w:rPr>
            </w:pPr>
            <w:r w:rsidRPr="00F97CC8">
              <w:rPr>
                <w:rFonts w:cstheme="minorHAnsi"/>
                <w:sz w:val="17"/>
                <w:szCs w:val="17"/>
              </w:rPr>
              <w:t>a high proportion of the total risk score</w:t>
            </w:r>
          </w:p>
          <w:p w14:paraId="59402008" w14:textId="77777777" w:rsidR="000718B0" w:rsidRPr="00F97CC8" w:rsidRDefault="000718B0" w:rsidP="00496ADD">
            <w:pPr>
              <w:spacing w:before="120" w:after="120" w:line="240" w:lineRule="auto"/>
              <w:rPr>
                <w:rFonts w:cstheme="minorHAnsi"/>
                <w:sz w:val="17"/>
                <w:szCs w:val="17"/>
              </w:rPr>
            </w:pPr>
            <w:r w:rsidRPr="00F97CC8">
              <w:rPr>
                <w:rFonts w:cstheme="minorHAnsi"/>
                <w:sz w:val="17"/>
                <w:szCs w:val="17"/>
                <w:u w:val="single"/>
              </w:rPr>
              <w:t>Martin 2018</w:t>
            </w:r>
            <w:r w:rsidRPr="00F97CC8">
              <w:rPr>
                <w:rFonts w:cstheme="minorHAnsi"/>
                <w:sz w:val="17"/>
                <w:szCs w:val="17"/>
              </w:rPr>
              <w:t xml:space="preserve"> cesarean delivery rate increased as age increased; 40.4% for ages 35-39 and 47.9% for ages 40-54</w:t>
            </w:r>
          </w:p>
          <w:p w14:paraId="0C19BBA9" w14:textId="77777777" w:rsidR="000718B0" w:rsidRDefault="000718B0" w:rsidP="00496ADD">
            <w:pPr>
              <w:spacing w:before="120" w:after="120" w:line="240" w:lineRule="auto"/>
              <w:rPr>
                <w:rFonts w:cstheme="minorHAnsi"/>
                <w:sz w:val="17"/>
                <w:szCs w:val="17"/>
              </w:rPr>
            </w:pPr>
            <w:r w:rsidRPr="00F97CC8">
              <w:rPr>
                <w:rFonts w:cstheme="minorHAnsi"/>
                <w:sz w:val="17"/>
                <w:szCs w:val="17"/>
                <w:u w:val="single"/>
              </w:rPr>
              <w:t>Muto 2018</w:t>
            </w:r>
            <w:r w:rsidRPr="00F97CC8">
              <w:rPr>
                <w:rFonts w:cstheme="minorHAnsi"/>
                <w:sz w:val="17"/>
                <w:szCs w:val="17"/>
              </w:rPr>
              <w:t xml:space="preserve"> the rate of intrapartum emergency </w:t>
            </w:r>
            <w:r>
              <w:rPr>
                <w:rFonts w:cstheme="minorHAnsi"/>
                <w:sz w:val="17"/>
                <w:szCs w:val="17"/>
              </w:rPr>
              <w:t xml:space="preserve">CS </w:t>
            </w:r>
            <w:r w:rsidRPr="00F97CC8">
              <w:rPr>
                <w:rFonts w:cstheme="minorHAnsi"/>
                <w:sz w:val="17"/>
                <w:szCs w:val="17"/>
              </w:rPr>
              <w:t>in</w:t>
            </w:r>
            <w:r w:rsidRPr="001219E9">
              <w:rPr>
                <w:rFonts w:cstheme="minorHAnsi"/>
                <w:sz w:val="17"/>
                <w:szCs w:val="17"/>
              </w:rPr>
              <w:t xml:space="preserve"> older nulliparous women at term was approximately 21%; induction of labor should be recognized as a significant factor for emergency CS</w:t>
            </w:r>
          </w:p>
          <w:p w14:paraId="5240F352" w14:textId="77777777" w:rsidR="000718B0" w:rsidRPr="00F97CC8" w:rsidRDefault="000718B0" w:rsidP="00496ADD">
            <w:pPr>
              <w:spacing w:before="120" w:after="120" w:line="240" w:lineRule="auto"/>
              <w:rPr>
                <w:rFonts w:cstheme="minorHAnsi"/>
                <w:sz w:val="17"/>
                <w:szCs w:val="17"/>
              </w:rPr>
            </w:pPr>
            <w:r w:rsidRPr="00F97CC8">
              <w:rPr>
                <w:rFonts w:cstheme="minorHAnsi"/>
                <w:sz w:val="17"/>
                <w:szCs w:val="17"/>
                <w:u w:val="single"/>
              </w:rPr>
              <w:t>Nakano 2018</w:t>
            </w:r>
            <w:r w:rsidRPr="00F97CC8">
              <w:rPr>
                <w:rFonts w:cstheme="minorHAnsi"/>
                <w:sz w:val="17"/>
                <w:szCs w:val="17"/>
              </w:rPr>
              <w:t xml:space="preserve"> induction of labor (IOL) failed in 44% of nulliparous advanced maternal age (AMA) women; hypertensive disorder and immature cervical status should be considered as independent risk factors for </w:t>
            </w:r>
            <w:r>
              <w:rPr>
                <w:rFonts w:cstheme="minorHAnsi"/>
                <w:sz w:val="17"/>
                <w:szCs w:val="17"/>
              </w:rPr>
              <w:t>emergency CS</w:t>
            </w:r>
            <w:r w:rsidRPr="00F97CC8">
              <w:rPr>
                <w:rFonts w:cstheme="minorHAnsi"/>
                <w:sz w:val="17"/>
                <w:szCs w:val="17"/>
              </w:rPr>
              <w:t xml:space="preserve"> among such women</w:t>
            </w:r>
          </w:p>
          <w:p w14:paraId="20C38215" w14:textId="77777777" w:rsidR="000718B0" w:rsidRPr="00F97CC8" w:rsidRDefault="000718B0" w:rsidP="00496ADD">
            <w:pPr>
              <w:spacing w:before="120" w:after="120" w:line="240" w:lineRule="auto"/>
              <w:rPr>
                <w:rFonts w:cstheme="minorHAnsi"/>
                <w:sz w:val="17"/>
                <w:szCs w:val="17"/>
              </w:rPr>
            </w:pPr>
            <w:r w:rsidRPr="00F97CC8">
              <w:rPr>
                <w:rFonts w:cstheme="minorHAnsi"/>
                <w:sz w:val="17"/>
                <w:szCs w:val="17"/>
                <w:u w:val="single"/>
              </w:rPr>
              <w:t>Sheen 2018</w:t>
            </w:r>
            <w:r w:rsidRPr="00F97CC8">
              <w:rPr>
                <w:rFonts w:cstheme="minorHAnsi"/>
                <w:sz w:val="17"/>
                <w:szCs w:val="17"/>
              </w:rPr>
              <w:t xml:space="preserve"> while differential risk was noted across maternal age categories, women aged 45 years old and older were at highest risk for a broad range of adverse outcomes during delivery hospitalizations</w:t>
            </w:r>
          </w:p>
          <w:p w14:paraId="07622BAF" w14:textId="77777777" w:rsidR="000718B0" w:rsidRPr="00F97CC8" w:rsidRDefault="000718B0" w:rsidP="00496ADD">
            <w:pPr>
              <w:spacing w:before="120" w:after="120" w:line="240" w:lineRule="auto"/>
              <w:rPr>
                <w:rFonts w:cstheme="minorHAnsi"/>
                <w:sz w:val="17"/>
                <w:szCs w:val="17"/>
              </w:rPr>
            </w:pPr>
            <w:proofErr w:type="spellStart"/>
            <w:r w:rsidRPr="00F97CC8">
              <w:rPr>
                <w:rFonts w:cstheme="minorHAnsi"/>
                <w:sz w:val="17"/>
                <w:szCs w:val="17"/>
                <w:u w:val="single"/>
              </w:rPr>
              <w:t>Cakmak</w:t>
            </w:r>
            <w:proofErr w:type="spellEnd"/>
            <w:r w:rsidRPr="00F97CC8">
              <w:rPr>
                <w:rFonts w:cstheme="minorHAnsi"/>
                <w:sz w:val="17"/>
                <w:szCs w:val="17"/>
                <w:u w:val="single"/>
              </w:rPr>
              <w:t xml:space="preserve"> </w:t>
            </w:r>
            <w:proofErr w:type="spellStart"/>
            <w:r w:rsidRPr="00F97CC8">
              <w:rPr>
                <w:rFonts w:cstheme="minorHAnsi"/>
                <w:sz w:val="17"/>
                <w:szCs w:val="17"/>
                <w:u w:val="single"/>
              </w:rPr>
              <w:t>Celik</w:t>
            </w:r>
            <w:proofErr w:type="spellEnd"/>
            <w:r w:rsidRPr="00F97CC8">
              <w:rPr>
                <w:rFonts w:cstheme="minorHAnsi"/>
                <w:sz w:val="17"/>
                <w:szCs w:val="17"/>
                <w:u w:val="single"/>
              </w:rPr>
              <w:t xml:space="preserve"> 2017</w:t>
            </w:r>
            <w:r w:rsidRPr="00F97CC8">
              <w:rPr>
                <w:rFonts w:cstheme="minorHAnsi"/>
                <w:sz w:val="17"/>
                <w:szCs w:val="17"/>
              </w:rPr>
              <w:t xml:space="preserve"> extremely advanced maternal age (EAMA) mothers and their </w:t>
            </w:r>
            <w:proofErr w:type="spellStart"/>
            <w:r w:rsidRPr="00F97CC8">
              <w:rPr>
                <w:rFonts w:cstheme="minorHAnsi"/>
                <w:sz w:val="17"/>
                <w:szCs w:val="17"/>
              </w:rPr>
              <w:t>offsprings</w:t>
            </w:r>
            <w:proofErr w:type="spellEnd"/>
            <w:r w:rsidRPr="00F97CC8">
              <w:rPr>
                <w:rFonts w:cstheme="minorHAnsi"/>
                <w:sz w:val="17"/>
                <w:szCs w:val="17"/>
              </w:rPr>
              <w:t xml:space="preserve"> have similar peri and neonatal risks compared to younger mothers, except lower 5th minute Apgar scores; conclude that with good perinatal care, EAMA women and their babies can pass through the perinatal period with similar risks of younger women</w:t>
            </w:r>
          </w:p>
          <w:p w14:paraId="5C329A0F" w14:textId="77777777" w:rsidR="000718B0" w:rsidRPr="00F97CC8" w:rsidRDefault="000718B0" w:rsidP="00496ADD">
            <w:pPr>
              <w:spacing w:before="120" w:after="120" w:line="240" w:lineRule="auto"/>
              <w:rPr>
                <w:rFonts w:cstheme="minorHAnsi"/>
                <w:sz w:val="17"/>
                <w:szCs w:val="17"/>
              </w:rPr>
            </w:pPr>
            <w:r w:rsidRPr="00F97CC8">
              <w:rPr>
                <w:rFonts w:cstheme="minorHAnsi"/>
                <w:sz w:val="17"/>
                <w:szCs w:val="17"/>
                <w:u w:val="single"/>
              </w:rPr>
              <w:lastRenderedPageBreak/>
              <w:t>Dunn 2017</w:t>
            </w:r>
            <w:r w:rsidRPr="00F97CC8">
              <w:rPr>
                <w:rFonts w:cstheme="minorHAnsi"/>
                <w:sz w:val="17"/>
                <w:szCs w:val="17"/>
              </w:rPr>
              <w:t xml:space="preserve"> following </w:t>
            </w:r>
            <w:r>
              <w:rPr>
                <w:rFonts w:cstheme="minorHAnsi"/>
                <w:sz w:val="17"/>
                <w:szCs w:val="17"/>
              </w:rPr>
              <w:t>IOL,</w:t>
            </w:r>
            <w:r w:rsidRPr="00F97CC8">
              <w:rPr>
                <w:rFonts w:cstheme="minorHAnsi"/>
                <w:sz w:val="17"/>
                <w:szCs w:val="17"/>
              </w:rPr>
              <w:t xml:space="preserve"> </w:t>
            </w:r>
            <w:r>
              <w:rPr>
                <w:rFonts w:cstheme="minorHAnsi"/>
                <w:sz w:val="17"/>
                <w:szCs w:val="17"/>
              </w:rPr>
              <w:t xml:space="preserve">AMA </w:t>
            </w:r>
            <w:r w:rsidRPr="00F97CC8">
              <w:rPr>
                <w:rFonts w:cstheme="minorHAnsi"/>
                <w:sz w:val="17"/>
                <w:szCs w:val="17"/>
              </w:rPr>
              <w:t xml:space="preserve">was associated with a two-fold increased likelihood of birth by </w:t>
            </w:r>
            <w:r>
              <w:rPr>
                <w:rFonts w:cstheme="minorHAnsi"/>
                <w:sz w:val="17"/>
                <w:szCs w:val="17"/>
              </w:rPr>
              <w:t>CS</w:t>
            </w:r>
            <w:r w:rsidRPr="00F97CC8">
              <w:rPr>
                <w:rFonts w:cstheme="minorHAnsi"/>
                <w:sz w:val="17"/>
                <w:szCs w:val="17"/>
              </w:rPr>
              <w:t xml:space="preserve"> in both nulliparous and multiparous women; however, </w:t>
            </w:r>
            <w:proofErr w:type="gramStart"/>
            <w:r w:rsidRPr="00F97CC8">
              <w:rPr>
                <w:rFonts w:cstheme="minorHAnsi"/>
                <w:sz w:val="17"/>
                <w:szCs w:val="17"/>
              </w:rPr>
              <w:t>the majority of</w:t>
            </w:r>
            <w:proofErr w:type="gramEnd"/>
            <w:r w:rsidRPr="00F97CC8">
              <w:rPr>
                <w:rFonts w:cstheme="minorHAnsi"/>
                <w:sz w:val="17"/>
                <w:szCs w:val="17"/>
              </w:rPr>
              <w:t xml:space="preserve"> AMA women birthed vaginally</w:t>
            </w:r>
          </w:p>
          <w:p w14:paraId="1C4D2837" w14:textId="77777777" w:rsidR="000718B0" w:rsidRPr="00F97CC8" w:rsidRDefault="000718B0" w:rsidP="00496ADD">
            <w:pPr>
              <w:spacing w:before="120" w:after="120" w:line="240" w:lineRule="auto"/>
              <w:rPr>
                <w:rFonts w:cstheme="minorHAnsi"/>
                <w:sz w:val="17"/>
                <w:szCs w:val="17"/>
              </w:rPr>
            </w:pPr>
            <w:r w:rsidRPr="00F97CC8">
              <w:rPr>
                <w:rFonts w:cstheme="minorHAnsi"/>
                <w:sz w:val="17"/>
                <w:szCs w:val="17"/>
                <w:u w:val="single"/>
              </w:rPr>
              <w:t>Fayed 2017</w:t>
            </w:r>
            <w:r w:rsidRPr="00F97CC8">
              <w:rPr>
                <w:rFonts w:cstheme="minorHAnsi"/>
                <w:sz w:val="17"/>
                <w:szCs w:val="17"/>
              </w:rPr>
              <w:t xml:space="preserve"> adverse</w:t>
            </w:r>
            <w:r w:rsidRPr="001219E9">
              <w:rPr>
                <w:rFonts w:cstheme="minorHAnsi"/>
                <w:sz w:val="17"/>
                <w:szCs w:val="17"/>
              </w:rPr>
              <w:t xml:space="preserve"> pregnancy outcomes show a continuum with the advancement of maternal age; adolescents mother are more likely to have vaginal delivery; however, they are at increased risk of preterm delivery; advanced maternal age is associated with increased risk of preterm delivery, gestational diabetes and</w:t>
            </w:r>
            <w:r>
              <w:rPr>
                <w:rFonts w:cstheme="minorHAnsi"/>
                <w:sz w:val="17"/>
                <w:szCs w:val="17"/>
              </w:rPr>
              <w:t xml:space="preserve"> CS</w:t>
            </w:r>
          </w:p>
          <w:p w14:paraId="570C75A2" w14:textId="16EE8DA6" w:rsidR="000718B0" w:rsidRPr="00F97CC8" w:rsidRDefault="000718B0" w:rsidP="00496ADD">
            <w:pPr>
              <w:spacing w:before="120" w:after="120" w:line="240" w:lineRule="auto"/>
              <w:rPr>
                <w:rFonts w:cstheme="minorHAnsi"/>
                <w:sz w:val="17"/>
                <w:szCs w:val="17"/>
              </w:rPr>
            </w:pPr>
            <w:r w:rsidRPr="00F97CC8">
              <w:rPr>
                <w:rFonts w:cstheme="minorHAnsi"/>
                <w:sz w:val="17"/>
                <w:szCs w:val="17"/>
                <w:u w:val="single"/>
              </w:rPr>
              <w:t>Ogawa 2017</w:t>
            </w:r>
            <w:r w:rsidRPr="00F97CC8">
              <w:rPr>
                <w:rFonts w:cstheme="minorHAnsi"/>
                <w:sz w:val="17"/>
                <w:szCs w:val="17"/>
              </w:rPr>
              <w:t xml:space="preserve"> very advanced maternal age (≥ 45) was related to greater risk for adverse birth outcomes compared to younger women, especially for maternal complications including cesarean section, preeclampsia, severe preeclampsia, and placenta previa; the magnitude of the influence of age also differed by </w:t>
            </w:r>
            <w:r w:rsidR="009C0180">
              <w:rPr>
                <w:rFonts w:cstheme="minorHAnsi"/>
                <w:sz w:val="17"/>
                <w:szCs w:val="17"/>
              </w:rPr>
              <w:t>fertilization</w:t>
            </w:r>
            <w:r w:rsidR="009C0180" w:rsidRPr="00F97CC8">
              <w:rPr>
                <w:rFonts w:cstheme="minorHAnsi"/>
                <w:sz w:val="17"/>
                <w:szCs w:val="17"/>
              </w:rPr>
              <w:t xml:space="preserve"> </w:t>
            </w:r>
            <w:r w:rsidRPr="00F97CC8">
              <w:rPr>
                <w:rFonts w:cstheme="minorHAnsi"/>
                <w:sz w:val="17"/>
                <w:szCs w:val="17"/>
              </w:rPr>
              <w:t>method and by parity</w:t>
            </w:r>
          </w:p>
          <w:p w14:paraId="1409B5C6" w14:textId="77777777" w:rsidR="000718B0" w:rsidRPr="00F97CC8" w:rsidRDefault="000718B0" w:rsidP="00496ADD">
            <w:pPr>
              <w:spacing w:before="120" w:after="120" w:line="240" w:lineRule="auto"/>
              <w:rPr>
                <w:rFonts w:cstheme="minorHAnsi"/>
                <w:sz w:val="17"/>
                <w:szCs w:val="17"/>
              </w:rPr>
            </w:pPr>
            <w:proofErr w:type="spellStart"/>
            <w:r w:rsidRPr="00F97CC8">
              <w:rPr>
                <w:rFonts w:cstheme="minorHAnsi"/>
                <w:sz w:val="17"/>
                <w:szCs w:val="17"/>
                <w:u w:val="single"/>
              </w:rPr>
              <w:t>Lavecchia</w:t>
            </w:r>
            <w:proofErr w:type="spellEnd"/>
            <w:r w:rsidRPr="00F97CC8">
              <w:rPr>
                <w:rFonts w:cstheme="minorHAnsi"/>
                <w:sz w:val="17"/>
                <w:szCs w:val="17"/>
                <w:u w:val="single"/>
              </w:rPr>
              <w:t xml:space="preserve"> 2016</w:t>
            </w:r>
            <w:r w:rsidRPr="00F97CC8">
              <w:rPr>
                <w:rFonts w:cstheme="minorHAnsi"/>
                <w:sz w:val="17"/>
                <w:szCs w:val="17"/>
              </w:rPr>
              <w:t xml:space="preserve"> planned cesarean section is a key factor significantly influencing maternal morbidity and mortality in healthy women with advanced maternal age; when possible, planned cesarean deliveries should be avoided in this population</w:t>
            </w:r>
          </w:p>
          <w:p w14:paraId="538F3250" w14:textId="77777777" w:rsidR="000718B0" w:rsidRPr="00F97CC8" w:rsidRDefault="000718B0" w:rsidP="00496ADD">
            <w:pPr>
              <w:spacing w:before="120" w:after="120" w:line="240" w:lineRule="auto"/>
              <w:rPr>
                <w:rFonts w:cstheme="minorHAnsi"/>
                <w:sz w:val="17"/>
                <w:szCs w:val="17"/>
              </w:rPr>
            </w:pPr>
            <w:proofErr w:type="spellStart"/>
            <w:r w:rsidRPr="00F97CC8">
              <w:rPr>
                <w:rFonts w:cstheme="minorHAnsi"/>
                <w:sz w:val="17"/>
                <w:szCs w:val="17"/>
                <w:u w:val="single"/>
              </w:rPr>
              <w:t>Osmundson</w:t>
            </w:r>
            <w:proofErr w:type="spellEnd"/>
            <w:r w:rsidRPr="00F97CC8">
              <w:rPr>
                <w:rFonts w:cstheme="minorHAnsi"/>
                <w:sz w:val="17"/>
                <w:szCs w:val="17"/>
                <w:u w:val="single"/>
              </w:rPr>
              <w:t xml:space="preserve"> 2016</w:t>
            </w:r>
            <w:r w:rsidRPr="00F97CC8">
              <w:rPr>
                <w:rFonts w:cstheme="minorHAnsi"/>
                <w:sz w:val="17"/>
                <w:szCs w:val="17"/>
              </w:rPr>
              <w:t xml:space="preserve"> compared to non-</w:t>
            </w:r>
            <w:r>
              <w:rPr>
                <w:rFonts w:cstheme="minorHAnsi"/>
                <w:sz w:val="17"/>
                <w:szCs w:val="17"/>
              </w:rPr>
              <w:t xml:space="preserve">AMA </w:t>
            </w:r>
            <w:r w:rsidRPr="00F97CC8">
              <w:rPr>
                <w:rFonts w:cstheme="minorHAnsi"/>
                <w:sz w:val="17"/>
                <w:szCs w:val="17"/>
              </w:rPr>
              <w:t xml:space="preserve">women, women age &gt; 50 years with a singleton pregnancy experience significantly higher rates of cesarean delivery; however, the majority of those who undergo a trial of labor will have a vaginal delivery; neither a trial of labor nor a </w:t>
            </w:r>
            <w:proofErr w:type="spellStart"/>
            <w:r w:rsidRPr="00F97CC8">
              <w:rPr>
                <w:rFonts w:cstheme="minorHAnsi"/>
                <w:sz w:val="17"/>
                <w:szCs w:val="17"/>
              </w:rPr>
              <w:t>prelabor</w:t>
            </w:r>
            <w:proofErr w:type="spellEnd"/>
            <w:r w:rsidRPr="00F97CC8">
              <w:rPr>
                <w:rFonts w:cstheme="minorHAnsi"/>
                <w:sz w:val="17"/>
                <w:szCs w:val="17"/>
              </w:rPr>
              <w:t xml:space="preserve"> cesarean delivery is significantly associated with maternal or neonatal morbidity; these data support either approach in women of extremely AMA</w:t>
            </w:r>
          </w:p>
          <w:p w14:paraId="378A088C" w14:textId="77777777" w:rsidR="000718B0" w:rsidRPr="00F97CC8" w:rsidRDefault="000718B0" w:rsidP="00496ADD">
            <w:pPr>
              <w:spacing w:before="120" w:after="120" w:line="240" w:lineRule="auto"/>
              <w:rPr>
                <w:rFonts w:cstheme="minorHAnsi"/>
                <w:sz w:val="17"/>
                <w:szCs w:val="17"/>
              </w:rPr>
            </w:pPr>
            <w:proofErr w:type="spellStart"/>
            <w:r w:rsidRPr="00F97CC8">
              <w:rPr>
                <w:rFonts w:cstheme="minorHAnsi"/>
                <w:sz w:val="17"/>
                <w:szCs w:val="17"/>
                <w:u w:val="single"/>
              </w:rPr>
              <w:t>Posthumus</w:t>
            </w:r>
            <w:proofErr w:type="spellEnd"/>
            <w:r w:rsidRPr="00F97CC8">
              <w:rPr>
                <w:rFonts w:cstheme="minorHAnsi"/>
                <w:sz w:val="17"/>
                <w:szCs w:val="17"/>
                <w:u w:val="single"/>
              </w:rPr>
              <w:t xml:space="preserve"> 2016</w:t>
            </w:r>
            <w:r w:rsidRPr="00F97CC8">
              <w:rPr>
                <w:rFonts w:cstheme="minorHAnsi"/>
                <w:sz w:val="17"/>
                <w:szCs w:val="17"/>
              </w:rPr>
              <w:t xml:space="preserve"> the presence of both medical and non-medical risk factors early in pregnancy predict the occurrence of adverse outcomes at birth; furthermore, the risk profiles for adverse outcomes differed according to </w:t>
            </w:r>
            <w:r>
              <w:rPr>
                <w:rFonts w:cstheme="minorHAnsi"/>
                <w:sz w:val="17"/>
                <w:szCs w:val="17"/>
              </w:rPr>
              <w:t>socioeconomic status (</w:t>
            </w:r>
            <w:r w:rsidRPr="00F97CC8">
              <w:rPr>
                <w:rFonts w:cstheme="minorHAnsi"/>
                <w:sz w:val="17"/>
                <w:szCs w:val="17"/>
              </w:rPr>
              <w:t>SES</w:t>
            </w:r>
            <w:r>
              <w:rPr>
                <w:rFonts w:cstheme="minorHAnsi"/>
                <w:sz w:val="17"/>
                <w:szCs w:val="17"/>
              </w:rPr>
              <w:t>)</w:t>
            </w:r>
            <w:r w:rsidRPr="00F97CC8">
              <w:rPr>
                <w:rFonts w:cstheme="minorHAnsi"/>
                <w:sz w:val="17"/>
                <w:szCs w:val="17"/>
              </w:rPr>
              <w:t xml:space="preserve"> and ethnicity</w:t>
            </w:r>
          </w:p>
          <w:p w14:paraId="4576A266" w14:textId="77777777" w:rsidR="000718B0" w:rsidRPr="00F97CC8" w:rsidRDefault="000718B0" w:rsidP="00496ADD">
            <w:pPr>
              <w:spacing w:before="120" w:after="120" w:line="240" w:lineRule="auto"/>
              <w:rPr>
                <w:rFonts w:cstheme="minorHAnsi"/>
                <w:sz w:val="17"/>
                <w:szCs w:val="17"/>
              </w:rPr>
            </w:pPr>
            <w:r w:rsidRPr="00F97CC8">
              <w:rPr>
                <w:rFonts w:cstheme="minorHAnsi"/>
                <w:sz w:val="17"/>
                <w:szCs w:val="17"/>
                <w:u w:val="single"/>
              </w:rPr>
              <w:t>Richards 2016</w:t>
            </w:r>
            <w:r w:rsidRPr="00F97CC8">
              <w:rPr>
                <w:rFonts w:cstheme="minorHAnsi"/>
                <w:sz w:val="17"/>
                <w:szCs w:val="17"/>
              </w:rPr>
              <w:t xml:space="preserve"> primary</w:t>
            </w:r>
            <w:r w:rsidRPr="0014599D">
              <w:rPr>
                <w:rFonts w:cstheme="minorHAnsi"/>
                <w:sz w:val="17"/>
                <w:szCs w:val="17"/>
              </w:rPr>
              <w:t xml:space="preserve"> cesarean delivery risk continues to increase above age 35 regardless of prior vaginal birth, with </w:t>
            </w:r>
            <w:r w:rsidRPr="00F97CC8">
              <w:rPr>
                <w:rFonts w:cstheme="minorHAnsi"/>
                <w:sz w:val="17"/>
                <w:szCs w:val="17"/>
              </w:rPr>
              <w:t>the highest risk among women aged 50 years and older</w:t>
            </w:r>
          </w:p>
          <w:p w14:paraId="7340FE17" w14:textId="77777777" w:rsidR="000718B0" w:rsidRPr="00F97CC8" w:rsidRDefault="000718B0" w:rsidP="00496ADD">
            <w:pPr>
              <w:spacing w:before="120" w:after="120" w:line="240" w:lineRule="auto"/>
              <w:rPr>
                <w:rFonts w:cstheme="minorHAnsi"/>
                <w:sz w:val="17"/>
                <w:szCs w:val="17"/>
              </w:rPr>
            </w:pPr>
            <w:proofErr w:type="spellStart"/>
            <w:r w:rsidRPr="00F97CC8">
              <w:rPr>
                <w:rFonts w:cstheme="minorHAnsi"/>
                <w:sz w:val="17"/>
                <w:szCs w:val="17"/>
                <w:u w:val="single"/>
              </w:rPr>
              <w:t>Bereczky</w:t>
            </w:r>
            <w:proofErr w:type="spellEnd"/>
            <w:r w:rsidRPr="00F97CC8">
              <w:rPr>
                <w:rFonts w:cstheme="minorHAnsi"/>
                <w:sz w:val="17"/>
                <w:szCs w:val="17"/>
                <w:u w:val="single"/>
              </w:rPr>
              <w:t xml:space="preserve"> 2015</w:t>
            </w:r>
            <w:r w:rsidRPr="00F97CC8">
              <w:rPr>
                <w:rFonts w:cstheme="minorHAnsi"/>
                <w:sz w:val="17"/>
                <w:szCs w:val="17"/>
              </w:rPr>
              <w:t xml:space="preserve"> study revealed a highly significant decrease of mean gestational age and mean fetal weight, as well as a higher incidence of comorbidities and pregnancy-related complications in those aged ≥ 35 years; assume that comorbidities, maternal and fetal indications to perform </w:t>
            </w:r>
            <w:r>
              <w:rPr>
                <w:rFonts w:cstheme="minorHAnsi"/>
                <w:sz w:val="17"/>
                <w:szCs w:val="17"/>
              </w:rPr>
              <w:t xml:space="preserve">CS, </w:t>
            </w:r>
            <w:r w:rsidRPr="00F97CC8">
              <w:rPr>
                <w:rFonts w:cstheme="minorHAnsi"/>
                <w:sz w:val="17"/>
                <w:szCs w:val="17"/>
              </w:rPr>
              <w:t xml:space="preserve"> in the more mature age group, were a main determinant of the elective or iatrogenic preterm deliveries, which might have contributed to further complications; moreover, previous CSs were likely a promoting factor for further CSs</w:t>
            </w:r>
          </w:p>
          <w:p w14:paraId="1F60ACCC" w14:textId="77777777" w:rsidR="000718B0" w:rsidRPr="00F97CC8" w:rsidRDefault="000718B0" w:rsidP="00496ADD">
            <w:pPr>
              <w:spacing w:before="120" w:after="120" w:line="240" w:lineRule="auto"/>
              <w:rPr>
                <w:rFonts w:cstheme="minorHAnsi"/>
                <w:sz w:val="17"/>
                <w:szCs w:val="17"/>
              </w:rPr>
            </w:pPr>
            <w:r w:rsidRPr="00F97CC8">
              <w:rPr>
                <w:rFonts w:cstheme="minorHAnsi"/>
                <w:sz w:val="17"/>
                <w:szCs w:val="17"/>
                <w:u w:val="single"/>
              </w:rPr>
              <w:lastRenderedPageBreak/>
              <w:t>Islam 2015</w:t>
            </w:r>
            <w:r w:rsidRPr="00F97CC8">
              <w:rPr>
                <w:rFonts w:cstheme="minorHAnsi"/>
                <w:sz w:val="17"/>
                <w:szCs w:val="17"/>
              </w:rPr>
              <w:t xml:space="preserve"> found increased risks of some adverse obstetric outcomes among advanced-age women of age 35 and above; data indicate higher risk of gestational diabetes, preeclampsia, gestational hypertension, spontaneous abortion, prolonged labor, cesarean section delivery, and overall higher risk of any delivery complications among advanced-age mothers</w:t>
            </w:r>
          </w:p>
          <w:p w14:paraId="5AD1CC13" w14:textId="77777777" w:rsidR="000718B0" w:rsidRPr="00F97CC8" w:rsidRDefault="000718B0" w:rsidP="00496ADD">
            <w:pPr>
              <w:spacing w:before="120" w:after="120" w:line="240" w:lineRule="auto"/>
              <w:rPr>
                <w:rFonts w:cstheme="minorHAnsi"/>
                <w:sz w:val="17"/>
                <w:szCs w:val="17"/>
              </w:rPr>
            </w:pPr>
            <w:r w:rsidRPr="00F97CC8">
              <w:rPr>
                <w:rFonts w:cstheme="minorHAnsi"/>
                <w:sz w:val="17"/>
                <w:szCs w:val="17"/>
                <w:u w:val="single"/>
              </w:rPr>
              <w:t>Schimmel 2015</w:t>
            </w:r>
            <w:r w:rsidRPr="00F97CC8">
              <w:rPr>
                <w:rFonts w:cstheme="minorHAnsi"/>
                <w:sz w:val="17"/>
                <w:szCs w:val="17"/>
              </w:rPr>
              <w:t xml:space="preserve"> AMA, especially primiparous, has more adverse maternal and neonatal outcomes than younger women; however, these did not include mortality; consistent antenatal care may explain this</w:t>
            </w:r>
          </w:p>
          <w:p w14:paraId="3D8ED70F" w14:textId="58BCD672" w:rsidR="000718B0" w:rsidRPr="00F97CC8" w:rsidRDefault="000718B0" w:rsidP="00496ADD">
            <w:pPr>
              <w:spacing w:before="120" w:after="120" w:line="240" w:lineRule="auto"/>
              <w:rPr>
                <w:rFonts w:cstheme="minorHAnsi"/>
                <w:sz w:val="17"/>
                <w:szCs w:val="17"/>
              </w:rPr>
            </w:pPr>
            <w:r w:rsidRPr="00F97CC8">
              <w:rPr>
                <w:rFonts w:cstheme="minorHAnsi"/>
                <w:sz w:val="17"/>
                <w:szCs w:val="17"/>
                <w:u w:val="single"/>
              </w:rPr>
              <w:t>Barton 2014</w:t>
            </w:r>
            <w:r w:rsidRPr="00F97CC8">
              <w:t xml:space="preserve"> </w:t>
            </w:r>
            <w:r w:rsidRPr="00F97CC8">
              <w:rPr>
                <w:rFonts w:cstheme="minorHAnsi"/>
                <w:sz w:val="17"/>
                <w:szCs w:val="17"/>
              </w:rPr>
              <w:t xml:space="preserve">in healthy women, both advanced maternal age and obesity negatively influence pregnancy outcomes; women who delay pregnancy until age 40+ years may modify their risk for cesarean section, preterm birth, and low-birth-weight infants by reducing their weight to nonobese levels before </w:t>
            </w:r>
            <w:r w:rsidR="009C0180">
              <w:rPr>
                <w:rFonts w:cstheme="minorHAnsi"/>
                <w:sz w:val="17"/>
                <w:szCs w:val="17"/>
              </w:rPr>
              <w:t>fertilization</w:t>
            </w:r>
          </w:p>
          <w:p w14:paraId="2BDD3257" w14:textId="77777777" w:rsidR="000718B0" w:rsidRPr="00F97CC8" w:rsidRDefault="000718B0" w:rsidP="00496ADD">
            <w:pPr>
              <w:spacing w:after="0"/>
              <w:rPr>
                <w:rFonts w:cstheme="minorHAnsi"/>
                <w:sz w:val="17"/>
                <w:szCs w:val="17"/>
              </w:rPr>
            </w:pPr>
            <w:proofErr w:type="spellStart"/>
            <w:r w:rsidRPr="00F97CC8">
              <w:rPr>
                <w:rFonts w:cstheme="minorHAnsi"/>
                <w:sz w:val="17"/>
                <w:szCs w:val="17"/>
                <w:u w:val="single"/>
              </w:rPr>
              <w:t>Jacquemyn</w:t>
            </w:r>
            <w:proofErr w:type="spellEnd"/>
            <w:r w:rsidRPr="00F97CC8">
              <w:rPr>
                <w:rFonts w:cstheme="minorHAnsi"/>
                <w:sz w:val="17"/>
                <w:szCs w:val="17"/>
                <w:u w:val="single"/>
              </w:rPr>
              <w:t xml:space="preserve"> 2014</w:t>
            </w:r>
            <w:r w:rsidRPr="00F97CC8">
              <w:t xml:space="preserve"> </w:t>
            </w:r>
            <w:r w:rsidRPr="00F97CC8">
              <w:rPr>
                <w:rFonts w:cstheme="minorHAnsi"/>
                <w:sz w:val="17"/>
                <w:szCs w:val="17"/>
              </w:rPr>
              <w:t>multivariate analysis confirmed advanced</w:t>
            </w:r>
          </w:p>
          <w:p w14:paraId="5FE10FEA" w14:textId="77777777" w:rsidR="000718B0" w:rsidRPr="003F217A" w:rsidRDefault="000718B0" w:rsidP="00496ADD">
            <w:pPr>
              <w:spacing w:after="0"/>
              <w:rPr>
                <w:rFonts w:cstheme="minorHAnsi"/>
                <w:sz w:val="17"/>
                <w:szCs w:val="17"/>
              </w:rPr>
            </w:pPr>
            <w:r w:rsidRPr="00F97CC8">
              <w:rPr>
                <w:rFonts w:cstheme="minorHAnsi"/>
                <w:sz w:val="17"/>
                <w:szCs w:val="17"/>
              </w:rPr>
              <w:t>maternal age to be a</w:t>
            </w:r>
            <w:r w:rsidRPr="003F217A">
              <w:rPr>
                <w:rFonts w:cstheme="minorHAnsi"/>
                <w:sz w:val="17"/>
                <w:szCs w:val="17"/>
              </w:rPr>
              <w:t xml:space="preserve"> significant factor in low birth weight,</w:t>
            </w:r>
          </w:p>
          <w:p w14:paraId="582C7BD1" w14:textId="77777777" w:rsidR="000718B0" w:rsidRDefault="000718B0" w:rsidP="00496ADD">
            <w:pPr>
              <w:spacing w:after="0"/>
              <w:rPr>
                <w:rFonts w:cstheme="minorHAnsi"/>
                <w:sz w:val="17"/>
                <w:szCs w:val="17"/>
              </w:rPr>
            </w:pPr>
            <w:r w:rsidRPr="003F217A">
              <w:rPr>
                <w:rFonts w:cstheme="minorHAnsi"/>
                <w:sz w:val="17"/>
                <w:szCs w:val="17"/>
              </w:rPr>
              <w:t xml:space="preserve">preterm delivery, hypertension, diabetes, </w:t>
            </w:r>
            <w:r>
              <w:rPr>
                <w:rFonts w:cstheme="minorHAnsi"/>
                <w:sz w:val="17"/>
                <w:szCs w:val="17"/>
              </w:rPr>
              <w:t xml:space="preserve">CS </w:t>
            </w:r>
            <w:r w:rsidRPr="003F217A">
              <w:rPr>
                <w:rFonts w:cstheme="minorHAnsi"/>
                <w:sz w:val="17"/>
                <w:szCs w:val="17"/>
              </w:rPr>
              <w:t>and perinatal mortality</w:t>
            </w:r>
            <w:r>
              <w:rPr>
                <w:rFonts w:cstheme="minorHAnsi"/>
                <w:sz w:val="17"/>
                <w:szCs w:val="17"/>
              </w:rPr>
              <w:t>;</w:t>
            </w:r>
            <w:r w:rsidRPr="003F217A">
              <w:rPr>
                <w:rFonts w:cstheme="minorHAnsi"/>
                <w:sz w:val="17"/>
                <w:szCs w:val="17"/>
              </w:rPr>
              <w:t xml:space="preserve"> mothers at age 45 and</w:t>
            </w:r>
            <w:r>
              <w:rPr>
                <w:rFonts w:cstheme="minorHAnsi"/>
                <w:sz w:val="17"/>
                <w:szCs w:val="17"/>
              </w:rPr>
              <w:t xml:space="preserve"> </w:t>
            </w:r>
            <w:r w:rsidRPr="003F217A">
              <w:rPr>
                <w:rFonts w:cstheme="minorHAnsi"/>
                <w:sz w:val="17"/>
                <w:szCs w:val="17"/>
              </w:rPr>
              <w:t>older have a significantly increased risk for low birth weight,</w:t>
            </w:r>
            <w:r>
              <w:rPr>
                <w:rFonts w:cstheme="minorHAnsi"/>
                <w:sz w:val="17"/>
                <w:szCs w:val="17"/>
              </w:rPr>
              <w:t xml:space="preserve"> </w:t>
            </w:r>
            <w:r w:rsidRPr="003F217A">
              <w:rPr>
                <w:rFonts w:cstheme="minorHAnsi"/>
                <w:sz w:val="17"/>
                <w:szCs w:val="17"/>
              </w:rPr>
              <w:t xml:space="preserve">preterm delivery, hypertension, diabetes, </w:t>
            </w:r>
            <w:r>
              <w:rPr>
                <w:rFonts w:cstheme="minorHAnsi"/>
                <w:sz w:val="17"/>
                <w:szCs w:val="17"/>
              </w:rPr>
              <w:t xml:space="preserve">CS </w:t>
            </w:r>
            <w:r w:rsidRPr="003F217A">
              <w:rPr>
                <w:rFonts w:cstheme="minorHAnsi"/>
                <w:sz w:val="17"/>
                <w:szCs w:val="17"/>
              </w:rPr>
              <w:t>and perinatal mortalit</w:t>
            </w:r>
            <w:r>
              <w:rPr>
                <w:rFonts w:cstheme="minorHAnsi"/>
                <w:sz w:val="17"/>
                <w:szCs w:val="17"/>
              </w:rPr>
              <w:t xml:space="preserve">y </w:t>
            </w:r>
          </w:p>
          <w:p w14:paraId="3D96EBC6" w14:textId="77777777" w:rsidR="000718B0" w:rsidRDefault="000718B0" w:rsidP="00496ADD">
            <w:pPr>
              <w:spacing w:after="0"/>
              <w:rPr>
                <w:rFonts w:cstheme="minorHAnsi"/>
                <w:sz w:val="17"/>
                <w:szCs w:val="17"/>
              </w:rPr>
            </w:pPr>
          </w:p>
          <w:p w14:paraId="61DFE584" w14:textId="77777777" w:rsidR="000718B0" w:rsidRPr="00F97CC8" w:rsidRDefault="000718B0" w:rsidP="00496ADD">
            <w:pPr>
              <w:spacing w:before="120" w:after="120" w:line="240" w:lineRule="auto"/>
              <w:rPr>
                <w:rFonts w:cstheme="minorHAnsi"/>
                <w:sz w:val="17"/>
                <w:szCs w:val="17"/>
              </w:rPr>
            </w:pPr>
            <w:proofErr w:type="spellStart"/>
            <w:r w:rsidRPr="00F97CC8">
              <w:rPr>
                <w:rFonts w:cstheme="minorHAnsi"/>
                <w:sz w:val="17"/>
                <w:szCs w:val="17"/>
                <w:u w:val="single"/>
              </w:rPr>
              <w:t>Laopaiboon</w:t>
            </w:r>
            <w:proofErr w:type="spellEnd"/>
            <w:r w:rsidRPr="00F97CC8">
              <w:rPr>
                <w:rFonts w:cstheme="minorHAnsi"/>
                <w:sz w:val="17"/>
                <w:szCs w:val="17"/>
                <w:u w:val="single"/>
              </w:rPr>
              <w:t xml:space="preserve"> 2014</w:t>
            </w:r>
            <w:r w:rsidRPr="00F97CC8">
              <w:rPr>
                <w:rFonts w:cstheme="minorHAnsi"/>
                <w:sz w:val="17"/>
                <w:szCs w:val="17"/>
              </w:rPr>
              <w:t xml:space="preserve"> </w:t>
            </w:r>
            <w:r>
              <w:rPr>
                <w:rFonts w:cstheme="minorHAnsi"/>
                <w:sz w:val="17"/>
                <w:szCs w:val="17"/>
              </w:rPr>
              <w:t>AMA</w:t>
            </w:r>
            <w:r w:rsidRPr="00F97CC8">
              <w:rPr>
                <w:rFonts w:cstheme="minorHAnsi"/>
                <w:sz w:val="17"/>
                <w:szCs w:val="17"/>
              </w:rPr>
              <w:t xml:space="preserve"> predisposes women to adverse pregnancy outcomes; the findings of this study would facilitate antenatal counselling and management of women in this age category</w:t>
            </w:r>
          </w:p>
          <w:p w14:paraId="6574E9F1" w14:textId="77777777" w:rsidR="000718B0" w:rsidRPr="00F97CC8" w:rsidRDefault="000718B0" w:rsidP="00496ADD">
            <w:pPr>
              <w:spacing w:before="120" w:after="120" w:line="240" w:lineRule="auto"/>
              <w:rPr>
                <w:rFonts w:cstheme="minorHAnsi"/>
                <w:sz w:val="17"/>
                <w:szCs w:val="17"/>
              </w:rPr>
            </w:pPr>
            <w:proofErr w:type="spellStart"/>
            <w:r w:rsidRPr="00F97CC8">
              <w:rPr>
                <w:rFonts w:cstheme="minorHAnsi"/>
                <w:sz w:val="17"/>
                <w:szCs w:val="17"/>
                <w:u w:val="single"/>
              </w:rPr>
              <w:t>Favilli</w:t>
            </w:r>
            <w:proofErr w:type="spellEnd"/>
            <w:r w:rsidRPr="00F97CC8">
              <w:rPr>
                <w:rFonts w:cstheme="minorHAnsi"/>
                <w:sz w:val="17"/>
                <w:szCs w:val="17"/>
                <w:u w:val="single"/>
              </w:rPr>
              <w:t xml:space="preserve"> 2013</w:t>
            </w:r>
            <w:r w:rsidRPr="00F97CC8">
              <w:rPr>
                <w:rFonts w:cstheme="minorHAnsi"/>
                <w:sz w:val="17"/>
                <w:szCs w:val="17"/>
              </w:rPr>
              <w:t xml:space="preserve"> when single indication of induction of labor with prostaglandins is considered, advanced maternal age represents a significant independent risk factor for cesarean delivery</w:t>
            </w:r>
          </w:p>
          <w:p w14:paraId="513FBF75" w14:textId="77777777" w:rsidR="000718B0" w:rsidRPr="00F97CC8" w:rsidRDefault="000718B0" w:rsidP="00496ADD">
            <w:pPr>
              <w:spacing w:before="120" w:after="120" w:line="240" w:lineRule="auto"/>
              <w:rPr>
                <w:rFonts w:cstheme="minorHAnsi"/>
                <w:sz w:val="17"/>
                <w:szCs w:val="17"/>
              </w:rPr>
            </w:pPr>
            <w:r w:rsidRPr="00F97CC8">
              <w:rPr>
                <w:rFonts w:cstheme="minorHAnsi"/>
                <w:sz w:val="17"/>
                <w:szCs w:val="17"/>
                <w:u w:val="single"/>
              </w:rPr>
              <w:t>Timofeev 2013</w:t>
            </w:r>
            <w:r w:rsidRPr="00F97CC8">
              <w:rPr>
                <w:rFonts w:cstheme="minorHAnsi"/>
                <w:sz w:val="17"/>
                <w:szCs w:val="17"/>
              </w:rPr>
              <w:t xml:space="preserve"> maternal and obstetric complications differed by maternal age, as did rates of elective cesarean delivery; women aged 25.0-29.9 years had the lowest rate of serious neonatal morbidity</w:t>
            </w:r>
          </w:p>
          <w:p w14:paraId="15A0BD7A" w14:textId="77777777" w:rsidR="000718B0" w:rsidRPr="00F97CC8" w:rsidRDefault="000718B0" w:rsidP="00496ADD">
            <w:pPr>
              <w:spacing w:before="120" w:after="120" w:line="240" w:lineRule="auto"/>
              <w:rPr>
                <w:rFonts w:cstheme="minorHAnsi"/>
                <w:sz w:val="17"/>
                <w:szCs w:val="17"/>
              </w:rPr>
            </w:pPr>
            <w:r w:rsidRPr="00F97CC8">
              <w:rPr>
                <w:rFonts w:cstheme="minorHAnsi"/>
                <w:sz w:val="17"/>
                <w:szCs w:val="17"/>
                <w:u w:val="single"/>
              </w:rPr>
              <w:t>Canto 2012</w:t>
            </w:r>
            <w:r w:rsidRPr="00F97CC8">
              <w:rPr>
                <w:rFonts w:cstheme="minorHAnsi"/>
                <w:sz w:val="17"/>
                <w:szCs w:val="17"/>
              </w:rPr>
              <w:t xml:space="preserve"> population of older mothers showed a higher risk for being delivered by cesarean section and for developing either preeclampsia or gestational diabetes; the overall neonatal outcome was unaffected; these data may be helpful to counsel patients about their pregnancy expectations and possible outcomes</w:t>
            </w:r>
          </w:p>
          <w:p w14:paraId="5291C038" w14:textId="77777777" w:rsidR="000718B0" w:rsidRPr="00F97CC8" w:rsidRDefault="000718B0" w:rsidP="00496ADD">
            <w:pPr>
              <w:spacing w:before="120" w:after="120" w:line="240" w:lineRule="auto"/>
              <w:rPr>
                <w:rFonts w:cstheme="minorHAnsi"/>
                <w:sz w:val="17"/>
                <w:szCs w:val="17"/>
              </w:rPr>
            </w:pPr>
            <w:r w:rsidRPr="00F97CC8">
              <w:rPr>
                <w:rFonts w:cstheme="minorHAnsi"/>
                <w:sz w:val="17"/>
                <w:szCs w:val="17"/>
                <w:u w:val="single"/>
              </w:rPr>
              <w:t>Takahashi 2012</w:t>
            </w:r>
            <w:r w:rsidRPr="00F97CC8">
              <w:rPr>
                <w:rFonts w:cstheme="minorHAnsi"/>
                <w:sz w:val="17"/>
                <w:szCs w:val="17"/>
              </w:rPr>
              <w:t xml:space="preserve"> </w:t>
            </w:r>
            <w:r>
              <w:rPr>
                <w:rFonts w:cstheme="minorHAnsi"/>
                <w:sz w:val="17"/>
                <w:szCs w:val="17"/>
              </w:rPr>
              <w:t>CS</w:t>
            </w:r>
            <w:r w:rsidRPr="00F97CC8">
              <w:rPr>
                <w:rFonts w:cstheme="minorHAnsi"/>
                <w:sz w:val="17"/>
                <w:szCs w:val="17"/>
              </w:rPr>
              <w:t xml:space="preserve"> rate was 50.0% in primiparous women aged &gt; 40 years; in addition, CS caused by dystocia was almost twice as frequent in primiparous women aged &gt; 40 years as in women aged 35–39 years; among late </w:t>
            </w:r>
            <w:r w:rsidRPr="00F97CC8">
              <w:rPr>
                <w:rFonts w:cstheme="minorHAnsi"/>
                <w:sz w:val="17"/>
                <w:szCs w:val="17"/>
              </w:rPr>
              <w:lastRenderedPageBreak/>
              <w:t>pregnancies, primiparous women aged 40 years and older had higher risk of CS</w:t>
            </w:r>
          </w:p>
          <w:p w14:paraId="3C880873" w14:textId="77777777" w:rsidR="000718B0" w:rsidRPr="00F97CC8" w:rsidRDefault="000718B0" w:rsidP="00496ADD">
            <w:pPr>
              <w:spacing w:before="120" w:after="120" w:line="240" w:lineRule="auto"/>
              <w:rPr>
                <w:rFonts w:cstheme="minorHAnsi"/>
                <w:sz w:val="17"/>
                <w:szCs w:val="17"/>
              </w:rPr>
            </w:pPr>
            <w:r w:rsidRPr="00F97CC8">
              <w:rPr>
                <w:rFonts w:cstheme="minorHAnsi"/>
                <w:sz w:val="17"/>
                <w:szCs w:val="17"/>
                <w:u w:val="single"/>
              </w:rPr>
              <w:t>Carolan 2011</w:t>
            </w:r>
            <w:r w:rsidRPr="00F97CC8">
              <w:rPr>
                <w:rFonts w:cstheme="minorHAnsi"/>
                <w:sz w:val="17"/>
                <w:szCs w:val="17"/>
              </w:rPr>
              <w:t xml:space="preserve"> interventions in labor and birth increased with maternal age, and this effect was seen particularly for cesarean section among women admitted privately</w:t>
            </w:r>
          </w:p>
          <w:p w14:paraId="49B8F107" w14:textId="77777777" w:rsidR="000718B0" w:rsidRDefault="000718B0" w:rsidP="00496ADD">
            <w:pPr>
              <w:spacing w:before="120" w:after="120" w:line="240" w:lineRule="auto"/>
              <w:rPr>
                <w:rFonts w:cstheme="minorHAnsi"/>
                <w:sz w:val="17"/>
                <w:szCs w:val="17"/>
              </w:rPr>
            </w:pPr>
            <w:r w:rsidRPr="00F97CC8">
              <w:rPr>
                <w:rFonts w:cstheme="minorHAnsi"/>
                <w:sz w:val="17"/>
                <w:szCs w:val="17"/>
                <w:u w:val="single"/>
              </w:rPr>
              <w:t>Wang 2011</w:t>
            </w:r>
            <w:r w:rsidRPr="00F97CC8">
              <w:rPr>
                <w:rFonts w:cstheme="minorHAnsi"/>
                <w:sz w:val="17"/>
                <w:szCs w:val="17"/>
              </w:rPr>
              <w:t xml:space="preserve"> operative delivery is increased in </w:t>
            </w:r>
            <w:r>
              <w:rPr>
                <w:rFonts w:cstheme="minorHAnsi"/>
                <w:sz w:val="17"/>
                <w:szCs w:val="17"/>
              </w:rPr>
              <w:t xml:space="preserve">AMA, </w:t>
            </w:r>
            <w:r w:rsidRPr="000A064A">
              <w:rPr>
                <w:rFonts w:cstheme="minorHAnsi"/>
                <w:sz w:val="17"/>
                <w:szCs w:val="17"/>
              </w:rPr>
              <w:t>including caesarean sections, as well as instrumental vaginal deliveries in nulliparous women; in multiparous</w:t>
            </w:r>
            <w:r>
              <w:rPr>
                <w:rFonts w:cstheme="minorHAnsi"/>
                <w:sz w:val="17"/>
                <w:szCs w:val="17"/>
              </w:rPr>
              <w:t xml:space="preserve"> </w:t>
            </w:r>
            <w:r w:rsidRPr="000A064A">
              <w:rPr>
                <w:rFonts w:cstheme="minorHAnsi"/>
                <w:sz w:val="17"/>
                <w:szCs w:val="17"/>
              </w:rPr>
              <w:t xml:space="preserve">women, however, only the rate of caesarean section before </w:t>
            </w:r>
            <w:proofErr w:type="spellStart"/>
            <w:r w:rsidRPr="000A064A">
              <w:rPr>
                <w:rFonts w:cstheme="minorHAnsi"/>
                <w:sz w:val="17"/>
                <w:szCs w:val="17"/>
              </w:rPr>
              <w:t>labour</w:t>
            </w:r>
            <w:proofErr w:type="spellEnd"/>
            <w:r w:rsidRPr="000A064A">
              <w:rPr>
                <w:rFonts w:cstheme="minorHAnsi"/>
                <w:sz w:val="17"/>
                <w:szCs w:val="17"/>
              </w:rPr>
              <w:t xml:space="preserve"> was increased; AMA had no significant effect on other adverse obstetric and perinatal outcomes irrespective of parity</w:t>
            </w:r>
          </w:p>
          <w:p w14:paraId="57037DCC" w14:textId="77777777" w:rsidR="000718B0" w:rsidRPr="004F24EC" w:rsidRDefault="000718B0" w:rsidP="00496ADD">
            <w:pPr>
              <w:spacing w:before="120" w:after="120" w:line="240" w:lineRule="auto"/>
              <w:rPr>
                <w:rFonts w:cstheme="minorHAnsi"/>
                <w:sz w:val="17"/>
                <w:szCs w:val="17"/>
              </w:rPr>
            </w:pPr>
            <w:proofErr w:type="spellStart"/>
            <w:r w:rsidRPr="004F24EC">
              <w:rPr>
                <w:rFonts w:cstheme="minorHAnsi"/>
                <w:sz w:val="17"/>
                <w:szCs w:val="17"/>
                <w:u w:val="single"/>
              </w:rPr>
              <w:t>Roos</w:t>
            </w:r>
            <w:proofErr w:type="spellEnd"/>
            <w:r w:rsidRPr="004F24EC">
              <w:rPr>
                <w:rFonts w:cstheme="minorHAnsi"/>
                <w:sz w:val="17"/>
                <w:szCs w:val="17"/>
                <w:u w:val="single"/>
              </w:rPr>
              <w:t xml:space="preserve"> 2010</w:t>
            </w:r>
            <w:r w:rsidRPr="004F24EC">
              <w:rPr>
                <w:rFonts w:cstheme="minorHAnsi"/>
                <w:sz w:val="17"/>
                <w:szCs w:val="17"/>
              </w:rPr>
              <w:t xml:space="preserve"> nulliparity, advanced maternal age and obesity were the strongest risk factors for </w:t>
            </w:r>
            <w:proofErr w:type="spellStart"/>
            <w:r w:rsidRPr="004F24EC">
              <w:rPr>
                <w:rFonts w:cstheme="minorHAnsi"/>
                <w:sz w:val="17"/>
                <w:szCs w:val="17"/>
              </w:rPr>
              <w:t>postterm</w:t>
            </w:r>
            <w:proofErr w:type="spellEnd"/>
            <w:r w:rsidRPr="004F24EC">
              <w:rPr>
                <w:rFonts w:cstheme="minorHAnsi"/>
                <w:sz w:val="17"/>
                <w:szCs w:val="17"/>
              </w:rPr>
              <w:t xml:space="preserve"> pregnancy and CS following labor induction in </w:t>
            </w:r>
            <w:proofErr w:type="spellStart"/>
            <w:r w:rsidRPr="004F24EC">
              <w:rPr>
                <w:rFonts w:cstheme="minorHAnsi"/>
                <w:sz w:val="17"/>
                <w:szCs w:val="17"/>
              </w:rPr>
              <w:t>postterm</w:t>
            </w:r>
            <w:proofErr w:type="spellEnd"/>
            <w:r w:rsidRPr="004F24EC">
              <w:rPr>
                <w:rFonts w:cstheme="minorHAnsi"/>
                <w:sz w:val="17"/>
                <w:szCs w:val="17"/>
              </w:rPr>
              <w:t xml:space="preserve"> pregnancy; including maternal risk factors to the cervical assessment may improve prediction of vaginal delivery following labor induction in </w:t>
            </w:r>
            <w:proofErr w:type="spellStart"/>
            <w:r w:rsidRPr="004F24EC">
              <w:rPr>
                <w:rFonts w:cstheme="minorHAnsi"/>
                <w:sz w:val="17"/>
                <w:szCs w:val="17"/>
              </w:rPr>
              <w:t>postterm</w:t>
            </w:r>
            <w:proofErr w:type="spellEnd"/>
            <w:r w:rsidRPr="004F24EC">
              <w:rPr>
                <w:rFonts w:cstheme="minorHAnsi"/>
                <w:sz w:val="17"/>
                <w:szCs w:val="17"/>
              </w:rPr>
              <w:t xml:space="preserve"> pregnancy</w:t>
            </w:r>
          </w:p>
          <w:p w14:paraId="3BFDD64C" w14:textId="77777777" w:rsidR="000718B0" w:rsidRPr="004F24EC" w:rsidRDefault="000718B0" w:rsidP="00496ADD">
            <w:pPr>
              <w:spacing w:before="120" w:after="120" w:line="240" w:lineRule="auto"/>
              <w:rPr>
                <w:rFonts w:cstheme="minorHAnsi"/>
                <w:sz w:val="17"/>
                <w:szCs w:val="17"/>
              </w:rPr>
            </w:pPr>
            <w:r w:rsidRPr="004F24EC">
              <w:rPr>
                <w:rFonts w:cstheme="minorHAnsi"/>
                <w:sz w:val="17"/>
                <w:szCs w:val="17"/>
                <w:u w:val="single"/>
              </w:rPr>
              <w:t>Chan 2008</w:t>
            </w:r>
            <w:r w:rsidRPr="004F24EC">
              <w:rPr>
                <w:rFonts w:cstheme="minorHAnsi"/>
                <w:sz w:val="17"/>
                <w:szCs w:val="17"/>
              </w:rPr>
              <w:t xml:space="preserve"> obstetric outcome in women aged 40 years or older was influenced by parity; cesarean delivery and preterm birth before 37 weeks were independently associated with older age irrespective of parity; advanced age is a risk factor for preterm birth</w:t>
            </w:r>
          </w:p>
          <w:p w14:paraId="1412FDA0" w14:textId="77777777" w:rsidR="000718B0" w:rsidRPr="004F24EC" w:rsidRDefault="000718B0" w:rsidP="00496ADD">
            <w:pPr>
              <w:spacing w:before="120" w:after="120" w:line="240" w:lineRule="auto"/>
              <w:rPr>
                <w:rFonts w:cstheme="minorHAnsi"/>
                <w:sz w:val="17"/>
                <w:szCs w:val="17"/>
              </w:rPr>
            </w:pPr>
            <w:proofErr w:type="spellStart"/>
            <w:r w:rsidRPr="004F24EC">
              <w:rPr>
                <w:rFonts w:cstheme="minorHAnsi"/>
                <w:sz w:val="17"/>
                <w:szCs w:val="17"/>
                <w:u w:val="single"/>
              </w:rPr>
              <w:t>Diejomaoh</w:t>
            </w:r>
            <w:proofErr w:type="spellEnd"/>
            <w:r w:rsidRPr="004F24EC">
              <w:rPr>
                <w:rFonts w:cstheme="minorHAnsi"/>
                <w:sz w:val="17"/>
                <w:szCs w:val="17"/>
                <w:u w:val="single"/>
              </w:rPr>
              <w:t xml:space="preserve"> 2006</w:t>
            </w:r>
            <w:r w:rsidRPr="004F24EC">
              <w:rPr>
                <w:rFonts w:cstheme="minorHAnsi"/>
                <w:sz w:val="17"/>
                <w:szCs w:val="17"/>
              </w:rPr>
              <w:t xml:space="preserve"> </w:t>
            </w:r>
            <w:r>
              <w:rPr>
                <w:rFonts w:cstheme="minorHAnsi"/>
                <w:sz w:val="17"/>
                <w:szCs w:val="17"/>
              </w:rPr>
              <w:t>AMA</w:t>
            </w:r>
            <w:r w:rsidRPr="004F24EC">
              <w:rPr>
                <w:rFonts w:cstheme="minorHAnsi"/>
                <w:sz w:val="17"/>
                <w:szCs w:val="17"/>
              </w:rPr>
              <w:t xml:space="preserve"> of 40 years and over was not associated with adverse maternal and perinatal outcome, although the incidence of caesarean section was significantly increased in these women</w:t>
            </w:r>
          </w:p>
          <w:p w14:paraId="379898B3" w14:textId="77777777" w:rsidR="000718B0" w:rsidRDefault="000718B0" w:rsidP="00496ADD">
            <w:pPr>
              <w:spacing w:before="120" w:after="120" w:line="240" w:lineRule="auto"/>
              <w:rPr>
                <w:rFonts w:cstheme="minorHAnsi"/>
                <w:sz w:val="17"/>
                <w:szCs w:val="17"/>
              </w:rPr>
            </w:pPr>
            <w:r w:rsidRPr="004F24EC">
              <w:rPr>
                <w:rFonts w:cstheme="minorHAnsi"/>
                <w:sz w:val="17"/>
                <w:szCs w:val="17"/>
                <w:u w:val="single"/>
              </w:rPr>
              <w:t>Callaway 2005</w:t>
            </w:r>
            <w:r w:rsidRPr="004F24EC">
              <w:rPr>
                <w:rFonts w:cstheme="minorHAnsi"/>
                <w:sz w:val="17"/>
                <w:szCs w:val="17"/>
              </w:rPr>
              <w:t xml:space="preserve"> maternal and neonatal outcomes in this series were generally good; there was a significantly increased rate of </w:t>
            </w:r>
            <w:r>
              <w:rPr>
                <w:rFonts w:cstheme="minorHAnsi"/>
                <w:sz w:val="17"/>
                <w:szCs w:val="17"/>
              </w:rPr>
              <w:t>CS</w:t>
            </w:r>
            <w:r w:rsidRPr="004F24EC">
              <w:rPr>
                <w:rFonts w:cstheme="minorHAnsi"/>
                <w:sz w:val="17"/>
                <w:szCs w:val="17"/>
              </w:rPr>
              <w:t>; overall, this study is reassuring for women aged 45 and over who have good general health and</w:t>
            </w:r>
            <w:r w:rsidRPr="000A064A">
              <w:rPr>
                <w:rFonts w:cstheme="minorHAnsi"/>
                <w:sz w:val="17"/>
                <w:szCs w:val="17"/>
              </w:rPr>
              <w:t xml:space="preserve"> a chromosomally normal fetus</w:t>
            </w:r>
          </w:p>
          <w:p w14:paraId="7426DFFE" w14:textId="77777777" w:rsidR="000718B0" w:rsidRPr="004F24EC" w:rsidRDefault="000718B0" w:rsidP="00496ADD">
            <w:pPr>
              <w:spacing w:before="120" w:after="120" w:line="240" w:lineRule="auto"/>
              <w:rPr>
                <w:rFonts w:cstheme="minorHAnsi"/>
                <w:sz w:val="17"/>
                <w:szCs w:val="17"/>
              </w:rPr>
            </w:pPr>
            <w:proofErr w:type="spellStart"/>
            <w:r w:rsidRPr="004F24EC">
              <w:rPr>
                <w:rFonts w:cstheme="minorHAnsi"/>
                <w:sz w:val="17"/>
                <w:szCs w:val="17"/>
                <w:u w:val="single"/>
              </w:rPr>
              <w:t>Chibber</w:t>
            </w:r>
            <w:proofErr w:type="spellEnd"/>
            <w:r w:rsidRPr="004F24EC">
              <w:rPr>
                <w:rFonts w:cstheme="minorHAnsi"/>
                <w:sz w:val="17"/>
                <w:szCs w:val="17"/>
                <w:u w:val="single"/>
              </w:rPr>
              <w:t xml:space="preserve"> 2005</w:t>
            </w:r>
            <w:r w:rsidRPr="004F24EC">
              <w:rPr>
                <w:rFonts w:cstheme="minorHAnsi"/>
                <w:sz w:val="17"/>
                <w:szCs w:val="17"/>
              </w:rPr>
              <w:t xml:space="preserve"> appropriately screened women, aged 50 years or older, can deliver successfully; during pregnancy, they appear to be at increased risk of pre-eclampsia and gestational diabetes; a significant majority can expect to deliver via cesarean</w:t>
            </w:r>
          </w:p>
          <w:p w14:paraId="126C12BB" w14:textId="77777777" w:rsidR="000718B0" w:rsidRPr="004F24EC" w:rsidRDefault="000718B0" w:rsidP="00496ADD">
            <w:pPr>
              <w:spacing w:before="120" w:after="120" w:line="240" w:lineRule="auto"/>
              <w:rPr>
                <w:rFonts w:cstheme="minorHAnsi"/>
                <w:sz w:val="17"/>
                <w:szCs w:val="17"/>
              </w:rPr>
            </w:pPr>
            <w:proofErr w:type="spellStart"/>
            <w:r w:rsidRPr="004F24EC">
              <w:rPr>
                <w:rFonts w:cstheme="minorHAnsi"/>
                <w:sz w:val="17"/>
                <w:szCs w:val="17"/>
                <w:u w:val="single"/>
              </w:rPr>
              <w:t>Kozinszky</w:t>
            </w:r>
            <w:proofErr w:type="spellEnd"/>
            <w:r w:rsidRPr="004F24EC">
              <w:rPr>
                <w:rFonts w:cstheme="minorHAnsi"/>
                <w:sz w:val="17"/>
                <w:szCs w:val="17"/>
                <w:u w:val="single"/>
              </w:rPr>
              <w:t xml:space="preserve"> 2002</w:t>
            </w:r>
            <w:r w:rsidRPr="004F24EC">
              <w:rPr>
                <w:rFonts w:cstheme="minorHAnsi"/>
                <w:sz w:val="17"/>
                <w:szCs w:val="17"/>
              </w:rPr>
              <w:t xml:space="preserve"> the risk of cesarean section at this advanced age is 6.54-fold; the determinants are included in the pregnancy, delivery and neonatal outcome</w:t>
            </w:r>
          </w:p>
          <w:p w14:paraId="5717425C" w14:textId="77777777" w:rsidR="000718B0" w:rsidRDefault="000718B0" w:rsidP="00496ADD">
            <w:pPr>
              <w:spacing w:before="120" w:after="120" w:line="240" w:lineRule="auto"/>
              <w:rPr>
                <w:rFonts w:cstheme="minorHAnsi"/>
                <w:sz w:val="17"/>
                <w:szCs w:val="17"/>
              </w:rPr>
            </w:pPr>
            <w:r w:rsidRPr="004F24EC">
              <w:rPr>
                <w:rFonts w:cstheme="minorHAnsi"/>
                <w:sz w:val="17"/>
                <w:szCs w:val="17"/>
                <w:u w:val="single"/>
              </w:rPr>
              <w:t>Prasad 2000</w:t>
            </w:r>
            <w:r w:rsidRPr="004F24EC">
              <w:rPr>
                <w:rFonts w:cstheme="minorHAnsi"/>
                <w:sz w:val="17"/>
                <w:szCs w:val="17"/>
              </w:rPr>
              <w:t xml:space="preserve"> no increase</w:t>
            </w:r>
            <w:r w:rsidRPr="000A064A">
              <w:rPr>
                <w:rFonts w:cstheme="minorHAnsi"/>
                <w:sz w:val="17"/>
                <w:szCs w:val="17"/>
              </w:rPr>
              <w:t xml:space="preserve"> in complications of pregnancy though there was an increased </w:t>
            </w:r>
            <w:r>
              <w:rPr>
                <w:rFonts w:cstheme="minorHAnsi"/>
                <w:sz w:val="17"/>
                <w:szCs w:val="17"/>
              </w:rPr>
              <w:t>CS</w:t>
            </w:r>
            <w:r w:rsidRPr="000A064A">
              <w:rPr>
                <w:rFonts w:cstheme="minorHAnsi"/>
                <w:sz w:val="17"/>
                <w:szCs w:val="17"/>
              </w:rPr>
              <w:t xml:space="preserve"> rate and perinatal mortality rat</w:t>
            </w:r>
            <w:r>
              <w:rPr>
                <w:rFonts w:cstheme="minorHAnsi"/>
                <w:sz w:val="17"/>
                <w:szCs w:val="17"/>
              </w:rPr>
              <w:t>e</w:t>
            </w:r>
          </w:p>
          <w:p w14:paraId="3259A6A1" w14:textId="77777777" w:rsidR="000718B0" w:rsidRPr="00DD1DC0" w:rsidRDefault="000718B0" w:rsidP="00496ADD">
            <w:pPr>
              <w:spacing w:before="120" w:after="120" w:line="240" w:lineRule="auto"/>
              <w:rPr>
                <w:rFonts w:cstheme="minorHAnsi"/>
                <w:b/>
                <w:bCs/>
                <w:sz w:val="17"/>
                <w:szCs w:val="17"/>
              </w:rPr>
            </w:pPr>
          </w:p>
        </w:tc>
        <w:tc>
          <w:tcPr>
            <w:tcW w:w="4799" w:type="dxa"/>
            <w:tcBorders>
              <w:top w:val="nil"/>
              <w:left w:val="nil"/>
              <w:bottom w:val="nil"/>
              <w:right w:val="single" w:sz="4" w:space="0" w:color="D9D9D9" w:themeColor="background1" w:themeShade="D9"/>
            </w:tcBorders>
            <w:shd w:val="clear" w:color="auto" w:fill="auto"/>
            <w:vAlign w:val="center"/>
          </w:tcPr>
          <w:p w14:paraId="345A34D9" w14:textId="77777777" w:rsidR="000718B0" w:rsidRDefault="000718B0" w:rsidP="00496ADD">
            <w:pPr>
              <w:spacing w:before="120" w:after="120" w:line="240" w:lineRule="auto"/>
              <w:rPr>
                <w:rFonts w:cstheme="minorHAnsi"/>
                <w:b/>
                <w:bCs/>
                <w:sz w:val="17"/>
                <w:szCs w:val="17"/>
              </w:rPr>
            </w:pPr>
            <w:r w:rsidRPr="00DD1DC0">
              <w:rPr>
                <w:rFonts w:cstheme="minorHAnsi"/>
                <w:b/>
                <w:bCs/>
                <w:sz w:val="17"/>
                <w:szCs w:val="17"/>
              </w:rPr>
              <w:lastRenderedPageBreak/>
              <w:t>Category III</w:t>
            </w:r>
          </w:p>
          <w:p w14:paraId="03AA31D1" w14:textId="77777777" w:rsidR="000718B0" w:rsidRDefault="000718B0" w:rsidP="00496ADD">
            <w:pPr>
              <w:spacing w:before="120" w:after="120" w:line="240" w:lineRule="auto"/>
              <w:rPr>
                <w:rFonts w:cstheme="minorHAnsi"/>
                <w:b/>
                <w:bCs/>
                <w:sz w:val="17"/>
                <w:szCs w:val="17"/>
              </w:rPr>
            </w:pPr>
          </w:p>
          <w:p w14:paraId="3345CF41" w14:textId="77777777" w:rsidR="000718B0" w:rsidRDefault="000718B0" w:rsidP="00496ADD">
            <w:pPr>
              <w:spacing w:before="120" w:after="120" w:line="240" w:lineRule="auto"/>
              <w:rPr>
                <w:rFonts w:cstheme="minorHAnsi"/>
                <w:b/>
                <w:bCs/>
                <w:sz w:val="17"/>
                <w:szCs w:val="17"/>
              </w:rPr>
            </w:pPr>
          </w:p>
          <w:p w14:paraId="182CD086" w14:textId="77777777" w:rsidR="000718B0" w:rsidRDefault="000718B0" w:rsidP="00496ADD">
            <w:pPr>
              <w:spacing w:before="120" w:after="120" w:line="240" w:lineRule="auto"/>
              <w:rPr>
                <w:rFonts w:cstheme="minorHAnsi"/>
                <w:b/>
                <w:bCs/>
                <w:sz w:val="17"/>
                <w:szCs w:val="17"/>
              </w:rPr>
            </w:pPr>
          </w:p>
          <w:p w14:paraId="0A486B57" w14:textId="77777777" w:rsidR="000718B0" w:rsidRDefault="000718B0" w:rsidP="00496ADD">
            <w:pPr>
              <w:spacing w:before="120" w:after="120" w:line="240" w:lineRule="auto"/>
              <w:rPr>
                <w:rFonts w:cstheme="minorHAnsi"/>
                <w:b/>
                <w:bCs/>
                <w:sz w:val="17"/>
                <w:szCs w:val="17"/>
              </w:rPr>
            </w:pPr>
          </w:p>
          <w:p w14:paraId="174AA719" w14:textId="77777777" w:rsidR="000718B0" w:rsidRDefault="000718B0" w:rsidP="00496ADD">
            <w:pPr>
              <w:spacing w:before="120" w:after="120" w:line="240" w:lineRule="auto"/>
              <w:rPr>
                <w:rFonts w:cstheme="minorHAnsi"/>
                <w:b/>
                <w:bCs/>
                <w:sz w:val="17"/>
                <w:szCs w:val="17"/>
              </w:rPr>
            </w:pPr>
          </w:p>
          <w:p w14:paraId="25F9304B" w14:textId="77777777" w:rsidR="000718B0" w:rsidRDefault="000718B0" w:rsidP="00496ADD">
            <w:pPr>
              <w:spacing w:before="120" w:after="120" w:line="240" w:lineRule="auto"/>
              <w:rPr>
                <w:rFonts w:cstheme="minorHAnsi"/>
                <w:b/>
                <w:bCs/>
                <w:sz w:val="17"/>
                <w:szCs w:val="17"/>
              </w:rPr>
            </w:pPr>
          </w:p>
          <w:p w14:paraId="63BE684A" w14:textId="77777777" w:rsidR="000718B0" w:rsidRDefault="000718B0" w:rsidP="00496ADD">
            <w:pPr>
              <w:spacing w:before="120" w:after="120" w:line="240" w:lineRule="auto"/>
              <w:rPr>
                <w:rFonts w:cstheme="minorHAnsi"/>
                <w:b/>
                <w:bCs/>
                <w:sz w:val="17"/>
                <w:szCs w:val="17"/>
              </w:rPr>
            </w:pPr>
          </w:p>
          <w:p w14:paraId="1AB3BDD2" w14:textId="77777777" w:rsidR="000718B0" w:rsidRDefault="000718B0" w:rsidP="00496ADD">
            <w:pPr>
              <w:spacing w:before="120" w:after="120" w:line="240" w:lineRule="auto"/>
              <w:rPr>
                <w:rFonts w:cstheme="minorHAnsi"/>
                <w:b/>
                <w:bCs/>
                <w:sz w:val="17"/>
                <w:szCs w:val="17"/>
              </w:rPr>
            </w:pPr>
          </w:p>
          <w:p w14:paraId="7C85DA15" w14:textId="77777777" w:rsidR="000718B0" w:rsidRDefault="000718B0" w:rsidP="00496ADD">
            <w:pPr>
              <w:spacing w:before="120" w:after="120" w:line="240" w:lineRule="auto"/>
              <w:rPr>
                <w:rFonts w:cstheme="minorHAnsi"/>
                <w:b/>
                <w:bCs/>
                <w:sz w:val="17"/>
                <w:szCs w:val="17"/>
              </w:rPr>
            </w:pPr>
          </w:p>
          <w:p w14:paraId="360C4BB2" w14:textId="77777777" w:rsidR="000718B0" w:rsidRDefault="000718B0" w:rsidP="00496ADD">
            <w:pPr>
              <w:spacing w:before="120" w:after="120" w:line="240" w:lineRule="auto"/>
              <w:rPr>
                <w:rFonts w:cstheme="minorHAnsi"/>
                <w:b/>
                <w:bCs/>
                <w:sz w:val="17"/>
                <w:szCs w:val="17"/>
              </w:rPr>
            </w:pPr>
          </w:p>
          <w:p w14:paraId="10C0AD14" w14:textId="77777777" w:rsidR="000718B0" w:rsidRDefault="000718B0" w:rsidP="00496ADD">
            <w:pPr>
              <w:spacing w:before="120" w:after="120" w:line="240" w:lineRule="auto"/>
              <w:rPr>
                <w:rFonts w:cstheme="minorHAnsi"/>
                <w:b/>
                <w:bCs/>
                <w:sz w:val="17"/>
                <w:szCs w:val="17"/>
              </w:rPr>
            </w:pPr>
          </w:p>
          <w:p w14:paraId="4ABCA1B2" w14:textId="77777777" w:rsidR="000718B0" w:rsidRDefault="000718B0" w:rsidP="00496ADD">
            <w:pPr>
              <w:spacing w:before="120" w:after="120" w:line="240" w:lineRule="auto"/>
              <w:rPr>
                <w:rFonts w:cstheme="minorHAnsi"/>
                <w:b/>
                <w:bCs/>
                <w:sz w:val="17"/>
                <w:szCs w:val="17"/>
              </w:rPr>
            </w:pPr>
          </w:p>
          <w:p w14:paraId="419403CE" w14:textId="77777777" w:rsidR="000718B0" w:rsidRDefault="000718B0" w:rsidP="00496ADD">
            <w:pPr>
              <w:spacing w:before="120" w:after="120" w:line="240" w:lineRule="auto"/>
              <w:rPr>
                <w:rFonts w:cstheme="minorHAnsi"/>
                <w:b/>
                <w:bCs/>
                <w:sz w:val="17"/>
                <w:szCs w:val="17"/>
              </w:rPr>
            </w:pPr>
          </w:p>
          <w:p w14:paraId="6662BD04" w14:textId="77777777" w:rsidR="000718B0" w:rsidRDefault="000718B0" w:rsidP="00496ADD">
            <w:pPr>
              <w:spacing w:before="120" w:after="120" w:line="240" w:lineRule="auto"/>
              <w:rPr>
                <w:rFonts w:cstheme="minorHAnsi"/>
                <w:b/>
                <w:bCs/>
                <w:sz w:val="17"/>
                <w:szCs w:val="17"/>
              </w:rPr>
            </w:pPr>
          </w:p>
          <w:p w14:paraId="74FA31B8" w14:textId="77777777" w:rsidR="000718B0" w:rsidRDefault="000718B0" w:rsidP="00496ADD">
            <w:pPr>
              <w:spacing w:before="120" w:after="120" w:line="240" w:lineRule="auto"/>
              <w:rPr>
                <w:rFonts w:cstheme="minorHAnsi"/>
                <w:b/>
                <w:bCs/>
                <w:sz w:val="17"/>
                <w:szCs w:val="17"/>
              </w:rPr>
            </w:pPr>
          </w:p>
          <w:p w14:paraId="3D5255EE" w14:textId="77777777" w:rsidR="000718B0" w:rsidRDefault="000718B0" w:rsidP="00496ADD">
            <w:pPr>
              <w:spacing w:before="120" w:after="120" w:line="240" w:lineRule="auto"/>
              <w:rPr>
                <w:rFonts w:cstheme="minorHAnsi"/>
                <w:b/>
                <w:bCs/>
                <w:sz w:val="17"/>
                <w:szCs w:val="17"/>
              </w:rPr>
            </w:pPr>
          </w:p>
          <w:p w14:paraId="1AB76F7E" w14:textId="77777777" w:rsidR="000718B0" w:rsidRDefault="000718B0" w:rsidP="00496ADD">
            <w:pPr>
              <w:spacing w:before="120" w:after="120" w:line="240" w:lineRule="auto"/>
              <w:rPr>
                <w:rFonts w:cstheme="minorHAnsi"/>
                <w:b/>
                <w:bCs/>
                <w:sz w:val="17"/>
                <w:szCs w:val="17"/>
              </w:rPr>
            </w:pPr>
          </w:p>
          <w:p w14:paraId="0A3CFB0F" w14:textId="77777777" w:rsidR="000718B0" w:rsidRDefault="000718B0" w:rsidP="00496ADD">
            <w:pPr>
              <w:spacing w:before="120" w:after="120" w:line="240" w:lineRule="auto"/>
              <w:rPr>
                <w:rFonts w:cstheme="minorHAnsi"/>
                <w:b/>
                <w:bCs/>
                <w:sz w:val="17"/>
                <w:szCs w:val="17"/>
              </w:rPr>
            </w:pPr>
          </w:p>
          <w:p w14:paraId="60783076" w14:textId="77777777" w:rsidR="000718B0" w:rsidRDefault="000718B0" w:rsidP="00496ADD">
            <w:pPr>
              <w:spacing w:before="120" w:after="120" w:line="240" w:lineRule="auto"/>
              <w:rPr>
                <w:rFonts w:cstheme="minorHAnsi"/>
                <w:b/>
                <w:bCs/>
                <w:sz w:val="17"/>
                <w:szCs w:val="17"/>
              </w:rPr>
            </w:pPr>
          </w:p>
          <w:p w14:paraId="7DE7F9AD" w14:textId="77777777" w:rsidR="000718B0" w:rsidRPr="00DD1DC0" w:rsidRDefault="000718B0" w:rsidP="00496ADD">
            <w:pPr>
              <w:spacing w:before="120" w:after="120" w:line="240" w:lineRule="auto"/>
              <w:rPr>
                <w:rFonts w:cstheme="minorHAnsi"/>
                <w:b/>
                <w:bCs/>
                <w:sz w:val="17"/>
                <w:szCs w:val="17"/>
              </w:rPr>
            </w:pPr>
          </w:p>
          <w:p w14:paraId="476267BF" w14:textId="77777777" w:rsidR="000718B0" w:rsidRDefault="000718B0" w:rsidP="00496ADD">
            <w:pPr>
              <w:spacing w:before="120" w:after="120" w:line="240" w:lineRule="auto"/>
              <w:rPr>
                <w:rFonts w:cstheme="minorHAnsi"/>
                <w:b/>
                <w:bCs/>
                <w:sz w:val="17"/>
                <w:szCs w:val="17"/>
              </w:rPr>
            </w:pPr>
          </w:p>
          <w:p w14:paraId="2532D4A5" w14:textId="77777777" w:rsidR="000718B0" w:rsidRDefault="000718B0" w:rsidP="00496ADD">
            <w:pPr>
              <w:spacing w:before="120" w:after="120" w:line="240" w:lineRule="auto"/>
              <w:rPr>
                <w:rFonts w:cstheme="minorHAnsi"/>
                <w:b/>
                <w:bCs/>
                <w:sz w:val="17"/>
                <w:szCs w:val="17"/>
              </w:rPr>
            </w:pPr>
          </w:p>
          <w:p w14:paraId="2A1471A5" w14:textId="77777777" w:rsidR="000718B0" w:rsidRDefault="000718B0" w:rsidP="00496ADD">
            <w:pPr>
              <w:spacing w:before="120" w:after="120" w:line="240" w:lineRule="auto"/>
              <w:rPr>
                <w:rFonts w:cstheme="minorHAnsi"/>
                <w:b/>
                <w:bCs/>
                <w:sz w:val="17"/>
                <w:szCs w:val="17"/>
              </w:rPr>
            </w:pPr>
          </w:p>
          <w:p w14:paraId="6D588727" w14:textId="77777777" w:rsidR="000718B0" w:rsidRPr="00DD1DC0" w:rsidRDefault="000718B0" w:rsidP="00496ADD">
            <w:pPr>
              <w:spacing w:before="120" w:after="120" w:line="240" w:lineRule="auto"/>
              <w:rPr>
                <w:rFonts w:cstheme="minorHAnsi"/>
                <w:b/>
                <w:bCs/>
                <w:sz w:val="17"/>
                <w:szCs w:val="17"/>
              </w:rPr>
            </w:pPr>
          </w:p>
        </w:tc>
      </w:tr>
      <w:tr w:rsidR="000718B0" w:rsidRPr="00EE0EA9" w14:paraId="33697A3C" w14:textId="77777777" w:rsidTr="00496ADD">
        <w:trPr>
          <w:cantSplit/>
          <w:trHeight w:val="167"/>
        </w:trPr>
        <w:tc>
          <w:tcPr>
            <w:tcW w:w="14395" w:type="dxa"/>
            <w:gridSpan w:val="3"/>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2A44FB4D" w14:textId="77777777" w:rsidR="000718B0" w:rsidRDefault="000718B0" w:rsidP="00496ADD">
            <w:pPr>
              <w:spacing w:before="120" w:after="120" w:line="240" w:lineRule="auto"/>
              <w:rPr>
                <w:rFonts w:cstheme="minorHAnsi"/>
                <w:b/>
                <w:bCs/>
                <w:sz w:val="20"/>
                <w:szCs w:val="20"/>
              </w:rPr>
            </w:pPr>
            <w:r>
              <w:rPr>
                <w:rFonts w:cstheme="minorHAnsi"/>
                <w:b/>
                <w:bCs/>
                <w:sz w:val="20"/>
                <w:szCs w:val="20"/>
              </w:rPr>
              <w:lastRenderedPageBreak/>
              <w:t xml:space="preserve">Fetal Risks </w:t>
            </w:r>
          </w:p>
        </w:tc>
      </w:tr>
      <w:tr w:rsidR="000718B0" w:rsidRPr="00EE0EA9" w14:paraId="7414B60C" w14:textId="77777777" w:rsidTr="00496ADD">
        <w:trPr>
          <w:cantSplit/>
          <w:trHeight w:val="345"/>
        </w:trPr>
        <w:tc>
          <w:tcPr>
            <w:tcW w:w="14395" w:type="dxa"/>
            <w:gridSpan w:val="3"/>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F2F2F2" w:themeFill="background1" w:themeFillShade="F2"/>
          </w:tcPr>
          <w:p w14:paraId="708331A7" w14:textId="77777777" w:rsidR="000718B0" w:rsidRPr="00D15ACA" w:rsidRDefault="000718B0" w:rsidP="00496ADD">
            <w:pPr>
              <w:spacing w:before="120" w:after="120" w:line="240" w:lineRule="auto"/>
              <w:rPr>
                <w:rFonts w:cstheme="minorHAnsi"/>
                <w:b/>
                <w:bCs/>
                <w:sz w:val="18"/>
                <w:szCs w:val="18"/>
              </w:rPr>
            </w:pPr>
            <w:r w:rsidRPr="00D15ACA">
              <w:rPr>
                <w:rFonts w:cstheme="minorHAnsi"/>
                <w:b/>
                <w:bCs/>
                <w:sz w:val="18"/>
                <w:szCs w:val="18"/>
              </w:rPr>
              <w:t>RECOMMENDATION STATEMENT</w:t>
            </w:r>
            <w:r>
              <w:rPr>
                <w:rFonts w:cstheme="minorHAnsi"/>
                <w:b/>
                <w:bCs/>
                <w:sz w:val="18"/>
                <w:szCs w:val="18"/>
              </w:rPr>
              <w:t xml:space="preserve">S </w:t>
            </w:r>
          </w:p>
        </w:tc>
      </w:tr>
      <w:tr w:rsidR="000718B0" w:rsidRPr="00EE0EA9" w14:paraId="04A38B5E" w14:textId="77777777" w:rsidTr="00496ADD">
        <w:trPr>
          <w:cantSplit/>
          <w:trHeight w:val="541"/>
        </w:trPr>
        <w:tc>
          <w:tcPr>
            <w:tcW w:w="14395" w:type="dxa"/>
            <w:gridSpan w:val="3"/>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998D73B" w14:textId="77777777" w:rsidR="000718B0" w:rsidRDefault="000718B0" w:rsidP="00496ADD">
            <w:pPr>
              <w:spacing w:after="120"/>
              <w:rPr>
                <w:rFonts w:cstheme="minorHAnsi"/>
                <w:sz w:val="17"/>
                <w:szCs w:val="17"/>
              </w:rPr>
            </w:pPr>
            <w:r w:rsidRPr="006E04F5">
              <w:rPr>
                <w:rFonts w:cstheme="minorHAnsi"/>
                <w:sz w:val="17"/>
                <w:szCs w:val="17"/>
              </w:rPr>
              <w:t xml:space="preserve">Given increased rates of multiple gestations for pregnant individuals with anticipated delivery at age 35 years or older, we suggest a first trimester ultrasound. </w:t>
            </w:r>
            <w:r w:rsidRPr="00364EBE">
              <w:rPr>
                <w:rFonts w:cstheme="minorHAnsi"/>
                <w:sz w:val="17"/>
                <w:szCs w:val="17"/>
              </w:rPr>
              <w:t>(GRADE 2C)</w:t>
            </w:r>
          </w:p>
          <w:p w14:paraId="5785C96D" w14:textId="77777777" w:rsidR="000718B0" w:rsidRDefault="000718B0" w:rsidP="00496ADD">
            <w:pPr>
              <w:spacing w:after="120"/>
              <w:rPr>
                <w:rFonts w:cstheme="minorHAnsi"/>
                <w:sz w:val="17"/>
                <w:szCs w:val="17"/>
              </w:rPr>
            </w:pPr>
            <w:r w:rsidRPr="00E36EC1">
              <w:rPr>
                <w:rFonts w:cstheme="minorHAnsi"/>
                <w:sz w:val="17"/>
                <w:szCs w:val="17"/>
              </w:rPr>
              <w:t xml:space="preserve">We recommend prenatal genetic screening (serum screening with or without nuchal translucency [NT] ultrasound or cell-free DNA screening) and diagnostic testing (chorionic villus sampling [CVS] or amniocentesis) options be discussed and offered to all pregnant individuals regardless of age or risk of chromosomal abnormality. After review and discussion, every patient has the right to pursue or decline prenatal genetic screening and diagnostic testing. </w:t>
            </w:r>
            <w:r w:rsidRPr="003421BD">
              <w:rPr>
                <w:rFonts w:cstheme="minorHAnsi"/>
                <w:sz w:val="17"/>
                <w:szCs w:val="17"/>
              </w:rPr>
              <w:t>(GRADE 1A)</w:t>
            </w:r>
          </w:p>
          <w:p w14:paraId="428D3004" w14:textId="5F7BB5A5" w:rsidR="000718B0" w:rsidRDefault="000718B0" w:rsidP="00496ADD">
            <w:pPr>
              <w:spacing w:after="120"/>
              <w:rPr>
                <w:rFonts w:cstheme="minorHAnsi"/>
                <w:sz w:val="17"/>
                <w:szCs w:val="17"/>
              </w:rPr>
            </w:pPr>
            <w:r w:rsidRPr="00121305">
              <w:rPr>
                <w:rFonts w:cstheme="minorHAnsi"/>
                <w:sz w:val="17"/>
                <w:szCs w:val="17"/>
              </w:rPr>
              <w:t xml:space="preserve">We suggest a detailed </w:t>
            </w:r>
            <w:r>
              <w:rPr>
                <w:rFonts w:cstheme="minorHAnsi"/>
                <w:sz w:val="17"/>
                <w:szCs w:val="17"/>
              </w:rPr>
              <w:t xml:space="preserve">fetal anatomic </w:t>
            </w:r>
            <w:r w:rsidRPr="00121305">
              <w:rPr>
                <w:rFonts w:cstheme="minorHAnsi"/>
                <w:sz w:val="17"/>
                <w:szCs w:val="17"/>
              </w:rPr>
              <w:t xml:space="preserve">ultrasound for pregnant individuals with anticipated delivery at age 35 years or older given the increased risk of aneuploidy and potential increased risk of congenital anomalies in this population. </w:t>
            </w:r>
            <w:r w:rsidRPr="003421BD">
              <w:rPr>
                <w:rFonts w:cstheme="minorHAnsi"/>
                <w:sz w:val="17"/>
                <w:szCs w:val="17"/>
              </w:rPr>
              <w:t>(GRADE 2C)</w:t>
            </w:r>
          </w:p>
          <w:p w14:paraId="3D77E5FD" w14:textId="77777777" w:rsidR="000718B0" w:rsidRDefault="000718B0" w:rsidP="00496ADD">
            <w:pPr>
              <w:spacing w:after="120"/>
              <w:rPr>
                <w:rFonts w:cstheme="minorHAnsi"/>
                <w:sz w:val="17"/>
                <w:szCs w:val="17"/>
              </w:rPr>
            </w:pPr>
            <w:r w:rsidRPr="00D56140">
              <w:rPr>
                <w:rFonts w:cstheme="minorHAnsi"/>
                <w:sz w:val="17"/>
                <w:szCs w:val="17"/>
              </w:rPr>
              <w:t xml:space="preserve">Due to increased risk of both large for gestational age and small for gestational age neonates, we suggest an ultrasound for growth assessment in the third trimester for pregnant individuals with anticipated delivery at age 40 years or older. </w:t>
            </w:r>
            <w:r w:rsidRPr="003421BD">
              <w:rPr>
                <w:rFonts w:cstheme="minorHAnsi"/>
                <w:sz w:val="17"/>
                <w:szCs w:val="17"/>
              </w:rPr>
              <w:t>(GRADE 2C)</w:t>
            </w:r>
          </w:p>
          <w:p w14:paraId="3BBF0143" w14:textId="77777777" w:rsidR="000718B0" w:rsidRDefault="000718B0" w:rsidP="00496ADD">
            <w:pPr>
              <w:spacing w:after="120"/>
              <w:rPr>
                <w:rFonts w:cstheme="minorHAnsi"/>
                <w:sz w:val="17"/>
                <w:szCs w:val="17"/>
              </w:rPr>
            </w:pPr>
            <w:r w:rsidRPr="00DE1A08">
              <w:rPr>
                <w:rFonts w:cstheme="minorHAnsi"/>
                <w:sz w:val="17"/>
                <w:szCs w:val="17"/>
              </w:rPr>
              <w:t>We suggest offering antenatal fetal surveillance for pregnant individuals with anticipated delivery at age 40 years or older given the increased risk of stillbirth</w:t>
            </w:r>
            <w:r>
              <w:rPr>
                <w:rFonts w:cstheme="minorHAnsi"/>
                <w:sz w:val="17"/>
                <w:szCs w:val="17"/>
              </w:rPr>
              <w:t>.</w:t>
            </w:r>
            <w:r w:rsidRPr="00DE1A08">
              <w:rPr>
                <w:rFonts w:cstheme="minorHAnsi"/>
                <w:sz w:val="17"/>
                <w:szCs w:val="17"/>
              </w:rPr>
              <w:t xml:space="preserve"> </w:t>
            </w:r>
            <w:r w:rsidRPr="003421BD">
              <w:rPr>
                <w:rFonts w:cstheme="minorHAnsi"/>
                <w:sz w:val="17"/>
                <w:szCs w:val="17"/>
              </w:rPr>
              <w:t>(GRADE 2B)</w:t>
            </w:r>
          </w:p>
          <w:p w14:paraId="29A045D3" w14:textId="77777777" w:rsidR="000718B0" w:rsidRPr="00AE08C2" w:rsidRDefault="000718B0" w:rsidP="00496ADD">
            <w:pPr>
              <w:spacing w:after="120"/>
              <w:rPr>
                <w:rFonts w:cstheme="minorHAnsi"/>
                <w:sz w:val="17"/>
                <w:szCs w:val="17"/>
              </w:rPr>
            </w:pPr>
            <w:r w:rsidRPr="00711441">
              <w:rPr>
                <w:rFonts w:cstheme="minorHAnsi"/>
                <w:sz w:val="17"/>
                <w:szCs w:val="17"/>
              </w:rPr>
              <w:t>We recommend proceeding with delivery in well-dated pregnancies at 39 0/7 – 39 6/7 weeks of gestation for individuals with anticipated delivery at 40 years and older due to increasing rates of neonatal morbidity and stillbirth beyond this gestational age.  (GRADE 1B)</w:t>
            </w:r>
          </w:p>
        </w:tc>
      </w:tr>
      <w:tr w:rsidR="000718B0" w:rsidRPr="00EE0EA9" w14:paraId="069FDE13" w14:textId="77777777" w:rsidTr="00496ADD">
        <w:trPr>
          <w:cantSplit/>
          <w:trHeight w:val="252"/>
        </w:trPr>
        <w:tc>
          <w:tcPr>
            <w:tcW w:w="14395" w:type="dxa"/>
            <w:gridSpan w:val="3"/>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11265537" w14:textId="77777777" w:rsidR="000718B0" w:rsidRPr="006D3199" w:rsidRDefault="000718B0" w:rsidP="00496ADD">
            <w:pPr>
              <w:spacing w:before="240" w:line="240" w:lineRule="auto"/>
              <w:rPr>
                <w:rFonts w:asciiTheme="majorHAnsi" w:hAnsiTheme="majorHAnsi" w:cstheme="majorHAnsi"/>
                <w:b/>
                <w:bCs/>
                <w:sz w:val="18"/>
                <w:szCs w:val="18"/>
              </w:rPr>
            </w:pPr>
            <w:r w:rsidRPr="006D3199">
              <w:rPr>
                <w:rFonts w:asciiTheme="majorHAnsi" w:hAnsiTheme="majorHAnsi" w:cstheme="majorHAnsi"/>
                <w:b/>
                <w:bCs/>
                <w:sz w:val="18"/>
                <w:szCs w:val="18"/>
              </w:rPr>
              <w:t>SUPPORTING EVIDENCE</w:t>
            </w:r>
          </w:p>
        </w:tc>
      </w:tr>
      <w:tr w:rsidR="000718B0" w:rsidRPr="00EE0EA9" w14:paraId="080CFAAC" w14:textId="77777777" w:rsidTr="00496ADD">
        <w:trPr>
          <w:cantSplit/>
          <w:trHeight w:val="252"/>
        </w:trPr>
        <w:tc>
          <w:tcPr>
            <w:tcW w:w="14395" w:type="dxa"/>
            <w:gridSpan w:val="3"/>
            <w:tcBorders>
              <w:top w:val="nil"/>
              <w:left w:val="single" w:sz="4" w:space="0" w:color="D9D9D9" w:themeColor="background1" w:themeShade="D9"/>
              <w:bottom w:val="nil"/>
              <w:right w:val="single" w:sz="4" w:space="0" w:color="D9D9D9" w:themeColor="background1" w:themeShade="D9"/>
            </w:tcBorders>
          </w:tcPr>
          <w:p w14:paraId="3E173021" w14:textId="77777777" w:rsidR="000718B0" w:rsidRDefault="000718B0" w:rsidP="00496ADD">
            <w:pPr>
              <w:spacing w:after="120"/>
              <w:rPr>
                <w:rFonts w:asciiTheme="majorHAnsi" w:hAnsiTheme="majorHAnsi" w:cstheme="majorHAnsi"/>
                <w:b/>
                <w:bCs/>
                <w:sz w:val="18"/>
                <w:szCs w:val="18"/>
              </w:rPr>
            </w:pPr>
            <w:r w:rsidRPr="009D4417">
              <w:rPr>
                <w:rFonts w:asciiTheme="majorHAnsi" w:hAnsiTheme="majorHAnsi" w:cstheme="majorHAnsi"/>
                <w:b/>
                <w:bCs/>
                <w:sz w:val="18"/>
                <w:szCs w:val="18"/>
              </w:rPr>
              <w:t>Related Guidelines</w:t>
            </w:r>
          </w:p>
          <w:p w14:paraId="1A9E48CB" w14:textId="77777777" w:rsidR="000718B0" w:rsidRPr="004F24EC" w:rsidRDefault="000718B0" w:rsidP="00496ADD">
            <w:pPr>
              <w:spacing w:after="120"/>
              <w:rPr>
                <w:rFonts w:asciiTheme="majorHAnsi" w:hAnsiTheme="majorHAnsi" w:cstheme="majorHAnsi"/>
                <w:sz w:val="17"/>
                <w:szCs w:val="17"/>
              </w:rPr>
            </w:pPr>
            <w:r w:rsidRPr="004F24EC">
              <w:rPr>
                <w:rFonts w:asciiTheme="majorHAnsi" w:hAnsiTheme="majorHAnsi" w:cstheme="majorHAnsi"/>
                <w:sz w:val="17"/>
                <w:szCs w:val="17"/>
                <w:u w:val="single"/>
              </w:rPr>
              <w:t xml:space="preserve">ACOG Committee Opinion #828 2021: </w:t>
            </w:r>
            <w:r w:rsidRPr="004F24EC">
              <w:t xml:space="preserve"> </w:t>
            </w:r>
            <w:r w:rsidRPr="004F24EC">
              <w:rPr>
                <w:rFonts w:asciiTheme="majorHAnsi" w:hAnsiTheme="majorHAnsi" w:cstheme="majorHAnsi"/>
                <w:sz w:val="17"/>
                <w:szCs w:val="17"/>
              </w:rPr>
              <w:t>Indications for Outpatient Antenatal Fetal Surveillance: Committee Opinion provides guidance on and suggests surveillance for conditions for which stillbirth is reported to occur more frequently than 0.8 per 1,000 (the false-negative rate of a biophysical profil</w:t>
            </w:r>
            <w:bookmarkStart w:id="0" w:name="_GoBack"/>
            <w:bookmarkEnd w:id="0"/>
            <w:r w:rsidRPr="004F24EC">
              <w:rPr>
                <w:rFonts w:asciiTheme="majorHAnsi" w:hAnsiTheme="majorHAnsi" w:cstheme="majorHAnsi"/>
                <w:sz w:val="17"/>
                <w:szCs w:val="17"/>
              </w:rPr>
              <w:t>e or modified biophysical profile) and which are associated with a relative risk (RR) or odds ratio for stillbirth of more than 2.0 compared with pregnancies without the condition.</w:t>
            </w:r>
          </w:p>
          <w:p w14:paraId="455B4F50" w14:textId="77777777" w:rsidR="000718B0" w:rsidRPr="004F24EC" w:rsidRDefault="000718B0" w:rsidP="00496ADD">
            <w:pPr>
              <w:spacing w:after="120"/>
              <w:rPr>
                <w:rFonts w:asciiTheme="majorHAnsi" w:hAnsiTheme="majorHAnsi" w:cstheme="majorHAnsi"/>
                <w:sz w:val="17"/>
                <w:szCs w:val="17"/>
              </w:rPr>
            </w:pPr>
            <w:r w:rsidRPr="004F24EC">
              <w:rPr>
                <w:rFonts w:asciiTheme="majorHAnsi" w:hAnsiTheme="majorHAnsi" w:cstheme="majorHAnsi"/>
                <w:sz w:val="17"/>
                <w:szCs w:val="17"/>
                <w:u w:val="single"/>
              </w:rPr>
              <w:t xml:space="preserve">ACOG Practice Bulletin #231 2021: </w:t>
            </w:r>
            <w:r w:rsidRPr="004F24EC">
              <w:t xml:space="preserve"> </w:t>
            </w:r>
            <w:r w:rsidRPr="004F24EC">
              <w:rPr>
                <w:sz w:val="17"/>
                <w:szCs w:val="17"/>
              </w:rPr>
              <w:t>Multifetal Gestations: Twin Triplet and Higher-Order Multifetal Pregnancies:</w:t>
            </w:r>
            <w:r w:rsidRPr="004F24EC">
              <w:t xml:space="preserve"> </w:t>
            </w:r>
            <w:r w:rsidRPr="004F24EC">
              <w:rPr>
                <w:rFonts w:asciiTheme="majorHAnsi" w:hAnsiTheme="majorHAnsi" w:cstheme="majorHAnsi"/>
                <w:sz w:val="17"/>
                <w:szCs w:val="17"/>
              </w:rPr>
              <w:t>All women with multifetal gestations, regardless of age, are candidates for routine screening for fetal chromosomal abnormalities.</w:t>
            </w:r>
            <w:r w:rsidRPr="004F24EC">
              <w:t xml:space="preserve"> </w:t>
            </w:r>
            <w:r w:rsidRPr="004F24EC">
              <w:rPr>
                <w:rFonts w:asciiTheme="majorHAnsi" w:hAnsiTheme="majorHAnsi" w:cstheme="majorHAnsi"/>
                <w:sz w:val="17"/>
                <w:szCs w:val="17"/>
              </w:rPr>
              <w:t>The optimal gestational age for initiation of surveillance in pregnant individuals with uncomplicated dichorionic twins is not known. However, for patients with uncomplicated dichorionic twin pregnancies, weekly antenatal fetal surveillance may be considered at 36 0/7 weeks of gestation.</w:t>
            </w:r>
          </w:p>
          <w:p w14:paraId="5AFE9969" w14:textId="77777777" w:rsidR="000718B0" w:rsidRPr="004F24EC" w:rsidRDefault="000718B0" w:rsidP="00496ADD">
            <w:pPr>
              <w:spacing w:after="120"/>
              <w:rPr>
                <w:rFonts w:asciiTheme="majorHAnsi" w:hAnsiTheme="majorHAnsi" w:cstheme="majorHAnsi"/>
                <w:sz w:val="17"/>
                <w:szCs w:val="17"/>
              </w:rPr>
            </w:pPr>
            <w:r w:rsidRPr="004F24EC">
              <w:rPr>
                <w:rFonts w:asciiTheme="majorHAnsi" w:hAnsiTheme="majorHAnsi" w:cstheme="majorHAnsi"/>
                <w:sz w:val="17"/>
                <w:szCs w:val="17"/>
                <w:u w:val="single"/>
              </w:rPr>
              <w:t xml:space="preserve">ACOG SMFM Practice Bulletin # 226 2020: </w:t>
            </w:r>
            <w:r w:rsidRPr="004F24EC">
              <w:rPr>
                <w:rFonts w:asciiTheme="majorHAnsi" w:hAnsiTheme="majorHAnsi" w:cstheme="majorHAnsi"/>
                <w:sz w:val="17"/>
                <w:szCs w:val="17"/>
              </w:rPr>
              <w:t>Screening for Fetal Chromosomal Abnormalities: When considering screening test characteristics, no one test is superior in all circumstances, which results in the need for nuanced, patient-centered counseling from the obstetric care professional and complex decision making by the patients; each patient should be counseled in each pregnancy about options for testing for fetal chromosomal abnormalities. Maternal age is a factor associated with the likelihood of chromosomal abnormalities</w:t>
            </w:r>
          </w:p>
          <w:p w14:paraId="745039D1" w14:textId="77777777" w:rsidR="000718B0" w:rsidRPr="004F24EC" w:rsidRDefault="000718B0" w:rsidP="00496ADD">
            <w:pPr>
              <w:spacing w:after="120"/>
              <w:rPr>
                <w:rFonts w:asciiTheme="majorHAnsi" w:hAnsiTheme="majorHAnsi" w:cstheme="majorHAnsi"/>
                <w:sz w:val="17"/>
                <w:szCs w:val="17"/>
              </w:rPr>
            </w:pPr>
            <w:r w:rsidRPr="004F24EC">
              <w:rPr>
                <w:rFonts w:asciiTheme="majorHAnsi" w:hAnsiTheme="majorHAnsi" w:cstheme="majorHAnsi"/>
                <w:sz w:val="17"/>
                <w:szCs w:val="17"/>
                <w:u w:val="single"/>
              </w:rPr>
              <w:t>ACOG Practice Advisory 2018</w:t>
            </w:r>
            <w:r w:rsidRPr="004F24EC">
              <w:rPr>
                <w:rFonts w:asciiTheme="majorHAnsi" w:hAnsiTheme="majorHAnsi" w:cstheme="majorHAnsi"/>
                <w:sz w:val="17"/>
                <w:szCs w:val="17"/>
              </w:rPr>
              <w:t xml:space="preserve">: Clinical Guidance for Integration of the Findings of The ARRIVE Trial: Labor Induction Versus Expectant Management in Low-Risk Nulliparous Women: </w:t>
            </w:r>
            <w:r w:rsidRPr="004F24EC">
              <w:t xml:space="preserve"> </w:t>
            </w:r>
            <w:r w:rsidRPr="004F24EC">
              <w:rPr>
                <w:rFonts w:asciiTheme="majorHAnsi" w:hAnsiTheme="majorHAnsi" w:cstheme="majorHAnsi"/>
                <w:sz w:val="17"/>
                <w:szCs w:val="17"/>
              </w:rPr>
              <w:t xml:space="preserve">Based on the findings demonstrated in this trial, it is reasonable for obstetricians and health-care facilities to offer elective induction of labor to low-risk nulliparous women at 39 weeks gestation. However, consideration for enactment of this elective induction of labor intervention should not only take into account the trial findings, but that this recommendation may be conditional upon the values and preferences of the pregnant woman, the resources available (including personnel), and the setting in which the intervention will be implemented. A collaborative discussion with shared-decision making should take place with the pregnant woman. Additionally, as induction of labor involves coordination between the health care provider and the infrastructure in which induction and delivery will occur, it is critical that personnel and facilities coordinate polices related to the offering of elective induction of labor. Current guidance from the American College of Obstetricians and Gynecologists and the Society for Maternal-Fetal Medicine recommends that if the maternal and fetal status allow, cesarean births for failed induction of labor in the latent phase can be avoided by allowing longer durations of the latent phase (up to 24 hours or longer) and requiring that oxytocin be administered for at least 12–18 hours after membrane rupture before deeming the induction a failure. </w:t>
            </w:r>
          </w:p>
          <w:p w14:paraId="44C6FD9D" w14:textId="77777777" w:rsidR="000718B0" w:rsidRPr="004F24EC" w:rsidRDefault="000718B0" w:rsidP="00496ADD">
            <w:pPr>
              <w:spacing w:after="120"/>
              <w:rPr>
                <w:rFonts w:asciiTheme="majorHAnsi" w:hAnsiTheme="majorHAnsi" w:cstheme="majorHAnsi"/>
                <w:sz w:val="17"/>
                <w:szCs w:val="17"/>
              </w:rPr>
            </w:pPr>
            <w:r w:rsidRPr="004F24EC">
              <w:rPr>
                <w:rFonts w:asciiTheme="majorHAnsi" w:hAnsiTheme="majorHAnsi" w:cstheme="majorHAnsi"/>
                <w:sz w:val="17"/>
                <w:szCs w:val="17"/>
                <w:u w:val="single"/>
              </w:rPr>
              <w:t>ACOG Committee Opinion #589 2014:</w:t>
            </w:r>
            <w:r w:rsidRPr="004F24EC">
              <w:rPr>
                <w:rFonts w:asciiTheme="majorHAnsi" w:hAnsiTheme="majorHAnsi" w:cstheme="majorHAnsi"/>
                <w:sz w:val="17"/>
                <w:szCs w:val="17"/>
              </w:rPr>
              <w:t xml:space="preserve"> Female Age-Related Fertility Decline: Education and enhanced awareness of the effect of age on fertility is essential in counseling the patient who desires pregnancy. Women older than 35 years should receive expedited evaluation and treatment after 6 months of failed attempts to become pregnant or earlier, if clinically indicated. In women older than 40 years, immediate evaluation and treatment is warranted. </w:t>
            </w:r>
          </w:p>
          <w:p w14:paraId="20FC3F16" w14:textId="77777777" w:rsidR="000718B0" w:rsidRPr="00364EBE" w:rsidRDefault="000718B0" w:rsidP="00496ADD">
            <w:pPr>
              <w:spacing w:after="120"/>
              <w:rPr>
                <w:rFonts w:asciiTheme="majorHAnsi" w:hAnsiTheme="majorHAnsi" w:cstheme="majorHAnsi"/>
                <w:sz w:val="17"/>
                <w:szCs w:val="17"/>
              </w:rPr>
            </w:pPr>
            <w:r w:rsidRPr="004F24EC">
              <w:rPr>
                <w:rFonts w:asciiTheme="majorHAnsi" w:hAnsiTheme="majorHAnsi" w:cstheme="majorHAnsi"/>
                <w:sz w:val="17"/>
                <w:szCs w:val="17"/>
                <w:u w:val="single"/>
              </w:rPr>
              <w:lastRenderedPageBreak/>
              <w:t>American Institute of Ultrasound in Medicine (AIUM) and SMFM Consensus Report (Wax 2014)</w:t>
            </w:r>
            <w:r w:rsidRPr="004F24EC">
              <w:rPr>
                <w:rFonts w:asciiTheme="majorHAnsi" w:hAnsiTheme="majorHAnsi" w:cstheme="majorHAnsi"/>
                <w:sz w:val="17"/>
                <w:szCs w:val="17"/>
              </w:rPr>
              <w:t>: Indications for a detailed fetal anatomic examination include but are not limited to the following conditions: 1) Previous fetus or child with a congenital, genetic, or chromosomal abnormality,</w:t>
            </w:r>
            <w:r>
              <w:rPr>
                <w:rFonts w:asciiTheme="majorHAnsi" w:hAnsiTheme="majorHAnsi" w:cstheme="majorHAnsi"/>
                <w:sz w:val="17"/>
                <w:szCs w:val="17"/>
              </w:rPr>
              <w:t xml:space="preserve"> 2) </w:t>
            </w:r>
            <w:r w:rsidRPr="00DF617B">
              <w:rPr>
                <w:rFonts w:asciiTheme="majorHAnsi" w:hAnsiTheme="majorHAnsi" w:cstheme="majorHAnsi"/>
                <w:sz w:val="17"/>
                <w:szCs w:val="17"/>
              </w:rPr>
              <w:t>Known or suspected fetal anomaly or known</w:t>
            </w:r>
            <w:r>
              <w:rPr>
                <w:rFonts w:asciiTheme="majorHAnsi" w:hAnsiTheme="majorHAnsi" w:cstheme="majorHAnsi"/>
                <w:sz w:val="17"/>
                <w:szCs w:val="17"/>
              </w:rPr>
              <w:t xml:space="preserve"> </w:t>
            </w:r>
            <w:r w:rsidRPr="00DF617B">
              <w:rPr>
                <w:rFonts w:asciiTheme="majorHAnsi" w:hAnsiTheme="majorHAnsi" w:cstheme="majorHAnsi"/>
                <w:sz w:val="17"/>
                <w:szCs w:val="17"/>
              </w:rPr>
              <w:t>growth disorder in the current pregnancy</w:t>
            </w:r>
            <w:r>
              <w:rPr>
                <w:rFonts w:asciiTheme="majorHAnsi" w:hAnsiTheme="majorHAnsi" w:cstheme="majorHAnsi"/>
                <w:sz w:val="17"/>
                <w:szCs w:val="17"/>
              </w:rPr>
              <w:t xml:space="preserve">, 3) </w:t>
            </w:r>
            <w:r w:rsidRPr="00DF617B">
              <w:rPr>
                <w:rFonts w:asciiTheme="majorHAnsi" w:hAnsiTheme="majorHAnsi" w:cstheme="majorHAnsi"/>
                <w:sz w:val="17"/>
                <w:szCs w:val="17"/>
              </w:rPr>
              <w:t>Fetus at increased risk for a congenital anomaly</w:t>
            </w:r>
            <w:r>
              <w:rPr>
                <w:rFonts w:asciiTheme="majorHAnsi" w:hAnsiTheme="majorHAnsi" w:cstheme="majorHAnsi"/>
                <w:sz w:val="17"/>
                <w:szCs w:val="17"/>
              </w:rPr>
              <w:t xml:space="preserve">, 4) </w:t>
            </w:r>
            <w:r w:rsidRPr="00DF617B">
              <w:rPr>
                <w:rFonts w:asciiTheme="majorHAnsi" w:hAnsiTheme="majorHAnsi" w:cstheme="majorHAnsi"/>
                <w:sz w:val="17"/>
                <w:szCs w:val="17"/>
              </w:rPr>
              <w:t>Fetus at increased risk for a genetic or chromosomal</w:t>
            </w:r>
            <w:r>
              <w:rPr>
                <w:rFonts w:asciiTheme="majorHAnsi" w:hAnsiTheme="majorHAnsi" w:cstheme="majorHAnsi"/>
                <w:sz w:val="17"/>
                <w:szCs w:val="17"/>
              </w:rPr>
              <w:t xml:space="preserve"> </w:t>
            </w:r>
            <w:r w:rsidRPr="00DF617B">
              <w:rPr>
                <w:rFonts w:asciiTheme="majorHAnsi" w:hAnsiTheme="majorHAnsi" w:cstheme="majorHAnsi"/>
                <w:sz w:val="17"/>
                <w:szCs w:val="17"/>
              </w:rPr>
              <w:t>abnormality</w:t>
            </w:r>
            <w:r>
              <w:rPr>
                <w:rFonts w:asciiTheme="majorHAnsi" w:hAnsiTheme="majorHAnsi" w:cstheme="majorHAnsi"/>
                <w:sz w:val="17"/>
                <w:szCs w:val="17"/>
              </w:rPr>
              <w:t xml:space="preserve">, 5) </w:t>
            </w:r>
            <w:r w:rsidRPr="00DF617B">
              <w:rPr>
                <w:rFonts w:asciiTheme="majorHAnsi" w:hAnsiTheme="majorHAnsi" w:cstheme="majorHAnsi"/>
                <w:sz w:val="17"/>
                <w:szCs w:val="17"/>
              </w:rPr>
              <w:t>Other</w:t>
            </w:r>
            <w:r>
              <w:rPr>
                <w:rFonts w:asciiTheme="majorHAnsi" w:hAnsiTheme="majorHAnsi" w:cstheme="majorHAnsi"/>
                <w:sz w:val="17"/>
                <w:szCs w:val="17"/>
              </w:rPr>
              <w:t xml:space="preserve"> </w:t>
            </w:r>
            <w:r w:rsidRPr="00DF617B">
              <w:rPr>
                <w:rFonts w:asciiTheme="majorHAnsi" w:hAnsiTheme="majorHAnsi" w:cstheme="majorHAnsi"/>
                <w:sz w:val="17"/>
                <w:szCs w:val="17"/>
              </w:rPr>
              <w:t>conditions affecting the fetus</w:t>
            </w:r>
          </w:p>
        </w:tc>
      </w:tr>
      <w:tr w:rsidR="000718B0" w:rsidRPr="00EE0EA9" w14:paraId="09E736DB" w14:textId="77777777" w:rsidTr="00496ADD">
        <w:trPr>
          <w:cantSplit/>
          <w:trHeight w:val="297"/>
        </w:trPr>
        <w:tc>
          <w:tcPr>
            <w:tcW w:w="4797" w:type="dxa"/>
            <w:tcBorders>
              <w:top w:val="nil"/>
              <w:left w:val="single" w:sz="4" w:space="0" w:color="D9D9D9" w:themeColor="background1" w:themeShade="D9"/>
              <w:bottom w:val="nil"/>
              <w:right w:val="nil"/>
            </w:tcBorders>
          </w:tcPr>
          <w:p w14:paraId="74F95D7E" w14:textId="77777777" w:rsidR="000718B0" w:rsidRPr="00D15ACA" w:rsidRDefault="000718B0" w:rsidP="00496ADD">
            <w:pPr>
              <w:spacing w:before="120" w:after="120" w:line="240" w:lineRule="auto"/>
              <w:rPr>
                <w:rFonts w:asciiTheme="majorHAnsi" w:hAnsiTheme="majorHAnsi" w:cstheme="majorHAnsi"/>
                <w:b/>
                <w:bCs/>
                <w:sz w:val="17"/>
                <w:szCs w:val="17"/>
              </w:rPr>
            </w:pPr>
            <w:r w:rsidRPr="00D15ACA">
              <w:rPr>
                <w:rFonts w:asciiTheme="majorHAnsi" w:hAnsiTheme="majorHAnsi" w:cstheme="majorHAnsi"/>
                <w:b/>
                <w:bCs/>
                <w:sz w:val="17"/>
                <w:szCs w:val="17"/>
              </w:rPr>
              <w:lastRenderedPageBreak/>
              <w:t>Category I</w:t>
            </w:r>
          </w:p>
        </w:tc>
        <w:tc>
          <w:tcPr>
            <w:tcW w:w="4799" w:type="dxa"/>
            <w:tcBorders>
              <w:top w:val="nil"/>
              <w:left w:val="nil"/>
              <w:bottom w:val="nil"/>
              <w:right w:val="nil"/>
            </w:tcBorders>
          </w:tcPr>
          <w:p w14:paraId="1D848FC7" w14:textId="77777777" w:rsidR="000718B0" w:rsidRPr="00D15ACA" w:rsidRDefault="000718B0" w:rsidP="00496ADD">
            <w:pPr>
              <w:spacing w:before="120" w:after="120" w:line="240" w:lineRule="auto"/>
              <w:rPr>
                <w:rFonts w:asciiTheme="majorHAnsi" w:hAnsiTheme="majorHAnsi" w:cstheme="majorHAnsi"/>
                <w:b/>
                <w:bCs/>
                <w:sz w:val="17"/>
                <w:szCs w:val="17"/>
              </w:rPr>
            </w:pPr>
            <w:r w:rsidRPr="00D15ACA">
              <w:rPr>
                <w:rFonts w:asciiTheme="majorHAnsi" w:hAnsiTheme="majorHAnsi" w:cstheme="majorHAnsi"/>
                <w:b/>
                <w:bCs/>
                <w:sz w:val="17"/>
                <w:szCs w:val="17"/>
              </w:rPr>
              <w:t>Category II</w:t>
            </w:r>
          </w:p>
        </w:tc>
        <w:tc>
          <w:tcPr>
            <w:tcW w:w="4799" w:type="dxa"/>
            <w:tcBorders>
              <w:top w:val="nil"/>
              <w:left w:val="nil"/>
              <w:bottom w:val="nil"/>
              <w:right w:val="single" w:sz="4" w:space="0" w:color="D9D9D9" w:themeColor="background1" w:themeShade="D9"/>
            </w:tcBorders>
          </w:tcPr>
          <w:p w14:paraId="018C9971" w14:textId="77777777" w:rsidR="000718B0" w:rsidRPr="00D15ACA" w:rsidRDefault="000718B0" w:rsidP="00496ADD">
            <w:pPr>
              <w:spacing w:before="120" w:after="120" w:line="240" w:lineRule="auto"/>
              <w:rPr>
                <w:rFonts w:asciiTheme="majorHAnsi" w:hAnsiTheme="majorHAnsi" w:cstheme="majorHAnsi"/>
                <w:b/>
                <w:bCs/>
                <w:sz w:val="17"/>
                <w:szCs w:val="17"/>
              </w:rPr>
            </w:pPr>
            <w:r w:rsidRPr="00D15ACA">
              <w:rPr>
                <w:rFonts w:asciiTheme="majorHAnsi" w:hAnsiTheme="majorHAnsi" w:cstheme="majorHAnsi"/>
                <w:b/>
                <w:bCs/>
                <w:sz w:val="17"/>
                <w:szCs w:val="17"/>
              </w:rPr>
              <w:t>Category III</w:t>
            </w:r>
          </w:p>
        </w:tc>
      </w:tr>
      <w:tr w:rsidR="000718B0" w:rsidRPr="00EE0EA9" w14:paraId="687A2835" w14:textId="77777777" w:rsidTr="00496ADD">
        <w:trPr>
          <w:cantSplit/>
          <w:trHeight w:val="50"/>
        </w:trPr>
        <w:tc>
          <w:tcPr>
            <w:tcW w:w="4797" w:type="dxa"/>
            <w:tcBorders>
              <w:top w:val="nil"/>
              <w:left w:val="single" w:sz="4" w:space="0" w:color="D9D9D9" w:themeColor="background1" w:themeShade="D9"/>
              <w:bottom w:val="single" w:sz="4" w:space="0" w:color="D9D9D9" w:themeColor="background1" w:themeShade="D9"/>
              <w:right w:val="nil"/>
            </w:tcBorders>
          </w:tcPr>
          <w:p w14:paraId="063028E2" w14:textId="77777777" w:rsidR="000718B0" w:rsidRDefault="000718B0" w:rsidP="00496ADD">
            <w:pPr>
              <w:spacing w:after="0"/>
              <w:rPr>
                <w:sz w:val="16"/>
                <w:szCs w:val="16"/>
              </w:rPr>
            </w:pPr>
          </w:p>
          <w:p w14:paraId="009D235C" w14:textId="77777777" w:rsidR="000718B0" w:rsidRDefault="000718B0" w:rsidP="00496ADD">
            <w:pPr>
              <w:spacing w:after="0"/>
              <w:rPr>
                <w:sz w:val="17"/>
                <w:szCs w:val="17"/>
              </w:rPr>
            </w:pPr>
            <w:r>
              <w:rPr>
                <w:sz w:val="17"/>
                <w:szCs w:val="17"/>
              </w:rPr>
              <w:t>Randomized controlled trials</w:t>
            </w:r>
          </w:p>
          <w:p w14:paraId="27623390" w14:textId="77777777" w:rsidR="000718B0" w:rsidRDefault="000718B0" w:rsidP="00496ADD">
            <w:pPr>
              <w:spacing w:after="0"/>
              <w:rPr>
                <w:sz w:val="17"/>
                <w:szCs w:val="17"/>
              </w:rPr>
            </w:pPr>
          </w:p>
          <w:p w14:paraId="7D60E0CE" w14:textId="77777777" w:rsidR="000718B0" w:rsidRPr="004F24EC" w:rsidRDefault="000718B0" w:rsidP="00496ADD">
            <w:pPr>
              <w:spacing w:after="0"/>
              <w:rPr>
                <w:sz w:val="17"/>
                <w:szCs w:val="17"/>
              </w:rPr>
            </w:pPr>
            <w:r w:rsidRPr="004F24EC">
              <w:rPr>
                <w:sz w:val="17"/>
                <w:szCs w:val="17"/>
                <w:u w:val="single"/>
              </w:rPr>
              <w:t>Grobman 2018</w:t>
            </w:r>
            <w:r w:rsidRPr="004F24EC">
              <w:rPr>
                <w:sz w:val="17"/>
                <w:szCs w:val="17"/>
              </w:rPr>
              <w:t xml:space="preserve"> induction of labor at 39 weeks in low-risk nulliparous women did not result in a significantly lower frequency of a composite adverse perinatal outcome, but it did result in a significantly lower frequency of cesarean delivery</w:t>
            </w:r>
          </w:p>
          <w:p w14:paraId="089D4975" w14:textId="77777777" w:rsidR="000718B0" w:rsidRPr="004F24EC" w:rsidRDefault="000718B0" w:rsidP="00496ADD">
            <w:pPr>
              <w:spacing w:after="0"/>
              <w:rPr>
                <w:sz w:val="17"/>
                <w:szCs w:val="17"/>
              </w:rPr>
            </w:pPr>
          </w:p>
          <w:p w14:paraId="1517C27B" w14:textId="77777777" w:rsidR="000718B0" w:rsidRPr="005342EA" w:rsidRDefault="000718B0" w:rsidP="00496ADD">
            <w:pPr>
              <w:spacing w:after="0"/>
              <w:rPr>
                <w:sz w:val="17"/>
                <w:szCs w:val="17"/>
              </w:rPr>
            </w:pPr>
            <w:r w:rsidRPr="004F24EC">
              <w:rPr>
                <w:sz w:val="17"/>
                <w:szCs w:val="17"/>
                <w:u w:val="single"/>
              </w:rPr>
              <w:t>Walker 2016</w:t>
            </w:r>
            <w:r w:rsidRPr="004F24EC">
              <w:rPr>
                <w:sz w:val="17"/>
                <w:szCs w:val="17"/>
              </w:rPr>
              <w:t xml:space="preserve"> among women of advanced maternal age, induction of labor</w:t>
            </w:r>
            <w:r w:rsidRPr="005342EA">
              <w:rPr>
                <w:sz w:val="17"/>
                <w:szCs w:val="17"/>
              </w:rPr>
              <w:t xml:space="preserve"> at 39 weeks of gestation, as compared with expectant management, had no significant effect on the rate of cesarean section and no adverse short-term effects on maternal or neonatal outcomes</w:t>
            </w:r>
          </w:p>
          <w:p w14:paraId="4B8CAC45" w14:textId="77777777" w:rsidR="000718B0" w:rsidRDefault="000718B0" w:rsidP="00496ADD">
            <w:pPr>
              <w:spacing w:after="0"/>
              <w:rPr>
                <w:rFonts w:cstheme="minorHAnsi"/>
                <w:sz w:val="16"/>
                <w:szCs w:val="16"/>
              </w:rPr>
            </w:pPr>
          </w:p>
          <w:p w14:paraId="6EB9A6C2" w14:textId="77777777" w:rsidR="000718B0" w:rsidRPr="00D15ACA" w:rsidRDefault="000718B0" w:rsidP="00496ADD">
            <w:pPr>
              <w:spacing w:after="0"/>
              <w:rPr>
                <w:rFonts w:cstheme="minorHAnsi"/>
                <w:sz w:val="16"/>
                <w:szCs w:val="16"/>
              </w:rPr>
            </w:pPr>
          </w:p>
        </w:tc>
        <w:tc>
          <w:tcPr>
            <w:tcW w:w="4799" w:type="dxa"/>
            <w:tcBorders>
              <w:top w:val="nil"/>
              <w:left w:val="nil"/>
              <w:bottom w:val="single" w:sz="4" w:space="0" w:color="D9D9D9" w:themeColor="background1" w:themeShade="D9"/>
              <w:right w:val="nil"/>
            </w:tcBorders>
          </w:tcPr>
          <w:p w14:paraId="633F5C8E" w14:textId="77777777" w:rsidR="000718B0" w:rsidRPr="00F33957" w:rsidRDefault="000718B0" w:rsidP="00496ADD">
            <w:pPr>
              <w:spacing w:after="0"/>
              <w:rPr>
                <w:rFonts w:cstheme="minorHAnsi"/>
                <w:sz w:val="17"/>
                <w:szCs w:val="17"/>
              </w:rPr>
            </w:pPr>
          </w:p>
          <w:p w14:paraId="10CEAC00" w14:textId="77777777" w:rsidR="000718B0" w:rsidRPr="004F24EC" w:rsidRDefault="000718B0" w:rsidP="00496ADD">
            <w:pPr>
              <w:spacing w:after="0"/>
              <w:rPr>
                <w:rFonts w:cstheme="minorHAnsi"/>
                <w:sz w:val="17"/>
                <w:szCs w:val="17"/>
                <w:u w:val="single"/>
              </w:rPr>
            </w:pPr>
            <w:r w:rsidRPr="004F24EC">
              <w:rPr>
                <w:rFonts w:cstheme="minorHAnsi"/>
                <w:sz w:val="17"/>
                <w:szCs w:val="17"/>
                <w:u w:val="single"/>
              </w:rPr>
              <w:t xml:space="preserve">Li 2021 </w:t>
            </w:r>
            <w:r w:rsidRPr="004F24EC">
              <w:rPr>
                <w:rFonts w:cstheme="minorHAnsi"/>
                <w:sz w:val="17"/>
                <w:szCs w:val="17"/>
              </w:rPr>
              <w:t>maternal age was ascertained to be a strong risk factor for fetal sex chromosome aneuploidies (SCAs), and the incidence of fetal SCAs depended on clinical indications</w:t>
            </w:r>
          </w:p>
          <w:p w14:paraId="63A92B81" w14:textId="77777777" w:rsidR="000718B0" w:rsidRPr="004F24EC" w:rsidRDefault="000718B0" w:rsidP="00496ADD">
            <w:pPr>
              <w:spacing w:after="0"/>
              <w:rPr>
                <w:rFonts w:cstheme="minorHAnsi"/>
                <w:sz w:val="17"/>
                <w:szCs w:val="17"/>
                <w:u w:val="single"/>
              </w:rPr>
            </w:pPr>
          </w:p>
          <w:p w14:paraId="6BF6D3D8" w14:textId="77777777" w:rsidR="000718B0" w:rsidRPr="004F24EC" w:rsidRDefault="000718B0" w:rsidP="00496ADD">
            <w:pPr>
              <w:spacing w:after="0"/>
              <w:rPr>
                <w:rFonts w:cstheme="minorHAnsi"/>
                <w:sz w:val="17"/>
                <w:szCs w:val="17"/>
              </w:rPr>
            </w:pPr>
            <w:proofErr w:type="spellStart"/>
            <w:r w:rsidRPr="004F24EC">
              <w:rPr>
                <w:rFonts w:cstheme="minorHAnsi"/>
                <w:sz w:val="17"/>
                <w:szCs w:val="17"/>
                <w:u w:val="single"/>
              </w:rPr>
              <w:t>Palatnik</w:t>
            </w:r>
            <w:proofErr w:type="spellEnd"/>
            <w:r w:rsidRPr="004F24EC">
              <w:rPr>
                <w:rFonts w:cstheme="minorHAnsi"/>
                <w:sz w:val="17"/>
                <w:szCs w:val="17"/>
                <w:u w:val="single"/>
              </w:rPr>
              <w:t xml:space="preserve"> 2020</w:t>
            </w:r>
            <w:r w:rsidRPr="004F24EC">
              <w:rPr>
                <w:rFonts w:cstheme="minorHAnsi"/>
                <w:sz w:val="17"/>
                <w:szCs w:val="17"/>
              </w:rPr>
              <w:t xml:space="preserve"> nulliparous women ≥30 years have higher risk of </w:t>
            </w:r>
            <w:r>
              <w:rPr>
                <w:rFonts w:cstheme="minorHAnsi"/>
                <w:sz w:val="17"/>
                <w:szCs w:val="17"/>
              </w:rPr>
              <w:t>small for gestational age (</w:t>
            </w:r>
            <w:r w:rsidRPr="004F24EC">
              <w:rPr>
                <w:rFonts w:cstheme="minorHAnsi"/>
                <w:sz w:val="17"/>
                <w:szCs w:val="17"/>
              </w:rPr>
              <w:t>SGA</w:t>
            </w:r>
            <w:r>
              <w:rPr>
                <w:rFonts w:cstheme="minorHAnsi"/>
                <w:sz w:val="17"/>
                <w:szCs w:val="17"/>
              </w:rPr>
              <w:t>)</w:t>
            </w:r>
            <w:r w:rsidRPr="004F24EC">
              <w:rPr>
                <w:rFonts w:cstheme="minorHAnsi"/>
                <w:sz w:val="17"/>
                <w:szCs w:val="17"/>
              </w:rPr>
              <w:t xml:space="preserve"> compared to nulliparous women age 20–29; in contrast, both nulliparous and multiparous women ≥ 40 years have an increased risk of SGA&lt;5th percentile</w:t>
            </w:r>
          </w:p>
          <w:p w14:paraId="7729F974" w14:textId="77777777" w:rsidR="000718B0" w:rsidRPr="004F24EC" w:rsidRDefault="000718B0" w:rsidP="00496ADD">
            <w:pPr>
              <w:spacing w:after="0"/>
              <w:rPr>
                <w:rFonts w:cstheme="minorHAnsi"/>
                <w:sz w:val="17"/>
                <w:szCs w:val="17"/>
              </w:rPr>
            </w:pPr>
          </w:p>
          <w:p w14:paraId="2053DE3D" w14:textId="77777777" w:rsidR="000718B0" w:rsidRPr="004F24EC" w:rsidRDefault="000718B0" w:rsidP="00496ADD">
            <w:pPr>
              <w:spacing w:after="0"/>
              <w:rPr>
                <w:rFonts w:cstheme="minorHAnsi"/>
                <w:sz w:val="17"/>
                <w:szCs w:val="17"/>
                <w:u w:val="single"/>
              </w:rPr>
            </w:pPr>
            <w:r w:rsidRPr="004F24EC">
              <w:rPr>
                <w:rFonts w:cstheme="minorHAnsi"/>
                <w:sz w:val="17"/>
                <w:szCs w:val="17"/>
                <w:u w:val="single"/>
              </w:rPr>
              <w:t xml:space="preserve">Lei 2019 </w:t>
            </w:r>
            <w:r w:rsidRPr="004F24EC">
              <w:rPr>
                <w:rFonts w:cstheme="minorHAnsi"/>
                <w:sz w:val="17"/>
                <w:szCs w:val="17"/>
              </w:rPr>
              <w:t>advanced age decreases the incidence of 45, X, but increases the risk of sex chromosome trisomy, especially 47, XXX and 47, XXY</w:t>
            </w:r>
          </w:p>
          <w:p w14:paraId="4C8190D1" w14:textId="77777777" w:rsidR="000718B0" w:rsidRPr="004F24EC" w:rsidRDefault="000718B0" w:rsidP="00496ADD">
            <w:pPr>
              <w:spacing w:after="0"/>
              <w:rPr>
                <w:rFonts w:cstheme="minorHAnsi"/>
                <w:sz w:val="17"/>
                <w:szCs w:val="17"/>
              </w:rPr>
            </w:pPr>
          </w:p>
          <w:p w14:paraId="219D86C8" w14:textId="77777777" w:rsidR="000718B0" w:rsidRDefault="000718B0" w:rsidP="00496ADD">
            <w:pPr>
              <w:spacing w:after="0"/>
              <w:rPr>
                <w:rFonts w:cstheme="minorHAnsi"/>
                <w:sz w:val="17"/>
                <w:szCs w:val="17"/>
              </w:rPr>
            </w:pPr>
            <w:r w:rsidRPr="004F24EC">
              <w:rPr>
                <w:rFonts w:cstheme="minorHAnsi"/>
                <w:sz w:val="17"/>
                <w:szCs w:val="17"/>
                <w:u w:val="single"/>
              </w:rPr>
              <w:t>Martin 2019</w:t>
            </w:r>
            <w:r w:rsidRPr="004F24EC">
              <w:rPr>
                <w:rFonts w:cstheme="minorHAnsi"/>
                <w:sz w:val="17"/>
                <w:szCs w:val="17"/>
              </w:rPr>
              <w:t xml:space="preserve"> twin</w:t>
            </w:r>
            <w:r w:rsidRPr="00F33957">
              <w:rPr>
                <w:rFonts w:cstheme="minorHAnsi"/>
                <w:sz w:val="17"/>
                <w:szCs w:val="17"/>
              </w:rPr>
              <w:t xml:space="preserve"> birth rates declined among mothers aged 30 and over, with the largest declines among older mothers aged 40 and over</w:t>
            </w:r>
          </w:p>
          <w:p w14:paraId="33486CDD" w14:textId="77777777" w:rsidR="000718B0" w:rsidRDefault="000718B0" w:rsidP="00496ADD">
            <w:pPr>
              <w:spacing w:after="0"/>
              <w:rPr>
                <w:rFonts w:cstheme="minorHAnsi"/>
                <w:sz w:val="17"/>
                <w:szCs w:val="17"/>
              </w:rPr>
            </w:pPr>
          </w:p>
          <w:p w14:paraId="7C853BB0" w14:textId="77777777" w:rsidR="000718B0" w:rsidRPr="004F24EC" w:rsidRDefault="000718B0" w:rsidP="00496ADD">
            <w:pPr>
              <w:spacing w:after="0"/>
              <w:rPr>
                <w:rFonts w:cstheme="minorHAnsi"/>
                <w:sz w:val="17"/>
                <w:szCs w:val="17"/>
              </w:rPr>
            </w:pPr>
            <w:proofErr w:type="spellStart"/>
            <w:r w:rsidRPr="004F24EC">
              <w:rPr>
                <w:rFonts w:cstheme="minorHAnsi"/>
                <w:sz w:val="17"/>
                <w:szCs w:val="17"/>
                <w:u w:val="single"/>
              </w:rPr>
              <w:t>Okmen</w:t>
            </w:r>
            <w:proofErr w:type="spellEnd"/>
            <w:r w:rsidRPr="004F24EC">
              <w:rPr>
                <w:rFonts w:cstheme="minorHAnsi"/>
                <w:sz w:val="17"/>
                <w:szCs w:val="17"/>
                <w:u w:val="single"/>
              </w:rPr>
              <w:t xml:space="preserve"> </w:t>
            </w:r>
            <w:proofErr w:type="spellStart"/>
            <w:r w:rsidRPr="004F24EC">
              <w:rPr>
                <w:rFonts w:cstheme="minorHAnsi"/>
                <w:sz w:val="17"/>
                <w:szCs w:val="17"/>
                <w:u w:val="single"/>
              </w:rPr>
              <w:t>Ozkan</w:t>
            </w:r>
            <w:proofErr w:type="spellEnd"/>
            <w:r w:rsidRPr="004F24EC">
              <w:rPr>
                <w:rFonts w:cstheme="minorHAnsi"/>
                <w:sz w:val="17"/>
                <w:szCs w:val="17"/>
                <w:u w:val="single"/>
              </w:rPr>
              <w:t xml:space="preserve"> 2019</w:t>
            </w:r>
            <w:r w:rsidRPr="004F24EC">
              <w:rPr>
                <w:rFonts w:cstheme="minorHAnsi"/>
                <w:sz w:val="17"/>
                <w:szCs w:val="17"/>
              </w:rPr>
              <w:t xml:space="preserve"> incidence of non-chromosomal anomalies does not increase in fetuses of pregnant women aged over 35 years, in contrast to chromosomal anomalies</w:t>
            </w:r>
          </w:p>
          <w:p w14:paraId="1E4FD43D" w14:textId="77777777" w:rsidR="000718B0" w:rsidRPr="004F24EC" w:rsidRDefault="000718B0" w:rsidP="00496ADD">
            <w:pPr>
              <w:spacing w:after="0"/>
              <w:rPr>
                <w:rFonts w:cstheme="minorHAnsi"/>
                <w:sz w:val="17"/>
                <w:szCs w:val="17"/>
              </w:rPr>
            </w:pPr>
          </w:p>
          <w:p w14:paraId="778DE107" w14:textId="77777777" w:rsidR="000718B0" w:rsidRPr="004F24EC" w:rsidRDefault="000718B0" w:rsidP="00496ADD">
            <w:pPr>
              <w:spacing w:after="0" w:line="240" w:lineRule="auto"/>
              <w:rPr>
                <w:rFonts w:cstheme="minorHAnsi"/>
                <w:sz w:val="17"/>
                <w:szCs w:val="17"/>
              </w:rPr>
            </w:pPr>
            <w:r w:rsidRPr="004F24EC">
              <w:rPr>
                <w:rFonts w:cstheme="minorHAnsi"/>
                <w:sz w:val="17"/>
                <w:szCs w:val="17"/>
                <w:u w:val="single"/>
              </w:rPr>
              <w:t xml:space="preserve">Frederiksen 2018 </w:t>
            </w:r>
            <w:r w:rsidRPr="004F24EC">
              <w:rPr>
                <w:rFonts w:cstheme="minorHAnsi"/>
                <w:sz w:val="17"/>
                <w:szCs w:val="17"/>
              </w:rPr>
              <w:t>women older than 40 years have a high-</w:t>
            </w:r>
          </w:p>
          <w:p w14:paraId="18FEC494" w14:textId="77777777" w:rsidR="000718B0" w:rsidRPr="004F24EC" w:rsidRDefault="000718B0" w:rsidP="00496ADD">
            <w:pPr>
              <w:spacing w:after="0" w:line="240" w:lineRule="auto"/>
              <w:rPr>
                <w:rFonts w:cstheme="minorHAnsi"/>
                <w:sz w:val="17"/>
                <w:szCs w:val="17"/>
              </w:rPr>
            </w:pPr>
            <w:proofErr w:type="spellStart"/>
            <w:r w:rsidRPr="004F24EC">
              <w:rPr>
                <w:rFonts w:cstheme="minorHAnsi"/>
                <w:sz w:val="17"/>
                <w:szCs w:val="17"/>
              </w:rPr>
              <w:t>er</w:t>
            </w:r>
            <w:proofErr w:type="spellEnd"/>
            <w:r w:rsidRPr="004F24EC">
              <w:rPr>
                <w:rFonts w:cstheme="minorHAnsi"/>
                <w:sz w:val="17"/>
                <w:szCs w:val="17"/>
              </w:rPr>
              <w:t xml:space="preserve"> risk of chromosomal abnormalities, miscarriage, and</w:t>
            </w:r>
          </w:p>
          <w:p w14:paraId="00C81F23" w14:textId="77777777" w:rsidR="000718B0" w:rsidRPr="004F24EC" w:rsidRDefault="000718B0" w:rsidP="00496ADD">
            <w:pPr>
              <w:spacing w:after="0" w:line="240" w:lineRule="auto"/>
              <w:rPr>
                <w:rFonts w:cstheme="minorHAnsi"/>
                <w:sz w:val="17"/>
                <w:szCs w:val="17"/>
              </w:rPr>
            </w:pPr>
            <w:r w:rsidRPr="004F24EC">
              <w:rPr>
                <w:rFonts w:cstheme="minorHAnsi"/>
                <w:sz w:val="17"/>
                <w:szCs w:val="17"/>
              </w:rPr>
              <w:t>birth before 34 weeks of gestation than younger women</w:t>
            </w:r>
          </w:p>
          <w:p w14:paraId="185F2C21" w14:textId="77777777" w:rsidR="000718B0" w:rsidRPr="004F24EC" w:rsidRDefault="000718B0" w:rsidP="00496ADD">
            <w:pPr>
              <w:spacing w:after="0" w:line="240" w:lineRule="auto"/>
              <w:rPr>
                <w:rFonts w:cstheme="minorHAnsi"/>
                <w:sz w:val="17"/>
                <w:szCs w:val="17"/>
              </w:rPr>
            </w:pPr>
            <w:r w:rsidRPr="004F24EC">
              <w:rPr>
                <w:rFonts w:cstheme="minorHAnsi"/>
                <w:sz w:val="17"/>
                <w:szCs w:val="17"/>
              </w:rPr>
              <w:t>and should be monitored accordingly; no increased risk</w:t>
            </w:r>
          </w:p>
          <w:p w14:paraId="162C9A20" w14:textId="77777777" w:rsidR="000718B0" w:rsidRPr="004F24EC" w:rsidRDefault="000718B0" w:rsidP="00496ADD">
            <w:pPr>
              <w:spacing w:after="0" w:line="240" w:lineRule="auto"/>
              <w:rPr>
                <w:rFonts w:cstheme="minorHAnsi"/>
                <w:sz w:val="17"/>
                <w:szCs w:val="17"/>
              </w:rPr>
            </w:pPr>
            <w:r w:rsidRPr="004F24EC">
              <w:rPr>
                <w:rFonts w:cstheme="minorHAnsi"/>
                <w:sz w:val="17"/>
                <w:szCs w:val="17"/>
              </w:rPr>
              <w:t>was observed for stillbirth and other congenital malformations; several factors increase the risk of adverse</w:t>
            </w:r>
          </w:p>
          <w:p w14:paraId="48217C14" w14:textId="77777777" w:rsidR="000718B0" w:rsidRPr="004F24EC" w:rsidRDefault="000718B0" w:rsidP="00496ADD">
            <w:pPr>
              <w:spacing w:after="0" w:line="240" w:lineRule="auto"/>
              <w:rPr>
                <w:rFonts w:cstheme="minorHAnsi"/>
                <w:sz w:val="17"/>
                <w:szCs w:val="17"/>
              </w:rPr>
            </w:pPr>
            <w:r w:rsidRPr="004F24EC">
              <w:rPr>
                <w:rFonts w:cstheme="minorHAnsi"/>
                <w:sz w:val="17"/>
                <w:szCs w:val="17"/>
              </w:rPr>
              <w:t>pregnancy outcomes, but advanced maternal age drives</w:t>
            </w:r>
          </w:p>
          <w:p w14:paraId="47A1E12C" w14:textId="77777777" w:rsidR="000718B0" w:rsidRPr="004F24EC" w:rsidRDefault="000718B0" w:rsidP="00496ADD">
            <w:pPr>
              <w:spacing w:after="0" w:line="240" w:lineRule="auto"/>
              <w:rPr>
                <w:rFonts w:cstheme="minorHAnsi"/>
                <w:sz w:val="17"/>
                <w:szCs w:val="17"/>
              </w:rPr>
            </w:pPr>
            <w:r w:rsidRPr="004F24EC">
              <w:rPr>
                <w:rFonts w:cstheme="minorHAnsi"/>
                <w:sz w:val="17"/>
                <w:szCs w:val="17"/>
              </w:rPr>
              <w:t>a high proportion of the total risk score</w:t>
            </w:r>
          </w:p>
          <w:p w14:paraId="2848254F" w14:textId="77777777" w:rsidR="000718B0" w:rsidRPr="004F24EC" w:rsidRDefault="000718B0" w:rsidP="00496ADD">
            <w:pPr>
              <w:spacing w:after="0"/>
              <w:rPr>
                <w:rFonts w:cstheme="minorHAnsi"/>
                <w:sz w:val="17"/>
                <w:szCs w:val="17"/>
              </w:rPr>
            </w:pPr>
          </w:p>
          <w:p w14:paraId="72CC16BF" w14:textId="77777777" w:rsidR="000718B0" w:rsidRPr="004F24EC" w:rsidRDefault="000718B0" w:rsidP="00496ADD">
            <w:pPr>
              <w:spacing w:after="0"/>
              <w:rPr>
                <w:rFonts w:cstheme="minorHAnsi"/>
                <w:sz w:val="17"/>
                <w:szCs w:val="17"/>
              </w:rPr>
            </w:pPr>
            <w:proofErr w:type="spellStart"/>
            <w:r w:rsidRPr="004F24EC">
              <w:rPr>
                <w:rFonts w:cstheme="minorHAnsi"/>
                <w:sz w:val="17"/>
                <w:szCs w:val="17"/>
                <w:u w:val="single"/>
              </w:rPr>
              <w:t>Goetzinger</w:t>
            </w:r>
            <w:proofErr w:type="spellEnd"/>
            <w:r w:rsidRPr="004F24EC">
              <w:rPr>
                <w:rFonts w:cstheme="minorHAnsi"/>
                <w:sz w:val="17"/>
                <w:szCs w:val="17"/>
                <w:u w:val="single"/>
              </w:rPr>
              <w:t xml:space="preserve"> 2017</w:t>
            </w:r>
            <w:r w:rsidRPr="004F24EC">
              <w:rPr>
                <w:rFonts w:cstheme="minorHAnsi"/>
                <w:sz w:val="17"/>
                <w:szCs w:val="17"/>
              </w:rPr>
              <w:t xml:space="preserve"> AMA is associated with an overall decreased risk for major anomalies; these findings may suggest that the “all or nothing” phenomenon plays a more robust role in embryonic development with advancing oocyte age, with anatomically normal fetuses being more likely to survive</w:t>
            </w:r>
          </w:p>
          <w:p w14:paraId="1A918F6E" w14:textId="77777777" w:rsidR="000718B0" w:rsidRPr="004F24EC" w:rsidRDefault="000718B0" w:rsidP="00496ADD">
            <w:pPr>
              <w:spacing w:after="0"/>
              <w:rPr>
                <w:rFonts w:cstheme="minorHAnsi"/>
                <w:sz w:val="17"/>
                <w:szCs w:val="17"/>
              </w:rPr>
            </w:pPr>
          </w:p>
          <w:p w14:paraId="5D38341E" w14:textId="77777777" w:rsidR="000718B0" w:rsidRPr="004F24EC" w:rsidRDefault="000718B0" w:rsidP="00496ADD">
            <w:pPr>
              <w:spacing w:after="0"/>
              <w:rPr>
                <w:rFonts w:cstheme="minorHAnsi"/>
                <w:sz w:val="17"/>
                <w:szCs w:val="17"/>
              </w:rPr>
            </w:pPr>
            <w:r w:rsidRPr="004F24EC">
              <w:rPr>
                <w:rFonts w:cstheme="minorHAnsi"/>
                <w:sz w:val="17"/>
                <w:szCs w:val="17"/>
                <w:u w:val="single"/>
              </w:rPr>
              <w:t>Best 2016</w:t>
            </w:r>
            <w:r w:rsidRPr="004F24EC">
              <w:rPr>
                <w:rFonts w:cstheme="minorHAnsi"/>
                <w:sz w:val="17"/>
                <w:szCs w:val="17"/>
              </w:rPr>
              <w:t xml:space="preserve"> found little evidence that advanced maternal age is a risk factor for congenital heart disease (CHD)</w:t>
            </w:r>
          </w:p>
          <w:p w14:paraId="503455D6" w14:textId="77777777" w:rsidR="000718B0" w:rsidRPr="004F24EC" w:rsidRDefault="000718B0" w:rsidP="00496ADD">
            <w:pPr>
              <w:spacing w:after="0"/>
              <w:rPr>
                <w:rFonts w:cstheme="minorHAnsi"/>
                <w:sz w:val="17"/>
                <w:szCs w:val="17"/>
              </w:rPr>
            </w:pPr>
          </w:p>
          <w:p w14:paraId="02CDE503" w14:textId="77777777" w:rsidR="000718B0" w:rsidRPr="004F24EC" w:rsidRDefault="000718B0" w:rsidP="00496ADD">
            <w:pPr>
              <w:spacing w:after="0"/>
              <w:rPr>
                <w:rFonts w:cstheme="minorHAnsi"/>
                <w:sz w:val="17"/>
                <w:szCs w:val="17"/>
              </w:rPr>
            </w:pPr>
            <w:r w:rsidRPr="004F24EC">
              <w:rPr>
                <w:rFonts w:cstheme="minorHAnsi"/>
                <w:sz w:val="17"/>
                <w:szCs w:val="17"/>
                <w:u w:val="single"/>
              </w:rPr>
              <w:lastRenderedPageBreak/>
              <w:t>Valent 2016</w:t>
            </w:r>
            <w:r w:rsidRPr="004F24EC">
              <w:rPr>
                <w:rFonts w:cstheme="minorHAnsi"/>
                <w:sz w:val="17"/>
                <w:szCs w:val="17"/>
              </w:rPr>
              <w:t xml:space="preserve"> lowest neonatal morbidity risk is at 39-week gestation with a significantly increased risk observed thereafter, especially in women &gt;40 years</w:t>
            </w:r>
          </w:p>
          <w:p w14:paraId="2FD757A4" w14:textId="77777777" w:rsidR="000718B0" w:rsidRPr="004F24EC" w:rsidRDefault="000718B0" w:rsidP="00496ADD">
            <w:pPr>
              <w:spacing w:after="0"/>
              <w:rPr>
                <w:rFonts w:cstheme="minorHAnsi"/>
                <w:sz w:val="17"/>
                <w:szCs w:val="17"/>
              </w:rPr>
            </w:pPr>
          </w:p>
          <w:p w14:paraId="734A0738" w14:textId="77777777" w:rsidR="000718B0" w:rsidRPr="004A74BB" w:rsidRDefault="000718B0" w:rsidP="00496ADD">
            <w:pPr>
              <w:spacing w:after="0"/>
              <w:rPr>
                <w:rFonts w:cstheme="minorHAnsi"/>
                <w:sz w:val="17"/>
                <w:szCs w:val="17"/>
              </w:rPr>
            </w:pPr>
            <w:r w:rsidRPr="004F24EC">
              <w:rPr>
                <w:rFonts w:cstheme="minorHAnsi"/>
                <w:sz w:val="17"/>
                <w:szCs w:val="17"/>
                <w:u w:val="single"/>
              </w:rPr>
              <w:t>Walker 2016</w:t>
            </w:r>
            <w:r w:rsidRPr="004F24EC">
              <w:rPr>
                <w:rFonts w:cstheme="minorHAnsi"/>
                <w:sz w:val="17"/>
                <w:szCs w:val="17"/>
              </w:rPr>
              <w:t xml:space="preserve"> </w:t>
            </w:r>
            <w:r>
              <w:rPr>
                <w:rFonts w:cstheme="minorHAnsi"/>
                <w:sz w:val="17"/>
                <w:szCs w:val="17"/>
              </w:rPr>
              <w:t>AMA</w:t>
            </w:r>
            <w:r w:rsidRPr="004A74BB">
              <w:rPr>
                <w:rFonts w:cstheme="minorHAnsi"/>
                <w:sz w:val="17"/>
                <w:szCs w:val="17"/>
              </w:rPr>
              <w:t xml:space="preserve"> is a significant risk factor for antepartum stillbirth particularly at term; attention should be given to stillbirth due to mechanical causes, maternal disorders and associated obstetric factors in such women</w:t>
            </w:r>
          </w:p>
          <w:p w14:paraId="7A03DB9D" w14:textId="77777777" w:rsidR="000718B0" w:rsidRPr="00F33957" w:rsidRDefault="000718B0" w:rsidP="00496ADD">
            <w:pPr>
              <w:spacing w:after="0"/>
              <w:rPr>
                <w:rFonts w:cstheme="minorHAnsi"/>
                <w:sz w:val="17"/>
                <w:szCs w:val="17"/>
              </w:rPr>
            </w:pPr>
          </w:p>
          <w:p w14:paraId="010D0203" w14:textId="77777777" w:rsidR="000718B0" w:rsidRPr="004F24EC" w:rsidRDefault="000718B0" w:rsidP="00496ADD">
            <w:pPr>
              <w:spacing w:after="0"/>
              <w:rPr>
                <w:rFonts w:cstheme="minorHAnsi"/>
                <w:sz w:val="17"/>
                <w:szCs w:val="17"/>
              </w:rPr>
            </w:pPr>
            <w:r w:rsidRPr="004F24EC">
              <w:rPr>
                <w:rFonts w:cstheme="minorHAnsi"/>
                <w:sz w:val="17"/>
                <w:szCs w:val="17"/>
                <w:u w:val="single"/>
              </w:rPr>
              <w:t>Zapata-</w:t>
            </w:r>
            <w:proofErr w:type="spellStart"/>
            <w:r w:rsidRPr="004F24EC">
              <w:rPr>
                <w:rFonts w:cstheme="minorHAnsi"/>
                <w:sz w:val="17"/>
                <w:szCs w:val="17"/>
                <w:u w:val="single"/>
              </w:rPr>
              <w:t>Masias</w:t>
            </w:r>
            <w:proofErr w:type="spellEnd"/>
            <w:r w:rsidRPr="004F24EC">
              <w:rPr>
                <w:rFonts w:cstheme="minorHAnsi"/>
                <w:sz w:val="17"/>
                <w:szCs w:val="17"/>
                <w:u w:val="single"/>
              </w:rPr>
              <w:t xml:space="preserve"> 2016</w:t>
            </w:r>
            <w:r w:rsidRPr="004F24EC">
              <w:rPr>
                <w:rFonts w:cstheme="minorHAnsi"/>
                <w:sz w:val="17"/>
                <w:szCs w:val="17"/>
              </w:rPr>
              <w:t xml:space="preserve"> maternal age ≥40 years was associated with poorer obstetric and perinatal outcomes and increased the risks of cesarean section, intrauterine growth retardation, and fetal macrosomia</w:t>
            </w:r>
          </w:p>
          <w:p w14:paraId="6B12D6D3" w14:textId="77777777" w:rsidR="000718B0" w:rsidRPr="004F24EC" w:rsidRDefault="000718B0" w:rsidP="00496ADD">
            <w:pPr>
              <w:spacing w:after="0"/>
              <w:rPr>
                <w:rFonts w:cstheme="minorHAnsi"/>
                <w:sz w:val="17"/>
                <w:szCs w:val="17"/>
              </w:rPr>
            </w:pPr>
          </w:p>
          <w:p w14:paraId="4CC83D29" w14:textId="77777777" w:rsidR="000718B0" w:rsidRPr="004F24EC" w:rsidRDefault="000718B0" w:rsidP="00496ADD">
            <w:pPr>
              <w:spacing w:after="0"/>
              <w:rPr>
                <w:rFonts w:cstheme="minorHAnsi"/>
                <w:sz w:val="17"/>
                <w:szCs w:val="17"/>
              </w:rPr>
            </w:pPr>
            <w:r w:rsidRPr="004F24EC">
              <w:rPr>
                <w:rFonts w:cstheme="minorHAnsi"/>
                <w:sz w:val="17"/>
                <w:szCs w:val="17"/>
                <w:u w:val="single"/>
              </w:rPr>
              <w:t>Levine 2015</w:t>
            </w:r>
            <w:r w:rsidRPr="004F24EC">
              <w:rPr>
                <w:rFonts w:cstheme="minorHAnsi"/>
                <w:sz w:val="17"/>
                <w:szCs w:val="17"/>
              </w:rPr>
              <w:t xml:space="preserve"> while overall cesareans increased, there was no difference in primary cesarean and induction rates for AMA women after implementation of antenatal testing for AMA</w:t>
            </w:r>
          </w:p>
          <w:p w14:paraId="38DF317A" w14:textId="77777777" w:rsidR="000718B0" w:rsidRPr="004F24EC" w:rsidRDefault="000718B0" w:rsidP="00496ADD">
            <w:pPr>
              <w:spacing w:after="0"/>
              <w:rPr>
                <w:rFonts w:cstheme="minorHAnsi"/>
                <w:sz w:val="17"/>
                <w:szCs w:val="17"/>
              </w:rPr>
            </w:pPr>
          </w:p>
          <w:p w14:paraId="6579D828" w14:textId="77777777" w:rsidR="000718B0" w:rsidRPr="004F24EC" w:rsidRDefault="000718B0" w:rsidP="00496ADD">
            <w:pPr>
              <w:spacing w:after="0"/>
              <w:rPr>
                <w:rFonts w:cstheme="minorHAnsi"/>
                <w:sz w:val="17"/>
                <w:szCs w:val="17"/>
              </w:rPr>
            </w:pPr>
            <w:proofErr w:type="spellStart"/>
            <w:r w:rsidRPr="004F24EC">
              <w:rPr>
                <w:rFonts w:cstheme="minorHAnsi"/>
                <w:sz w:val="17"/>
                <w:szCs w:val="17"/>
                <w:u w:val="single"/>
              </w:rPr>
              <w:t>MacDorman</w:t>
            </w:r>
            <w:proofErr w:type="spellEnd"/>
            <w:r w:rsidRPr="004F24EC">
              <w:rPr>
                <w:rFonts w:cstheme="minorHAnsi"/>
                <w:sz w:val="17"/>
                <w:szCs w:val="17"/>
                <w:u w:val="single"/>
              </w:rPr>
              <w:t xml:space="preserve"> 2015</w:t>
            </w:r>
            <w:r w:rsidRPr="004F24EC">
              <w:rPr>
                <w:rFonts w:cstheme="minorHAnsi"/>
                <w:sz w:val="17"/>
                <w:szCs w:val="17"/>
              </w:rPr>
              <w:t xml:space="preserve"> present</w:t>
            </w:r>
            <w:r>
              <w:rPr>
                <w:rFonts w:cstheme="minorHAnsi"/>
                <w:sz w:val="17"/>
                <w:szCs w:val="17"/>
              </w:rPr>
              <w:t>ed</w:t>
            </w:r>
            <w:r w:rsidRPr="004F24EC">
              <w:rPr>
                <w:rFonts w:cstheme="minorHAnsi"/>
                <w:sz w:val="17"/>
                <w:szCs w:val="17"/>
              </w:rPr>
              <w:t xml:space="preserve"> 2013 fetal and perinatal mortality data by maternal age, marital status, race, Hispanic origin, and state of residence, as well as by fetal birthweight, gestational age, plurality, and sex</w:t>
            </w:r>
          </w:p>
          <w:p w14:paraId="0E665146" w14:textId="77777777" w:rsidR="000718B0" w:rsidRPr="004F24EC" w:rsidRDefault="000718B0" w:rsidP="00496ADD">
            <w:pPr>
              <w:spacing w:after="0"/>
              <w:rPr>
                <w:rFonts w:cstheme="minorHAnsi"/>
                <w:sz w:val="17"/>
                <w:szCs w:val="17"/>
              </w:rPr>
            </w:pPr>
          </w:p>
          <w:p w14:paraId="06489CA3" w14:textId="77777777" w:rsidR="000718B0" w:rsidRDefault="000718B0" w:rsidP="00496ADD">
            <w:pPr>
              <w:spacing w:after="0"/>
              <w:rPr>
                <w:rFonts w:cstheme="minorHAnsi"/>
                <w:sz w:val="17"/>
                <w:szCs w:val="17"/>
              </w:rPr>
            </w:pPr>
            <w:proofErr w:type="spellStart"/>
            <w:r w:rsidRPr="004F24EC">
              <w:rPr>
                <w:rFonts w:cstheme="minorHAnsi"/>
                <w:sz w:val="17"/>
                <w:szCs w:val="17"/>
                <w:u w:val="single"/>
              </w:rPr>
              <w:t>Ciancimino</w:t>
            </w:r>
            <w:proofErr w:type="spellEnd"/>
            <w:r w:rsidRPr="004F24EC">
              <w:rPr>
                <w:rFonts w:cstheme="minorHAnsi"/>
                <w:sz w:val="17"/>
                <w:szCs w:val="17"/>
                <w:u w:val="single"/>
              </w:rPr>
              <w:t xml:space="preserve"> 2014</w:t>
            </w:r>
            <w:r w:rsidRPr="004F24EC">
              <w:rPr>
                <w:rFonts w:cstheme="minorHAnsi"/>
                <w:sz w:val="17"/>
                <w:szCs w:val="17"/>
              </w:rPr>
              <w:t xml:space="preserve"> </w:t>
            </w:r>
            <w:r>
              <w:rPr>
                <w:rFonts w:cstheme="minorHAnsi"/>
                <w:sz w:val="17"/>
                <w:szCs w:val="17"/>
              </w:rPr>
              <w:t>AMA</w:t>
            </w:r>
            <w:r w:rsidRPr="004F24EC">
              <w:rPr>
                <w:rFonts w:cstheme="minorHAnsi"/>
                <w:sz w:val="17"/>
                <w:szCs w:val="17"/>
              </w:rPr>
              <w:t xml:space="preserve"> could be considered an important risk factor only for spontaneous abortion (SA) and </w:t>
            </w:r>
            <w:r>
              <w:rPr>
                <w:rFonts w:cstheme="minorHAnsi"/>
                <w:sz w:val="17"/>
                <w:szCs w:val="17"/>
              </w:rPr>
              <w:t>preterm delivery (PTD)</w:t>
            </w:r>
            <w:r w:rsidRPr="004F24EC">
              <w:rPr>
                <w:rFonts w:cstheme="minorHAnsi"/>
                <w:sz w:val="17"/>
                <w:szCs w:val="17"/>
              </w:rPr>
              <w:t xml:space="preserve"> and does not influence neonatal outcomes except for congenital malformations</w:t>
            </w:r>
          </w:p>
          <w:p w14:paraId="2AADC127" w14:textId="77777777" w:rsidR="000718B0" w:rsidRDefault="000718B0" w:rsidP="00496ADD">
            <w:pPr>
              <w:spacing w:after="0"/>
              <w:rPr>
                <w:rFonts w:cstheme="minorHAnsi"/>
                <w:sz w:val="17"/>
                <w:szCs w:val="17"/>
              </w:rPr>
            </w:pPr>
          </w:p>
          <w:p w14:paraId="66D7C7E3" w14:textId="77777777" w:rsidR="000718B0" w:rsidRPr="004F24EC" w:rsidRDefault="000718B0" w:rsidP="00496ADD">
            <w:pPr>
              <w:spacing w:after="0"/>
              <w:rPr>
                <w:rFonts w:cstheme="minorHAnsi"/>
                <w:sz w:val="17"/>
                <w:szCs w:val="17"/>
              </w:rPr>
            </w:pPr>
            <w:r w:rsidRPr="004F24EC">
              <w:rPr>
                <w:rFonts w:cstheme="minorHAnsi"/>
                <w:sz w:val="17"/>
                <w:szCs w:val="17"/>
                <w:u w:val="single"/>
              </w:rPr>
              <w:t>Hedegaard 2014</w:t>
            </w:r>
            <w:r w:rsidRPr="004F24EC">
              <w:rPr>
                <w:rFonts w:cstheme="minorHAnsi"/>
                <w:sz w:val="17"/>
                <w:szCs w:val="17"/>
              </w:rPr>
              <w:t xml:space="preserve"> a gradually more proactive and differential earlier </w:t>
            </w:r>
            <w:proofErr w:type="spellStart"/>
            <w:r w:rsidRPr="004F24EC">
              <w:rPr>
                <w:rFonts w:cstheme="minorHAnsi"/>
                <w:sz w:val="17"/>
                <w:szCs w:val="17"/>
              </w:rPr>
              <w:t>labour</w:t>
            </w:r>
            <w:proofErr w:type="spellEnd"/>
            <w:r w:rsidRPr="004F24EC">
              <w:rPr>
                <w:rFonts w:cstheme="minorHAnsi"/>
                <w:sz w:val="17"/>
                <w:szCs w:val="17"/>
              </w:rPr>
              <w:t xml:space="preserve"> induction practice is likely to have mainly been responsible for the substantial reduction in stillbirths in Denmark</w:t>
            </w:r>
          </w:p>
          <w:p w14:paraId="7F1C3DAE" w14:textId="77777777" w:rsidR="000718B0" w:rsidRPr="004F24EC" w:rsidRDefault="000718B0" w:rsidP="00496ADD">
            <w:pPr>
              <w:spacing w:after="0"/>
              <w:rPr>
                <w:rFonts w:cstheme="minorHAnsi"/>
                <w:sz w:val="17"/>
                <w:szCs w:val="17"/>
              </w:rPr>
            </w:pPr>
          </w:p>
          <w:p w14:paraId="797743D4" w14:textId="77777777" w:rsidR="000718B0" w:rsidRPr="004F24EC" w:rsidRDefault="000718B0" w:rsidP="00496ADD">
            <w:pPr>
              <w:spacing w:after="0"/>
              <w:rPr>
                <w:rFonts w:cstheme="minorHAnsi"/>
                <w:sz w:val="17"/>
                <w:szCs w:val="17"/>
              </w:rPr>
            </w:pPr>
            <w:proofErr w:type="spellStart"/>
            <w:r w:rsidRPr="004F24EC">
              <w:rPr>
                <w:rFonts w:cstheme="minorHAnsi"/>
                <w:sz w:val="17"/>
                <w:szCs w:val="17"/>
                <w:u w:val="single"/>
              </w:rPr>
              <w:t>Jacquemyn</w:t>
            </w:r>
            <w:proofErr w:type="spellEnd"/>
            <w:r w:rsidRPr="004F24EC">
              <w:rPr>
                <w:rFonts w:cstheme="minorHAnsi"/>
                <w:sz w:val="17"/>
                <w:szCs w:val="17"/>
                <w:u w:val="single"/>
              </w:rPr>
              <w:t xml:space="preserve"> 2014</w:t>
            </w:r>
            <w:r w:rsidRPr="004F24EC">
              <w:t xml:space="preserve"> </w:t>
            </w:r>
            <w:r w:rsidRPr="004F24EC">
              <w:rPr>
                <w:rFonts w:cstheme="minorHAnsi"/>
                <w:sz w:val="17"/>
                <w:szCs w:val="17"/>
              </w:rPr>
              <w:t>multivariate analysis confirmed advanced</w:t>
            </w:r>
          </w:p>
          <w:p w14:paraId="6F721386" w14:textId="77777777" w:rsidR="000718B0" w:rsidRPr="004F24EC" w:rsidRDefault="000718B0" w:rsidP="00496ADD">
            <w:pPr>
              <w:spacing w:after="0"/>
              <w:rPr>
                <w:rFonts w:cstheme="minorHAnsi"/>
                <w:sz w:val="17"/>
                <w:szCs w:val="17"/>
              </w:rPr>
            </w:pPr>
            <w:r w:rsidRPr="004F24EC">
              <w:rPr>
                <w:rFonts w:cstheme="minorHAnsi"/>
                <w:sz w:val="17"/>
                <w:szCs w:val="17"/>
              </w:rPr>
              <w:t>maternal age to be a significant factor in low birth weight,</w:t>
            </w:r>
          </w:p>
          <w:p w14:paraId="0663F119" w14:textId="77777777" w:rsidR="000718B0" w:rsidRPr="004F24EC" w:rsidRDefault="000718B0" w:rsidP="00496ADD">
            <w:pPr>
              <w:spacing w:after="0"/>
              <w:rPr>
                <w:rFonts w:cstheme="minorHAnsi"/>
                <w:sz w:val="17"/>
                <w:szCs w:val="17"/>
              </w:rPr>
            </w:pPr>
            <w:r w:rsidRPr="004F24EC">
              <w:rPr>
                <w:rFonts w:cstheme="minorHAnsi"/>
                <w:sz w:val="17"/>
                <w:szCs w:val="17"/>
              </w:rPr>
              <w:t xml:space="preserve">preterm delivery, hypertension, diabetes, </w:t>
            </w:r>
            <w:r>
              <w:rPr>
                <w:rFonts w:cstheme="minorHAnsi"/>
                <w:sz w:val="17"/>
                <w:szCs w:val="17"/>
              </w:rPr>
              <w:t xml:space="preserve">CS </w:t>
            </w:r>
            <w:r w:rsidRPr="004F24EC">
              <w:rPr>
                <w:rFonts w:cstheme="minorHAnsi"/>
                <w:sz w:val="17"/>
                <w:szCs w:val="17"/>
              </w:rPr>
              <w:t>and perinatal mortality; mothers at age 45 and</w:t>
            </w:r>
            <w:r>
              <w:rPr>
                <w:rFonts w:cstheme="minorHAnsi"/>
                <w:sz w:val="17"/>
                <w:szCs w:val="17"/>
              </w:rPr>
              <w:t xml:space="preserve"> </w:t>
            </w:r>
            <w:r w:rsidRPr="004F24EC">
              <w:rPr>
                <w:rFonts w:cstheme="minorHAnsi"/>
                <w:sz w:val="17"/>
                <w:szCs w:val="17"/>
              </w:rPr>
              <w:t>older have a significantly increased risk for low birth weight,</w:t>
            </w:r>
            <w:r>
              <w:rPr>
                <w:rFonts w:cstheme="minorHAnsi"/>
                <w:sz w:val="17"/>
                <w:szCs w:val="17"/>
              </w:rPr>
              <w:t xml:space="preserve"> </w:t>
            </w:r>
            <w:r w:rsidRPr="004F24EC">
              <w:rPr>
                <w:rFonts w:cstheme="minorHAnsi"/>
                <w:sz w:val="17"/>
                <w:szCs w:val="17"/>
              </w:rPr>
              <w:t xml:space="preserve">preterm delivery, hypertension, diabetes, </w:t>
            </w:r>
            <w:r>
              <w:rPr>
                <w:rFonts w:cstheme="minorHAnsi"/>
                <w:sz w:val="17"/>
                <w:szCs w:val="17"/>
              </w:rPr>
              <w:t xml:space="preserve">CS </w:t>
            </w:r>
            <w:r w:rsidRPr="004F24EC">
              <w:rPr>
                <w:rFonts w:cstheme="minorHAnsi"/>
                <w:sz w:val="17"/>
                <w:szCs w:val="17"/>
              </w:rPr>
              <w:t xml:space="preserve">and perinatal mortality </w:t>
            </w:r>
          </w:p>
          <w:p w14:paraId="4324F179" w14:textId="77777777" w:rsidR="000718B0" w:rsidRPr="004F24EC" w:rsidRDefault="000718B0" w:rsidP="00496ADD">
            <w:pPr>
              <w:spacing w:after="0"/>
              <w:rPr>
                <w:rFonts w:cstheme="minorHAnsi"/>
                <w:sz w:val="17"/>
                <w:szCs w:val="17"/>
              </w:rPr>
            </w:pPr>
          </w:p>
          <w:p w14:paraId="7B507AEE" w14:textId="77777777" w:rsidR="000718B0" w:rsidRPr="004F24EC" w:rsidRDefault="000718B0" w:rsidP="00496ADD">
            <w:pPr>
              <w:spacing w:after="0"/>
              <w:rPr>
                <w:rFonts w:cstheme="minorHAnsi"/>
                <w:sz w:val="17"/>
                <w:szCs w:val="17"/>
              </w:rPr>
            </w:pPr>
            <w:r w:rsidRPr="004F24EC">
              <w:rPr>
                <w:rFonts w:cstheme="minorHAnsi"/>
                <w:sz w:val="17"/>
                <w:szCs w:val="17"/>
                <w:u w:val="single"/>
              </w:rPr>
              <w:t>Mutz-</w:t>
            </w:r>
            <w:proofErr w:type="spellStart"/>
            <w:r w:rsidRPr="004F24EC">
              <w:rPr>
                <w:rFonts w:cstheme="minorHAnsi"/>
                <w:sz w:val="17"/>
                <w:szCs w:val="17"/>
                <w:u w:val="single"/>
              </w:rPr>
              <w:t>Dehbalaie</w:t>
            </w:r>
            <w:proofErr w:type="spellEnd"/>
            <w:r w:rsidRPr="004F24EC">
              <w:rPr>
                <w:rFonts w:cstheme="minorHAnsi"/>
                <w:sz w:val="17"/>
                <w:szCs w:val="17"/>
                <w:u w:val="single"/>
              </w:rPr>
              <w:t xml:space="preserve"> 2014</w:t>
            </w:r>
            <w:r w:rsidRPr="004F24EC">
              <w:rPr>
                <w:rFonts w:cstheme="minorHAnsi"/>
                <w:sz w:val="17"/>
                <w:szCs w:val="17"/>
              </w:rPr>
              <w:t xml:space="preserve"> women older than 40 years carry an increased risk for stillbirth; important amendable risk factors are obesity and poor antenatal care</w:t>
            </w:r>
          </w:p>
          <w:p w14:paraId="598903B5" w14:textId="77777777" w:rsidR="000718B0" w:rsidRPr="004F24EC" w:rsidRDefault="000718B0" w:rsidP="00496ADD">
            <w:pPr>
              <w:spacing w:after="0"/>
              <w:rPr>
                <w:rFonts w:cstheme="minorHAnsi"/>
                <w:sz w:val="17"/>
                <w:szCs w:val="17"/>
              </w:rPr>
            </w:pPr>
          </w:p>
          <w:p w14:paraId="78600B58" w14:textId="77777777" w:rsidR="000718B0" w:rsidRPr="004F24EC" w:rsidRDefault="000718B0" w:rsidP="00496ADD">
            <w:pPr>
              <w:spacing w:after="0"/>
              <w:rPr>
                <w:rFonts w:cstheme="minorHAnsi"/>
                <w:sz w:val="17"/>
                <w:szCs w:val="17"/>
              </w:rPr>
            </w:pPr>
            <w:r w:rsidRPr="004F24EC">
              <w:rPr>
                <w:rFonts w:cstheme="minorHAnsi"/>
                <w:sz w:val="17"/>
                <w:szCs w:val="17"/>
                <w:u w:val="single"/>
              </w:rPr>
              <w:t>Fox 2013</w:t>
            </w:r>
            <w:r w:rsidRPr="004F24EC">
              <w:rPr>
                <w:rFonts w:cstheme="minorHAnsi"/>
                <w:sz w:val="17"/>
                <w:szCs w:val="17"/>
              </w:rPr>
              <w:t xml:space="preserve"> in </w:t>
            </w:r>
            <w:r>
              <w:rPr>
                <w:rFonts w:cstheme="minorHAnsi"/>
                <w:sz w:val="17"/>
                <w:szCs w:val="17"/>
              </w:rPr>
              <w:t xml:space="preserve">AMA </w:t>
            </w:r>
            <w:r w:rsidRPr="004F24EC">
              <w:rPr>
                <w:rFonts w:cstheme="minorHAnsi"/>
                <w:sz w:val="17"/>
                <w:szCs w:val="17"/>
              </w:rPr>
              <w:t xml:space="preserve">patients, antepartum surveillance and delivery at 41 weeks appears to reduce the risk of stillbirth to </w:t>
            </w:r>
            <w:r w:rsidRPr="004F24EC">
              <w:rPr>
                <w:rFonts w:cstheme="minorHAnsi"/>
                <w:sz w:val="17"/>
                <w:szCs w:val="17"/>
              </w:rPr>
              <w:lastRenderedPageBreak/>
              <w:t>that of the non-AMA population; routine antepartum surveillance should be considered in all AMA patients</w:t>
            </w:r>
          </w:p>
          <w:p w14:paraId="17A031F2" w14:textId="77777777" w:rsidR="000718B0" w:rsidRPr="004F24EC" w:rsidRDefault="000718B0" w:rsidP="00496ADD">
            <w:pPr>
              <w:spacing w:after="0"/>
              <w:rPr>
                <w:rFonts w:cstheme="minorHAnsi"/>
                <w:sz w:val="17"/>
                <w:szCs w:val="17"/>
              </w:rPr>
            </w:pPr>
          </w:p>
          <w:p w14:paraId="77A8D7DE" w14:textId="77777777" w:rsidR="000718B0" w:rsidRPr="00F33957" w:rsidRDefault="000718B0" w:rsidP="00496ADD">
            <w:pPr>
              <w:spacing w:after="0"/>
              <w:rPr>
                <w:rFonts w:cstheme="minorHAnsi"/>
                <w:sz w:val="17"/>
                <w:szCs w:val="17"/>
              </w:rPr>
            </w:pPr>
            <w:proofErr w:type="spellStart"/>
            <w:r w:rsidRPr="004F24EC">
              <w:rPr>
                <w:rFonts w:cstheme="minorHAnsi"/>
                <w:sz w:val="17"/>
                <w:szCs w:val="17"/>
                <w:u w:val="single"/>
              </w:rPr>
              <w:t>Shnorhavorian</w:t>
            </w:r>
            <w:proofErr w:type="spellEnd"/>
            <w:r w:rsidRPr="004F24EC">
              <w:rPr>
                <w:rFonts w:cstheme="minorHAnsi"/>
                <w:sz w:val="17"/>
                <w:szCs w:val="17"/>
                <w:u w:val="single"/>
              </w:rPr>
              <w:t xml:space="preserve"> 2011</w:t>
            </w:r>
            <w:r w:rsidRPr="00F33957">
              <w:rPr>
                <w:rFonts w:cstheme="minorHAnsi"/>
                <w:sz w:val="17"/>
                <w:szCs w:val="17"/>
              </w:rPr>
              <w:t xml:space="preserve"> several maternal factors are associated with the risk of congenital urinary tract anomalies (CUTA), including diabetes mellitus and maternal renal disease; this information can be used for prenatal counseling and management of women with these risk factors</w:t>
            </w:r>
          </w:p>
          <w:p w14:paraId="236E6061" w14:textId="77777777" w:rsidR="000718B0" w:rsidRPr="00F33957" w:rsidRDefault="000718B0" w:rsidP="00496ADD">
            <w:pPr>
              <w:spacing w:after="0"/>
              <w:rPr>
                <w:rFonts w:cstheme="minorHAnsi"/>
                <w:sz w:val="17"/>
                <w:szCs w:val="17"/>
              </w:rPr>
            </w:pPr>
          </w:p>
          <w:p w14:paraId="5C741F1C" w14:textId="77777777" w:rsidR="000718B0" w:rsidRPr="004F24EC" w:rsidRDefault="000718B0" w:rsidP="00496ADD">
            <w:pPr>
              <w:spacing w:after="0"/>
              <w:rPr>
                <w:rFonts w:cstheme="minorHAnsi"/>
                <w:sz w:val="17"/>
                <w:szCs w:val="17"/>
              </w:rPr>
            </w:pPr>
            <w:r w:rsidRPr="004F24EC">
              <w:rPr>
                <w:rFonts w:cstheme="minorHAnsi"/>
                <w:sz w:val="17"/>
                <w:szCs w:val="17"/>
                <w:u w:val="single"/>
              </w:rPr>
              <w:t>Reddy 2010</w:t>
            </w:r>
            <w:r w:rsidRPr="004F24EC">
              <w:rPr>
                <w:rFonts w:cstheme="minorHAnsi"/>
                <w:sz w:val="17"/>
                <w:szCs w:val="17"/>
              </w:rPr>
              <w:t xml:space="preserve"> there are multiple independent risk factors for antepartum stillbirth; however, the value of individual risk factors of race, parity, advanced maternal age (35– 39 years old) and </w:t>
            </w:r>
            <w:r>
              <w:rPr>
                <w:rFonts w:cstheme="minorHAnsi"/>
                <w:sz w:val="17"/>
                <w:szCs w:val="17"/>
              </w:rPr>
              <w:t>body mass index (</w:t>
            </w:r>
            <w:r w:rsidRPr="004F24EC">
              <w:rPr>
                <w:rFonts w:cstheme="minorHAnsi"/>
                <w:sz w:val="17"/>
                <w:szCs w:val="17"/>
              </w:rPr>
              <w:t>BMI</w:t>
            </w:r>
            <w:r>
              <w:rPr>
                <w:rFonts w:cstheme="minorHAnsi"/>
                <w:sz w:val="17"/>
                <w:szCs w:val="17"/>
              </w:rPr>
              <w:t>)</w:t>
            </w:r>
            <w:r w:rsidRPr="004F24EC">
              <w:rPr>
                <w:rFonts w:cstheme="minorHAnsi"/>
                <w:sz w:val="17"/>
                <w:szCs w:val="17"/>
              </w:rPr>
              <w:t xml:space="preserve"> to predict term stillbirth is poor; results do not support routine antenatal surveillance for any of these risk factors when present in isolation</w:t>
            </w:r>
          </w:p>
          <w:p w14:paraId="6DDA6603" w14:textId="77777777" w:rsidR="000718B0" w:rsidRPr="004F24EC" w:rsidRDefault="000718B0" w:rsidP="00496ADD">
            <w:pPr>
              <w:spacing w:after="0"/>
              <w:rPr>
                <w:rFonts w:cstheme="minorHAnsi"/>
                <w:sz w:val="17"/>
                <w:szCs w:val="17"/>
              </w:rPr>
            </w:pPr>
          </w:p>
          <w:p w14:paraId="6E88700E" w14:textId="77777777" w:rsidR="000718B0" w:rsidRPr="004F24EC" w:rsidRDefault="000718B0" w:rsidP="00496ADD">
            <w:pPr>
              <w:spacing w:after="0"/>
              <w:rPr>
                <w:rFonts w:cstheme="minorHAnsi"/>
                <w:sz w:val="17"/>
                <w:szCs w:val="17"/>
              </w:rPr>
            </w:pPr>
            <w:proofErr w:type="spellStart"/>
            <w:r w:rsidRPr="004F24EC">
              <w:rPr>
                <w:rFonts w:cstheme="minorHAnsi"/>
                <w:sz w:val="17"/>
                <w:szCs w:val="17"/>
                <w:u w:val="single"/>
              </w:rPr>
              <w:t>Sutan</w:t>
            </w:r>
            <w:proofErr w:type="spellEnd"/>
            <w:r w:rsidRPr="004F24EC">
              <w:rPr>
                <w:rFonts w:cstheme="minorHAnsi"/>
                <w:sz w:val="17"/>
                <w:szCs w:val="17"/>
                <w:u w:val="single"/>
              </w:rPr>
              <w:t xml:space="preserve"> 2010</w:t>
            </w:r>
            <w:r w:rsidRPr="004F24EC">
              <w:rPr>
                <w:rFonts w:cstheme="minorHAnsi"/>
                <w:sz w:val="17"/>
                <w:szCs w:val="17"/>
              </w:rPr>
              <w:t xml:space="preserve"> </w:t>
            </w:r>
            <w:r>
              <w:rPr>
                <w:rFonts w:cstheme="minorHAnsi"/>
                <w:sz w:val="17"/>
                <w:szCs w:val="17"/>
              </w:rPr>
              <w:t>AMA</w:t>
            </w:r>
            <w:r w:rsidRPr="004F24EC">
              <w:rPr>
                <w:rFonts w:cstheme="minorHAnsi"/>
                <w:sz w:val="17"/>
                <w:szCs w:val="17"/>
              </w:rPr>
              <w:t xml:space="preserve">, maternal smoking, and shorter maternal height were associated risk for unexplained antepartum </w:t>
            </w:r>
            <w:proofErr w:type="gramStart"/>
            <w:r w:rsidRPr="004F24EC">
              <w:rPr>
                <w:rFonts w:cstheme="minorHAnsi"/>
                <w:sz w:val="17"/>
                <w:szCs w:val="17"/>
              </w:rPr>
              <w:t>stillbirth</w:t>
            </w:r>
            <w:proofErr w:type="gramEnd"/>
            <w:r w:rsidRPr="004F24EC">
              <w:rPr>
                <w:rFonts w:cstheme="minorHAnsi"/>
                <w:sz w:val="17"/>
                <w:szCs w:val="17"/>
              </w:rPr>
              <w:t xml:space="preserve"> but screening based on these factors would be of limited value</w:t>
            </w:r>
          </w:p>
          <w:p w14:paraId="033FC9BE" w14:textId="77777777" w:rsidR="000718B0" w:rsidRPr="004F24EC" w:rsidRDefault="000718B0" w:rsidP="00496ADD">
            <w:pPr>
              <w:spacing w:after="0"/>
              <w:rPr>
                <w:rFonts w:cstheme="minorHAnsi"/>
                <w:sz w:val="17"/>
                <w:szCs w:val="17"/>
              </w:rPr>
            </w:pPr>
          </w:p>
          <w:p w14:paraId="412B2CDB" w14:textId="77777777" w:rsidR="000718B0" w:rsidRPr="004F24EC" w:rsidRDefault="000718B0" w:rsidP="00496ADD">
            <w:pPr>
              <w:spacing w:after="0"/>
              <w:rPr>
                <w:rFonts w:cstheme="minorHAnsi"/>
                <w:sz w:val="17"/>
                <w:szCs w:val="17"/>
              </w:rPr>
            </w:pPr>
            <w:proofErr w:type="spellStart"/>
            <w:r w:rsidRPr="004F24EC">
              <w:rPr>
                <w:rFonts w:cstheme="minorHAnsi"/>
                <w:sz w:val="17"/>
                <w:szCs w:val="17"/>
                <w:u w:val="single"/>
              </w:rPr>
              <w:t>Bahtiyar</w:t>
            </w:r>
            <w:proofErr w:type="spellEnd"/>
            <w:r w:rsidRPr="004F24EC">
              <w:rPr>
                <w:rFonts w:cstheme="minorHAnsi"/>
                <w:sz w:val="17"/>
                <w:szCs w:val="17"/>
                <w:u w:val="single"/>
              </w:rPr>
              <w:t xml:space="preserve"> 2008</w:t>
            </w:r>
            <w:r w:rsidRPr="004F24EC">
              <w:rPr>
                <w:rFonts w:cstheme="minorHAnsi"/>
                <w:sz w:val="17"/>
                <w:szCs w:val="17"/>
              </w:rPr>
              <w:t xml:space="preserve"> </w:t>
            </w:r>
            <w:r>
              <w:rPr>
                <w:rFonts w:cstheme="minorHAnsi"/>
                <w:sz w:val="17"/>
                <w:szCs w:val="17"/>
              </w:rPr>
              <w:t xml:space="preserve">AMA </w:t>
            </w:r>
            <w:r w:rsidRPr="004F24EC">
              <w:rPr>
                <w:rFonts w:cstheme="minorHAnsi"/>
                <w:sz w:val="17"/>
                <w:szCs w:val="17"/>
              </w:rPr>
              <w:t xml:space="preserve">is an independent predictor of intrauterine fetal demise (IUFD), and a strategy of antenatal testing in those </w:t>
            </w:r>
            <w:r w:rsidRPr="004F24EC">
              <w:rPr>
                <w:rFonts w:cstheme="minorHAnsi"/>
                <w:sz w:val="17"/>
                <w:szCs w:val="17"/>
                <w:u w:val="single"/>
              </w:rPr>
              <w:t>&gt;</w:t>
            </w:r>
            <w:r w:rsidRPr="004F24EC">
              <w:rPr>
                <w:rFonts w:cstheme="minorHAnsi"/>
                <w:sz w:val="17"/>
                <w:szCs w:val="17"/>
              </w:rPr>
              <w:t xml:space="preserve"> 40 years of age beginning at 38 weeks may be considered</w:t>
            </w:r>
          </w:p>
          <w:p w14:paraId="30649532" w14:textId="77777777" w:rsidR="000718B0" w:rsidRPr="004F24EC" w:rsidRDefault="000718B0" w:rsidP="00496ADD">
            <w:pPr>
              <w:spacing w:after="0"/>
              <w:rPr>
                <w:rFonts w:cstheme="minorHAnsi"/>
                <w:sz w:val="17"/>
                <w:szCs w:val="17"/>
              </w:rPr>
            </w:pPr>
          </w:p>
          <w:p w14:paraId="1DBC5C28" w14:textId="77777777" w:rsidR="000718B0" w:rsidRDefault="000718B0" w:rsidP="00496ADD">
            <w:pPr>
              <w:spacing w:after="0"/>
              <w:rPr>
                <w:rFonts w:cstheme="minorHAnsi"/>
                <w:sz w:val="17"/>
                <w:szCs w:val="17"/>
              </w:rPr>
            </w:pPr>
            <w:r w:rsidRPr="004F24EC">
              <w:rPr>
                <w:rFonts w:cstheme="minorHAnsi"/>
                <w:sz w:val="17"/>
                <w:szCs w:val="17"/>
                <w:u w:val="single"/>
              </w:rPr>
              <w:t>Hoffman 2007</w:t>
            </w:r>
            <w:r w:rsidRPr="004F24EC">
              <w:rPr>
                <w:rFonts w:cstheme="minorHAnsi"/>
                <w:sz w:val="17"/>
                <w:szCs w:val="17"/>
              </w:rPr>
              <w:t xml:space="preserve"> </w:t>
            </w:r>
            <w:r>
              <w:rPr>
                <w:rFonts w:cstheme="minorHAnsi"/>
                <w:sz w:val="17"/>
                <w:szCs w:val="17"/>
              </w:rPr>
              <w:t>AMA</w:t>
            </w:r>
            <w:r w:rsidRPr="00F33957">
              <w:rPr>
                <w:rFonts w:cstheme="minorHAnsi"/>
                <w:sz w:val="17"/>
                <w:szCs w:val="17"/>
              </w:rPr>
              <w:t xml:space="preserve"> is associated with an increased rate of fetal death and other adverse obstetrical outcomes; antepartum fetal surveillance may be warranted in these women</w:t>
            </w:r>
          </w:p>
          <w:p w14:paraId="5E283ED3" w14:textId="77777777" w:rsidR="000718B0" w:rsidRDefault="000718B0" w:rsidP="00496ADD">
            <w:pPr>
              <w:spacing w:after="0"/>
              <w:rPr>
                <w:rFonts w:cstheme="minorHAnsi"/>
                <w:sz w:val="17"/>
                <w:szCs w:val="17"/>
              </w:rPr>
            </w:pPr>
          </w:p>
          <w:p w14:paraId="48FF0BC1" w14:textId="77777777" w:rsidR="000718B0" w:rsidRPr="004F24EC" w:rsidRDefault="000718B0" w:rsidP="00496ADD">
            <w:pPr>
              <w:spacing w:after="0"/>
              <w:rPr>
                <w:rFonts w:cstheme="minorHAnsi"/>
                <w:sz w:val="17"/>
                <w:szCs w:val="17"/>
              </w:rPr>
            </w:pPr>
            <w:r w:rsidRPr="004F24EC">
              <w:rPr>
                <w:rFonts w:cstheme="minorHAnsi"/>
                <w:sz w:val="17"/>
                <w:szCs w:val="17"/>
                <w:u w:val="single"/>
              </w:rPr>
              <w:t>Reddy 2006</w:t>
            </w:r>
            <w:r w:rsidRPr="004F24EC">
              <w:rPr>
                <w:rFonts w:cstheme="minorHAnsi"/>
                <w:sz w:val="17"/>
                <w:szCs w:val="17"/>
              </w:rPr>
              <w:t xml:space="preserve"> women who are of </w:t>
            </w:r>
            <w:r>
              <w:rPr>
                <w:rFonts w:cstheme="minorHAnsi"/>
                <w:sz w:val="17"/>
                <w:szCs w:val="17"/>
              </w:rPr>
              <w:t>AMA</w:t>
            </w:r>
            <w:r w:rsidRPr="004F24EC">
              <w:rPr>
                <w:rFonts w:cstheme="minorHAnsi"/>
                <w:sz w:val="17"/>
                <w:szCs w:val="17"/>
              </w:rPr>
              <w:t xml:space="preserve"> are at higher risk of stillbirth throughout gestation; the peak risk period is 37 to 41 weeks</w:t>
            </w:r>
          </w:p>
          <w:p w14:paraId="7B72C28D" w14:textId="77777777" w:rsidR="000718B0" w:rsidRPr="004F24EC" w:rsidRDefault="000718B0" w:rsidP="00496ADD">
            <w:pPr>
              <w:spacing w:after="0"/>
              <w:rPr>
                <w:rFonts w:cstheme="minorHAnsi"/>
                <w:sz w:val="17"/>
                <w:szCs w:val="17"/>
              </w:rPr>
            </w:pPr>
          </w:p>
          <w:p w14:paraId="7C9E9A73" w14:textId="77777777" w:rsidR="000718B0" w:rsidRPr="004F24EC" w:rsidRDefault="000718B0" w:rsidP="00496ADD">
            <w:pPr>
              <w:spacing w:after="0"/>
              <w:rPr>
                <w:rFonts w:cstheme="minorHAnsi"/>
                <w:sz w:val="17"/>
                <w:szCs w:val="17"/>
              </w:rPr>
            </w:pPr>
            <w:r w:rsidRPr="004F24EC">
              <w:rPr>
                <w:rFonts w:cstheme="minorHAnsi"/>
                <w:sz w:val="17"/>
                <w:szCs w:val="17"/>
                <w:u w:val="single"/>
              </w:rPr>
              <w:t>Miller 2005</w:t>
            </w:r>
            <w:r w:rsidRPr="004F24EC">
              <w:rPr>
                <w:rFonts w:cstheme="minorHAnsi"/>
                <w:sz w:val="17"/>
                <w:szCs w:val="17"/>
              </w:rPr>
              <w:t xml:space="preserve"> after excluding women with other indications for antepartum testing, fetal anomalies, and delivery prior to 34 weeks, stillbirth was twice as common in women 35 years of age or older as in those younger than 35 years; the increased rate of stillbirth does not appear to be explained by a higher rate of uteroplacental insufficiency</w:t>
            </w:r>
          </w:p>
          <w:p w14:paraId="6B981819" w14:textId="77777777" w:rsidR="000718B0" w:rsidRPr="004F24EC" w:rsidRDefault="000718B0" w:rsidP="00496ADD">
            <w:pPr>
              <w:spacing w:after="0"/>
              <w:rPr>
                <w:rFonts w:cstheme="minorHAnsi"/>
                <w:sz w:val="17"/>
                <w:szCs w:val="17"/>
              </w:rPr>
            </w:pPr>
          </w:p>
          <w:p w14:paraId="44E16DB2" w14:textId="77777777" w:rsidR="000718B0" w:rsidRPr="004F24EC" w:rsidRDefault="000718B0" w:rsidP="00496ADD">
            <w:pPr>
              <w:spacing w:after="0"/>
              <w:rPr>
                <w:rFonts w:cstheme="minorHAnsi"/>
                <w:sz w:val="17"/>
                <w:szCs w:val="17"/>
              </w:rPr>
            </w:pPr>
            <w:proofErr w:type="spellStart"/>
            <w:r w:rsidRPr="004F24EC">
              <w:rPr>
                <w:rFonts w:cstheme="minorHAnsi"/>
                <w:sz w:val="17"/>
                <w:szCs w:val="17"/>
                <w:u w:val="single"/>
              </w:rPr>
              <w:t>Canterino</w:t>
            </w:r>
            <w:proofErr w:type="spellEnd"/>
            <w:r w:rsidRPr="004F24EC">
              <w:rPr>
                <w:rFonts w:cstheme="minorHAnsi"/>
                <w:sz w:val="17"/>
                <w:szCs w:val="17"/>
                <w:u w:val="single"/>
              </w:rPr>
              <w:t xml:space="preserve"> 2004</w:t>
            </w:r>
            <w:r w:rsidRPr="004F24EC">
              <w:rPr>
                <w:rFonts w:cstheme="minorHAnsi"/>
                <w:sz w:val="17"/>
                <w:szCs w:val="17"/>
              </w:rPr>
              <w:t xml:space="preserve"> fetal deaths are increased among older women (≥ 35 years); fetal testing in women of advanced maternal age may be beneficial</w:t>
            </w:r>
          </w:p>
          <w:p w14:paraId="173A0DD3" w14:textId="77777777" w:rsidR="000718B0" w:rsidRPr="004F24EC" w:rsidRDefault="000718B0" w:rsidP="00496ADD">
            <w:pPr>
              <w:spacing w:after="0"/>
              <w:rPr>
                <w:rFonts w:cstheme="minorHAnsi"/>
                <w:sz w:val="17"/>
                <w:szCs w:val="17"/>
              </w:rPr>
            </w:pPr>
          </w:p>
          <w:p w14:paraId="2931080F" w14:textId="77777777" w:rsidR="000718B0" w:rsidRPr="004F24EC" w:rsidRDefault="000718B0" w:rsidP="00496ADD">
            <w:pPr>
              <w:spacing w:after="0"/>
              <w:rPr>
                <w:rFonts w:cstheme="minorHAnsi"/>
                <w:sz w:val="17"/>
                <w:szCs w:val="17"/>
              </w:rPr>
            </w:pPr>
            <w:r w:rsidRPr="004F24EC">
              <w:rPr>
                <w:rFonts w:cstheme="minorHAnsi"/>
                <w:sz w:val="17"/>
                <w:szCs w:val="17"/>
                <w:u w:val="single"/>
              </w:rPr>
              <w:lastRenderedPageBreak/>
              <w:t>Reefhuis 2004</w:t>
            </w:r>
            <w:r w:rsidRPr="004F24EC">
              <w:rPr>
                <w:rFonts w:cstheme="minorHAnsi"/>
                <w:sz w:val="17"/>
                <w:szCs w:val="17"/>
              </w:rPr>
              <w:t xml:space="preserve"> young and advanced maternal ages are associated with different types of birth defects; underlying causes for these associations are not clear</w:t>
            </w:r>
          </w:p>
          <w:p w14:paraId="590EE7F6" w14:textId="77777777" w:rsidR="000718B0" w:rsidRPr="004F24EC" w:rsidRDefault="000718B0" w:rsidP="00496ADD">
            <w:pPr>
              <w:spacing w:after="0"/>
              <w:rPr>
                <w:rFonts w:cstheme="minorHAnsi"/>
                <w:sz w:val="17"/>
                <w:szCs w:val="17"/>
              </w:rPr>
            </w:pPr>
          </w:p>
          <w:p w14:paraId="2BE5B145" w14:textId="77777777" w:rsidR="000718B0" w:rsidRPr="00F33957" w:rsidRDefault="000718B0" w:rsidP="00496ADD">
            <w:pPr>
              <w:spacing w:after="0"/>
              <w:rPr>
                <w:rFonts w:cstheme="minorHAnsi"/>
                <w:sz w:val="17"/>
                <w:szCs w:val="17"/>
              </w:rPr>
            </w:pPr>
            <w:r w:rsidRPr="004F24EC">
              <w:rPr>
                <w:rFonts w:cstheme="minorHAnsi"/>
                <w:sz w:val="17"/>
                <w:szCs w:val="17"/>
                <w:u w:val="single"/>
              </w:rPr>
              <w:t>Hollier 2000</w:t>
            </w:r>
            <w:r w:rsidRPr="004F24EC">
              <w:rPr>
                <w:rFonts w:cstheme="minorHAnsi"/>
                <w:sz w:val="17"/>
                <w:szCs w:val="17"/>
              </w:rPr>
              <w:t xml:space="preserve"> </w:t>
            </w:r>
            <w:r>
              <w:rPr>
                <w:rFonts w:cstheme="minorHAnsi"/>
                <w:sz w:val="17"/>
                <w:szCs w:val="17"/>
              </w:rPr>
              <w:t>AMA</w:t>
            </w:r>
            <w:r w:rsidRPr="004F24EC">
              <w:rPr>
                <w:rFonts w:cstheme="minorHAnsi"/>
                <w:sz w:val="17"/>
                <w:szCs w:val="17"/>
              </w:rPr>
              <w:t xml:space="preserve"> beyond 25 years was associated with</w:t>
            </w:r>
            <w:r w:rsidRPr="00F33957">
              <w:rPr>
                <w:rFonts w:cstheme="minorHAnsi"/>
                <w:sz w:val="17"/>
                <w:szCs w:val="17"/>
              </w:rPr>
              <w:t xml:space="preserve"> significantly increased risk of fetuses having congenital malformations not caused by aneuploidy</w:t>
            </w:r>
          </w:p>
          <w:p w14:paraId="25CE62EF" w14:textId="77777777" w:rsidR="000718B0" w:rsidRPr="00F33957" w:rsidRDefault="000718B0" w:rsidP="00496ADD">
            <w:pPr>
              <w:spacing w:after="0"/>
              <w:rPr>
                <w:rFonts w:cstheme="minorHAnsi"/>
                <w:sz w:val="17"/>
                <w:szCs w:val="17"/>
              </w:rPr>
            </w:pPr>
          </w:p>
          <w:p w14:paraId="79B62D82" w14:textId="77777777" w:rsidR="000718B0" w:rsidRPr="00F33957" w:rsidRDefault="000718B0" w:rsidP="00496ADD">
            <w:pPr>
              <w:spacing w:after="0"/>
              <w:rPr>
                <w:rFonts w:cstheme="minorHAnsi"/>
                <w:sz w:val="17"/>
                <w:szCs w:val="17"/>
              </w:rPr>
            </w:pPr>
          </w:p>
        </w:tc>
        <w:tc>
          <w:tcPr>
            <w:tcW w:w="4799" w:type="dxa"/>
            <w:tcBorders>
              <w:top w:val="nil"/>
              <w:left w:val="nil"/>
              <w:bottom w:val="single" w:sz="4" w:space="0" w:color="D9D9D9" w:themeColor="background1" w:themeShade="D9"/>
              <w:right w:val="single" w:sz="4" w:space="0" w:color="D9D9D9" w:themeColor="background1" w:themeShade="D9"/>
            </w:tcBorders>
          </w:tcPr>
          <w:p w14:paraId="5CFCC764" w14:textId="77777777" w:rsidR="000718B0" w:rsidRPr="00D15ACA" w:rsidRDefault="000718B0" w:rsidP="00496ADD">
            <w:pPr>
              <w:spacing w:after="0"/>
              <w:rPr>
                <w:rFonts w:cstheme="minorHAnsi"/>
                <w:sz w:val="16"/>
                <w:szCs w:val="16"/>
              </w:rPr>
            </w:pPr>
          </w:p>
        </w:tc>
      </w:tr>
      <w:tr w:rsidR="000718B0" w:rsidRPr="00EE0EA9" w14:paraId="39DE382D" w14:textId="77777777" w:rsidTr="00496ADD">
        <w:trPr>
          <w:cantSplit/>
          <w:trHeight w:val="167"/>
        </w:trPr>
        <w:tc>
          <w:tcPr>
            <w:tcW w:w="14395" w:type="dxa"/>
            <w:gridSpan w:val="3"/>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7BEC78AB" w14:textId="77777777" w:rsidR="000718B0" w:rsidRPr="00581FFA" w:rsidRDefault="000718B0" w:rsidP="00496ADD">
            <w:pPr>
              <w:spacing w:before="120" w:after="120" w:line="240" w:lineRule="auto"/>
              <w:rPr>
                <w:rFonts w:cstheme="minorHAnsi"/>
                <w:b/>
                <w:bCs/>
                <w:sz w:val="20"/>
                <w:szCs w:val="20"/>
              </w:rPr>
            </w:pPr>
            <w:r>
              <w:rPr>
                <w:rFonts w:cstheme="minorHAnsi"/>
                <w:b/>
                <w:bCs/>
                <w:sz w:val="20"/>
                <w:szCs w:val="20"/>
              </w:rPr>
              <w:lastRenderedPageBreak/>
              <w:t>Health Equity</w:t>
            </w:r>
          </w:p>
        </w:tc>
      </w:tr>
      <w:tr w:rsidR="000718B0" w:rsidRPr="00EE0EA9" w14:paraId="1D471922" w14:textId="77777777" w:rsidTr="00496ADD">
        <w:trPr>
          <w:cantSplit/>
          <w:trHeight w:val="345"/>
        </w:trPr>
        <w:tc>
          <w:tcPr>
            <w:tcW w:w="14395" w:type="dxa"/>
            <w:gridSpan w:val="3"/>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F2F2F2" w:themeFill="background1" w:themeFillShade="F2"/>
          </w:tcPr>
          <w:p w14:paraId="1D1DDA29" w14:textId="77777777" w:rsidR="000718B0" w:rsidRPr="00D15ACA" w:rsidRDefault="000718B0" w:rsidP="00496ADD">
            <w:pPr>
              <w:spacing w:before="120" w:after="120" w:line="240" w:lineRule="auto"/>
              <w:rPr>
                <w:rFonts w:cstheme="minorHAnsi"/>
                <w:b/>
                <w:bCs/>
                <w:sz w:val="18"/>
                <w:szCs w:val="18"/>
              </w:rPr>
            </w:pPr>
            <w:r w:rsidRPr="00D15ACA">
              <w:rPr>
                <w:rFonts w:cstheme="minorHAnsi"/>
                <w:b/>
                <w:bCs/>
                <w:sz w:val="18"/>
                <w:szCs w:val="18"/>
              </w:rPr>
              <w:t>RECOMMENDATION STATEMENT</w:t>
            </w:r>
            <w:r>
              <w:rPr>
                <w:rFonts w:cstheme="minorHAnsi"/>
                <w:b/>
                <w:bCs/>
                <w:sz w:val="18"/>
                <w:szCs w:val="18"/>
              </w:rPr>
              <w:t xml:space="preserve">  </w:t>
            </w:r>
          </w:p>
        </w:tc>
      </w:tr>
      <w:tr w:rsidR="000718B0" w:rsidRPr="00EE0EA9" w14:paraId="395450ED" w14:textId="77777777" w:rsidTr="00496ADD">
        <w:trPr>
          <w:cantSplit/>
          <w:trHeight w:val="541"/>
        </w:trPr>
        <w:tc>
          <w:tcPr>
            <w:tcW w:w="14395" w:type="dxa"/>
            <w:gridSpan w:val="3"/>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4B9BF6B5" w14:textId="77777777" w:rsidR="000718B0" w:rsidRPr="00AE08C2" w:rsidRDefault="000718B0" w:rsidP="00496ADD">
            <w:pPr>
              <w:spacing w:after="120"/>
              <w:rPr>
                <w:rFonts w:cstheme="minorHAnsi"/>
                <w:sz w:val="17"/>
                <w:szCs w:val="17"/>
              </w:rPr>
            </w:pPr>
            <w:r w:rsidRPr="002E2171">
              <w:rPr>
                <w:rFonts w:cstheme="minorHAnsi"/>
                <w:sz w:val="17"/>
                <w:szCs w:val="17"/>
              </w:rPr>
              <w:t xml:space="preserve">We recommend that obstetrician-gynecologists and other obstetric care professionals are aware of the disproportionate rates of most adverse maternal and perinatal outcomes in Black and American Indian and Alaska Native pregnant individuals 35 years and older. We recommend that they understand ways racism contributes to perpetuating these outcomes. </w:t>
            </w:r>
            <w:r w:rsidRPr="003421BD">
              <w:rPr>
                <w:rFonts w:cstheme="minorHAnsi"/>
                <w:sz w:val="17"/>
                <w:szCs w:val="17"/>
              </w:rPr>
              <w:t>(GRADE 1B)</w:t>
            </w:r>
          </w:p>
        </w:tc>
      </w:tr>
      <w:tr w:rsidR="000718B0" w:rsidRPr="00EE0EA9" w14:paraId="19A5BAF4" w14:textId="77777777" w:rsidTr="00496ADD">
        <w:trPr>
          <w:cantSplit/>
          <w:trHeight w:val="252"/>
        </w:trPr>
        <w:tc>
          <w:tcPr>
            <w:tcW w:w="14395" w:type="dxa"/>
            <w:gridSpan w:val="3"/>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72B15F66" w14:textId="77777777" w:rsidR="000718B0" w:rsidRPr="006D3199" w:rsidRDefault="000718B0" w:rsidP="00496ADD">
            <w:pPr>
              <w:spacing w:before="240" w:line="240" w:lineRule="auto"/>
              <w:rPr>
                <w:rFonts w:asciiTheme="majorHAnsi" w:hAnsiTheme="majorHAnsi" w:cstheme="majorHAnsi"/>
                <w:b/>
                <w:bCs/>
                <w:sz w:val="18"/>
                <w:szCs w:val="18"/>
              </w:rPr>
            </w:pPr>
            <w:r w:rsidRPr="006D3199">
              <w:rPr>
                <w:rFonts w:asciiTheme="majorHAnsi" w:hAnsiTheme="majorHAnsi" w:cstheme="majorHAnsi"/>
                <w:b/>
                <w:bCs/>
                <w:sz w:val="18"/>
                <w:szCs w:val="18"/>
              </w:rPr>
              <w:t>SUPPORTING EVIDENCE</w:t>
            </w:r>
          </w:p>
        </w:tc>
      </w:tr>
      <w:tr w:rsidR="000718B0" w:rsidRPr="00EE0EA9" w14:paraId="0E8319F4" w14:textId="77777777" w:rsidTr="00496ADD">
        <w:trPr>
          <w:cantSplit/>
          <w:trHeight w:val="252"/>
        </w:trPr>
        <w:tc>
          <w:tcPr>
            <w:tcW w:w="14395" w:type="dxa"/>
            <w:gridSpan w:val="3"/>
            <w:tcBorders>
              <w:top w:val="nil"/>
              <w:left w:val="single" w:sz="4" w:space="0" w:color="D9D9D9" w:themeColor="background1" w:themeShade="D9"/>
              <w:bottom w:val="nil"/>
              <w:right w:val="single" w:sz="4" w:space="0" w:color="D9D9D9" w:themeColor="background1" w:themeShade="D9"/>
            </w:tcBorders>
          </w:tcPr>
          <w:p w14:paraId="0601CF87" w14:textId="77777777" w:rsidR="000718B0" w:rsidRPr="00D15ACA" w:rsidRDefault="000718B0" w:rsidP="00496ADD">
            <w:pPr>
              <w:spacing w:after="120"/>
              <w:rPr>
                <w:rFonts w:asciiTheme="majorHAnsi" w:hAnsiTheme="majorHAnsi" w:cstheme="majorHAnsi"/>
                <w:sz w:val="16"/>
                <w:szCs w:val="16"/>
              </w:rPr>
            </w:pPr>
          </w:p>
        </w:tc>
      </w:tr>
      <w:tr w:rsidR="000718B0" w:rsidRPr="00EE0EA9" w14:paraId="3A3C7587" w14:textId="77777777" w:rsidTr="00496ADD">
        <w:trPr>
          <w:cantSplit/>
          <w:trHeight w:val="297"/>
        </w:trPr>
        <w:tc>
          <w:tcPr>
            <w:tcW w:w="4797" w:type="dxa"/>
            <w:tcBorders>
              <w:top w:val="nil"/>
              <w:left w:val="single" w:sz="4" w:space="0" w:color="D9D9D9" w:themeColor="background1" w:themeShade="D9"/>
              <w:bottom w:val="nil"/>
              <w:right w:val="nil"/>
            </w:tcBorders>
          </w:tcPr>
          <w:p w14:paraId="56876A0D" w14:textId="77777777" w:rsidR="000718B0" w:rsidRPr="00D15ACA" w:rsidRDefault="000718B0" w:rsidP="00496ADD">
            <w:pPr>
              <w:spacing w:before="120" w:after="120" w:line="240" w:lineRule="auto"/>
              <w:rPr>
                <w:rFonts w:asciiTheme="majorHAnsi" w:hAnsiTheme="majorHAnsi" w:cstheme="majorHAnsi"/>
                <w:b/>
                <w:bCs/>
                <w:sz w:val="17"/>
                <w:szCs w:val="17"/>
              </w:rPr>
            </w:pPr>
            <w:r w:rsidRPr="00D15ACA">
              <w:rPr>
                <w:rFonts w:asciiTheme="majorHAnsi" w:hAnsiTheme="majorHAnsi" w:cstheme="majorHAnsi"/>
                <w:b/>
                <w:bCs/>
                <w:sz w:val="17"/>
                <w:szCs w:val="17"/>
              </w:rPr>
              <w:t>Category I</w:t>
            </w:r>
          </w:p>
        </w:tc>
        <w:tc>
          <w:tcPr>
            <w:tcW w:w="4799" w:type="dxa"/>
            <w:tcBorders>
              <w:top w:val="nil"/>
              <w:left w:val="nil"/>
              <w:bottom w:val="nil"/>
              <w:right w:val="nil"/>
            </w:tcBorders>
          </w:tcPr>
          <w:p w14:paraId="23FC4858" w14:textId="77777777" w:rsidR="000718B0" w:rsidRPr="004F24EC" w:rsidRDefault="000718B0" w:rsidP="00496ADD">
            <w:pPr>
              <w:spacing w:before="120" w:after="120" w:line="240" w:lineRule="auto"/>
              <w:rPr>
                <w:rFonts w:asciiTheme="majorHAnsi" w:hAnsiTheme="majorHAnsi" w:cstheme="majorHAnsi"/>
                <w:b/>
                <w:bCs/>
                <w:sz w:val="17"/>
                <w:szCs w:val="17"/>
              </w:rPr>
            </w:pPr>
            <w:r w:rsidRPr="004F24EC">
              <w:rPr>
                <w:rFonts w:asciiTheme="majorHAnsi" w:hAnsiTheme="majorHAnsi" w:cstheme="majorHAnsi"/>
                <w:b/>
                <w:bCs/>
                <w:sz w:val="17"/>
                <w:szCs w:val="17"/>
              </w:rPr>
              <w:t>Category II</w:t>
            </w:r>
          </w:p>
          <w:p w14:paraId="207026B8" w14:textId="77777777" w:rsidR="000718B0" w:rsidRPr="004F24EC" w:rsidRDefault="000718B0" w:rsidP="00496ADD">
            <w:pPr>
              <w:spacing w:before="120" w:after="120" w:line="240" w:lineRule="auto"/>
              <w:rPr>
                <w:rFonts w:asciiTheme="majorHAnsi" w:hAnsiTheme="majorHAnsi" w:cstheme="majorHAnsi"/>
                <w:sz w:val="17"/>
                <w:szCs w:val="17"/>
              </w:rPr>
            </w:pPr>
            <w:r w:rsidRPr="004F24EC">
              <w:rPr>
                <w:rFonts w:asciiTheme="majorHAnsi" w:hAnsiTheme="majorHAnsi" w:cstheme="majorHAnsi"/>
                <w:sz w:val="17"/>
                <w:szCs w:val="17"/>
                <w:u w:val="single"/>
              </w:rPr>
              <w:t>Bornstein 2020</w:t>
            </w:r>
            <w:r w:rsidRPr="004F24EC">
              <w:rPr>
                <w:rFonts w:asciiTheme="majorHAnsi" w:hAnsiTheme="majorHAnsi" w:cstheme="majorHAnsi"/>
                <w:sz w:val="17"/>
                <w:szCs w:val="17"/>
              </w:rPr>
              <w:t xml:space="preserve"> results point to significant racial/ethnic differences in the overall prevalence, as well as the temporal changes in the prevalence, of these pregnancy risk factors/complications during the 2007–2018 period; these findings could potentially contribute to our understanding of the observed racial/ethnic differences in maternal morbidity and mortality</w:t>
            </w:r>
          </w:p>
          <w:p w14:paraId="098A3704" w14:textId="77777777" w:rsidR="000718B0" w:rsidRPr="004F24EC" w:rsidRDefault="000718B0" w:rsidP="00496ADD">
            <w:pPr>
              <w:spacing w:before="120" w:after="120" w:line="240" w:lineRule="auto"/>
              <w:rPr>
                <w:rFonts w:asciiTheme="majorHAnsi" w:hAnsiTheme="majorHAnsi" w:cstheme="majorHAnsi"/>
                <w:sz w:val="17"/>
                <w:szCs w:val="17"/>
              </w:rPr>
            </w:pPr>
            <w:r w:rsidRPr="004F24EC">
              <w:rPr>
                <w:rFonts w:asciiTheme="majorHAnsi" w:hAnsiTheme="majorHAnsi" w:cstheme="majorHAnsi"/>
                <w:sz w:val="17"/>
                <w:szCs w:val="17"/>
                <w:u w:val="single"/>
              </w:rPr>
              <w:t>Kim 2020</w:t>
            </w:r>
            <w:r w:rsidRPr="004F24EC">
              <w:rPr>
                <w:rFonts w:asciiTheme="majorHAnsi" w:hAnsiTheme="majorHAnsi" w:cstheme="majorHAnsi"/>
                <w:sz w:val="17"/>
                <w:szCs w:val="17"/>
              </w:rPr>
              <w:t xml:space="preserve"> results show that both chronic stress and racism may develop accelerated </w:t>
            </w:r>
            <w:r>
              <w:rPr>
                <w:rFonts w:asciiTheme="majorHAnsi" w:hAnsiTheme="majorHAnsi" w:cstheme="majorHAnsi"/>
                <w:sz w:val="17"/>
                <w:szCs w:val="17"/>
              </w:rPr>
              <w:t>PTB</w:t>
            </w:r>
            <w:r w:rsidRPr="004F24EC">
              <w:rPr>
                <w:rFonts w:asciiTheme="majorHAnsi" w:hAnsiTheme="majorHAnsi" w:cstheme="majorHAnsi"/>
                <w:sz w:val="17"/>
                <w:szCs w:val="17"/>
              </w:rPr>
              <w:t xml:space="preserve"> risk among minority women; future research should use more objective and accurate chronic stress measures to ascertain the complex relationships among chronic stress, racial discrimination, and maternal age underlying the racial/ethnic differentials in PTB</w:t>
            </w:r>
          </w:p>
          <w:p w14:paraId="166D4396" w14:textId="77777777" w:rsidR="000718B0" w:rsidRPr="004F24EC" w:rsidRDefault="000718B0" w:rsidP="00496ADD">
            <w:pPr>
              <w:spacing w:before="120" w:after="120" w:line="240" w:lineRule="auto"/>
              <w:rPr>
                <w:rFonts w:asciiTheme="majorHAnsi" w:hAnsiTheme="majorHAnsi" w:cstheme="majorHAnsi"/>
                <w:sz w:val="17"/>
                <w:szCs w:val="17"/>
              </w:rPr>
            </w:pPr>
            <w:proofErr w:type="spellStart"/>
            <w:r w:rsidRPr="004F24EC">
              <w:rPr>
                <w:rFonts w:asciiTheme="majorHAnsi" w:hAnsiTheme="majorHAnsi" w:cstheme="majorHAnsi"/>
                <w:sz w:val="17"/>
                <w:szCs w:val="17"/>
                <w:u w:val="single"/>
              </w:rPr>
              <w:t>Schummers</w:t>
            </w:r>
            <w:proofErr w:type="spellEnd"/>
            <w:r w:rsidRPr="004F24EC">
              <w:rPr>
                <w:rFonts w:asciiTheme="majorHAnsi" w:hAnsiTheme="majorHAnsi" w:cstheme="majorHAnsi"/>
                <w:sz w:val="17"/>
                <w:szCs w:val="17"/>
                <w:u w:val="single"/>
              </w:rPr>
              <w:t xml:space="preserve"> 2019</w:t>
            </w:r>
            <w:r w:rsidRPr="004F24EC">
              <w:rPr>
                <w:rFonts w:asciiTheme="majorHAnsi" w:hAnsiTheme="majorHAnsi" w:cstheme="majorHAnsi"/>
                <w:sz w:val="17"/>
                <w:szCs w:val="17"/>
              </w:rPr>
              <w:t xml:space="preserve"> findings confirm risks associated with first births to women younger than 20 and older than 30 years, provide easily interpretable risk curves and illuminate variability in these relationships across categories of maternal race in the United States</w:t>
            </w:r>
          </w:p>
          <w:p w14:paraId="78C68EA1" w14:textId="77777777" w:rsidR="000718B0" w:rsidRPr="004F24EC" w:rsidRDefault="000718B0" w:rsidP="00496ADD">
            <w:pPr>
              <w:spacing w:before="120" w:after="120" w:line="240" w:lineRule="auto"/>
              <w:rPr>
                <w:rFonts w:asciiTheme="majorHAnsi" w:hAnsiTheme="majorHAnsi" w:cstheme="majorHAnsi"/>
                <w:sz w:val="17"/>
                <w:szCs w:val="17"/>
              </w:rPr>
            </w:pPr>
            <w:proofErr w:type="spellStart"/>
            <w:r w:rsidRPr="004F24EC">
              <w:rPr>
                <w:rFonts w:asciiTheme="majorHAnsi" w:hAnsiTheme="majorHAnsi" w:cstheme="majorHAnsi"/>
                <w:sz w:val="17"/>
                <w:szCs w:val="17"/>
                <w:u w:val="single"/>
              </w:rPr>
              <w:t>Moaddab</w:t>
            </w:r>
            <w:proofErr w:type="spellEnd"/>
            <w:r w:rsidRPr="004F24EC">
              <w:rPr>
                <w:rFonts w:asciiTheme="majorHAnsi" w:hAnsiTheme="majorHAnsi" w:cstheme="majorHAnsi"/>
                <w:sz w:val="17"/>
                <w:szCs w:val="17"/>
                <w:u w:val="single"/>
              </w:rPr>
              <w:t xml:space="preserve"> 2018</w:t>
            </w:r>
            <w:r w:rsidRPr="004F24EC">
              <w:rPr>
                <w:rFonts w:asciiTheme="majorHAnsi" w:hAnsiTheme="majorHAnsi" w:cstheme="majorHAnsi"/>
                <w:sz w:val="17"/>
                <w:szCs w:val="17"/>
              </w:rPr>
              <w:t xml:space="preserve"> the current United States maternal mortality ratio is heavily influenced by a higher rate of death among non-Hispanic black or unmarried patients with unplanned pregnancies; racial disparities in health care availability and access or utilization by underserved populations are important issues faced by states seeking to decrease maternal mortality</w:t>
            </w:r>
          </w:p>
        </w:tc>
        <w:tc>
          <w:tcPr>
            <w:tcW w:w="4799" w:type="dxa"/>
            <w:tcBorders>
              <w:top w:val="nil"/>
              <w:left w:val="nil"/>
              <w:bottom w:val="nil"/>
              <w:right w:val="single" w:sz="4" w:space="0" w:color="D9D9D9" w:themeColor="background1" w:themeShade="D9"/>
            </w:tcBorders>
          </w:tcPr>
          <w:p w14:paraId="745ABF14" w14:textId="77777777" w:rsidR="000718B0" w:rsidRDefault="000718B0" w:rsidP="00496ADD">
            <w:pPr>
              <w:spacing w:before="120" w:after="120" w:line="240" w:lineRule="auto"/>
              <w:rPr>
                <w:rFonts w:asciiTheme="majorHAnsi" w:hAnsiTheme="majorHAnsi" w:cstheme="majorHAnsi"/>
                <w:b/>
                <w:bCs/>
                <w:sz w:val="17"/>
                <w:szCs w:val="17"/>
              </w:rPr>
            </w:pPr>
            <w:r w:rsidRPr="00D15ACA">
              <w:rPr>
                <w:rFonts w:asciiTheme="majorHAnsi" w:hAnsiTheme="majorHAnsi" w:cstheme="majorHAnsi"/>
                <w:b/>
                <w:bCs/>
                <w:sz w:val="17"/>
                <w:szCs w:val="17"/>
              </w:rPr>
              <w:t>Category III</w:t>
            </w:r>
          </w:p>
          <w:p w14:paraId="58616790" w14:textId="77777777" w:rsidR="000718B0" w:rsidRPr="004F24EC" w:rsidRDefault="000718B0" w:rsidP="00496ADD">
            <w:pPr>
              <w:spacing w:before="120" w:after="120" w:line="240" w:lineRule="auto"/>
              <w:rPr>
                <w:rFonts w:asciiTheme="majorHAnsi" w:hAnsiTheme="majorHAnsi" w:cstheme="majorHAnsi"/>
                <w:sz w:val="17"/>
                <w:szCs w:val="17"/>
              </w:rPr>
            </w:pPr>
            <w:r w:rsidRPr="004F24EC">
              <w:rPr>
                <w:rFonts w:asciiTheme="majorHAnsi" w:hAnsiTheme="majorHAnsi" w:cstheme="majorHAnsi"/>
                <w:sz w:val="17"/>
                <w:szCs w:val="17"/>
                <w:u w:val="single"/>
              </w:rPr>
              <w:t>CDC Pregnancy Mortality Surveillance System (PMSS) Maternal and Infant Health</w:t>
            </w:r>
            <w:r w:rsidRPr="004F24EC">
              <w:rPr>
                <w:rFonts w:asciiTheme="majorHAnsi" w:hAnsiTheme="majorHAnsi" w:cstheme="majorHAnsi"/>
                <w:sz w:val="17"/>
                <w:szCs w:val="17"/>
              </w:rPr>
              <w:t xml:space="preserve"> provides data on infant and maternal mortality</w:t>
            </w:r>
          </w:p>
          <w:p w14:paraId="2BCEDE8C" w14:textId="77777777" w:rsidR="000718B0" w:rsidRPr="001E72B5" w:rsidRDefault="000718B0" w:rsidP="00496ADD">
            <w:pPr>
              <w:spacing w:before="120" w:after="120" w:line="240" w:lineRule="auto"/>
              <w:rPr>
                <w:rFonts w:asciiTheme="majorHAnsi" w:hAnsiTheme="majorHAnsi" w:cstheme="majorHAnsi"/>
                <w:sz w:val="17"/>
                <w:szCs w:val="17"/>
              </w:rPr>
            </w:pPr>
            <w:r w:rsidRPr="004F24EC">
              <w:rPr>
                <w:rFonts w:asciiTheme="majorHAnsi" w:hAnsiTheme="majorHAnsi" w:cstheme="majorHAnsi"/>
                <w:sz w:val="17"/>
                <w:szCs w:val="17"/>
                <w:u w:val="single"/>
              </w:rPr>
              <w:t>CDC Infant Mortality</w:t>
            </w:r>
            <w:r w:rsidRPr="004F24EC">
              <w:rPr>
                <w:rFonts w:asciiTheme="majorHAnsi" w:hAnsiTheme="majorHAnsi" w:cstheme="majorHAnsi"/>
                <w:sz w:val="17"/>
                <w:szCs w:val="17"/>
              </w:rPr>
              <w:t xml:space="preserve"> </w:t>
            </w:r>
            <w:r>
              <w:rPr>
                <w:rFonts w:asciiTheme="majorHAnsi" w:hAnsiTheme="majorHAnsi" w:cstheme="majorHAnsi"/>
                <w:sz w:val="17"/>
                <w:szCs w:val="17"/>
              </w:rPr>
              <w:t xml:space="preserve">data from </w:t>
            </w:r>
            <w:r w:rsidRPr="004F24EC">
              <w:rPr>
                <w:rFonts w:asciiTheme="majorHAnsi" w:hAnsiTheme="majorHAnsi" w:cstheme="majorHAnsi"/>
                <w:sz w:val="17"/>
                <w:szCs w:val="17"/>
              </w:rPr>
              <w:t>2018, infant mortality rates by race and ethnicity were as follows: Non-Hispanic black: 10.8, Native Hawaiian or other</w:t>
            </w:r>
            <w:r w:rsidRPr="001E72B5">
              <w:rPr>
                <w:rFonts w:asciiTheme="majorHAnsi" w:hAnsiTheme="majorHAnsi" w:cstheme="majorHAnsi"/>
                <w:sz w:val="17"/>
                <w:szCs w:val="17"/>
              </w:rPr>
              <w:t xml:space="preserve"> Pacific Islander: 9.4, American Indian/Alaska Native: 8.2, Hispanic: 4.9, Non-Hispanic white: 4.6, Asian: 3.6</w:t>
            </w:r>
          </w:p>
        </w:tc>
      </w:tr>
      <w:tr w:rsidR="000718B0" w:rsidRPr="00EE0EA9" w14:paraId="665A89D4" w14:textId="77777777" w:rsidTr="00496ADD">
        <w:trPr>
          <w:cantSplit/>
          <w:trHeight w:val="50"/>
        </w:trPr>
        <w:tc>
          <w:tcPr>
            <w:tcW w:w="4797" w:type="dxa"/>
            <w:tcBorders>
              <w:top w:val="nil"/>
              <w:left w:val="single" w:sz="4" w:space="0" w:color="D9D9D9" w:themeColor="background1" w:themeShade="D9"/>
              <w:bottom w:val="single" w:sz="4" w:space="0" w:color="D9D9D9" w:themeColor="background1" w:themeShade="D9"/>
              <w:right w:val="nil"/>
            </w:tcBorders>
          </w:tcPr>
          <w:p w14:paraId="3C759FA0" w14:textId="77777777" w:rsidR="000718B0" w:rsidRDefault="000718B0" w:rsidP="00496ADD">
            <w:pPr>
              <w:spacing w:after="0"/>
              <w:rPr>
                <w:sz w:val="16"/>
                <w:szCs w:val="16"/>
              </w:rPr>
            </w:pPr>
          </w:p>
          <w:p w14:paraId="07797FF7" w14:textId="77777777" w:rsidR="000718B0" w:rsidRDefault="000718B0" w:rsidP="00496ADD">
            <w:pPr>
              <w:spacing w:after="0"/>
              <w:rPr>
                <w:rFonts w:cstheme="minorHAnsi"/>
                <w:sz w:val="16"/>
                <w:szCs w:val="16"/>
              </w:rPr>
            </w:pPr>
          </w:p>
          <w:p w14:paraId="5B2EDB1B" w14:textId="77777777" w:rsidR="000718B0" w:rsidRPr="00D15ACA" w:rsidRDefault="000718B0" w:rsidP="00496ADD">
            <w:pPr>
              <w:spacing w:after="0"/>
              <w:rPr>
                <w:rFonts w:cstheme="minorHAnsi"/>
                <w:sz w:val="16"/>
                <w:szCs w:val="16"/>
              </w:rPr>
            </w:pPr>
          </w:p>
        </w:tc>
        <w:tc>
          <w:tcPr>
            <w:tcW w:w="4799" w:type="dxa"/>
            <w:tcBorders>
              <w:top w:val="nil"/>
              <w:left w:val="nil"/>
              <w:bottom w:val="single" w:sz="4" w:space="0" w:color="D9D9D9" w:themeColor="background1" w:themeShade="D9"/>
              <w:right w:val="nil"/>
            </w:tcBorders>
          </w:tcPr>
          <w:p w14:paraId="2F987360" w14:textId="77777777" w:rsidR="000718B0" w:rsidRPr="004F24EC" w:rsidRDefault="000718B0" w:rsidP="00496ADD">
            <w:pPr>
              <w:spacing w:after="0"/>
              <w:rPr>
                <w:rFonts w:asciiTheme="majorHAnsi" w:hAnsiTheme="majorHAnsi" w:cstheme="majorHAnsi"/>
                <w:sz w:val="17"/>
                <w:szCs w:val="17"/>
              </w:rPr>
            </w:pPr>
            <w:proofErr w:type="spellStart"/>
            <w:r w:rsidRPr="004F24EC">
              <w:rPr>
                <w:rFonts w:asciiTheme="majorHAnsi" w:hAnsiTheme="majorHAnsi" w:cstheme="majorHAnsi"/>
                <w:sz w:val="17"/>
                <w:szCs w:val="17"/>
                <w:u w:val="single"/>
              </w:rPr>
              <w:t>Creanga</w:t>
            </w:r>
            <w:proofErr w:type="spellEnd"/>
            <w:r w:rsidRPr="004F24EC">
              <w:rPr>
                <w:rFonts w:asciiTheme="majorHAnsi" w:hAnsiTheme="majorHAnsi" w:cstheme="majorHAnsi"/>
                <w:sz w:val="17"/>
                <w:szCs w:val="17"/>
                <w:u w:val="single"/>
              </w:rPr>
              <w:t xml:space="preserve"> 2017</w:t>
            </w:r>
            <w:r w:rsidRPr="004F24EC">
              <w:rPr>
                <w:rFonts w:asciiTheme="majorHAnsi" w:hAnsiTheme="majorHAnsi" w:cstheme="majorHAnsi"/>
                <w:sz w:val="17"/>
                <w:szCs w:val="17"/>
              </w:rPr>
              <w:t xml:space="preserve"> the pregnancy-related mortality ratio and the distribution of the main causes of pregnancy-related mortality have been relatively stable in recent years</w:t>
            </w:r>
          </w:p>
          <w:p w14:paraId="068EF82E" w14:textId="77777777" w:rsidR="000718B0" w:rsidRPr="004F24EC" w:rsidRDefault="000718B0" w:rsidP="00496ADD">
            <w:pPr>
              <w:spacing w:after="0"/>
              <w:rPr>
                <w:rFonts w:asciiTheme="majorHAnsi" w:hAnsiTheme="majorHAnsi" w:cstheme="majorHAnsi"/>
                <w:sz w:val="17"/>
                <w:szCs w:val="17"/>
              </w:rPr>
            </w:pPr>
          </w:p>
          <w:p w14:paraId="35D3A912" w14:textId="77777777" w:rsidR="000718B0" w:rsidRPr="004F24EC" w:rsidRDefault="000718B0" w:rsidP="00496ADD">
            <w:pPr>
              <w:spacing w:after="0"/>
              <w:rPr>
                <w:rFonts w:asciiTheme="majorHAnsi" w:hAnsiTheme="majorHAnsi" w:cstheme="majorHAnsi"/>
                <w:sz w:val="17"/>
                <w:szCs w:val="17"/>
              </w:rPr>
            </w:pPr>
            <w:proofErr w:type="spellStart"/>
            <w:r w:rsidRPr="004F24EC">
              <w:rPr>
                <w:rFonts w:asciiTheme="majorHAnsi" w:hAnsiTheme="majorHAnsi" w:cstheme="majorHAnsi"/>
                <w:sz w:val="17"/>
                <w:szCs w:val="17"/>
                <w:u w:val="single"/>
              </w:rPr>
              <w:t>Creanga</w:t>
            </w:r>
            <w:proofErr w:type="spellEnd"/>
            <w:r w:rsidRPr="004F24EC">
              <w:rPr>
                <w:rFonts w:asciiTheme="majorHAnsi" w:hAnsiTheme="majorHAnsi" w:cstheme="majorHAnsi"/>
                <w:sz w:val="17"/>
                <w:szCs w:val="17"/>
                <w:u w:val="single"/>
              </w:rPr>
              <w:t xml:space="preserve"> 2014</w:t>
            </w:r>
            <w:r w:rsidRPr="004F24EC">
              <w:rPr>
                <w:rFonts w:asciiTheme="majorHAnsi" w:hAnsiTheme="majorHAnsi" w:cstheme="majorHAnsi"/>
                <w:sz w:val="17"/>
                <w:szCs w:val="17"/>
              </w:rPr>
              <w:t xml:space="preserve"> severe maternal morbidity disproportionally affects racial/ethnic minority women, especially non-Hispanic black women; there is a need for a systematic review of severe maternal morbidities at the facility, state, and national levels to guide the development of quality improvement interventions to reduce the racial/ethnic disparities in severe maternal morbidity</w:t>
            </w:r>
          </w:p>
          <w:p w14:paraId="1409DF66" w14:textId="77777777" w:rsidR="000718B0" w:rsidRPr="004F24EC" w:rsidRDefault="000718B0" w:rsidP="00496ADD">
            <w:pPr>
              <w:spacing w:after="0"/>
              <w:rPr>
                <w:rFonts w:cstheme="minorHAnsi"/>
                <w:sz w:val="17"/>
                <w:szCs w:val="17"/>
              </w:rPr>
            </w:pPr>
          </w:p>
          <w:p w14:paraId="59CC06F2" w14:textId="77777777" w:rsidR="000718B0" w:rsidRPr="004F24EC" w:rsidRDefault="000718B0" w:rsidP="00496ADD">
            <w:pPr>
              <w:spacing w:after="0"/>
              <w:rPr>
                <w:rFonts w:cstheme="minorHAnsi"/>
                <w:sz w:val="17"/>
                <w:szCs w:val="17"/>
              </w:rPr>
            </w:pPr>
          </w:p>
        </w:tc>
        <w:tc>
          <w:tcPr>
            <w:tcW w:w="4799" w:type="dxa"/>
            <w:tcBorders>
              <w:top w:val="nil"/>
              <w:left w:val="nil"/>
              <w:bottom w:val="single" w:sz="4" w:space="0" w:color="D9D9D9" w:themeColor="background1" w:themeShade="D9"/>
              <w:right w:val="single" w:sz="4" w:space="0" w:color="D9D9D9" w:themeColor="background1" w:themeShade="D9"/>
            </w:tcBorders>
          </w:tcPr>
          <w:p w14:paraId="03336947" w14:textId="77777777" w:rsidR="000718B0" w:rsidRPr="00D15ACA" w:rsidRDefault="000718B0" w:rsidP="00496ADD">
            <w:pPr>
              <w:spacing w:after="0"/>
              <w:rPr>
                <w:rFonts w:cstheme="minorHAnsi"/>
                <w:sz w:val="16"/>
                <w:szCs w:val="16"/>
              </w:rPr>
            </w:pPr>
          </w:p>
        </w:tc>
      </w:tr>
    </w:tbl>
    <w:p w14:paraId="6419561A" w14:textId="77777777" w:rsidR="000718B0" w:rsidRDefault="000718B0" w:rsidP="007735D8">
      <w:pPr>
        <w:spacing w:after="0" w:line="240" w:lineRule="auto"/>
        <w:rPr>
          <w:rFonts w:ascii="Arial Nova Light" w:hAnsi="Arial Nova Light"/>
          <w:sz w:val="20"/>
          <w:szCs w:val="20"/>
        </w:rPr>
      </w:pPr>
    </w:p>
    <w:p w14:paraId="706A2C46" w14:textId="04143E97" w:rsidR="00617754" w:rsidRDefault="00617754" w:rsidP="00095668">
      <w:pPr>
        <w:spacing w:after="0"/>
        <w:rPr>
          <w:rFonts w:ascii="Arial Nova Light" w:hAnsi="Arial Nova Light"/>
          <w:sz w:val="20"/>
          <w:szCs w:val="20"/>
        </w:rPr>
      </w:pPr>
    </w:p>
    <w:p w14:paraId="736F583F" w14:textId="77777777" w:rsidR="00184D45" w:rsidRPr="009E2A89" w:rsidRDefault="00184D45" w:rsidP="00B66538">
      <w:pPr>
        <w:rPr>
          <w:rFonts w:ascii="Arial Nova Light" w:hAnsi="Arial Nova Light"/>
          <w:sz w:val="2"/>
          <w:szCs w:val="20"/>
        </w:rPr>
      </w:pPr>
    </w:p>
    <w:sectPr w:rsidR="00184D45" w:rsidRPr="009E2A89" w:rsidSect="00AC1EB1">
      <w:footerReference w:type="default" r:id="rId8"/>
      <w:pgSz w:w="15840" w:h="12240" w:orient="landscape"/>
      <w:pgMar w:top="720" w:right="720" w:bottom="720" w:left="720" w:header="720" w:footer="108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2CA1B9" w16cex:dateUtc="2022-05-16T14:11:00Z"/>
  <w16cex:commentExtensible w16cex:durableId="262CA41D" w16cex:dateUtc="2022-05-16T14: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EBDBC" w14:textId="77777777" w:rsidR="00F1029E" w:rsidRDefault="00F1029E" w:rsidP="00DF0FBD">
      <w:pPr>
        <w:spacing w:after="0" w:line="240" w:lineRule="auto"/>
      </w:pPr>
      <w:r>
        <w:separator/>
      </w:r>
    </w:p>
  </w:endnote>
  <w:endnote w:type="continuationSeparator" w:id="0">
    <w:p w14:paraId="0ECBC3A7" w14:textId="77777777" w:rsidR="00F1029E" w:rsidRDefault="00F1029E" w:rsidP="00DF0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Lucida Sans" w:hAnsi="Lucida Sans"/>
      </w:rPr>
      <w:id w:val="1828941949"/>
      <w:docPartObj>
        <w:docPartGallery w:val="Page Numbers (Bottom of Page)"/>
        <w:docPartUnique/>
      </w:docPartObj>
    </w:sdtPr>
    <w:sdtEndPr>
      <w:rPr>
        <w:rFonts w:ascii="Arial Narrow" w:hAnsi="Arial Narrow" w:cstheme="majorHAnsi"/>
        <w:noProof/>
        <w:sz w:val="20"/>
        <w:szCs w:val="20"/>
      </w:rPr>
    </w:sdtEndPr>
    <w:sdtContent>
      <w:p w14:paraId="45B91333" w14:textId="6ED9718E" w:rsidR="005B42BB" w:rsidRPr="002E6BBB" w:rsidRDefault="005B42BB" w:rsidP="00B924F8">
        <w:pPr>
          <w:pStyle w:val="Footer"/>
          <w:rPr>
            <w:rFonts w:ascii="Arial Narrow" w:eastAsia="FangSong" w:hAnsi="Arial Narrow" w:cstheme="majorHAnsi"/>
            <w:sz w:val="20"/>
            <w:szCs w:val="20"/>
          </w:rPr>
        </w:pPr>
        <w:r w:rsidRPr="002E6BBB">
          <w:rPr>
            <w:rFonts w:ascii="Arial Narrow" w:hAnsi="Arial Narrow" w:cstheme="majorHAnsi"/>
            <w:sz w:val="20"/>
            <w:szCs w:val="20"/>
          </w:rPr>
          <w:fldChar w:fldCharType="begin"/>
        </w:r>
        <w:r w:rsidRPr="002E6BBB">
          <w:rPr>
            <w:rFonts w:ascii="Arial Narrow" w:hAnsi="Arial Narrow" w:cstheme="majorHAnsi"/>
            <w:sz w:val="20"/>
            <w:szCs w:val="20"/>
          </w:rPr>
          <w:instrText xml:space="preserve"> PAGE   \* MERGEFORMAT </w:instrText>
        </w:r>
        <w:r w:rsidRPr="002E6BBB">
          <w:rPr>
            <w:rFonts w:ascii="Arial Narrow" w:hAnsi="Arial Narrow" w:cstheme="majorHAnsi"/>
            <w:sz w:val="20"/>
            <w:szCs w:val="20"/>
          </w:rPr>
          <w:fldChar w:fldCharType="separate"/>
        </w:r>
        <w:r w:rsidRPr="002E6BBB">
          <w:rPr>
            <w:rFonts w:ascii="Arial Narrow" w:hAnsi="Arial Narrow" w:cstheme="majorHAnsi"/>
            <w:noProof/>
            <w:sz w:val="20"/>
            <w:szCs w:val="20"/>
          </w:rPr>
          <w:t>2</w:t>
        </w:r>
        <w:r w:rsidRPr="002E6BBB">
          <w:rPr>
            <w:rFonts w:ascii="Arial Narrow" w:hAnsi="Arial Narrow" w:cstheme="majorHAnsi"/>
            <w:noProof/>
            <w:sz w:val="20"/>
            <w:szCs w:val="20"/>
          </w:rPr>
          <w:fldChar w:fldCharType="end"/>
        </w:r>
        <w:r w:rsidR="00BA6339">
          <w:rPr>
            <w:rFonts w:ascii="Arial Narrow" w:hAnsi="Arial Narrow" w:cstheme="majorHAnsi"/>
            <w:noProof/>
            <w:sz w:val="20"/>
            <w:szCs w:val="20"/>
          </w:rPr>
          <w:t xml:space="preserve">                                                                                       </w:t>
        </w:r>
        <w:r>
          <w:rPr>
            <w:rFonts w:ascii="Arial Narrow" w:hAnsi="Arial Narrow" w:cstheme="majorHAnsi"/>
            <w:noProof/>
            <w:sz w:val="20"/>
            <w:szCs w:val="20"/>
          </w:rPr>
          <w:t xml:space="preserve"> </w:t>
        </w:r>
        <w:r w:rsidR="00B66538">
          <w:rPr>
            <w:rFonts w:ascii="Arial Narrow" w:hAnsi="Arial Narrow" w:cstheme="majorHAnsi"/>
            <w:noProof/>
            <w:sz w:val="20"/>
            <w:szCs w:val="20"/>
          </w:rPr>
          <w:tab/>
        </w:r>
        <w:r w:rsidR="00B66538">
          <w:rPr>
            <w:rFonts w:ascii="Arial Narrow" w:hAnsi="Arial Narrow" w:cstheme="majorHAnsi"/>
            <w:noProof/>
            <w:sz w:val="20"/>
            <w:szCs w:val="20"/>
          </w:rPr>
          <w:tab/>
        </w:r>
        <w:r w:rsidR="00AD37A2">
          <w:rPr>
            <w:rFonts w:ascii="Arial Narrow" w:hAnsi="Arial Narrow" w:cstheme="majorHAnsi"/>
            <w:noProof/>
            <w:sz w:val="20"/>
            <w:szCs w:val="20"/>
          </w:rPr>
          <w:t xml:space="preserve">                                                                                         </w:t>
        </w:r>
        <w:r w:rsidRPr="002E6BBB">
          <w:rPr>
            <w:rFonts w:ascii="Arial Narrow" w:eastAsia="FangSong" w:hAnsi="Arial Narrow" w:cstheme="majorHAnsi"/>
            <w:sz w:val="20"/>
            <w:szCs w:val="20"/>
          </w:rPr>
          <w:t xml:space="preserve">EVIDENCE MAP </w:t>
        </w:r>
        <w:r w:rsidR="00AD37A2" w:rsidRPr="00AD37A2">
          <w:rPr>
            <w:rFonts w:ascii="Arial Narrow" w:eastAsia="FangSong" w:hAnsi="Arial Narrow" w:cstheme="majorHAnsi"/>
            <w:i/>
            <w:iCs/>
            <w:sz w:val="20"/>
            <w:szCs w:val="20"/>
          </w:rPr>
          <w:t>Pregnancy with Anticipated Delivery at Age 35 and Beyond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35B0F" w14:textId="77777777" w:rsidR="00F1029E" w:rsidRDefault="00F1029E" w:rsidP="00DF0FBD">
      <w:pPr>
        <w:spacing w:after="0" w:line="240" w:lineRule="auto"/>
      </w:pPr>
      <w:r>
        <w:separator/>
      </w:r>
    </w:p>
  </w:footnote>
  <w:footnote w:type="continuationSeparator" w:id="0">
    <w:p w14:paraId="27E47E31" w14:textId="77777777" w:rsidR="00F1029E" w:rsidRDefault="00F1029E" w:rsidP="00DF0F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4302"/>
    <w:multiLevelType w:val="hybridMultilevel"/>
    <w:tmpl w:val="EF9C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E6094"/>
    <w:multiLevelType w:val="hybridMultilevel"/>
    <w:tmpl w:val="C6EC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57B57"/>
    <w:multiLevelType w:val="hybridMultilevel"/>
    <w:tmpl w:val="338E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B64BD"/>
    <w:multiLevelType w:val="hybridMultilevel"/>
    <w:tmpl w:val="32DC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85289B"/>
    <w:multiLevelType w:val="hybridMultilevel"/>
    <w:tmpl w:val="16B4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B26A2A"/>
    <w:multiLevelType w:val="hybridMultilevel"/>
    <w:tmpl w:val="ECCC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0C7B09"/>
    <w:multiLevelType w:val="hybridMultilevel"/>
    <w:tmpl w:val="5674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692F4F"/>
    <w:multiLevelType w:val="hybridMultilevel"/>
    <w:tmpl w:val="3ED61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784A3A"/>
    <w:multiLevelType w:val="hybridMultilevel"/>
    <w:tmpl w:val="C0949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4F51B8"/>
    <w:multiLevelType w:val="hybridMultilevel"/>
    <w:tmpl w:val="7F00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690F28"/>
    <w:multiLevelType w:val="hybridMultilevel"/>
    <w:tmpl w:val="050A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AF6426"/>
    <w:multiLevelType w:val="hybridMultilevel"/>
    <w:tmpl w:val="B3C41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567F87"/>
    <w:multiLevelType w:val="hybridMultilevel"/>
    <w:tmpl w:val="8654C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1"/>
  </w:num>
  <w:num w:numId="5">
    <w:abstractNumId w:val="1"/>
  </w:num>
  <w:num w:numId="6">
    <w:abstractNumId w:val="0"/>
  </w:num>
  <w:num w:numId="7">
    <w:abstractNumId w:val="12"/>
  </w:num>
  <w:num w:numId="8">
    <w:abstractNumId w:val="4"/>
  </w:num>
  <w:num w:numId="9">
    <w:abstractNumId w:val="10"/>
  </w:num>
  <w:num w:numId="10">
    <w:abstractNumId w:val="6"/>
  </w:num>
  <w:num w:numId="11">
    <w:abstractNumId w:val="8"/>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FBD"/>
    <w:rsid w:val="0000700D"/>
    <w:rsid w:val="00014DE1"/>
    <w:rsid w:val="000309F2"/>
    <w:rsid w:val="00031713"/>
    <w:rsid w:val="0003513B"/>
    <w:rsid w:val="00035F0E"/>
    <w:rsid w:val="000409E1"/>
    <w:rsid w:val="00062263"/>
    <w:rsid w:val="00064801"/>
    <w:rsid w:val="00071756"/>
    <w:rsid w:val="000718B0"/>
    <w:rsid w:val="00076F81"/>
    <w:rsid w:val="0008498E"/>
    <w:rsid w:val="00092089"/>
    <w:rsid w:val="0009305A"/>
    <w:rsid w:val="00095668"/>
    <w:rsid w:val="000A0316"/>
    <w:rsid w:val="000A064A"/>
    <w:rsid w:val="000A6F60"/>
    <w:rsid w:val="000B21DB"/>
    <w:rsid w:val="000B3C4D"/>
    <w:rsid w:val="000B431A"/>
    <w:rsid w:val="000C122C"/>
    <w:rsid w:val="000C53FC"/>
    <w:rsid w:val="000D3962"/>
    <w:rsid w:val="000D5572"/>
    <w:rsid w:val="000E022D"/>
    <w:rsid w:val="000E4904"/>
    <w:rsid w:val="000F2A1A"/>
    <w:rsid w:val="000F2D22"/>
    <w:rsid w:val="001038E5"/>
    <w:rsid w:val="0011311A"/>
    <w:rsid w:val="00121305"/>
    <w:rsid w:val="001219E9"/>
    <w:rsid w:val="00121D0A"/>
    <w:rsid w:val="0013005F"/>
    <w:rsid w:val="0014529F"/>
    <w:rsid w:val="0014599D"/>
    <w:rsid w:val="00147EC9"/>
    <w:rsid w:val="00152FB7"/>
    <w:rsid w:val="0016640D"/>
    <w:rsid w:val="0016700B"/>
    <w:rsid w:val="00184D45"/>
    <w:rsid w:val="001923A4"/>
    <w:rsid w:val="00193C3D"/>
    <w:rsid w:val="00195CF2"/>
    <w:rsid w:val="00197B28"/>
    <w:rsid w:val="001B00E7"/>
    <w:rsid w:val="001B0DF6"/>
    <w:rsid w:val="001E4A89"/>
    <w:rsid w:val="001E72B5"/>
    <w:rsid w:val="001F30E9"/>
    <w:rsid w:val="001F39AE"/>
    <w:rsid w:val="001F6506"/>
    <w:rsid w:val="00200EBF"/>
    <w:rsid w:val="002011C0"/>
    <w:rsid w:val="00202C29"/>
    <w:rsid w:val="00202F67"/>
    <w:rsid w:val="00205132"/>
    <w:rsid w:val="00226E34"/>
    <w:rsid w:val="00232E42"/>
    <w:rsid w:val="002330B7"/>
    <w:rsid w:val="00236DFC"/>
    <w:rsid w:val="002378B7"/>
    <w:rsid w:val="002519BB"/>
    <w:rsid w:val="0025345A"/>
    <w:rsid w:val="00257993"/>
    <w:rsid w:val="002669DD"/>
    <w:rsid w:val="00272538"/>
    <w:rsid w:val="002736DB"/>
    <w:rsid w:val="002847AA"/>
    <w:rsid w:val="0029094B"/>
    <w:rsid w:val="00295DBC"/>
    <w:rsid w:val="00297DC6"/>
    <w:rsid w:val="002A5EF7"/>
    <w:rsid w:val="002B314B"/>
    <w:rsid w:val="002C07EF"/>
    <w:rsid w:val="002D0BCF"/>
    <w:rsid w:val="002D36F1"/>
    <w:rsid w:val="002D3B19"/>
    <w:rsid w:val="002E2171"/>
    <w:rsid w:val="002E3537"/>
    <w:rsid w:val="002E51F9"/>
    <w:rsid w:val="002E6BBB"/>
    <w:rsid w:val="002F4FDD"/>
    <w:rsid w:val="002F754B"/>
    <w:rsid w:val="003135A2"/>
    <w:rsid w:val="00323BBA"/>
    <w:rsid w:val="003267B4"/>
    <w:rsid w:val="00331C00"/>
    <w:rsid w:val="00334FF2"/>
    <w:rsid w:val="003421BD"/>
    <w:rsid w:val="00342452"/>
    <w:rsid w:val="00345241"/>
    <w:rsid w:val="003454C1"/>
    <w:rsid w:val="00345CD5"/>
    <w:rsid w:val="003467DE"/>
    <w:rsid w:val="00350DEC"/>
    <w:rsid w:val="003526E7"/>
    <w:rsid w:val="00360247"/>
    <w:rsid w:val="003634AD"/>
    <w:rsid w:val="00364EBE"/>
    <w:rsid w:val="00366342"/>
    <w:rsid w:val="0036791B"/>
    <w:rsid w:val="0037690A"/>
    <w:rsid w:val="00386856"/>
    <w:rsid w:val="00395739"/>
    <w:rsid w:val="003A2B2C"/>
    <w:rsid w:val="003A3E51"/>
    <w:rsid w:val="003B4F31"/>
    <w:rsid w:val="003B6EC0"/>
    <w:rsid w:val="003B7B0B"/>
    <w:rsid w:val="003B7E19"/>
    <w:rsid w:val="003C5112"/>
    <w:rsid w:val="003C6F3C"/>
    <w:rsid w:val="003C7F00"/>
    <w:rsid w:val="003D0507"/>
    <w:rsid w:val="003E2BD6"/>
    <w:rsid w:val="003E38BF"/>
    <w:rsid w:val="003F217A"/>
    <w:rsid w:val="003F4C34"/>
    <w:rsid w:val="00414330"/>
    <w:rsid w:val="00415D16"/>
    <w:rsid w:val="00415EE2"/>
    <w:rsid w:val="00430542"/>
    <w:rsid w:val="00432DB0"/>
    <w:rsid w:val="0043535E"/>
    <w:rsid w:val="00435854"/>
    <w:rsid w:val="004376C6"/>
    <w:rsid w:val="0044163B"/>
    <w:rsid w:val="00442D0D"/>
    <w:rsid w:val="00450BB0"/>
    <w:rsid w:val="00451D04"/>
    <w:rsid w:val="00456A94"/>
    <w:rsid w:val="00465E8C"/>
    <w:rsid w:val="004675B0"/>
    <w:rsid w:val="00467A7D"/>
    <w:rsid w:val="00467AA1"/>
    <w:rsid w:val="00476E10"/>
    <w:rsid w:val="00480040"/>
    <w:rsid w:val="00482539"/>
    <w:rsid w:val="0048634F"/>
    <w:rsid w:val="00487B7A"/>
    <w:rsid w:val="00494DCD"/>
    <w:rsid w:val="004A336F"/>
    <w:rsid w:val="004A39ED"/>
    <w:rsid w:val="004A74BB"/>
    <w:rsid w:val="004B268C"/>
    <w:rsid w:val="004B4AEC"/>
    <w:rsid w:val="004D28E5"/>
    <w:rsid w:val="004E06EC"/>
    <w:rsid w:val="004E6C33"/>
    <w:rsid w:val="004F24EC"/>
    <w:rsid w:val="004F6F6B"/>
    <w:rsid w:val="005020F2"/>
    <w:rsid w:val="005057F3"/>
    <w:rsid w:val="005061B1"/>
    <w:rsid w:val="00510AC1"/>
    <w:rsid w:val="005172CB"/>
    <w:rsid w:val="0051793E"/>
    <w:rsid w:val="00522178"/>
    <w:rsid w:val="005303AA"/>
    <w:rsid w:val="00530A1A"/>
    <w:rsid w:val="005330FB"/>
    <w:rsid w:val="005342EA"/>
    <w:rsid w:val="00534700"/>
    <w:rsid w:val="00540CD1"/>
    <w:rsid w:val="00544441"/>
    <w:rsid w:val="005461C4"/>
    <w:rsid w:val="005466C0"/>
    <w:rsid w:val="00553431"/>
    <w:rsid w:val="00561770"/>
    <w:rsid w:val="005626CA"/>
    <w:rsid w:val="00565E8C"/>
    <w:rsid w:val="0056794A"/>
    <w:rsid w:val="0057097A"/>
    <w:rsid w:val="00571B09"/>
    <w:rsid w:val="00574253"/>
    <w:rsid w:val="0057641D"/>
    <w:rsid w:val="00576926"/>
    <w:rsid w:val="00581FFA"/>
    <w:rsid w:val="005932C3"/>
    <w:rsid w:val="005974D4"/>
    <w:rsid w:val="005A1D35"/>
    <w:rsid w:val="005A62AB"/>
    <w:rsid w:val="005A75BF"/>
    <w:rsid w:val="005B1400"/>
    <w:rsid w:val="005B1FEF"/>
    <w:rsid w:val="005B3B7A"/>
    <w:rsid w:val="005B42BB"/>
    <w:rsid w:val="005C3642"/>
    <w:rsid w:val="005D4CB3"/>
    <w:rsid w:val="005D624C"/>
    <w:rsid w:val="005E18BC"/>
    <w:rsid w:val="005E3F74"/>
    <w:rsid w:val="005E5F50"/>
    <w:rsid w:val="005F4CB5"/>
    <w:rsid w:val="005F618E"/>
    <w:rsid w:val="005F6AE6"/>
    <w:rsid w:val="005F6B30"/>
    <w:rsid w:val="0060409D"/>
    <w:rsid w:val="00605869"/>
    <w:rsid w:val="00606D83"/>
    <w:rsid w:val="00607CC5"/>
    <w:rsid w:val="00610151"/>
    <w:rsid w:val="00610C28"/>
    <w:rsid w:val="00612AAF"/>
    <w:rsid w:val="00613492"/>
    <w:rsid w:val="00617754"/>
    <w:rsid w:val="0062216D"/>
    <w:rsid w:val="00653972"/>
    <w:rsid w:val="00654925"/>
    <w:rsid w:val="00670198"/>
    <w:rsid w:val="00675012"/>
    <w:rsid w:val="0067677B"/>
    <w:rsid w:val="00690E15"/>
    <w:rsid w:val="006967B1"/>
    <w:rsid w:val="00697832"/>
    <w:rsid w:val="006A1350"/>
    <w:rsid w:val="006A55E7"/>
    <w:rsid w:val="006A5EAC"/>
    <w:rsid w:val="006A6558"/>
    <w:rsid w:val="006C659F"/>
    <w:rsid w:val="006C6E4A"/>
    <w:rsid w:val="006D2228"/>
    <w:rsid w:val="006D3199"/>
    <w:rsid w:val="006E04F5"/>
    <w:rsid w:val="006E27BB"/>
    <w:rsid w:val="006E79D3"/>
    <w:rsid w:val="0070027B"/>
    <w:rsid w:val="00700356"/>
    <w:rsid w:val="00703EF6"/>
    <w:rsid w:val="00711441"/>
    <w:rsid w:val="007167B5"/>
    <w:rsid w:val="007224EE"/>
    <w:rsid w:val="00732FBB"/>
    <w:rsid w:val="00744377"/>
    <w:rsid w:val="0075364A"/>
    <w:rsid w:val="007536A7"/>
    <w:rsid w:val="00755060"/>
    <w:rsid w:val="0075612D"/>
    <w:rsid w:val="00757ABB"/>
    <w:rsid w:val="00772DA2"/>
    <w:rsid w:val="007735D8"/>
    <w:rsid w:val="00776AC0"/>
    <w:rsid w:val="0077728C"/>
    <w:rsid w:val="00791B1D"/>
    <w:rsid w:val="007A38CE"/>
    <w:rsid w:val="007C1302"/>
    <w:rsid w:val="007C3D28"/>
    <w:rsid w:val="007D2D90"/>
    <w:rsid w:val="007E24AC"/>
    <w:rsid w:val="007F088B"/>
    <w:rsid w:val="007F3EB3"/>
    <w:rsid w:val="007F446E"/>
    <w:rsid w:val="007F449B"/>
    <w:rsid w:val="00804267"/>
    <w:rsid w:val="00806D46"/>
    <w:rsid w:val="008130BF"/>
    <w:rsid w:val="00821EAB"/>
    <w:rsid w:val="00822B19"/>
    <w:rsid w:val="00830430"/>
    <w:rsid w:val="00830BF9"/>
    <w:rsid w:val="008359A0"/>
    <w:rsid w:val="00840406"/>
    <w:rsid w:val="00843E75"/>
    <w:rsid w:val="008457BC"/>
    <w:rsid w:val="00852657"/>
    <w:rsid w:val="008565B3"/>
    <w:rsid w:val="00862F1E"/>
    <w:rsid w:val="0086373D"/>
    <w:rsid w:val="00874436"/>
    <w:rsid w:val="00875EFA"/>
    <w:rsid w:val="0087686C"/>
    <w:rsid w:val="00883289"/>
    <w:rsid w:val="00890678"/>
    <w:rsid w:val="00893726"/>
    <w:rsid w:val="008A41ED"/>
    <w:rsid w:val="008B0EFE"/>
    <w:rsid w:val="008B1FA2"/>
    <w:rsid w:val="008B3E79"/>
    <w:rsid w:val="008B743A"/>
    <w:rsid w:val="008C31FE"/>
    <w:rsid w:val="008D2F41"/>
    <w:rsid w:val="008E254D"/>
    <w:rsid w:val="008F322F"/>
    <w:rsid w:val="0090757B"/>
    <w:rsid w:val="00925E64"/>
    <w:rsid w:val="0094262F"/>
    <w:rsid w:val="00944104"/>
    <w:rsid w:val="009500B9"/>
    <w:rsid w:val="00961A98"/>
    <w:rsid w:val="00962E2C"/>
    <w:rsid w:val="009641B0"/>
    <w:rsid w:val="009715CB"/>
    <w:rsid w:val="009747F6"/>
    <w:rsid w:val="00980B90"/>
    <w:rsid w:val="0099017A"/>
    <w:rsid w:val="009912E1"/>
    <w:rsid w:val="00992210"/>
    <w:rsid w:val="009A045A"/>
    <w:rsid w:val="009C0180"/>
    <w:rsid w:val="009C0489"/>
    <w:rsid w:val="009D3279"/>
    <w:rsid w:val="009D4417"/>
    <w:rsid w:val="009E2A89"/>
    <w:rsid w:val="009E4B13"/>
    <w:rsid w:val="009E4EC1"/>
    <w:rsid w:val="009F38A4"/>
    <w:rsid w:val="009F605C"/>
    <w:rsid w:val="009F6B16"/>
    <w:rsid w:val="00A010E1"/>
    <w:rsid w:val="00A16ADA"/>
    <w:rsid w:val="00A239C4"/>
    <w:rsid w:val="00A31AD8"/>
    <w:rsid w:val="00A35EBC"/>
    <w:rsid w:val="00A44F9E"/>
    <w:rsid w:val="00A522F9"/>
    <w:rsid w:val="00A52B13"/>
    <w:rsid w:val="00A56AEB"/>
    <w:rsid w:val="00A6032B"/>
    <w:rsid w:val="00A60F93"/>
    <w:rsid w:val="00A70FF9"/>
    <w:rsid w:val="00A734D5"/>
    <w:rsid w:val="00A73536"/>
    <w:rsid w:val="00A84CF8"/>
    <w:rsid w:val="00AA2909"/>
    <w:rsid w:val="00AA7813"/>
    <w:rsid w:val="00AB28A8"/>
    <w:rsid w:val="00AB4B18"/>
    <w:rsid w:val="00AC068B"/>
    <w:rsid w:val="00AC1EB1"/>
    <w:rsid w:val="00AC32B4"/>
    <w:rsid w:val="00AC78F2"/>
    <w:rsid w:val="00AD207B"/>
    <w:rsid w:val="00AD37A2"/>
    <w:rsid w:val="00AD5067"/>
    <w:rsid w:val="00AE08C2"/>
    <w:rsid w:val="00AE5B4F"/>
    <w:rsid w:val="00AE5D4E"/>
    <w:rsid w:val="00AE6145"/>
    <w:rsid w:val="00AF0DB0"/>
    <w:rsid w:val="00AF7FF6"/>
    <w:rsid w:val="00B03D92"/>
    <w:rsid w:val="00B05831"/>
    <w:rsid w:val="00B1329F"/>
    <w:rsid w:val="00B25633"/>
    <w:rsid w:val="00B33D9E"/>
    <w:rsid w:val="00B4098F"/>
    <w:rsid w:val="00B40FEC"/>
    <w:rsid w:val="00B4178B"/>
    <w:rsid w:val="00B43117"/>
    <w:rsid w:val="00B50E7D"/>
    <w:rsid w:val="00B52BF6"/>
    <w:rsid w:val="00B6096F"/>
    <w:rsid w:val="00B63A28"/>
    <w:rsid w:val="00B645DF"/>
    <w:rsid w:val="00B66538"/>
    <w:rsid w:val="00B672B7"/>
    <w:rsid w:val="00B770A4"/>
    <w:rsid w:val="00B924F8"/>
    <w:rsid w:val="00B9404E"/>
    <w:rsid w:val="00B95A0B"/>
    <w:rsid w:val="00B97A56"/>
    <w:rsid w:val="00BA24BA"/>
    <w:rsid w:val="00BA4AE7"/>
    <w:rsid w:val="00BA6339"/>
    <w:rsid w:val="00BB037C"/>
    <w:rsid w:val="00BB1F95"/>
    <w:rsid w:val="00BB6E6C"/>
    <w:rsid w:val="00BC25E3"/>
    <w:rsid w:val="00BC3E1E"/>
    <w:rsid w:val="00BD3295"/>
    <w:rsid w:val="00BE4933"/>
    <w:rsid w:val="00BE7825"/>
    <w:rsid w:val="00C00C3E"/>
    <w:rsid w:val="00C149D2"/>
    <w:rsid w:val="00C256AD"/>
    <w:rsid w:val="00C25B10"/>
    <w:rsid w:val="00C305B1"/>
    <w:rsid w:val="00C4336E"/>
    <w:rsid w:val="00C51026"/>
    <w:rsid w:val="00C54DB4"/>
    <w:rsid w:val="00C57EC1"/>
    <w:rsid w:val="00C62151"/>
    <w:rsid w:val="00C66F5C"/>
    <w:rsid w:val="00C748E2"/>
    <w:rsid w:val="00C750B5"/>
    <w:rsid w:val="00C77919"/>
    <w:rsid w:val="00C8019E"/>
    <w:rsid w:val="00C80934"/>
    <w:rsid w:val="00C8566E"/>
    <w:rsid w:val="00C85CD2"/>
    <w:rsid w:val="00C86C28"/>
    <w:rsid w:val="00C90B55"/>
    <w:rsid w:val="00C919F5"/>
    <w:rsid w:val="00CB3E47"/>
    <w:rsid w:val="00CD06EC"/>
    <w:rsid w:val="00CD4188"/>
    <w:rsid w:val="00CD4745"/>
    <w:rsid w:val="00CD704C"/>
    <w:rsid w:val="00CF23DE"/>
    <w:rsid w:val="00D046E8"/>
    <w:rsid w:val="00D05F44"/>
    <w:rsid w:val="00D06E14"/>
    <w:rsid w:val="00D13D05"/>
    <w:rsid w:val="00D15ACA"/>
    <w:rsid w:val="00D24239"/>
    <w:rsid w:val="00D330A3"/>
    <w:rsid w:val="00D36D99"/>
    <w:rsid w:val="00D532A4"/>
    <w:rsid w:val="00D56140"/>
    <w:rsid w:val="00D660EC"/>
    <w:rsid w:val="00D82DD7"/>
    <w:rsid w:val="00D96DBF"/>
    <w:rsid w:val="00DA1139"/>
    <w:rsid w:val="00DA11C1"/>
    <w:rsid w:val="00DA580F"/>
    <w:rsid w:val="00DB484C"/>
    <w:rsid w:val="00DD1DC0"/>
    <w:rsid w:val="00DD707A"/>
    <w:rsid w:val="00DE112C"/>
    <w:rsid w:val="00DE1A08"/>
    <w:rsid w:val="00DE29F9"/>
    <w:rsid w:val="00DF0B7B"/>
    <w:rsid w:val="00DF0FBD"/>
    <w:rsid w:val="00DF11F0"/>
    <w:rsid w:val="00DF617B"/>
    <w:rsid w:val="00E03F65"/>
    <w:rsid w:val="00E304E5"/>
    <w:rsid w:val="00E36EC1"/>
    <w:rsid w:val="00E52DD0"/>
    <w:rsid w:val="00E54BE2"/>
    <w:rsid w:val="00E70350"/>
    <w:rsid w:val="00E7215F"/>
    <w:rsid w:val="00E7260C"/>
    <w:rsid w:val="00E745FB"/>
    <w:rsid w:val="00E76BFD"/>
    <w:rsid w:val="00E837EA"/>
    <w:rsid w:val="00E8423F"/>
    <w:rsid w:val="00E90EF9"/>
    <w:rsid w:val="00E942AD"/>
    <w:rsid w:val="00EA34B8"/>
    <w:rsid w:val="00EA3A53"/>
    <w:rsid w:val="00EC070E"/>
    <w:rsid w:val="00EC6CFE"/>
    <w:rsid w:val="00ED27E0"/>
    <w:rsid w:val="00ED605C"/>
    <w:rsid w:val="00ED7329"/>
    <w:rsid w:val="00ED7FCD"/>
    <w:rsid w:val="00EE0EA9"/>
    <w:rsid w:val="00EE76E8"/>
    <w:rsid w:val="00EF0C7D"/>
    <w:rsid w:val="00F00293"/>
    <w:rsid w:val="00F1029E"/>
    <w:rsid w:val="00F2534A"/>
    <w:rsid w:val="00F30CDA"/>
    <w:rsid w:val="00F32CE2"/>
    <w:rsid w:val="00F33957"/>
    <w:rsid w:val="00F34200"/>
    <w:rsid w:val="00F44552"/>
    <w:rsid w:val="00F5127B"/>
    <w:rsid w:val="00F57328"/>
    <w:rsid w:val="00F6083B"/>
    <w:rsid w:val="00F611B0"/>
    <w:rsid w:val="00F670F2"/>
    <w:rsid w:val="00F701B4"/>
    <w:rsid w:val="00F75F73"/>
    <w:rsid w:val="00F90444"/>
    <w:rsid w:val="00F94539"/>
    <w:rsid w:val="00F96924"/>
    <w:rsid w:val="00F97CC8"/>
    <w:rsid w:val="00FA6753"/>
    <w:rsid w:val="00FA7498"/>
    <w:rsid w:val="00FB1193"/>
    <w:rsid w:val="00FC3AC7"/>
    <w:rsid w:val="00FC5A5E"/>
    <w:rsid w:val="00FC6893"/>
    <w:rsid w:val="00FD0312"/>
    <w:rsid w:val="00FD1D60"/>
    <w:rsid w:val="00FD40D9"/>
    <w:rsid w:val="00FE00A6"/>
    <w:rsid w:val="00FE79E2"/>
    <w:rsid w:val="00FF3FC1"/>
    <w:rsid w:val="00FF5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980C10"/>
  <w15:chartTrackingRefBased/>
  <w15:docId w15:val="{C83BD966-9C4E-47A9-85C0-F8324D86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FBD"/>
  </w:style>
  <w:style w:type="paragraph" w:styleId="Footer">
    <w:name w:val="footer"/>
    <w:basedOn w:val="Normal"/>
    <w:link w:val="FooterChar"/>
    <w:uiPriority w:val="99"/>
    <w:unhideWhenUsed/>
    <w:rsid w:val="00DF0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FBD"/>
  </w:style>
  <w:style w:type="paragraph" w:styleId="BalloonText">
    <w:name w:val="Balloon Text"/>
    <w:basedOn w:val="Normal"/>
    <w:link w:val="BalloonTextChar"/>
    <w:uiPriority w:val="99"/>
    <w:semiHidden/>
    <w:unhideWhenUsed/>
    <w:rsid w:val="00874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436"/>
    <w:rPr>
      <w:rFonts w:ascii="Segoe UI" w:hAnsi="Segoe UI" w:cs="Segoe UI"/>
      <w:sz w:val="18"/>
      <w:szCs w:val="18"/>
    </w:rPr>
  </w:style>
  <w:style w:type="character" w:styleId="CommentReference">
    <w:name w:val="annotation reference"/>
    <w:basedOn w:val="DefaultParagraphFont"/>
    <w:uiPriority w:val="99"/>
    <w:semiHidden/>
    <w:unhideWhenUsed/>
    <w:rsid w:val="00862F1E"/>
    <w:rPr>
      <w:sz w:val="16"/>
      <w:szCs w:val="16"/>
    </w:rPr>
  </w:style>
  <w:style w:type="paragraph" w:styleId="CommentText">
    <w:name w:val="annotation text"/>
    <w:basedOn w:val="Normal"/>
    <w:link w:val="CommentTextChar"/>
    <w:uiPriority w:val="99"/>
    <w:unhideWhenUsed/>
    <w:rsid w:val="00862F1E"/>
    <w:pPr>
      <w:spacing w:line="240" w:lineRule="auto"/>
    </w:pPr>
    <w:rPr>
      <w:sz w:val="20"/>
      <w:szCs w:val="20"/>
    </w:rPr>
  </w:style>
  <w:style w:type="character" w:customStyle="1" w:styleId="CommentTextChar">
    <w:name w:val="Comment Text Char"/>
    <w:basedOn w:val="DefaultParagraphFont"/>
    <w:link w:val="CommentText"/>
    <w:uiPriority w:val="99"/>
    <w:rsid w:val="00862F1E"/>
    <w:rPr>
      <w:sz w:val="20"/>
      <w:szCs w:val="20"/>
    </w:rPr>
  </w:style>
  <w:style w:type="paragraph" w:styleId="CommentSubject">
    <w:name w:val="annotation subject"/>
    <w:basedOn w:val="CommentText"/>
    <w:next w:val="CommentText"/>
    <w:link w:val="CommentSubjectChar"/>
    <w:uiPriority w:val="99"/>
    <w:semiHidden/>
    <w:unhideWhenUsed/>
    <w:rsid w:val="00862F1E"/>
    <w:rPr>
      <w:b/>
      <w:bCs/>
    </w:rPr>
  </w:style>
  <w:style w:type="character" w:customStyle="1" w:styleId="CommentSubjectChar">
    <w:name w:val="Comment Subject Char"/>
    <w:basedOn w:val="CommentTextChar"/>
    <w:link w:val="CommentSubject"/>
    <w:uiPriority w:val="99"/>
    <w:semiHidden/>
    <w:rsid w:val="00862F1E"/>
    <w:rPr>
      <w:b/>
      <w:bCs/>
      <w:sz w:val="20"/>
      <w:szCs w:val="20"/>
    </w:rPr>
  </w:style>
  <w:style w:type="character" w:styleId="Hyperlink">
    <w:name w:val="Hyperlink"/>
    <w:basedOn w:val="DefaultParagraphFont"/>
    <w:uiPriority w:val="99"/>
    <w:unhideWhenUsed/>
    <w:rsid w:val="00703EF6"/>
    <w:rPr>
      <w:color w:val="0563C1" w:themeColor="hyperlink"/>
      <w:u w:val="single"/>
    </w:rPr>
  </w:style>
  <w:style w:type="character" w:styleId="UnresolvedMention">
    <w:name w:val="Unresolved Mention"/>
    <w:basedOn w:val="DefaultParagraphFont"/>
    <w:uiPriority w:val="99"/>
    <w:semiHidden/>
    <w:unhideWhenUsed/>
    <w:rsid w:val="00703EF6"/>
    <w:rPr>
      <w:color w:val="605E5C"/>
      <w:shd w:val="clear" w:color="auto" w:fill="E1DFDD"/>
    </w:rPr>
  </w:style>
  <w:style w:type="character" w:styleId="FollowedHyperlink">
    <w:name w:val="FollowedHyperlink"/>
    <w:basedOn w:val="DefaultParagraphFont"/>
    <w:uiPriority w:val="99"/>
    <w:semiHidden/>
    <w:unhideWhenUsed/>
    <w:rsid w:val="00A52B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B31EB-70DC-463F-B8F3-C062226BB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12</Pages>
  <Words>4459</Words>
  <Characters>25420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Madden</dc:creator>
  <cp:keywords/>
  <dc:description/>
  <cp:lastModifiedBy>Margaret Villalonga2</cp:lastModifiedBy>
  <cp:revision>147</cp:revision>
  <dcterms:created xsi:type="dcterms:W3CDTF">2022-05-11T14:26:00Z</dcterms:created>
  <dcterms:modified xsi:type="dcterms:W3CDTF">2022-05-19T23:57:00Z</dcterms:modified>
</cp:coreProperties>
</file>