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6A1A" w14:textId="3E55715A" w:rsidR="00EE0EA9" w:rsidRPr="000309F2" w:rsidRDefault="00D15ACA" w:rsidP="002E6BBB">
      <w:pPr>
        <w:spacing w:before="200" w:after="0" w:line="240" w:lineRule="auto"/>
        <w:jc w:val="right"/>
        <w:rPr>
          <w:b/>
          <w:bCs/>
          <w:spacing w:val="6"/>
          <w:sz w:val="21"/>
          <w:szCs w:val="21"/>
        </w:rPr>
      </w:pPr>
      <w:bookmarkStart w:id="0" w:name="_Hlk97281111"/>
      <w:r>
        <w:rPr>
          <w:spacing w:val="6"/>
          <w:sz w:val="21"/>
          <w:szCs w:val="21"/>
        </w:rPr>
        <w:t>CLINICAL CONSENSUS</w:t>
      </w:r>
      <w:r w:rsidR="00EE0EA9" w:rsidRPr="000309F2">
        <w:rPr>
          <w:spacing w:val="6"/>
          <w:sz w:val="21"/>
          <w:szCs w:val="21"/>
        </w:rPr>
        <w:t xml:space="preserve"> </w:t>
      </w:r>
      <w:r w:rsidR="00EE0EA9" w:rsidRPr="000309F2">
        <w:rPr>
          <w:b/>
          <w:bCs/>
          <w:spacing w:val="6"/>
          <w:sz w:val="21"/>
          <w:szCs w:val="21"/>
        </w:rPr>
        <w:t xml:space="preserve">EVIDENCE </w:t>
      </w:r>
      <w:r w:rsidR="00852657">
        <w:rPr>
          <w:b/>
          <w:bCs/>
          <w:spacing w:val="6"/>
          <w:sz w:val="21"/>
          <w:szCs w:val="21"/>
        </w:rPr>
        <w:t>MAP</w:t>
      </w:r>
    </w:p>
    <w:p w14:paraId="36E71800" w14:textId="7872C5DB" w:rsidR="00EE0EA9" w:rsidRPr="002E6BBB" w:rsidRDefault="00EE0EA9" w:rsidP="00EE0EA9">
      <w:pPr>
        <w:spacing w:after="0"/>
        <w:jc w:val="right"/>
        <w:rPr>
          <w:sz w:val="21"/>
          <w:szCs w:val="21"/>
        </w:rPr>
      </w:pPr>
    </w:p>
    <w:p w14:paraId="065298CD" w14:textId="4C27B2E4" w:rsidR="000309F2" w:rsidRDefault="00323BBA" w:rsidP="00323BBA">
      <w:pPr>
        <w:spacing w:after="120" w:line="240" w:lineRule="auto"/>
        <w:jc w:val="right"/>
        <w:rPr>
          <w:rFonts w:ascii="Arial Nova Light" w:hAnsi="Arial Nova Light"/>
          <w:sz w:val="20"/>
          <w:szCs w:val="20"/>
        </w:rPr>
      </w:pPr>
      <w:r>
        <w:rPr>
          <w:rFonts w:ascii="Arial Nova Light" w:hAnsi="Arial Nova Light"/>
          <w:sz w:val="20"/>
          <w:szCs w:val="20"/>
        </w:rPr>
        <w:t>SUPPLEMENTAL DIGITAL CONTENT</w:t>
      </w:r>
    </w:p>
    <w:p w14:paraId="5CD87186" w14:textId="66D84978" w:rsidR="00323BBA" w:rsidRDefault="005E3BFF" w:rsidP="00AC1EB1">
      <w:pPr>
        <w:spacing w:after="0"/>
        <w:jc w:val="right"/>
        <w:rPr>
          <w:rFonts w:ascii="Arial Nova Light" w:hAnsi="Arial Nova Light"/>
          <w:sz w:val="20"/>
          <w:szCs w:val="20"/>
        </w:rPr>
      </w:pPr>
      <w:r w:rsidRPr="00323BBA">
        <w:rPr>
          <w:rFonts w:ascii="Arial Nova Light" w:hAnsi="Arial Nova Light"/>
          <w:noProof/>
          <w:sz w:val="20"/>
          <w:szCs w:val="20"/>
        </w:rPr>
        <mc:AlternateContent>
          <mc:Choice Requires="wps">
            <w:drawing>
              <wp:anchor distT="45720" distB="45720" distL="114300" distR="114300" simplePos="0" relativeHeight="251659263" behindDoc="0" locked="0" layoutInCell="1" allowOverlap="1" wp14:anchorId="08673416" wp14:editId="4E4C9F71">
                <wp:simplePos x="0" y="0"/>
                <wp:positionH relativeFrom="column">
                  <wp:posOffset>-97848</wp:posOffset>
                </wp:positionH>
                <wp:positionV relativeFrom="topMargin">
                  <wp:posOffset>1302731</wp:posOffset>
                </wp:positionV>
                <wp:extent cx="5733288" cy="66751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288" cy="667512"/>
                        </a:xfrm>
                        <a:prstGeom prst="rect">
                          <a:avLst/>
                        </a:prstGeom>
                        <a:noFill/>
                        <a:ln w="9525">
                          <a:noFill/>
                          <a:miter lim="800000"/>
                          <a:headEnd/>
                          <a:tailEnd/>
                        </a:ln>
                      </wps:spPr>
                      <wps:txbx>
                        <w:txbxContent>
                          <w:p w14:paraId="1932B711" w14:textId="24306FF9" w:rsidR="00EC3F0D" w:rsidRPr="00323BBA" w:rsidRDefault="00EC3F0D" w:rsidP="00323BBA">
                            <w:pPr>
                              <w:spacing w:after="0"/>
                              <w:rPr>
                                <w:rFonts w:cstheme="minorHAnsi"/>
                                <w:b/>
                                <w:bCs/>
                                <w:sz w:val="36"/>
                                <w:szCs w:val="36"/>
                              </w:rPr>
                            </w:pPr>
                            <w:r w:rsidRPr="00323BBA">
                              <w:rPr>
                                <w:rFonts w:cstheme="minorHAnsi"/>
                                <w:b/>
                                <w:bCs/>
                                <w:sz w:val="36"/>
                                <w:szCs w:val="36"/>
                              </w:rPr>
                              <w:t xml:space="preserve">Evidence </w:t>
                            </w:r>
                            <w:r>
                              <w:rPr>
                                <w:rFonts w:cstheme="minorHAnsi"/>
                                <w:b/>
                                <w:bCs/>
                                <w:sz w:val="36"/>
                                <w:szCs w:val="36"/>
                              </w:rPr>
                              <w:t>Map</w:t>
                            </w:r>
                          </w:p>
                          <w:p w14:paraId="49A5D4BA" w14:textId="5B74413E" w:rsidR="00EC3F0D" w:rsidRDefault="00EC3F0D" w:rsidP="00323BBA">
                            <w:pPr>
                              <w:spacing w:after="0"/>
                              <w:rPr>
                                <w:rFonts w:ascii="Arial Nova Light" w:hAnsi="Arial Nova Light"/>
                                <w:sz w:val="20"/>
                                <w:szCs w:val="20"/>
                              </w:rPr>
                            </w:pPr>
                            <w:r>
                              <w:rPr>
                                <w:rFonts w:cstheme="minorHAnsi"/>
                                <w:sz w:val="36"/>
                                <w:szCs w:val="36"/>
                              </w:rPr>
                              <w:t>Urinary Tract Infections in Pregnant Individuals</w:t>
                            </w:r>
                          </w:p>
                          <w:p w14:paraId="10AD570A" w14:textId="41C28665" w:rsidR="00EC3F0D" w:rsidRDefault="00EC3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73416" id="_x0000_t202" coordsize="21600,21600" o:spt="202" path="m,l,21600r21600,l21600,xe">
                <v:stroke joinstyle="miter"/>
                <v:path gradientshapeok="t" o:connecttype="rect"/>
              </v:shapetype>
              <v:shape id="Text Box 2" o:spid="_x0000_s1026" type="#_x0000_t202" style="position:absolute;left:0;text-align:left;margin-left:-7.7pt;margin-top:102.6pt;width:451.45pt;height:52.55pt;z-index:251659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" filled="f" stroked="f">
                <v:textbox>
                  <w:txbxContent>
                    <w:p w14:paraId="1932B711" w14:textId="24306FF9" w:rsidR="00EC3F0D" w:rsidRPr="00323BBA" w:rsidRDefault="00EC3F0D" w:rsidP="00323BBA">
                      <w:pPr>
                        <w:spacing w:after="0"/>
                        <w:rPr>
                          <w:rFonts w:cstheme="minorHAnsi"/>
                          <w:b/>
                          <w:bCs/>
                          <w:sz w:val="36"/>
                          <w:szCs w:val="36"/>
                        </w:rPr>
                      </w:pPr>
                      <w:r w:rsidRPr="00323BBA">
                        <w:rPr>
                          <w:rFonts w:cstheme="minorHAnsi"/>
                          <w:b/>
                          <w:bCs/>
                          <w:sz w:val="36"/>
                          <w:szCs w:val="36"/>
                        </w:rPr>
                        <w:t xml:space="preserve">Evidence </w:t>
                      </w:r>
                      <w:r>
                        <w:rPr>
                          <w:rFonts w:cstheme="minorHAnsi"/>
                          <w:b/>
                          <w:bCs/>
                          <w:sz w:val="36"/>
                          <w:szCs w:val="36"/>
                        </w:rPr>
                        <w:t>Map</w:t>
                      </w:r>
                    </w:p>
                    <w:p w14:paraId="49A5D4BA" w14:textId="5B74413E" w:rsidR="00EC3F0D" w:rsidRDefault="00EC3F0D" w:rsidP="00323BBA">
                      <w:pPr>
                        <w:spacing w:after="0"/>
                        <w:rPr>
                          <w:rFonts w:ascii="Arial Nova Light" w:hAnsi="Arial Nova Light"/>
                          <w:sz w:val="20"/>
                          <w:szCs w:val="20"/>
                        </w:rPr>
                      </w:pPr>
                      <w:r>
                        <w:rPr>
                          <w:rFonts w:cstheme="minorHAnsi"/>
                          <w:sz w:val="36"/>
                          <w:szCs w:val="36"/>
                        </w:rPr>
                        <w:t>Urinary Tract Infections in Pregnant Individuals</w:t>
                      </w:r>
                    </w:p>
                    <w:p w14:paraId="10AD570A" w14:textId="41C28665" w:rsidR="00EC3F0D" w:rsidRDefault="00EC3F0D"/>
                  </w:txbxContent>
                </v:textbox>
                <w10:wrap anchory="margin"/>
              </v:shape>
            </w:pict>
          </mc:Fallback>
        </mc:AlternateContent>
      </w:r>
      <w:r w:rsidR="00D15ACA">
        <w:rPr>
          <w:rFonts w:ascii="Arial Nova Light" w:hAnsi="Arial Nova Light"/>
          <w:sz w:val="20"/>
          <w:szCs w:val="20"/>
        </w:rPr>
        <w:t>CLINICAL CONSENSUS</w:t>
      </w:r>
      <w:r w:rsidR="00323BBA">
        <w:rPr>
          <w:rFonts w:ascii="Arial Nova Light" w:hAnsi="Arial Nova Light"/>
          <w:sz w:val="20"/>
          <w:szCs w:val="20"/>
        </w:rPr>
        <w:t xml:space="preserve"> NUMBER </w:t>
      </w:r>
      <w:r w:rsidR="00E55AD5">
        <w:rPr>
          <w:rFonts w:ascii="Arial Nova Light" w:hAnsi="Arial Nova Light"/>
          <w:sz w:val="20"/>
          <w:szCs w:val="20"/>
        </w:rPr>
        <w:t>5</w:t>
      </w:r>
    </w:p>
    <w:p w14:paraId="4668794E" w14:textId="5E045200" w:rsidR="00323BBA" w:rsidRDefault="00323BBA" w:rsidP="00AC1EB1">
      <w:pPr>
        <w:spacing w:after="0"/>
        <w:jc w:val="right"/>
        <w:rPr>
          <w:rFonts w:ascii="Arial Nova Light" w:hAnsi="Arial Nova Light"/>
          <w:sz w:val="20"/>
          <w:szCs w:val="20"/>
        </w:rPr>
      </w:pPr>
    </w:p>
    <w:p w14:paraId="58090DF6" w14:textId="21E95986" w:rsidR="00AC1EB1" w:rsidRDefault="00AC1EB1" w:rsidP="00581FFA">
      <w:pPr>
        <w:spacing w:after="0"/>
        <w:rPr>
          <w:rFonts w:ascii="Arial Nova Light" w:hAnsi="Arial Nova Light"/>
          <w:sz w:val="20"/>
          <w:szCs w:val="20"/>
        </w:rPr>
      </w:pPr>
    </w:p>
    <w:tbl>
      <w:tblPr>
        <w:tblpPr w:leftFromText="187" w:rightFromText="187" w:tblpY="2809"/>
        <w:tblOverlap w:val="neve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8"/>
        <w:gridCol w:w="4798"/>
        <w:gridCol w:w="4799"/>
      </w:tblGrid>
      <w:tr w:rsidR="00581FFA" w:rsidRPr="00EE0EA9" w14:paraId="3DF3F860" w14:textId="77777777" w:rsidTr="00AE6145">
        <w:trPr>
          <w:cantSplit/>
          <w:trHeight w:val="167"/>
        </w:trPr>
        <w:tc>
          <w:tcPr>
            <w:tcW w:w="14395"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8436E87" w14:textId="0D072B2F" w:rsidR="00581FFA" w:rsidRPr="00581FFA" w:rsidRDefault="00215A8F" w:rsidP="00AE6145">
            <w:pPr>
              <w:spacing w:before="120" w:after="120" w:line="240" w:lineRule="auto"/>
              <w:rPr>
                <w:rFonts w:cstheme="minorHAnsi"/>
                <w:b/>
                <w:bCs/>
                <w:sz w:val="20"/>
                <w:szCs w:val="20"/>
              </w:rPr>
            </w:pPr>
            <w:r>
              <w:rPr>
                <w:rFonts w:cstheme="minorHAnsi"/>
                <w:b/>
                <w:bCs/>
                <w:sz w:val="20"/>
                <w:szCs w:val="20"/>
              </w:rPr>
              <w:t xml:space="preserve">Asymptomatic Bacteriuria </w:t>
            </w:r>
            <w:r w:rsidR="00937DBF">
              <w:rPr>
                <w:rFonts w:cstheme="minorHAnsi"/>
                <w:b/>
                <w:bCs/>
                <w:sz w:val="20"/>
                <w:szCs w:val="20"/>
              </w:rPr>
              <w:t>Diagnosis and Treatment</w:t>
            </w:r>
          </w:p>
        </w:tc>
      </w:tr>
      <w:tr w:rsidR="00AE08C2" w:rsidRPr="00EE0EA9" w14:paraId="58D50302" w14:textId="77777777" w:rsidTr="00AE6145">
        <w:trPr>
          <w:cantSplit/>
          <w:trHeight w:val="345"/>
        </w:trPr>
        <w:tc>
          <w:tcPr>
            <w:tcW w:w="14395"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F2F2F2" w:themeFill="background1" w:themeFillShade="F2"/>
          </w:tcPr>
          <w:p w14:paraId="7122A306" w14:textId="5421D9A7" w:rsidR="00AE08C2" w:rsidRPr="00D15ACA" w:rsidRDefault="00AE08C2" w:rsidP="00AE6145">
            <w:pPr>
              <w:spacing w:before="120" w:after="120" w:line="240" w:lineRule="auto"/>
              <w:rPr>
                <w:rFonts w:cstheme="minorHAnsi"/>
                <w:b/>
                <w:bCs/>
                <w:sz w:val="18"/>
                <w:szCs w:val="18"/>
              </w:rPr>
            </w:pPr>
            <w:r w:rsidRPr="00D15ACA">
              <w:rPr>
                <w:rFonts w:cstheme="minorHAnsi"/>
                <w:b/>
                <w:bCs/>
                <w:sz w:val="18"/>
                <w:szCs w:val="18"/>
              </w:rPr>
              <w:t>RECOMMENDATION STATEMENT</w:t>
            </w:r>
            <w:r w:rsidR="00780914">
              <w:rPr>
                <w:rFonts w:cstheme="minorHAnsi"/>
                <w:b/>
                <w:bCs/>
                <w:sz w:val="18"/>
                <w:szCs w:val="18"/>
              </w:rPr>
              <w:t>S</w:t>
            </w:r>
            <w:r w:rsidR="00D15ACA">
              <w:rPr>
                <w:rFonts w:cstheme="minorHAnsi"/>
                <w:b/>
                <w:bCs/>
                <w:sz w:val="18"/>
                <w:szCs w:val="18"/>
              </w:rPr>
              <w:t xml:space="preserve">  </w:t>
            </w:r>
          </w:p>
        </w:tc>
      </w:tr>
      <w:tr w:rsidR="00F16963" w:rsidRPr="00EE0EA9" w14:paraId="3E1B44B9" w14:textId="77777777" w:rsidTr="00F16963">
        <w:trPr>
          <w:cantSplit/>
          <w:trHeight w:val="541"/>
        </w:trPr>
        <w:tc>
          <w:tcPr>
            <w:tcW w:w="14395" w:type="dxa"/>
            <w:gridSpan w:val="3"/>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4C9A86E" w14:textId="77777777" w:rsidR="00F16963" w:rsidRDefault="00937DBF" w:rsidP="00937DBF">
            <w:pPr>
              <w:spacing w:after="120"/>
              <w:rPr>
                <w:rFonts w:cstheme="minorHAnsi"/>
                <w:sz w:val="17"/>
                <w:szCs w:val="17"/>
              </w:rPr>
            </w:pPr>
            <w:r>
              <w:rPr>
                <w:rFonts w:cstheme="minorHAnsi"/>
                <w:sz w:val="17"/>
                <w:szCs w:val="17"/>
              </w:rPr>
              <w:t>Diagnosis:</w:t>
            </w:r>
          </w:p>
          <w:p w14:paraId="71B8B807" w14:textId="77777777" w:rsidR="00937DBF" w:rsidRDefault="00937DBF" w:rsidP="00937DBF">
            <w:pPr>
              <w:spacing w:after="120"/>
              <w:rPr>
                <w:rFonts w:cstheme="minorHAnsi"/>
                <w:sz w:val="17"/>
                <w:szCs w:val="17"/>
              </w:rPr>
            </w:pPr>
            <w:r>
              <w:rPr>
                <w:rFonts w:cstheme="minorHAnsi"/>
                <w:sz w:val="17"/>
                <w:szCs w:val="17"/>
              </w:rPr>
              <w:t xml:space="preserve">1. </w:t>
            </w:r>
            <w:r w:rsidRPr="00937DBF">
              <w:rPr>
                <w:rFonts w:cstheme="minorHAnsi"/>
                <w:sz w:val="17"/>
                <w:szCs w:val="17"/>
              </w:rPr>
              <w:t>Clinicians should screen for asymptomatic bacteriuria (ASB) with a urine culture once at a visit early in prenatal care. There is insufficient evidence to recommend for or against repeat screening during pregnancy after a negative initial culture.</w:t>
            </w:r>
          </w:p>
          <w:p w14:paraId="3A0604CA" w14:textId="77777777" w:rsidR="00937DBF" w:rsidRDefault="00937DBF" w:rsidP="00937DBF">
            <w:pPr>
              <w:spacing w:after="120"/>
              <w:rPr>
                <w:rFonts w:cstheme="minorHAnsi"/>
                <w:sz w:val="17"/>
                <w:szCs w:val="17"/>
              </w:rPr>
            </w:pPr>
            <w:r>
              <w:rPr>
                <w:rFonts w:cstheme="minorHAnsi"/>
                <w:sz w:val="17"/>
                <w:szCs w:val="17"/>
              </w:rPr>
              <w:t>Treatment:</w:t>
            </w:r>
          </w:p>
          <w:p w14:paraId="0FEACF31" w14:textId="2CCE8F7A" w:rsidR="00937DBF" w:rsidRPr="00937DBF" w:rsidRDefault="00937DBF" w:rsidP="00937DBF">
            <w:pPr>
              <w:spacing w:after="120"/>
              <w:rPr>
                <w:rFonts w:cstheme="minorHAnsi"/>
                <w:sz w:val="17"/>
                <w:szCs w:val="17"/>
              </w:rPr>
            </w:pPr>
            <w:r>
              <w:rPr>
                <w:rFonts w:cstheme="minorHAnsi"/>
                <w:sz w:val="17"/>
                <w:szCs w:val="17"/>
              </w:rPr>
              <w:t xml:space="preserve">2. </w:t>
            </w:r>
            <w:r w:rsidRPr="00937DBF">
              <w:rPr>
                <w:rFonts w:cstheme="minorHAnsi"/>
                <w:sz w:val="17"/>
                <w:szCs w:val="17"/>
              </w:rPr>
              <w:t xml:space="preserve">Clinicians should prescribe a </w:t>
            </w:r>
            <w:r w:rsidR="0012032C" w:rsidRPr="00937DBF">
              <w:rPr>
                <w:rFonts w:cstheme="minorHAnsi"/>
                <w:sz w:val="17"/>
                <w:szCs w:val="17"/>
              </w:rPr>
              <w:t>5–7-day</w:t>
            </w:r>
            <w:r w:rsidRPr="00937DBF">
              <w:rPr>
                <w:rFonts w:cstheme="minorHAnsi"/>
                <w:sz w:val="17"/>
                <w:szCs w:val="17"/>
              </w:rPr>
              <w:t xml:space="preserve"> course of targeted antibiotics to treat asymptomatic bacteriuria with colony counts ≥ 100,000 CFU/mL. There is insufficient evidence to recommend for or against repeat screening after appropriate treatment of an initial episode of ASB.</w:t>
            </w:r>
          </w:p>
        </w:tc>
      </w:tr>
      <w:tr w:rsidR="004A336F" w:rsidRPr="00EE0EA9" w14:paraId="4B669F9C" w14:textId="77777777" w:rsidTr="00AE6145">
        <w:trPr>
          <w:cantSplit/>
          <w:trHeight w:val="252"/>
        </w:trPr>
        <w:tc>
          <w:tcPr>
            <w:tcW w:w="14395"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4B62999" w14:textId="283603BA" w:rsidR="004A336F" w:rsidRPr="006D3199" w:rsidRDefault="00FC5A5E" w:rsidP="00AE6145">
            <w:pPr>
              <w:spacing w:before="240" w:line="240" w:lineRule="auto"/>
              <w:rPr>
                <w:rFonts w:asciiTheme="majorHAnsi" w:hAnsiTheme="majorHAnsi" w:cstheme="majorHAnsi"/>
                <w:b/>
                <w:bCs/>
                <w:sz w:val="18"/>
                <w:szCs w:val="18"/>
              </w:rPr>
            </w:pPr>
            <w:r w:rsidRPr="006D3199">
              <w:rPr>
                <w:rFonts w:asciiTheme="majorHAnsi" w:hAnsiTheme="majorHAnsi" w:cstheme="majorHAnsi"/>
                <w:b/>
                <w:bCs/>
                <w:sz w:val="18"/>
                <w:szCs w:val="18"/>
              </w:rPr>
              <w:t>SUPPORTING EVIDENCE</w:t>
            </w:r>
          </w:p>
        </w:tc>
      </w:tr>
      <w:tr w:rsidR="000B431A" w:rsidRPr="00EE0EA9" w14:paraId="5F1914DD" w14:textId="77777777" w:rsidTr="00AE6145">
        <w:trPr>
          <w:cantSplit/>
          <w:trHeight w:val="252"/>
        </w:trPr>
        <w:tc>
          <w:tcPr>
            <w:tcW w:w="14395" w:type="dxa"/>
            <w:gridSpan w:val="3"/>
            <w:tcBorders>
              <w:top w:val="nil"/>
              <w:left w:val="single" w:sz="4" w:space="0" w:color="D9D9D9" w:themeColor="background1" w:themeShade="D9"/>
              <w:bottom w:val="nil"/>
              <w:right w:val="single" w:sz="4" w:space="0" w:color="D9D9D9" w:themeColor="background1" w:themeShade="D9"/>
            </w:tcBorders>
          </w:tcPr>
          <w:p w14:paraId="20143EF0" w14:textId="3C451D9E" w:rsidR="000B431A" w:rsidRPr="00610151" w:rsidRDefault="001E3A28" w:rsidP="00AE6145">
            <w:pPr>
              <w:spacing w:after="120" w:line="240" w:lineRule="auto"/>
              <w:rPr>
                <w:rFonts w:asciiTheme="majorHAnsi" w:hAnsiTheme="majorHAnsi" w:cstheme="majorHAnsi"/>
                <w:b/>
                <w:bCs/>
                <w:sz w:val="17"/>
                <w:szCs w:val="17"/>
              </w:rPr>
            </w:pPr>
            <w:r>
              <w:rPr>
                <w:rFonts w:asciiTheme="majorHAnsi" w:hAnsiTheme="majorHAnsi" w:cstheme="majorHAnsi"/>
                <w:b/>
                <w:bCs/>
                <w:sz w:val="17"/>
                <w:szCs w:val="17"/>
              </w:rPr>
              <w:t>Related</w:t>
            </w:r>
            <w:r w:rsidR="000B431A" w:rsidRPr="00610151">
              <w:rPr>
                <w:rFonts w:asciiTheme="majorHAnsi" w:hAnsiTheme="majorHAnsi" w:cstheme="majorHAnsi"/>
                <w:b/>
                <w:bCs/>
                <w:sz w:val="17"/>
                <w:szCs w:val="17"/>
              </w:rPr>
              <w:t xml:space="preserve"> Guidelines</w:t>
            </w:r>
          </w:p>
          <w:p w14:paraId="64DAFC9F" w14:textId="718BEA72" w:rsidR="004460D0" w:rsidRPr="00635E54" w:rsidRDefault="004460D0" w:rsidP="0054419B">
            <w:pPr>
              <w:spacing w:after="120"/>
              <w:rPr>
                <w:rFonts w:asciiTheme="majorHAnsi" w:hAnsiTheme="majorHAnsi" w:cstheme="majorHAnsi"/>
                <w:sz w:val="16"/>
                <w:szCs w:val="16"/>
              </w:rPr>
            </w:pPr>
            <w:r w:rsidRPr="0012032C">
              <w:rPr>
                <w:rFonts w:asciiTheme="majorHAnsi" w:hAnsiTheme="majorHAnsi" w:cstheme="majorHAnsi"/>
                <w:sz w:val="16"/>
                <w:szCs w:val="16"/>
              </w:rPr>
              <w:t>American College of Obstetricians and Gynecologists (ACOG) 2020</w:t>
            </w:r>
            <w:r>
              <w:rPr>
                <w:rFonts w:asciiTheme="majorHAnsi" w:hAnsiTheme="majorHAnsi" w:cstheme="majorHAnsi"/>
                <w:sz w:val="16"/>
                <w:szCs w:val="16"/>
              </w:rPr>
              <w:t xml:space="preserve"> Committee Opinion No. 797 </w:t>
            </w:r>
            <w:r w:rsidRPr="004460D0">
              <w:rPr>
                <w:rFonts w:asciiTheme="majorHAnsi" w:hAnsiTheme="majorHAnsi" w:cstheme="majorHAnsi"/>
                <w:sz w:val="16"/>
                <w:szCs w:val="16"/>
              </w:rPr>
              <w:t>Prevention of Group B Streptococcal Early-Onset Disease in Newborns</w:t>
            </w:r>
            <w:r w:rsidR="00914EE1">
              <w:rPr>
                <w:rFonts w:asciiTheme="majorHAnsi" w:hAnsiTheme="majorHAnsi" w:cstheme="majorHAnsi"/>
                <w:sz w:val="16"/>
                <w:szCs w:val="16"/>
              </w:rPr>
              <w:t xml:space="preserve">: </w:t>
            </w:r>
            <w:r w:rsidR="0054419B" w:rsidRPr="0054419B">
              <w:rPr>
                <w:rFonts w:asciiTheme="majorHAnsi" w:hAnsiTheme="majorHAnsi" w:cstheme="majorHAnsi"/>
                <w:sz w:val="16"/>
                <w:szCs w:val="16"/>
              </w:rPr>
              <w:t>Regardless of planned mode of birth, all pregnant</w:t>
            </w:r>
            <w:r w:rsidR="0054419B">
              <w:rPr>
                <w:rFonts w:asciiTheme="majorHAnsi" w:hAnsiTheme="majorHAnsi" w:cstheme="majorHAnsi"/>
                <w:sz w:val="16"/>
                <w:szCs w:val="16"/>
              </w:rPr>
              <w:t xml:space="preserve"> </w:t>
            </w:r>
            <w:r w:rsidR="0054419B" w:rsidRPr="0054419B">
              <w:rPr>
                <w:rFonts w:asciiTheme="majorHAnsi" w:hAnsiTheme="majorHAnsi" w:cstheme="majorHAnsi"/>
                <w:sz w:val="16"/>
                <w:szCs w:val="16"/>
              </w:rPr>
              <w:t>women should undergo antepartum screening for</w:t>
            </w:r>
            <w:r w:rsidR="0054419B">
              <w:rPr>
                <w:rFonts w:asciiTheme="majorHAnsi" w:hAnsiTheme="majorHAnsi" w:cstheme="majorHAnsi"/>
                <w:sz w:val="16"/>
                <w:szCs w:val="16"/>
              </w:rPr>
              <w:t xml:space="preserve"> </w:t>
            </w:r>
            <w:r w:rsidR="0054419B" w:rsidRPr="0054419B">
              <w:rPr>
                <w:rFonts w:asciiTheme="majorHAnsi" w:hAnsiTheme="majorHAnsi" w:cstheme="majorHAnsi"/>
                <w:sz w:val="16"/>
                <w:szCs w:val="16"/>
              </w:rPr>
              <w:t>GBS at 36 0/7–37 6/7 weeks of gestation, unless intrapartum antibiotic prophylaxis for GBS is indicated</w:t>
            </w:r>
            <w:r w:rsidR="0054419B">
              <w:rPr>
                <w:rFonts w:asciiTheme="majorHAnsi" w:hAnsiTheme="majorHAnsi" w:cstheme="majorHAnsi"/>
                <w:sz w:val="16"/>
                <w:szCs w:val="16"/>
              </w:rPr>
              <w:t xml:space="preserve"> </w:t>
            </w:r>
            <w:r w:rsidR="0054419B" w:rsidRPr="0054419B">
              <w:rPr>
                <w:rFonts w:asciiTheme="majorHAnsi" w:hAnsiTheme="majorHAnsi" w:cstheme="majorHAnsi"/>
                <w:sz w:val="16"/>
                <w:szCs w:val="16"/>
              </w:rPr>
              <w:t>because of GBS bacteriuria during the pregnancy or</w:t>
            </w:r>
            <w:r w:rsidR="0054419B">
              <w:rPr>
                <w:rFonts w:asciiTheme="majorHAnsi" w:hAnsiTheme="majorHAnsi" w:cstheme="majorHAnsi"/>
                <w:sz w:val="16"/>
                <w:szCs w:val="16"/>
              </w:rPr>
              <w:t xml:space="preserve"> </w:t>
            </w:r>
            <w:r w:rsidR="0054419B" w:rsidRPr="0054419B">
              <w:rPr>
                <w:rFonts w:asciiTheme="majorHAnsi" w:hAnsiTheme="majorHAnsi" w:cstheme="majorHAnsi"/>
                <w:sz w:val="16"/>
                <w:szCs w:val="16"/>
              </w:rPr>
              <w:t>because of a history of a previous GBS-infected</w:t>
            </w:r>
            <w:r w:rsidR="0054419B">
              <w:rPr>
                <w:rFonts w:asciiTheme="majorHAnsi" w:hAnsiTheme="majorHAnsi" w:cstheme="majorHAnsi"/>
                <w:sz w:val="16"/>
                <w:szCs w:val="16"/>
              </w:rPr>
              <w:t xml:space="preserve"> </w:t>
            </w:r>
            <w:r w:rsidR="0054419B" w:rsidRPr="0054419B">
              <w:rPr>
                <w:rFonts w:asciiTheme="majorHAnsi" w:hAnsiTheme="majorHAnsi" w:cstheme="majorHAnsi"/>
                <w:sz w:val="16"/>
                <w:szCs w:val="16"/>
              </w:rPr>
              <w:t>newborn. This new recommended timing for</w:t>
            </w:r>
            <w:r w:rsidR="0054419B">
              <w:rPr>
                <w:rFonts w:asciiTheme="majorHAnsi" w:hAnsiTheme="majorHAnsi" w:cstheme="majorHAnsi"/>
                <w:sz w:val="16"/>
                <w:szCs w:val="16"/>
              </w:rPr>
              <w:t xml:space="preserve"> </w:t>
            </w:r>
            <w:r w:rsidR="0054419B" w:rsidRPr="0054419B">
              <w:rPr>
                <w:rFonts w:asciiTheme="majorHAnsi" w:hAnsiTheme="majorHAnsi" w:cstheme="majorHAnsi"/>
                <w:sz w:val="16"/>
                <w:szCs w:val="16"/>
              </w:rPr>
              <w:t>screening provides a 5-week window for valid culture</w:t>
            </w:r>
            <w:r w:rsidR="0054419B">
              <w:rPr>
                <w:rFonts w:asciiTheme="majorHAnsi" w:hAnsiTheme="majorHAnsi" w:cstheme="majorHAnsi"/>
                <w:sz w:val="16"/>
                <w:szCs w:val="16"/>
              </w:rPr>
              <w:t xml:space="preserve"> </w:t>
            </w:r>
            <w:r w:rsidR="0054419B" w:rsidRPr="0054419B">
              <w:rPr>
                <w:rFonts w:asciiTheme="majorHAnsi" w:hAnsiTheme="majorHAnsi" w:cstheme="majorHAnsi"/>
                <w:sz w:val="16"/>
                <w:szCs w:val="16"/>
              </w:rPr>
              <w:t>results that includes births that occur up to a gestational age of at least 41 0/7 weeks.</w:t>
            </w:r>
          </w:p>
          <w:p w14:paraId="601106FE" w14:textId="72E9EFDF" w:rsidR="00AD7345" w:rsidRDefault="00AD7345" w:rsidP="00AD7345">
            <w:pPr>
              <w:spacing w:after="120"/>
              <w:rPr>
                <w:rFonts w:asciiTheme="majorHAnsi" w:hAnsiTheme="majorHAnsi" w:cstheme="majorHAnsi"/>
                <w:sz w:val="16"/>
                <w:szCs w:val="16"/>
              </w:rPr>
            </w:pPr>
            <w:r w:rsidRPr="0012032C">
              <w:rPr>
                <w:rFonts w:asciiTheme="majorHAnsi" w:hAnsiTheme="majorHAnsi" w:cstheme="majorHAnsi"/>
                <w:sz w:val="16"/>
                <w:szCs w:val="16"/>
              </w:rPr>
              <w:t>Infectious Diseases Society of America (IDSA) 2019</w:t>
            </w:r>
            <w:r>
              <w:rPr>
                <w:rFonts w:asciiTheme="majorHAnsi" w:hAnsiTheme="majorHAnsi" w:cstheme="majorHAnsi"/>
                <w:sz w:val="16"/>
                <w:szCs w:val="16"/>
              </w:rPr>
              <w:t xml:space="preserve"> Clinical Practice Guideline </w:t>
            </w:r>
            <w:r w:rsidRPr="00AD7345">
              <w:rPr>
                <w:rFonts w:asciiTheme="majorHAnsi" w:hAnsiTheme="majorHAnsi" w:cstheme="majorHAnsi"/>
                <w:sz w:val="16"/>
                <w:szCs w:val="16"/>
              </w:rPr>
              <w:t>for the Management of</w:t>
            </w:r>
            <w:r>
              <w:rPr>
                <w:rFonts w:asciiTheme="majorHAnsi" w:hAnsiTheme="majorHAnsi" w:cstheme="majorHAnsi"/>
                <w:sz w:val="16"/>
                <w:szCs w:val="16"/>
              </w:rPr>
              <w:t xml:space="preserve"> </w:t>
            </w:r>
            <w:r w:rsidRPr="00AD7345">
              <w:rPr>
                <w:rFonts w:asciiTheme="majorHAnsi" w:hAnsiTheme="majorHAnsi" w:cstheme="majorHAnsi"/>
                <w:sz w:val="16"/>
                <w:szCs w:val="16"/>
              </w:rPr>
              <w:t>Asymptomatic Bacteriuria</w:t>
            </w:r>
            <w:r>
              <w:rPr>
                <w:rFonts w:asciiTheme="majorHAnsi" w:hAnsiTheme="majorHAnsi" w:cstheme="majorHAnsi"/>
                <w:sz w:val="16"/>
                <w:szCs w:val="16"/>
              </w:rPr>
              <w:t xml:space="preserve">: </w:t>
            </w:r>
            <w:r w:rsidRPr="00AD7345">
              <w:rPr>
                <w:rFonts w:asciiTheme="majorHAnsi" w:hAnsiTheme="majorHAnsi" w:cstheme="majorHAnsi"/>
                <w:sz w:val="16"/>
                <w:szCs w:val="16"/>
              </w:rPr>
              <w:t>In pregnant women, we recommend screening for and treating</w:t>
            </w:r>
            <w:r>
              <w:rPr>
                <w:rFonts w:asciiTheme="majorHAnsi" w:hAnsiTheme="majorHAnsi" w:cstheme="majorHAnsi"/>
                <w:sz w:val="16"/>
                <w:szCs w:val="16"/>
              </w:rPr>
              <w:t xml:space="preserve"> </w:t>
            </w:r>
            <w:r w:rsidRPr="00AD7345">
              <w:rPr>
                <w:rFonts w:asciiTheme="majorHAnsi" w:hAnsiTheme="majorHAnsi" w:cstheme="majorHAnsi"/>
                <w:sz w:val="16"/>
                <w:szCs w:val="16"/>
              </w:rPr>
              <w:t>ASB (strong recommendation, moderate-quality evidence).</w:t>
            </w:r>
            <w:r>
              <w:rPr>
                <w:rFonts w:asciiTheme="majorHAnsi" w:hAnsiTheme="majorHAnsi" w:cstheme="majorHAnsi"/>
                <w:sz w:val="16"/>
                <w:szCs w:val="16"/>
              </w:rPr>
              <w:t xml:space="preserve"> </w:t>
            </w:r>
            <w:r w:rsidRPr="00AD7345">
              <w:rPr>
                <w:rFonts w:asciiTheme="majorHAnsi" w:hAnsiTheme="majorHAnsi" w:cstheme="majorHAnsi"/>
                <w:sz w:val="16"/>
                <w:szCs w:val="16"/>
              </w:rPr>
              <w:t>In pregnant women with ASB, we suggest 4–7 days of antimicrobial</w:t>
            </w:r>
            <w:r w:rsidR="00AB3876">
              <w:rPr>
                <w:rFonts w:asciiTheme="majorHAnsi" w:hAnsiTheme="majorHAnsi" w:cstheme="majorHAnsi"/>
                <w:sz w:val="16"/>
                <w:szCs w:val="16"/>
              </w:rPr>
              <w:t xml:space="preserve"> </w:t>
            </w:r>
            <w:r w:rsidRPr="00AD7345">
              <w:rPr>
                <w:rFonts w:asciiTheme="majorHAnsi" w:hAnsiTheme="majorHAnsi" w:cstheme="majorHAnsi"/>
                <w:sz w:val="16"/>
                <w:szCs w:val="16"/>
              </w:rPr>
              <w:t>treatment rather than a shorter duration (weak recommendation,</w:t>
            </w:r>
            <w:r w:rsidR="00AB3876">
              <w:rPr>
                <w:rFonts w:asciiTheme="majorHAnsi" w:hAnsiTheme="majorHAnsi" w:cstheme="majorHAnsi"/>
                <w:sz w:val="16"/>
                <w:szCs w:val="16"/>
              </w:rPr>
              <w:t xml:space="preserve"> </w:t>
            </w:r>
            <w:r w:rsidRPr="00AD7345">
              <w:rPr>
                <w:rFonts w:asciiTheme="majorHAnsi" w:hAnsiTheme="majorHAnsi" w:cstheme="majorHAnsi"/>
                <w:sz w:val="16"/>
                <w:szCs w:val="16"/>
              </w:rPr>
              <w:t>low-quality evidence).</w:t>
            </w:r>
          </w:p>
          <w:p w14:paraId="4F35D429" w14:textId="1A72E9AA" w:rsidR="00255FAB" w:rsidRPr="00D15ACA" w:rsidRDefault="00CD03C8" w:rsidP="00A918DF">
            <w:pPr>
              <w:spacing w:after="120"/>
              <w:rPr>
                <w:rFonts w:asciiTheme="majorHAnsi" w:hAnsiTheme="majorHAnsi" w:cstheme="majorHAnsi"/>
                <w:sz w:val="16"/>
                <w:szCs w:val="16"/>
              </w:rPr>
            </w:pPr>
            <w:r w:rsidRPr="0012032C">
              <w:rPr>
                <w:rFonts w:asciiTheme="majorHAnsi" w:hAnsiTheme="majorHAnsi" w:cstheme="majorHAnsi"/>
                <w:sz w:val="16"/>
                <w:szCs w:val="16"/>
              </w:rPr>
              <w:t>United States Preventive Services Task Force (USPSTF) 2019</w:t>
            </w:r>
            <w:r>
              <w:rPr>
                <w:rFonts w:asciiTheme="majorHAnsi" w:hAnsiTheme="majorHAnsi" w:cstheme="majorHAnsi"/>
                <w:sz w:val="16"/>
                <w:szCs w:val="16"/>
              </w:rPr>
              <w:t xml:space="preserve"> Recommendation Statement:</w:t>
            </w:r>
            <w:r>
              <w:t xml:space="preserve"> </w:t>
            </w:r>
            <w:r w:rsidRPr="00CD03C8">
              <w:rPr>
                <w:rFonts w:asciiTheme="majorHAnsi" w:hAnsiTheme="majorHAnsi" w:cstheme="majorHAnsi"/>
                <w:sz w:val="16"/>
                <w:szCs w:val="16"/>
              </w:rPr>
              <w:t>The USPSTF recommends screening pregnant persons for asymptomatic</w:t>
            </w:r>
            <w:r>
              <w:rPr>
                <w:rFonts w:asciiTheme="majorHAnsi" w:hAnsiTheme="majorHAnsi" w:cstheme="majorHAnsi"/>
                <w:sz w:val="16"/>
                <w:szCs w:val="16"/>
              </w:rPr>
              <w:t xml:space="preserve"> </w:t>
            </w:r>
            <w:r w:rsidRPr="00CD03C8">
              <w:rPr>
                <w:rFonts w:asciiTheme="majorHAnsi" w:hAnsiTheme="majorHAnsi" w:cstheme="majorHAnsi"/>
                <w:sz w:val="16"/>
                <w:szCs w:val="16"/>
              </w:rPr>
              <w:t>bacteriuria using urine culture. (B recommendation) The USPSTF</w:t>
            </w:r>
            <w:r>
              <w:rPr>
                <w:rFonts w:asciiTheme="majorHAnsi" w:hAnsiTheme="majorHAnsi" w:cstheme="majorHAnsi"/>
                <w:sz w:val="16"/>
                <w:szCs w:val="16"/>
              </w:rPr>
              <w:t xml:space="preserve"> </w:t>
            </w:r>
            <w:r w:rsidRPr="00CD03C8">
              <w:rPr>
                <w:rFonts w:asciiTheme="majorHAnsi" w:hAnsiTheme="majorHAnsi" w:cstheme="majorHAnsi"/>
                <w:sz w:val="16"/>
                <w:szCs w:val="16"/>
              </w:rPr>
              <w:t xml:space="preserve">recommends against screening for asymptomatic bacteriuria in nonpregnant </w:t>
            </w:r>
            <w:r w:rsidR="008379F9" w:rsidRPr="00CD03C8">
              <w:rPr>
                <w:rFonts w:asciiTheme="majorHAnsi" w:hAnsiTheme="majorHAnsi" w:cstheme="majorHAnsi"/>
                <w:sz w:val="16"/>
                <w:szCs w:val="16"/>
              </w:rPr>
              <w:t>adults. (</w:t>
            </w:r>
            <w:r w:rsidRPr="00CD03C8">
              <w:rPr>
                <w:rFonts w:asciiTheme="majorHAnsi" w:hAnsiTheme="majorHAnsi" w:cstheme="majorHAnsi"/>
                <w:sz w:val="16"/>
                <w:szCs w:val="16"/>
              </w:rPr>
              <w:t>D recommendation)</w:t>
            </w:r>
          </w:p>
        </w:tc>
      </w:tr>
      <w:tr w:rsidR="00FE79E2" w:rsidRPr="00EE0EA9" w14:paraId="0AF9A1B2" w14:textId="77777777" w:rsidTr="00AE6145">
        <w:trPr>
          <w:cantSplit/>
          <w:trHeight w:val="297"/>
        </w:trPr>
        <w:tc>
          <w:tcPr>
            <w:tcW w:w="4798" w:type="dxa"/>
            <w:tcBorders>
              <w:top w:val="nil"/>
              <w:left w:val="single" w:sz="4" w:space="0" w:color="D9D9D9" w:themeColor="background1" w:themeShade="D9"/>
              <w:bottom w:val="nil"/>
              <w:right w:val="nil"/>
            </w:tcBorders>
          </w:tcPr>
          <w:p w14:paraId="7EED6708" w14:textId="4AB35B70" w:rsidR="00FE79E2" w:rsidRPr="00D15ACA" w:rsidRDefault="00FE79E2" w:rsidP="00AE6145">
            <w:pPr>
              <w:spacing w:before="120" w:after="120" w:line="240" w:lineRule="auto"/>
              <w:rPr>
                <w:rFonts w:asciiTheme="majorHAnsi" w:hAnsiTheme="majorHAnsi" w:cstheme="majorHAnsi"/>
                <w:b/>
                <w:bCs/>
                <w:sz w:val="17"/>
                <w:szCs w:val="17"/>
              </w:rPr>
            </w:pPr>
            <w:r w:rsidRPr="00D15ACA">
              <w:rPr>
                <w:rFonts w:asciiTheme="majorHAnsi" w:hAnsiTheme="majorHAnsi" w:cstheme="majorHAnsi"/>
                <w:b/>
                <w:bCs/>
                <w:sz w:val="17"/>
                <w:szCs w:val="17"/>
              </w:rPr>
              <w:t>Category I</w:t>
            </w:r>
          </w:p>
        </w:tc>
        <w:tc>
          <w:tcPr>
            <w:tcW w:w="4798" w:type="dxa"/>
            <w:tcBorders>
              <w:top w:val="nil"/>
              <w:left w:val="nil"/>
              <w:bottom w:val="nil"/>
              <w:right w:val="nil"/>
            </w:tcBorders>
          </w:tcPr>
          <w:p w14:paraId="08AEBE62" w14:textId="154AF2BB" w:rsidR="00FE79E2" w:rsidRPr="00D15ACA" w:rsidRDefault="00FE79E2" w:rsidP="00AE6145">
            <w:pPr>
              <w:spacing w:before="120" w:after="120" w:line="240" w:lineRule="auto"/>
              <w:rPr>
                <w:rFonts w:asciiTheme="majorHAnsi" w:hAnsiTheme="majorHAnsi" w:cstheme="majorHAnsi"/>
                <w:b/>
                <w:bCs/>
                <w:sz w:val="17"/>
                <w:szCs w:val="17"/>
              </w:rPr>
            </w:pPr>
            <w:r w:rsidRPr="00D15ACA">
              <w:rPr>
                <w:rFonts w:asciiTheme="majorHAnsi" w:hAnsiTheme="majorHAnsi" w:cstheme="majorHAnsi"/>
                <w:b/>
                <w:bCs/>
                <w:sz w:val="17"/>
                <w:szCs w:val="17"/>
              </w:rPr>
              <w:t>Category II</w:t>
            </w:r>
          </w:p>
        </w:tc>
        <w:tc>
          <w:tcPr>
            <w:tcW w:w="4799" w:type="dxa"/>
            <w:tcBorders>
              <w:top w:val="nil"/>
              <w:left w:val="nil"/>
              <w:bottom w:val="nil"/>
              <w:right w:val="single" w:sz="4" w:space="0" w:color="D9D9D9" w:themeColor="background1" w:themeShade="D9"/>
            </w:tcBorders>
          </w:tcPr>
          <w:p w14:paraId="6E59ED83" w14:textId="0F2DB0EB" w:rsidR="00FE79E2" w:rsidRPr="00D15ACA" w:rsidRDefault="00FE79E2" w:rsidP="00AE6145">
            <w:pPr>
              <w:spacing w:before="120" w:after="120" w:line="240" w:lineRule="auto"/>
              <w:rPr>
                <w:rFonts w:asciiTheme="majorHAnsi" w:hAnsiTheme="majorHAnsi" w:cstheme="majorHAnsi"/>
                <w:b/>
                <w:bCs/>
                <w:sz w:val="17"/>
                <w:szCs w:val="17"/>
              </w:rPr>
            </w:pPr>
            <w:r w:rsidRPr="00D15ACA">
              <w:rPr>
                <w:rFonts w:asciiTheme="majorHAnsi" w:hAnsiTheme="majorHAnsi" w:cstheme="majorHAnsi"/>
                <w:b/>
                <w:bCs/>
                <w:sz w:val="17"/>
                <w:szCs w:val="17"/>
              </w:rPr>
              <w:t>Category III</w:t>
            </w:r>
          </w:p>
        </w:tc>
      </w:tr>
      <w:tr w:rsidR="005F6AE6" w:rsidRPr="00EE0EA9" w14:paraId="420332DE" w14:textId="77777777" w:rsidTr="00AE6145">
        <w:trPr>
          <w:cantSplit/>
          <w:trHeight w:val="50"/>
        </w:trPr>
        <w:tc>
          <w:tcPr>
            <w:tcW w:w="4798" w:type="dxa"/>
            <w:tcBorders>
              <w:top w:val="nil"/>
              <w:left w:val="single" w:sz="4" w:space="0" w:color="D9D9D9" w:themeColor="background1" w:themeShade="D9"/>
              <w:bottom w:val="single" w:sz="4" w:space="0" w:color="D9D9D9" w:themeColor="background1" w:themeShade="D9"/>
              <w:right w:val="nil"/>
            </w:tcBorders>
          </w:tcPr>
          <w:p w14:paraId="14EF99B5" w14:textId="77777777" w:rsidR="002D5593" w:rsidRDefault="002D5593" w:rsidP="00AE6145">
            <w:pPr>
              <w:spacing w:before="40"/>
              <w:rPr>
                <w:rFonts w:cstheme="minorHAnsi"/>
                <w:sz w:val="16"/>
                <w:szCs w:val="16"/>
              </w:rPr>
            </w:pPr>
            <w:r>
              <w:rPr>
                <w:rFonts w:cstheme="minorHAnsi"/>
                <w:sz w:val="16"/>
                <w:szCs w:val="16"/>
              </w:rPr>
              <w:t>Systematic Reviews/Meta-Analyses:</w:t>
            </w:r>
          </w:p>
          <w:p w14:paraId="53AC3DB0" w14:textId="75D54914" w:rsidR="00251091" w:rsidRDefault="00251091" w:rsidP="00251091">
            <w:pPr>
              <w:spacing w:before="40"/>
              <w:rPr>
                <w:rFonts w:cstheme="minorHAnsi"/>
                <w:sz w:val="16"/>
                <w:szCs w:val="16"/>
              </w:rPr>
            </w:pPr>
            <w:r w:rsidRPr="0012032C">
              <w:rPr>
                <w:rFonts w:cstheme="minorHAnsi"/>
                <w:sz w:val="16"/>
                <w:szCs w:val="16"/>
                <w:u w:val="single"/>
              </w:rPr>
              <w:t>Wang 2020</w:t>
            </w:r>
            <w:r>
              <w:rPr>
                <w:rFonts w:cstheme="minorHAnsi"/>
                <w:sz w:val="16"/>
                <w:szCs w:val="16"/>
              </w:rPr>
              <w:t xml:space="preserve"> </w:t>
            </w:r>
            <w:r w:rsidRPr="00981765">
              <w:rPr>
                <w:rFonts w:cstheme="minorHAnsi"/>
                <w:sz w:val="16"/>
                <w:szCs w:val="16"/>
              </w:rPr>
              <w:t xml:space="preserve">suggests that single-dose </w:t>
            </w:r>
            <w:r w:rsidR="0012032C" w:rsidRPr="00981765">
              <w:rPr>
                <w:rFonts w:cstheme="minorHAnsi"/>
                <w:sz w:val="16"/>
                <w:szCs w:val="16"/>
              </w:rPr>
              <w:t>Fosfomycin</w:t>
            </w:r>
            <w:r w:rsidRPr="00981765">
              <w:rPr>
                <w:rFonts w:cstheme="minorHAnsi"/>
                <w:sz w:val="16"/>
                <w:szCs w:val="16"/>
              </w:rPr>
              <w:t xml:space="preserve"> tromethamine produces equivalent clinical outcomes to comparator antibiotics in terms of clinical efficacy and microbiological efficacy</w:t>
            </w:r>
            <w:r>
              <w:rPr>
                <w:rFonts w:cstheme="minorHAnsi"/>
                <w:sz w:val="16"/>
                <w:szCs w:val="16"/>
              </w:rPr>
              <w:t>; i</w:t>
            </w:r>
            <w:r w:rsidRPr="00981765">
              <w:rPr>
                <w:rFonts w:cstheme="minorHAnsi"/>
                <w:sz w:val="16"/>
                <w:szCs w:val="16"/>
              </w:rPr>
              <w:t xml:space="preserve">t is therefore clinically effective and safe for women with </w:t>
            </w:r>
            <w:r w:rsidR="003F09B4">
              <w:rPr>
                <w:rFonts w:cstheme="minorHAnsi"/>
                <w:sz w:val="16"/>
                <w:szCs w:val="16"/>
              </w:rPr>
              <w:lastRenderedPageBreak/>
              <w:t>uncomplicated urinary tract infection (</w:t>
            </w:r>
            <w:r w:rsidR="0012032C">
              <w:rPr>
                <w:rFonts w:cstheme="minorHAnsi"/>
                <w:sz w:val="16"/>
                <w:szCs w:val="16"/>
              </w:rPr>
              <w:t>UTI</w:t>
            </w:r>
            <w:r w:rsidR="003F09B4">
              <w:rPr>
                <w:rFonts w:cstheme="minorHAnsi"/>
                <w:sz w:val="16"/>
                <w:szCs w:val="16"/>
              </w:rPr>
              <w:t>)</w:t>
            </w:r>
            <w:r w:rsidRPr="00981765">
              <w:rPr>
                <w:rFonts w:cstheme="minorHAnsi"/>
                <w:sz w:val="16"/>
                <w:szCs w:val="16"/>
              </w:rPr>
              <w:t xml:space="preserve"> and pregnant women with </w:t>
            </w:r>
            <w:r w:rsidR="0012032C">
              <w:rPr>
                <w:rFonts w:cstheme="minorHAnsi"/>
                <w:sz w:val="16"/>
                <w:szCs w:val="16"/>
              </w:rPr>
              <w:t>U</w:t>
            </w:r>
            <w:r w:rsidRPr="00981765">
              <w:rPr>
                <w:rFonts w:cstheme="minorHAnsi"/>
                <w:sz w:val="16"/>
                <w:szCs w:val="16"/>
              </w:rPr>
              <w:t>TI or ASB, and has higher patient compliance</w:t>
            </w:r>
          </w:p>
          <w:p w14:paraId="48EE7B5A" w14:textId="3A3876C4" w:rsidR="002D5593" w:rsidRDefault="002D5593" w:rsidP="00934F5F">
            <w:pPr>
              <w:spacing w:before="40"/>
              <w:rPr>
                <w:rFonts w:cstheme="minorHAnsi"/>
                <w:sz w:val="16"/>
                <w:szCs w:val="16"/>
              </w:rPr>
            </w:pPr>
            <w:proofErr w:type="spellStart"/>
            <w:r w:rsidRPr="0012032C">
              <w:rPr>
                <w:rFonts w:cstheme="minorHAnsi"/>
                <w:sz w:val="16"/>
                <w:szCs w:val="16"/>
                <w:u w:val="single"/>
              </w:rPr>
              <w:t>Smaill</w:t>
            </w:r>
            <w:proofErr w:type="spellEnd"/>
            <w:r w:rsidRPr="0012032C">
              <w:rPr>
                <w:rFonts w:cstheme="minorHAnsi"/>
                <w:sz w:val="16"/>
                <w:szCs w:val="16"/>
                <w:u w:val="single"/>
              </w:rPr>
              <w:t xml:space="preserve"> 2019</w:t>
            </w:r>
            <w:r w:rsidR="00934F5F">
              <w:rPr>
                <w:rFonts w:cstheme="minorHAnsi"/>
                <w:sz w:val="16"/>
                <w:szCs w:val="16"/>
              </w:rPr>
              <w:t xml:space="preserve"> a</w:t>
            </w:r>
            <w:r w:rsidR="00934F5F" w:rsidRPr="00934F5F">
              <w:rPr>
                <w:rFonts w:cstheme="minorHAnsi"/>
                <w:sz w:val="16"/>
                <w:szCs w:val="16"/>
              </w:rPr>
              <w:t>ntibiotic treatment may be e</w:t>
            </w:r>
            <w:r w:rsidR="00934F5F">
              <w:rPr>
                <w:rFonts w:cstheme="minorHAnsi"/>
                <w:sz w:val="16"/>
                <w:szCs w:val="16"/>
              </w:rPr>
              <w:t>l</w:t>
            </w:r>
            <w:r w:rsidR="00934F5F" w:rsidRPr="00934F5F">
              <w:rPr>
                <w:rFonts w:cstheme="minorHAnsi"/>
                <w:sz w:val="16"/>
                <w:szCs w:val="16"/>
              </w:rPr>
              <w:t>ective in reducing the risk of pyelonephritis in pregnancy, but our confidence in the e</w:t>
            </w:r>
            <w:r w:rsidR="00934F5F">
              <w:rPr>
                <w:rFonts w:cstheme="minorHAnsi"/>
                <w:sz w:val="16"/>
                <w:szCs w:val="16"/>
              </w:rPr>
              <w:t>l</w:t>
            </w:r>
            <w:r w:rsidR="00934F5F" w:rsidRPr="00934F5F">
              <w:rPr>
                <w:rFonts w:cstheme="minorHAnsi"/>
                <w:sz w:val="16"/>
                <w:szCs w:val="16"/>
              </w:rPr>
              <w:t>ect estimate is limited</w:t>
            </w:r>
            <w:r w:rsidR="00934F5F">
              <w:rPr>
                <w:rFonts w:cstheme="minorHAnsi"/>
                <w:sz w:val="16"/>
                <w:szCs w:val="16"/>
              </w:rPr>
              <w:t xml:space="preserve"> </w:t>
            </w:r>
            <w:r w:rsidR="00934F5F" w:rsidRPr="00934F5F">
              <w:rPr>
                <w:rFonts w:cstheme="minorHAnsi"/>
                <w:sz w:val="16"/>
                <w:szCs w:val="16"/>
              </w:rPr>
              <w:t>given the low certainty of the evidence</w:t>
            </w:r>
            <w:r w:rsidR="00934F5F">
              <w:rPr>
                <w:rFonts w:cstheme="minorHAnsi"/>
                <w:sz w:val="16"/>
                <w:szCs w:val="16"/>
              </w:rPr>
              <w:t>; t</w:t>
            </w:r>
            <w:r w:rsidR="00934F5F" w:rsidRPr="00934F5F">
              <w:rPr>
                <w:rFonts w:cstheme="minorHAnsi"/>
                <w:sz w:val="16"/>
                <w:szCs w:val="16"/>
              </w:rPr>
              <w:t>here may be a reduction in preterm birth and low birthweight with antibiotic treatment, consistent</w:t>
            </w:r>
            <w:r w:rsidR="00934F5F">
              <w:rPr>
                <w:rFonts w:cstheme="minorHAnsi"/>
                <w:sz w:val="16"/>
                <w:szCs w:val="16"/>
              </w:rPr>
              <w:t xml:space="preserve"> </w:t>
            </w:r>
            <w:r w:rsidR="00934F5F" w:rsidRPr="00934F5F">
              <w:rPr>
                <w:rFonts w:cstheme="minorHAnsi"/>
                <w:sz w:val="16"/>
                <w:szCs w:val="16"/>
              </w:rPr>
              <w:t>with theories about the role of infection in adverse pregnancy outcomes, but again, the confidence in the e</w:t>
            </w:r>
            <w:r w:rsidR="00934F5F">
              <w:rPr>
                <w:rFonts w:cstheme="minorHAnsi"/>
                <w:sz w:val="16"/>
                <w:szCs w:val="16"/>
              </w:rPr>
              <w:t>l</w:t>
            </w:r>
            <w:r w:rsidR="00934F5F" w:rsidRPr="00934F5F">
              <w:rPr>
                <w:rFonts w:cstheme="minorHAnsi"/>
                <w:sz w:val="16"/>
                <w:szCs w:val="16"/>
              </w:rPr>
              <w:t>ect is limited given the low</w:t>
            </w:r>
            <w:r w:rsidR="00934F5F">
              <w:rPr>
                <w:rFonts w:cstheme="minorHAnsi"/>
                <w:sz w:val="16"/>
                <w:szCs w:val="16"/>
              </w:rPr>
              <w:t xml:space="preserve"> </w:t>
            </w:r>
            <w:r w:rsidR="00934F5F" w:rsidRPr="00934F5F">
              <w:rPr>
                <w:rFonts w:cstheme="minorHAnsi"/>
                <w:sz w:val="16"/>
                <w:szCs w:val="16"/>
              </w:rPr>
              <w:t>certainty of the evidence</w:t>
            </w:r>
          </w:p>
          <w:p w14:paraId="099C142C" w14:textId="35392AB5" w:rsidR="00B34632" w:rsidRDefault="00B34632" w:rsidP="00B34632">
            <w:pPr>
              <w:spacing w:before="40"/>
              <w:rPr>
                <w:rFonts w:cstheme="minorHAnsi"/>
                <w:sz w:val="16"/>
                <w:szCs w:val="16"/>
              </w:rPr>
            </w:pPr>
            <w:r w:rsidRPr="0012032C">
              <w:rPr>
                <w:rFonts w:cstheme="minorHAnsi"/>
                <w:sz w:val="16"/>
                <w:szCs w:val="16"/>
                <w:u w:val="single"/>
              </w:rPr>
              <w:t>Widmer 2015</w:t>
            </w:r>
            <w:r>
              <w:rPr>
                <w:rFonts w:cstheme="minorHAnsi"/>
                <w:sz w:val="16"/>
                <w:szCs w:val="16"/>
              </w:rPr>
              <w:t xml:space="preserve"> a</w:t>
            </w:r>
            <w:r w:rsidRPr="00B34632">
              <w:rPr>
                <w:rFonts w:cstheme="minorHAnsi"/>
                <w:sz w:val="16"/>
                <w:szCs w:val="16"/>
              </w:rPr>
              <w:t xml:space="preserve"> single-dose regimen of antibiotics may be less e</w:t>
            </w:r>
            <w:r>
              <w:rPr>
                <w:rFonts w:cstheme="minorHAnsi"/>
                <w:sz w:val="16"/>
                <w:szCs w:val="16"/>
              </w:rPr>
              <w:t>ff</w:t>
            </w:r>
            <w:r w:rsidRPr="00B34632">
              <w:rPr>
                <w:rFonts w:cstheme="minorHAnsi"/>
                <w:sz w:val="16"/>
                <w:szCs w:val="16"/>
              </w:rPr>
              <w:t>ective than a short-course (four- to seven-day) regimen, but more evidence is needed</w:t>
            </w:r>
            <w:r>
              <w:rPr>
                <w:rFonts w:cstheme="minorHAnsi"/>
                <w:sz w:val="16"/>
                <w:szCs w:val="16"/>
              </w:rPr>
              <w:t xml:space="preserve"> </w:t>
            </w:r>
            <w:r w:rsidRPr="00B34632">
              <w:rPr>
                <w:rFonts w:cstheme="minorHAnsi"/>
                <w:sz w:val="16"/>
                <w:szCs w:val="16"/>
              </w:rPr>
              <w:t>from large trials measuring important outcomes, such as cure rate</w:t>
            </w:r>
            <w:r>
              <w:rPr>
                <w:rFonts w:cstheme="minorHAnsi"/>
                <w:sz w:val="16"/>
                <w:szCs w:val="16"/>
              </w:rPr>
              <w:t>; w</w:t>
            </w:r>
            <w:r w:rsidRPr="00B34632">
              <w:rPr>
                <w:rFonts w:cstheme="minorHAnsi"/>
                <w:sz w:val="16"/>
                <w:szCs w:val="16"/>
              </w:rPr>
              <w:t>omen with asymptomatic bacteriuria in pregnancy should be treated</w:t>
            </w:r>
            <w:r>
              <w:rPr>
                <w:rFonts w:cstheme="minorHAnsi"/>
                <w:sz w:val="16"/>
                <w:szCs w:val="16"/>
              </w:rPr>
              <w:t xml:space="preserve"> </w:t>
            </w:r>
            <w:r w:rsidRPr="00B34632">
              <w:rPr>
                <w:rFonts w:cstheme="minorHAnsi"/>
                <w:sz w:val="16"/>
                <w:szCs w:val="16"/>
              </w:rPr>
              <w:t>by the standard regimen of antibiotics until more data become available testing seven-day treatment compared with shorter courses of</w:t>
            </w:r>
            <w:r>
              <w:rPr>
                <w:rFonts w:cstheme="minorHAnsi"/>
                <w:sz w:val="16"/>
                <w:szCs w:val="16"/>
              </w:rPr>
              <w:t xml:space="preserve"> </w:t>
            </w:r>
            <w:r w:rsidRPr="00B34632">
              <w:rPr>
                <w:rFonts w:cstheme="minorHAnsi"/>
                <w:sz w:val="16"/>
                <w:szCs w:val="16"/>
              </w:rPr>
              <w:t>three- or five-day regimens</w:t>
            </w:r>
          </w:p>
          <w:p w14:paraId="0CBCF287" w14:textId="77777777" w:rsidR="00893401" w:rsidRDefault="00893401" w:rsidP="00934F5F">
            <w:pPr>
              <w:spacing w:before="40"/>
              <w:rPr>
                <w:rFonts w:cstheme="minorHAnsi"/>
                <w:sz w:val="16"/>
                <w:szCs w:val="16"/>
              </w:rPr>
            </w:pPr>
            <w:r>
              <w:rPr>
                <w:rFonts w:cstheme="minorHAnsi"/>
                <w:sz w:val="16"/>
                <w:szCs w:val="16"/>
              </w:rPr>
              <w:t xml:space="preserve">Randomized Controlled Trial: </w:t>
            </w:r>
          </w:p>
          <w:p w14:paraId="47B0D599" w14:textId="423F1026" w:rsidR="00893401" w:rsidRDefault="00893401" w:rsidP="00893401">
            <w:pPr>
              <w:spacing w:before="40"/>
              <w:rPr>
                <w:rFonts w:cstheme="minorHAnsi"/>
                <w:sz w:val="16"/>
                <w:szCs w:val="16"/>
              </w:rPr>
            </w:pPr>
            <w:proofErr w:type="spellStart"/>
            <w:r w:rsidRPr="0012032C">
              <w:rPr>
                <w:rFonts w:cstheme="minorHAnsi"/>
                <w:sz w:val="16"/>
                <w:szCs w:val="16"/>
                <w:u w:val="single"/>
              </w:rPr>
              <w:t>Kazemier</w:t>
            </w:r>
            <w:proofErr w:type="spellEnd"/>
            <w:r w:rsidRPr="0012032C">
              <w:rPr>
                <w:rFonts w:cstheme="minorHAnsi"/>
                <w:sz w:val="16"/>
                <w:szCs w:val="16"/>
                <w:u w:val="single"/>
              </w:rPr>
              <w:t xml:space="preserve"> 2015</w:t>
            </w:r>
            <w:r>
              <w:t xml:space="preserve"> </w:t>
            </w:r>
            <w:r>
              <w:rPr>
                <w:rFonts w:cstheme="minorHAnsi"/>
                <w:sz w:val="16"/>
                <w:szCs w:val="16"/>
              </w:rPr>
              <w:t>i</w:t>
            </w:r>
            <w:r w:rsidRPr="00E365AD">
              <w:rPr>
                <w:rFonts w:cstheme="minorHAnsi"/>
                <w:sz w:val="16"/>
                <w:szCs w:val="16"/>
              </w:rPr>
              <w:t>n women with an uncomplicated singleton pregnancy, asymptomatic bacteriuria is not associated with preterm birth</w:t>
            </w:r>
            <w:r>
              <w:rPr>
                <w:rFonts w:cstheme="minorHAnsi"/>
                <w:sz w:val="16"/>
                <w:szCs w:val="16"/>
              </w:rPr>
              <w:t>; a</w:t>
            </w:r>
            <w:r w:rsidRPr="00E365AD">
              <w:rPr>
                <w:rFonts w:cstheme="minorHAnsi"/>
                <w:sz w:val="16"/>
                <w:szCs w:val="16"/>
              </w:rPr>
              <w:t>symptomatic bacteriuria showed a significant association with pyelonephritis, but the absolute risk of pyelonephritis in untreated asymptomatic bacteriuria is low</w:t>
            </w:r>
          </w:p>
          <w:p w14:paraId="4F7085A3" w14:textId="5F1D93D3" w:rsidR="00893401" w:rsidRPr="00D15ACA" w:rsidRDefault="00893401" w:rsidP="00934F5F">
            <w:pPr>
              <w:spacing w:before="40"/>
              <w:rPr>
                <w:rFonts w:cstheme="minorHAnsi"/>
                <w:sz w:val="16"/>
                <w:szCs w:val="16"/>
              </w:rPr>
            </w:pPr>
          </w:p>
        </w:tc>
        <w:tc>
          <w:tcPr>
            <w:tcW w:w="4798" w:type="dxa"/>
            <w:tcBorders>
              <w:top w:val="nil"/>
              <w:left w:val="nil"/>
              <w:bottom w:val="single" w:sz="4" w:space="0" w:color="D9D9D9" w:themeColor="background1" w:themeShade="D9"/>
              <w:right w:val="nil"/>
            </w:tcBorders>
          </w:tcPr>
          <w:p w14:paraId="008D78AC" w14:textId="72BAC2EE" w:rsidR="00BB2D32" w:rsidRDefault="00825278" w:rsidP="0087765E">
            <w:pPr>
              <w:spacing w:after="0"/>
              <w:rPr>
                <w:sz w:val="16"/>
                <w:szCs w:val="16"/>
              </w:rPr>
            </w:pPr>
            <w:r w:rsidRPr="0012032C">
              <w:rPr>
                <w:sz w:val="16"/>
                <w:szCs w:val="16"/>
                <w:u w:val="single"/>
              </w:rPr>
              <w:lastRenderedPageBreak/>
              <w:t>Kasparek 2021</w:t>
            </w:r>
            <w:r w:rsidR="00AE648E">
              <w:rPr>
                <w:sz w:val="16"/>
                <w:szCs w:val="16"/>
              </w:rPr>
              <w:t xml:space="preserve"> </w:t>
            </w:r>
            <w:r w:rsidR="00FE6CEE" w:rsidRPr="00FE6CEE">
              <w:rPr>
                <w:sz w:val="16"/>
                <w:szCs w:val="16"/>
              </w:rPr>
              <w:t>a hemoglobinopathy trait increased the risk of adverse maternal outcomes but did not increase adverse neonatal outcomes</w:t>
            </w:r>
          </w:p>
          <w:p w14:paraId="61C67BA5" w14:textId="77777777" w:rsidR="00825278" w:rsidRPr="00825278" w:rsidRDefault="00825278" w:rsidP="0087765E">
            <w:pPr>
              <w:spacing w:after="0"/>
              <w:rPr>
                <w:sz w:val="16"/>
                <w:szCs w:val="16"/>
              </w:rPr>
            </w:pPr>
          </w:p>
          <w:p w14:paraId="4FE2B5BD" w14:textId="679EEE81" w:rsidR="0087765E" w:rsidRPr="0087765E" w:rsidRDefault="005450C1" w:rsidP="0087765E">
            <w:pPr>
              <w:spacing w:after="0"/>
              <w:rPr>
                <w:rFonts w:cstheme="minorHAnsi"/>
                <w:sz w:val="16"/>
                <w:szCs w:val="16"/>
              </w:rPr>
            </w:pPr>
            <w:proofErr w:type="spellStart"/>
            <w:r w:rsidRPr="0012032C">
              <w:rPr>
                <w:rFonts w:cstheme="minorHAnsi"/>
                <w:sz w:val="16"/>
                <w:szCs w:val="16"/>
                <w:u w:val="single"/>
              </w:rPr>
              <w:t>Langermans</w:t>
            </w:r>
            <w:proofErr w:type="spellEnd"/>
            <w:r w:rsidRPr="0012032C">
              <w:rPr>
                <w:rFonts w:cstheme="minorHAnsi"/>
                <w:sz w:val="16"/>
                <w:szCs w:val="16"/>
                <w:u w:val="single"/>
              </w:rPr>
              <w:t xml:space="preserve"> 2021</w:t>
            </w:r>
            <w:r w:rsidR="0087765E">
              <w:rPr>
                <w:rFonts w:cstheme="minorHAnsi"/>
                <w:sz w:val="16"/>
                <w:szCs w:val="16"/>
              </w:rPr>
              <w:t xml:space="preserve"> i</w:t>
            </w:r>
            <w:r w:rsidR="0087765E" w:rsidRPr="0087765E">
              <w:rPr>
                <w:rFonts w:cstheme="minorHAnsi"/>
                <w:sz w:val="16"/>
                <w:szCs w:val="16"/>
              </w:rPr>
              <w:t>f recommendations remain to screen for</w:t>
            </w:r>
          </w:p>
          <w:p w14:paraId="4762FB83" w14:textId="77777777" w:rsidR="0087765E" w:rsidRPr="0087765E" w:rsidRDefault="0087765E" w:rsidP="0087765E">
            <w:pPr>
              <w:spacing w:after="0"/>
              <w:rPr>
                <w:rFonts w:cstheme="minorHAnsi"/>
                <w:sz w:val="16"/>
                <w:szCs w:val="16"/>
              </w:rPr>
            </w:pPr>
            <w:r w:rsidRPr="0087765E">
              <w:rPr>
                <w:rFonts w:cstheme="minorHAnsi"/>
                <w:sz w:val="16"/>
                <w:szCs w:val="16"/>
              </w:rPr>
              <w:t>asymptomatic bacteriuria at least once during pregnancy,</w:t>
            </w:r>
          </w:p>
          <w:p w14:paraId="3B57A0FD" w14:textId="77777777" w:rsidR="0087765E" w:rsidRPr="0087765E" w:rsidRDefault="0087765E" w:rsidP="0087765E">
            <w:pPr>
              <w:spacing w:after="0"/>
              <w:rPr>
                <w:rFonts w:cstheme="minorHAnsi"/>
                <w:sz w:val="16"/>
                <w:szCs w:val="16"/>
              </w:rPr>
            </w:pPr>
            <w:r w:rsidRPr="0087765E">
              <w:rPr>
                <w:rFonts w:cstheme="minorHAnsi"/>
                <w:sz w:val="16"/>
                <w:szCs w:val="16"/>
              </w:rPr>
              <w:lastRenderedPageBreak/>
              <w:t>this study indicates that the moment of testing (first vs.</w:t>
            </w:r>
          </w:p>
          <w:p w14:paraId="2BC7DFEE" w14:textId="77777777" w:rsidR="0087765E" w:rsidRPr="0087765E" w:rsidRDefault="0087765E" w:rsidP="0087765E">
            <w:pPr>
              <w:spacing w:after="0"/>
              <w:rPr>
                <w:rFonts w:cstheme="minorHAnsi"/>
                <w:sz w:val="16"/>
                <w:szCs w:val="16"/>
              </w:rPr>
            </w:pPr>
            <w:r w:rsidRPr="0087765E">
              <w:rPr>
                <w:rFonts w:cstheme="minorHAnsi"/>
                <w:sz w:val="16"/>
                <w:szCs w:val="16"/>
              </w:rPr>
              <w:t>second trimester) has no clinical impact on obstetrical</w:t>
            </w:r>
          </w:p>
          <w:p w14:paraId="2D3059FF" w14:textId="087B03D6" w:rsidR="005450C1" w:rsidRDefault="0087765E" w:rsidP="0087765E">
            <w:pPr>
              <w:spacing w:after="0"/>
              <w:rPr>
                <w:rFonts w:cstheme="minorHAnsi"/>
                <w:sz w:val="16"/>
                <w:szCs w:val="16"/>
              </w:rPr>
            </w:pPr>
            <w:r w:rsidRPr="0087765E">
              <w:rPr>
                <w:rFonts w:cstheme="minorHAnsi"/>
                <w:sz w:val="16"/>
                <w:szCs w:val="16"/>
              </w:rPr>
              <w:t>outcomes</w:t>
            </w:r>
          </w:p>
          <w:p w14:paraId="724ED8C5" w14:textId="55DEE7F7" w:rsidR="00780914" w:rsidRDefault="00780914" w:rsidP="0087765E">
            <w:pPr>
              <w:spacing w:after="0"/>
              <w:rPr>
                <w:rFonts w:cstheme="minorHAnsi"/>
                <w:sz w:val="16"/>
                <w:szCs w:val="16"/>
              </w:rPr>
            </w:pPr>
          </w:p>
          <w:p w14:paraId="3EC434E9" w14:textId="77777777" w:rsidR="00BD10B1" w:rsidRDefault="004D68CE" w:rsidP="00AE6145">
            <w:pPr>
              <w:spacing w:before="40"/>
              <w:rPr>
                <w:rFonts w:cstheme="minorHAnsi"/>
                <w:sz w:val="16"/>
                <w:szCs w:val="16"/>
              </w:rPr>
            </w:pPr>
            <w:r w:rsidRPr="0012032C">
              <w:rPr>
                <w:rFonts w:cstheme="minorHAnsi"/>
                <w:sz w:val="16"/>
                <w:szCs w:val="16"/>
                <w:u w:val="single"/>
              </w:rPr>
              <w:t>O’Leary 2020</w:t>
            </w:r>
            <w:r w:rsidR="00D94F02">
              <w:rPr>
                <w:rFonts w:cstheme="minorHAnsi"/>
                <w:sz w:val="16"/>
                <w:szCs w:val="16"/>
              </w:rPr>
              <w:t xml:space="preserve"> t</w:t>
            </w:r>
            <w:r w:rsidR="00D94F02" w:rsidRPr="00D94F02">
              <w:rPr>
                <w:rFonts w:cstheme="minorHAnsi"/>
                <w:sz w:val="16"/>
                <w:szCs w:val="16"/>
              </w:rPr>
              <w:t>here is a high prevalence of positive urine dipstick and contaminated culture in</w:t>
            </w:r>
            <w:r w:rsidR="00D94F02">
              <w:rPr>
                <w:rFonts w:cstheme="minorHAnsi"/>
                <w:sz w:val="16"/>
                <w:szCs w:val="16"/>
              </w:rPr>
              <w:t xml:space="preserve"> </w:t>
            </w:r>
            <w:r w:rsidR="00D94F02" w:rsidRPr="00D94F02">
              <w:rPr>
                <w:rFonts w:cstheme="minorHAnsi"/>
                <w:sz w:val="16"/>
                <w:szCs w:val="16"/>
              </w:rPr>
              <w:t>asymptomatic pregnant women</w:t>
            </w:r>
            <w:r w:rsidR="00D94F02">
              <w:rPr>
                <w:rFonts w:cstheme="minorHAnsi"/>
                <w:sz w:val="16"/>
                <w:szCs w:val="16"/>
              </w:rPr>
              <w:t xml:space="preserve">; </w:t>
            </w:r>
            <w:r w:rsidR="003F09B4">
              <w:rPr>
                <w:rFonts w:cstheme="minorHAnsi"/>
                <w:sz w:val="16"/>
                <w:szCs w:val="16"/>
              </w:rPr>
              <w:t>body mass index (BMI)</w:t>
            </w:r>
            <w:r w:rsidR="00D94F02" w:rsidRPr="00D94F02">
              <w:rPr>
                <w:rFonts w:cstheme="minorHAnsi"/>
                <w:sz w:val="16"/>
                <w:szCs w:val="16"/>
              </w:rPr>
              <w:t xml:space="preserve"> is a risk factor for urine culture contamination and further research</w:t>
            </w:r>
            <w:r w:rsidR="00D94F02">
              <w:rPr>
                <w:rFonts w:cstheme="minorHAnsi"/>
                <w:sz w:val="16"/>
                <w:szCs w:val="16"/>
              </w:rPr>
              <w:t xml:space="preserve"> </w:t>
            </w:r>
            <w:r w:rsidR="00D94F02" w:rsidRPr="00D94F02">
              <w:rPr>
                <w:rFonts w:cstheme="minorHAnsi"/>
                <w:sz w:val="16"/>
                <w:szCs w:val="16"/>
              </w:rPr>
              <w:t xml:space="preserve">into this topic is essential given trends in obesity </w:t>
            </w:r>
            <w:r w:rsidR="0012032C" w:rsidRPr="00D94F02">
              <w:rPr>
                <w:rFonts w:cstheme="minorHAnsi"/>
                <w:sz w:val="16"/>
                <w:szCs w:val="16"/>
              </w:rPr>
              <w:t>world</w:t>
            </w:r>
            <w:r w:rsidR="0012032C">
              <w:rPr>
                <w:rFonts w:cstheme="minorHAnsi"/>
                <w:sz w:val="16"/>
                <w:szCs w:val="16"/>
              </w:rPr>
              <w:t>wide</w:t>
            </w:r>
          </w:p>
          <w:p w14:paraId="7EF34F2B" w14:textId="13F3AE01" w:rsidR="00B91EDA" w:rsidRDefault="00B91EDA" w:rsidP="00AE6145">
            <w:pPr>
              <w:spacing w:before="40"/>
              <w:rPr>
                <w:rFonts w:cstheme="minorHAnsi"/>
                <w:sz w:val="16"/>
                <w:szCs w:val="16"/>
              </w:rPr>
            </w:pPr>
            <w:proofErr w:type="spellStart"/>
            <w:r w:rsidRPr="0012032C">
              <w:rPr>
                <w:rFonts w:cstheme="minorHAnsi"/>
                <w:sz w:val="16"/>
                <w:szCs w:val="16"/>
                <w:u w:val="single"/>
              </w:rPr>
              <w:t>Schneeberger</w:t>
            </w:r>
            <w:proofErr w:type="spellEnd"/>
            <w:r w:rsidRPr="0012032C">
              <w:rPr>
                <w:rFonts w:cstheme="minorHAnsi"/>
                <w:sz w:val="16"/>
                <w:szCs w:val="16"/>
                <w:u w:val="single"/>
              </w:rPr>
              <w:t xml:space="preserve"> 2018</w:t>
            </w:r>
            <w:r w:rsidR="009034CA">
              <w:rPr>
                <w:rFonts w:cstheme="minorHAnsi"/>
                <w:sz w:val="16"/>
                <w:szCs w:val="16"/>
              </w:rPr>
              <w:t xml:space="preserve"> the overall prevalence of ASB was low in pregnant women with and women without diabetes mellitus </w:t>
            </w:r>
            <w:r w:rsidR="00013CD6">
              <w:rPr>
                <w:rFonts w:cstheme="minorHAnsi"/>
                <w:sz w:val="16"/>
                <w:szCs w:val="16"/>
              </w:rPr>
              <w:t xml:space="preserve">(DM) </w:t>
            </w:r>
            <w:r w:rsidR="009034CA">
              <w:rPr>
                <w:rFonts w:cstheme="minorHAnsi"/>
                <w:sz w:val="16"/>
                <w:szCs w:val="16"/>
              </w:rPr>
              <w:t>or gestational diabetes mellitus</w:t>
            </w:r>
            <w:r w:rsidR="00013CD6">
              <w:rPr>
                <w:rFonts w:cstheme="minorHAnsi"/>
                <w:sz w:val="16"/>
                <w:szCs w:val="16"/>
              </w:rPr>
              <w:t xml:space="preserve"> (GDM); neither ASB nor UTI did differ significantly between the groups; study data discourage a routine ASB screen and treat policy in pregnant women with DM or GDM</w:t>
            </w:r>
          </w:p>
          <w:p w14:paraId="22E4BCD0" w14:textId="6CFC8D9F" w:rsidR="0052486A" w:rsidRPr="0052486A" w:rsidRDefault="0052486A" w:rsidP="0052486A">
            <w:pPr>
              <w:spacing w:before="40"/>
              <w:rPr>
                <w:sz w:val="16"/>
                <w:szCs w:val="16"/>
              </w:rPr>
            </w:pPr>
            <w:proofErr w:type="spellStart"/>
            <w:r w:rsidRPr="0012032C">
              <w:rPr>
                <w:sz w:val="16"/>
                <w:szCs w:val="16"/>
                <w:u w:val="single"/>
              </w:rPr>
              <w:t>Schneeberger</w:t>
            </w:r>
            <w:proofErr w:type="spellEnd"/>
            <w:r w:rsidRPr="0012032C">
              <w:rPr>
                <w:sz w:val="16"/>
                <w:szCs w:val="16"/>
                <w:u w:val="single"/>
              </w:rPr>
              <w:t xml:space="preserve"> 2013</w:t>
            </w:r>
            <w:r>
              <w:rPr>
                <w:sz w:val="16"/>
                <w:szCs w:val="16"/>
              </w:rPr>
              <w:t xml:space="preserve"> i</w:t>
            </w:r>
            <w:r w:rsidRPr="00A40C7B">
              <w:rPr>
                <w:sz w:val="16"/>
                <w:szCs w:val="16"/>
              </w:rPr>
              <w:t>n pregnant women, the contamination rate of midstream samples is comparable with</w:t>
            </w:r>
            <w:r>
              <w:rPr>
                <w:sz w:val="16"/>
                <w:szCs w:val="16"/>
              </w:rPr>
              <w:t xml:space="preserve"> </w:t>
            </w:r>
            <w:r w:rsidRPr="00A40C7B">
              <w:rPr>
                <w:sz w:val="16"/>
                <w:szCs w:val="16"/>
              </w:rPr>
              <w:t>the contamination rates of morning and clean-catch samples</w:t>
            </w:r>
            <w:r>
              <w:rPr>
                <w:sz w:val="16"/>
                <w:szCs w:val="16"/>
              </w:rPr>
              <w:t>; t</w:t>
            </w:r>
            <w:r w:rsidRPr="00A40C7B">
              <w:rPr>
                <w:sz w:val="16"/>
                <w:szCs w:val="16"/>
              </w:rPr>
              <w:t>he quantity of contaminants</w:t>
            </w:r>
            <w:r>
              <w:rPr>
                <w:sz w:val="16"/>
                <w:szCs w:val="16"/>
              </w:rPr>
              <w:t xml:space="preserve"> </w:t>
            </w:r>
            <w:r w:rsidRPr="00A40C7B">
              <w:rPr>
                <w:sz w:val="16"/>
                <w:szCs w:val="16"/>
              </w:rPr>
              <w:t>varied among the three samples collected by one woman</w:t>
            </w:r>
            <w:r>
              <w:rPr>
                <w:sz w:val="16"/>
                <w:szCs w:val="16"/>
              </w:rPr>
              <w:t>; t</w:t>
            </w:r>
            <w:r w:rsidRPr="00A40C7B">
              <w:rPr>
                <w:sz w:val="16"/>
                <w:szCs w:val="16"/>
              </w:rPr>
              <w:t>hese results show</w:t>
            </w:r>
            <w:r>
              <w:rPr>
                <w:sz w:val="16"/>
                <w:szCs w:val="16"/>
              </w:rPr>
              <w:t xml:space="preserve"> </w:t>
            </w:r>
            <w:r w:rsidRPr="00A40C7B">
              <w:rPr>
                <w:sz w:val="16"/>
                <w:szCs w:val="16"/>
              </w:rPr>
              <w:t xml:space="preserve">that more complex, unpractical, and time-consuming </w:t>
            </w:r>
            <w:proofErr w:type="gramStart"/>
            <w:r w:rsidRPr="00A40C7B">
              <w:rPr>
                <w:sz w:val="16"/>
                <w:szCs w:val="16"/>
              </w:rPr>
              <w:t>morning</w:t>
            </w:r>
            <w:proofErr w:type="gramEnd"/>
            <w:r w:rsidRPr="00A40C7B">
              <w:rPr>
                <w:sz w:val="16"/>
                <w:szCs w:val="16"/>
              </w:rPr>
              <w:t xml:space="preserve"> and clean-catch samples</w:t>
            </w:r>
            <w:r>
              <w:rPr>
                <w:sz w:val="16"/>
                <w:szCs w:val="16"/>
              </w:rPr>
              <w:t xml:space="preserve"> </w:t>
            </w:r>
            <w:r w:rsidRPr="00A40C7B">
              <w:rPr>
                <w:sz w:val="16"/>
                <w:szCs w:val="16"/>
              </w:rPr>
              <w:t>are not superior</w:t>
            </w:r>
            <w:r>
              <w:rPr>
                <w:sz w:val="16"/>
                <w:szCs w:val="16"/>
              </w:rPr>
              <w:t>; t</w:t>
            </w:r>
            <w:r w:rsidRPr="00A40C7B">
              <w:rPr>
                <w:sz w:val="16"/>
                <w:szCs w:val="16"/>
              </w:rPr>
              <w:t>herefore, we recommend a midstream sample to assess bacteriuria</w:t>
            </w:r>
            <w:r>
              <w:rPr>
                <w:sz w:val="16"/>
                <w:szCs w:val="16"/>
              </w:rPr>
              <w:t xml:space="preserve"> </w:t>
            </w:r>
            <w:r w:rsidRPr="00A40C7B">
              <w:rPr>
                <w:sz w:val="16"/>
                <w:szCs w:val="16"/>
              </w:rPr>
              <w:t>in pregnant women</w:t>
            </w:r>
          </w:p>
          <w:p w14:paraId="3F2C8CC5" w14:textId="27008039" w:rsidR="001D0BC8" w:rsidRDefault="001D0BC8" w:rsidP="001D0BC8">
            <w:pPr>
              <w:spacing w:before="40"/>
              <w:rPr>
                <w:sz w:val="16"/>
                <w:szCs w:val="16"/>
              </w:rPr>
            </w:pPr>
            <w:proofErr w:type="spellStart"/>
            <w:r w:rsidRPr="0012032C">
              <w:rPr>
                <w:sz w:val="16"/>
                <w:szCs w:val="16"/>
                <w:u w:val="single"/>
              </w:rPr>
              <w:t>McDonnold</w:t>
            </w:r>
            <w:proofErr w:type="spellEnd"/>
            <w:r w:rsidRPr="0012032C">
              <w:rPr>
                <w:sz w:val="16"/>
                <w:szCs w:val="16"/>
                <w:u w:val="single"/>
              </w:rPr>
              <w:t xml:space="preserve"> 2012</w:t>
            </w:r>
            <w:r>
              <w:rPr>
                <w:sz w:val="16"/>
                <w:szCs w:val="16"/>
              </w:rPr>
              <w:t xml:space="preserve"> majority of cases of pyelonephritis that occur prior to 12 weeks are among women with no prenatal care; although the </w:t>
            </w:r>
            <w:r w:rsidR="003F09B4">
              <w:rPr>
                <w:sz w:val="16"/>
                <w:szCs w:val="16"/>
              </w:rPr>
              <w:t>United States</w:t>
            </w:r>
            <w:r>
              <w:rPr>
                <w:sz w:val="16"/>
                <w:szCs w:val="16"/>
              </w:rPr>
              <w:t xml:space="preserve"> Preventive Services Task Force guidelines advise screening urine culture at 12 to 16 weeks, these findings support initiating screening at an earlier gestational age</w:t>
            </w:r>
          </w:p>
          <w:p w14:paraId="04F9CB56" w14:textId="19482734" w:rsidR="0052486A" w:rsidRDefault="0052486A" w:rsidP="002F006F">
            <w:pPr>
              <w:spacing w:before="40"/>
              <w:rPr>
                <w:sz w:val="16"/>
                <w:szCs w:val="16"/>
              </w:rPr>
            </w:pPr>
            <w:r w:rsidRPr="0012032C">
              <w:rPr>
                <w:sz w:val="16"/>
                <w:szCs w:val="16"/>
                <w:u w:val="single"/>
              </w:rPr>
              <w:t>Tita 2007</w:t>
            </w:r>
            <w:r w:rsidR="002F006F">
              <w:rPr>
                <w:sz w:val="16"/>
                <w:szCs w:val="16"/>
              </w:rPr>
              <w:t xml:space="preserve"> c</w:t>
            </w:r>
            <w:r w:rsidR="002F006F" w:rsidRPr="002F006F">
              <w:rPr>
                <w:sz w:val="16"/>
                <w:szCs w:val="16"/>
              </w:rPr>
              <w:t>ontrary to other recent reports, perinatal</w:t>
            </w:r>
            <w:r w:rsidR="002F006F">
              <w:rPr>
                <w:sz w:val="16"/>
                <w:szCs w:val="16"/>
              </w:rPr>
              <w:t xml:space="preserve"> </w:t>
            </w:r>
            <w:r w:rsidR="002F006F" w:rsidRPr="002F006F">
              <w:rPr>
                <w:sz w:val="16"/>
                <w:szCs w:val="16"/>
              </w:rPr>
              <w:t>mortality and preeclampsia are not increased in</w:t>
            </w:r>
            <w:r w:rsidR="002F006F">
              <w:rPr>
                <w:sz w:val="16"/>
                <w:szCs w:val="16"/>
              </w:rPr>
              <w:t xml:space="preserve"> </w:t>
            </w:r>
            <w:r w:rsidR="002F006F" w:rsidRPr="002F006F">
              <w:rPr>
                <w:sz w:val="16"/>
                <w:szCs w:val="16"/>
              </w:rPr>
              <w:t>carriers of sickle cell trait or hemoglobin C</w:t>
            </w:r>
          </w:p>
          <w:p w14:paraId="6C212A2D" w14:textId="345065B5" w:rsidR="0067504D" w:rsidRDefault="0067504D" w:rsidP="001D0BC8">
            <w:pPr>
              <w:spacing w:before="40"/>
              <w:rPr>
                <w:rFonts w:cstheme="minorHAnsi"/>
                <w:sz w:val="16"/>
                <w:szCs w:val="16"/>
              </w:rPr>
            </w:pPr>
            <w:r w:rsidRPr="0012032C">
              <w:rPr>
                <w:rFonts w:cstheme="minorHAnsi"/>
                <w:sz w:val="16"/>
                <w:szCs w:val="16"/>
                <w:u w:val="single"/>
              </w:rPr>
              <w:t>Hill 2005</w:t>
            </w:r>
            <w:r w:rsidRPr="00DD510F">
              <w:rPr>
                <w:rFonts w:cstheme="minorHAnsi"/>
                <w:sz w:val="16"/>
                <w:szCs w:val="16"/>
              </w:rPr>
              <w:t xml:space="preserve"> </w:t>
            </w:r>
            <w:r w:rsidRPr="00DD510F">
              <w:rPr>
                <w:sz w:val="16"/>
                <w:szCs w:val="16"/>
              </w:rPr>
              <w:t>t</w:t>
            </w:r>
            <w:r w:rsidRPr="00DD510F">
              <w:rPr>
                <w:rFonts w:cstheme="minorHAnsi"/>
                <w:sz w:val="16"/>
                <w:szCs w:val="16"/>
              </w:rPr>
              <w:t>he</w:t>
            </w:r>
            <w:r w:rsidRPr="0067504D">
              <w:rPr>
                <w:rFonts w:cstheme="minorHAnsi"/>
                <w:sz w:val="16"/>
                <w:szCs w:val="16"/>
              </w:rPr>
              <w:t xml:space="preserve"> incidence of pyelonephritis has remained low in the era of routine prenatal screening for asymptomatic bacteriuria</w:t>
            </w:r>
            <w:r>
              <w:rPr>
                <w:rFonts w:cstheme="minorHAnsi"/>
                <w:sz w:val="16"/>
                <w:szCs w:val="16"/>
              </w:rPr>
              <w:t>; f</w:t>
            </w:r>
            <w:r w:rsidRPr="0067504D">
              <w:rPr>
                <w:rFonts w:cstheme="minorHAnsi"/>
                <w:sz w:val="16"/>
                <w:szCs w:val="16"/>
              </w:rPr>
              <w:t>irst-trimester pyelonephritis accounts for over 1 in 5 antepartum cases</w:t>
            </w:r>
            <w:r>
              <w:rPr>
                <w:rFonts w:cstheme="minorHAnsi"/>
                <w:sz w:val="16"/>
                <w:szCs w:val="16"/>
              </w:rPr>
              <w:t>; g</w:t>
            </w:r>
            <w:r w:rsidRPr="0067504D">
              <w:rPr>
                <w:rFonts w:cstheme="minorHAnsi"/>
                <w:sz w:val="16"/>
                <w:szCs w:val="16"/>
              </w:rPr>
              <w:t xml:space="preserve">ram-positive </w:t>
            </w:r>
            <w:proofErr w:type="spellStart"/>
            <w:r w:rsidRPr="0067504D">
              <w:rPr>
                <w:rFonts w:cstheme="minorHAnsi"/>
                <w:sz w:val="16"/>
                <w:szCs w:val="16"/>
              </w:rPr>
              <w:t>uropathogens</w:t>
            </w:r>
            <w:proofErr w:type="spellEnd"/>
            <w:r w:rsidRPr="0067504D">
              <w:rPr>
                <w:rFonts w:cstheme="minorHAnsi"/>
                <w:sz w:val="16"/>
                <w:szCs w:val="16"/>
              </w:rPr>
              <w:t xml:space="preserve"> are found more commonly as pregnancy progresses</w:t>
            </w:r>
            <w:r>
              <w:rPr>
                <w:rFonts w:cstheme="minorHAnsi"/>
                <w:sz w:val="16"/>
                <w:szCs w:val="16"/>
              </w:rPr>
              <w:t>; m</w:t>
            </w:r>
            <w:r w:rsidRPr="0067504D">
              <w:rPr>
                <w:rFonts w:cstheme="minorHAnsi"/>
                <w:sz w:val="16"/>
                <w:szCs w:val="16"/>
              </w:rPr>
              <w:t>aternal complications continue, but poor obstetrical outcomes are rare</w:t>
            </w:r>
          </w:p>
          <w:p w14:paraId="000DDBD3" w14:textId="30C5433A" w:rsidR="004C6DAF" w:rsidRPr="00B22B32" w:rsidRDefault="00C06F7C" w:rsidP="000F21CA">
            <w:pPr>
              <w:spacing w:before="40"/>
              <w:rPr>
                <w:rFonts w:cstheme="minorHAnsi"/>
                <w:sz w:val="16"/>
                <w:szCs w:val="16"/>
              </w:rPr>
            </w:pPr>
            <w:proofErr w:type="spellStart"/>
            <w:r w:rsidRPr="0012032C">
              <w:rPr>
                <w:rFonts w:cstheme="minorHAnsi"/>
                <w:sz w:val="16"/>
                <w:szCs w:val="16"/>
                <w:u w:val="single"/>
              </w:rPr>
              <w:t>Baill</w:t>
            </w:r>
            <w:proofErr w:type="spellEnd"/>
            <w:r w:rsidRPr="0012032C">
              <w:rPr>
                <w:rFonts w:cstheme="minorHAnsi"/>
                <w:sz w:val="16"/>
                <w:szCs w:val="16"/>
                <w:u w:val="single"/>
              </w:rPr>
              <w:t xml:space="preserve"> 1990</w:t>
            </w:r>
            <w:r>
              <w:rPr>
                <w:rFonts w:cstheme="minorHAnsi"/>
                <w:sz w:val="16"/>
                <w:szCs w:val="16"/>
              </w:rPr>
              <w:t xml:space="preserve"> s</w:t>
            </w:r>
            <w:r w:rsidRPr="00C06F7C">
              <w:rPr>
                <w:rFonts w:cstheme="minorHAnsi"/>
                <w:sz w:val="16"/>
                <w:szCs w:val="16"/>
              </w:rPr>
              <w:t>ickle trait was associated with a significant increase in bacteriuria (13.0% vs 9.0%) and pyelonephritis (2.1% vs 1.4%)</w:t>
            </w:r>
            <w:r>
              <w:rPr>
                <w:rFonts w:cstheme="minorHAnsi"/>
                <w:sz w:val="16"/>
                <w:szCs w:val="16"/>
              </w:rPr>
              <w:t>; n</w:t>
            </w:r>
            <w:r w:rsidRPr="00C06F7C">
              <w:rPr>
                <w:rFonts w:cstheme="minorHAnsi"/>
                <w:sz w:val="16"/>
                <w:szCs w:val="16"/>
              </w:rPr>
              <w:t>o difference was seen in birthweight between the two groups</w:t>
            </w:r>
          </w:p>
        </w:tc>
        <w:tc>
          <w:tcPr>
            <w:tcW w:w="4799" w:type="dxa"/>
            <w:tcBorders>
              <w:top w:val="nil"/>
              <w:left w:val="nil"/>
              <w:bottom w:val="single" w:sz="4" w:space="0" w:color="D9D9D9" w:themeColor="background1" w:themeShade="D9"/>
              <w:right w:val="single" w:sz="4" w:space="0" w:color="D9D9D9" w:themeColor="background1" w:themeShade="D9"/>
            </w:tcBorders>
          </w:tcPr>
          <w:p w14:paraId="7E05266A" w14:textId="269FA805" w:rsidR="002F09B9" w:rsidRDefault="002F09B9" w:rsidP="00780914">
            <w:pPr>
              <w:spacing w:after="0"/>
              <w:rPr>
                <w:rFonts w:cstheme="minorHAnsi"/>
                <w:sz w:val="16"/>
                <w:szCs w:val="16"/>
              </w:rPr>
            </w:pPr>
          </w:p>
          <w:p w14:paraId="595CF483" w14:textId="6D4861D5" w:rsidR="00960DED" w:rsidRDefault="00960DED" w:rsidP="0052486A">
            <w:pPr>
              <w:spacing w:before="40"/>
            </w:pPr>
            <w:r w:rsidRPr="0012032C">
              <w:rPr>
                <w:rFonts w:asciiTheme="majorHAnsi" w:hAnsiTheme="majorHAnsi" w:cstheme="majorHAnsi"/>
                <w:sz w:val="16"/>
                <w:szCs w:val="16"/>
                <w:u w:val="single"/>
              </w:rPr>
              <w:t xml:space="preserve">American Academy of Pediatrics (AAP) and ACOG 2017 </w:t>
            </w:r>
            <w:r>
              <w:rPr>
                <w:rFonts w:asciiTheme="majorHAnsi" w:hAnsiTheme="majorHAnsi" w:cstheme="majorHAnsi"/>
                <w:sz w:val="16"/>
                <w:szCs w:val="16"/>
              </w:rPr>
              <w:t xml:space="preserve">provides guidelines for perinatal care included organization of perinatal health care, inpatient perinatal care services, quality improvement and patient safety, maternal and neonatal </w:t>
            </w:r>
            <w:r>
              <w:rPr>
                <w:rFonts w:asciiTheme="majorHAnsi" w:hAnsiTheme="majorHAnsi" w:cstheme="majorHAnsi"/>
                <w:sz w:val="16"/>
                <w:szCs w:val="16"/>
              </w:rPr>
              <w:lastRenderedPageBreak/>
              <w:t>interhospital transfer, pre</w:t>
            </w:r>
            <w:r w:rsidR="0012032C">
              <w:rPr>
                <w:rFonts w:asciiTheme="majorHAnsi" w:hAnsiTheme="majorHAnsi" w:cstheme="majorHAnsi"/>
                <w:sz w:val="16"/>
                <w:szCs w:val="16"/>
              </w:rPr>
              <w:t>-pregnancy</w:t>
            </w:r>
            <w:r>
              <w:rPr>
                <w:rFonts w:asciiTheme="majorHAnsi" w:hAnsiTheme="majorHAnsi" w:cstheme="majorHAnsi"/>
                <w:sz w:val="16"/>
                <w:szCs w:val="16"/>
              </w:rPr>
              <w:t xml:space="preserve"> care, antepartum care, intrapartum care of the mother, postpartum care of the mother, medical and obstetric complications, care of the newborn, neonatal complications and management of high-risk infants, perinatal infections, infection control  </w:t>
            </w:r>
          </w:p>
          <w:p w14:paraId="2144952C" w14:textId="0CC970FD" w:rsidR="0052486A" w:rsidRPr="0052486A" w:rsidRDefault="0052486A" w:rsidP="0052486A">
            <w:pPr>
              <w:spacing w:before="40"/>
              <w:rPr>
                <w:rFonts w:cstheme="minorHAnsi"/>
                <w:sz w:val="16"/>
                <w:szCs w:val="16"/>
              </w:rPr>
            </w:pPr>
            <w:proofErr w:type="spellStart"/>
            <w:r w:rsidRPr="0012032C">
              <w:rPr>
                <w:rFonts w:cstheme="minorHAnsi"/>
                <w:sz w:val="16"/>
                <w:szCs w:val="16"/>
                <w:u w:val="single"/>
              </w:rPr>
              <w:t>Macejko</w:t>
            </w:r>
            <w:proofErr w:type="spellEnd"/>
            <w:r w:rsidRPr="0012032C">
              <w:rPr>
                <w:rFonts w:cstheme="minorHAnsi"/>
                <w:sz w:val="16"/>
                <w:szCs w:val="16"/>
                <w:u w:val="single"/>
              </w:rPr>
              <w:t xml:space="preserve"> 2007</w:t>
            </w:r>
            <w:r>
              <w:rPr>
                <w:rFonts w:cstheme="minorHAnsi"/>
                <w:sz w:val="16"/>
                <w:szCs w:val="16"/>
              </w:rPr>
              <w:t xml:space="preserve"> b</w:t>
            </w:r>
            <w:r w:rsidRPr="00BA09A1">
              <w:rPr>
                <w:rFonts w:cstheme="minorHAnsi"/>
                <w:sz w:val="16"/>
                <w:szCs w:val="16"/>
              </w:rPr>
              <w:t>ecause pyelonephritis</w:t>
            </w:r>
            <w:r>
              <w:rPr>
                <w:rFonts w:cstheme="minorHAnsi"/>
                <w:sz w:val="16"/>
                <w:szCs w:val="16"/>
              </w:rPr>
              <w:t xml:space="preserve"> </w:t>
            </w:r>
            <w:r w:rsidRPr="00BA09A1">
              <w:rPr>
                <w:rFonts w:cstheme="minorHAnsi"/>
                <w:sz w:val="16"/>
                <w:szCs w:val="16"/>
              </w:rPr>
              <w:t>during pregnancy may cause significant</w:t>
            </w:r>
            <w:r>
              <w:rPr>
                <w:rFonts w:cstheme="minorHAnsi"/>
                <w:sz w:val="16"/>
                <w:szCs w:val="16"/>
              </w:rPr>
              <w:t xml:space="preserve"> </w:t>
            </w:r>
            <w:r w:rsidRPr="00BA09A1">
              <w:rPr>
                <w:rFonts w:cstheme="minorHAnsi"/>
                <w:sz w:val="16"/>
                <w:szCs w:val="16"/>
              </w:rPr>
              <w:t>morbidity for both the mother and the</w:t>
            </w:r>
            <w:r>
              <w:rPr>
                <w:rFonts w:cstheme="minorHAnsi"/>
                <w:sz w:val="16"/>
                <w:szCs w:val="16"/>
              </w:rPr>
              <w:t xml:space="preserve"> </w:t>
            </w:r>
            <w:r w:rsidRPr="00BA09A1">
              <w:rPr>
                <w:rFonts w:cstheme="minorHAnsi"/>
                <w:sz w:val="16"/>
                <w:szCs w:val="16"/>
              </w:rPr>
              <w:t xml:space="preserve">fetus, proper </w:t>
            </w:r>
            <w:proofErr w:type="gramStart"/>
            <w:r w:rsidRPr="00BA09A1">
              <w:rPr>
                <w:rFonts w:cstheme="minorHAnsi"/>
                <w:sz w:val="16"/>
                <w:szCs w:val="16"/>
              </w:rPr>
              <w:t>screening</w:t>
            </w:r>
            <w:proofErr w:type="gramEnd"/>
            <w:r w:rsidRPr="00BA09A1">
              <w:rPr>
                <w:rFonts w:cstheme="minorHAnsi"/>
                <w:sz w:val="16"/>
                <w:szCs w:val="16"/>
              </w:rPr>
              <w:t xml:space="preserve"> and treatment of bacteriuria,</w:t>
            </w:r>
            <w:r>
              <w:rPr>
                <w:rFonts w:cstheme="minorHAnsi"/>
                <w:sz w:val="16"/>
                <w:szCs w:val="16"/>
              </w:rPr>
              <w:t xml:space="preserve"> </w:t>
            </w:r>
            <w:r w:rsidRPr="00BA09A1">
              <w:rPr>
                <w:rFonts w:cstheme="minorHAnsi"/>
                <w:sz w:val="16"/>
                <w:szCs w:val="16"/>
              </w:rPr>
              <w:t>regardless of the presence of symptoms, is</w:t>
            </w:r>
            <w:r>
              <w:rPr>
                <w:rFonts w:cstheme="minorHAnsi"/>
                <w:sz w:val="16"/>
                <w:szCs w:val="16"/>
              </w:rPr>
              <w:t xml:space="preserve"> </w:t>
            </w:r>
            <w:r w:rsidRPr="00BA09A1">
              <w:rPr>
                <w:rFonts w:cstheme="minorHAnsi"/>
                <w:sz w:val="16"/>
                <w:szCs w:val="16"/>
              </w:rPr>
              <w:t>necessary to prevent complications</w:t>
            </w:r>
          </w:p>
          <w:p w14:paraId="22B62DAE" w14:textId="31B771B7" w:rsidR="00780914" w:rsidRPr="00D15ACA" w:rsidRDefault="00780914" w:rsidP="00973DD7">
            <w:pPr>
              <w:spacing w:before="40"/>
              <w:rPr>
                <w:rFonts w:cstheme="minorHAnsi"/>
                <w:sz w:val="16"/>
                <w:szCs w:val="16"/>
              </w:rPr>
            </w:pPr>
          </w:p>
        </w:tc>
      </w:tr>
    </w:tbl>
    <w:p w14:paraId="455E97F1" w14:textId="58F7D995" w:rsidR="000C2E7B" w:rsidRDefault="000C2E7B" w:rsidP="007735D8">
      <w:pPr>
        <w:spacing w:after="0" w:line="240" w:lineRule="auto"/>
        <w:rPr>
          <w:rFonts w:ascii="Arial Nova Light" w:hAnsi="Arial Nova Light"/>
          <w:sz w:val="20"/>
          <w:szCs w:val="20"/>
        </w:rPr>
      </w:pPr>
    </w:p>
    <w:tbl>
      <w:tblPr>
        <w:tblpPr w:leftFromText="187" w:rightFromText="187" w:tblpY="2809"/>
        <w:tblOverlap w:val="neve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8"/>
        <w:gridCol w:w="4798"/>
        <w:gridCol w:w="4799"/>
      </w:tblGrid>
      <w:tr w:rsidR="00030ECC" w:rsidRPr="00EE0EA9" w14:paraId="66B0A366" w14:textId="77777777" w:rsidTr="00837DC4">
        <w:trPr>
          <w:cantSplit/>
          <w:trHeight w:val="167"/>
        </w:trPr>
        <w:tc>
          <w:tcPr>
            <w:tcW w:w="14395"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CF8FA8C" w14:textId="2E8677F4" w:rsidR="00030ECC" w:rsidRPr="00581FFA" w:rsidRDefault="00937DBF" w:rsidP="00837DC4">
            <w:pPr>
              <w:spacing w:before="120" w:after="120" w:line="240" w:lineRule="auto"/>
              <w:rPr>
                <w:rFonts w:cstheme="minorHAnsi"/>
                <w:b/>
                <w:bCs/>
                <w:sz w:val="20"/>
                <w:szCs w:val="20"/>
              </w:rPr>
            </w:pPr>
            <w:r>
              <w:rPr>
                <w:rFonts w:cstheme="minorHAnsi"/>
                <w:b/>
                <w:bCs/>
                <w:sz w:val="20"/>
                <w:szCs w:val="20"/>
              </w:rPr>
              <w:lastRenderedPageBreak/>
              <w:t>Urinary Tract Infection Diagnosis and Treatment</w:t>
            </w:r>
          </w:p>
        </w:tc>
      </w:tr>
      <w:tr w:rsidR="00030ECC" w:rsidRPr="00EE0EA9" w14:paraId="4C0C633A" w14:textId="77777777" w:rsidTr="00837DC4">
        <w:trPr>
          <w:cantSplit/>
          <w:trHeight w:val="345"/>
        </w:trPr>
        <w:tc>
          <w:tcPr>
            <w:tcW w:w="14395"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F2F2F2" w:themeFill="background1" w:themeFillShade="F2"/>
          </w:tcPr>
          <w:p w14:paraId="21797864" w14:textId="32F3F59A" w:rsidR="00030ECC" w:rsidRPr="00D15ACA" w:rsidRDefault="00030ECC" w:rsidP="00837DC4">
            <w:pPr>
              <w:spacing w:before="120" w:after="120" w:line="240" w:lineRule="auto"/>
              <w:rPr>
                <w:rFonts w:cstheme="minorHAnsi"/>
                <w:b/>
                <w:bCs/>
                <w:sz w:val="18"/>
                <w:szCs w:val="18"/>
              </w:rPr>
            </w:pPr>
            <w:r w:rsidRPr="00D15ACA">
              <w:rPr>
                <w:rFonts w:cstheme="minorHAnsi"/>
                <w:b/>
                <w:bCs/>
                <w:sz w:val="18"/>
                <w:szCs w:val="18"/>
              </w:rPr>
              <w:t>RECOMMENDATION STATEMENT</w:t>
            </w:r>
            <w:r w:rsidR="00780914">
              <w:rPr>
                <w:rFonts w:cstheme="minorHAnsi"/>
                <w:b/>
                <w:bCs/>
                <w:sz w:val="18"/>
                <w:szCs w:val="18"/>
              </w:rPr>
              <w:t>S</w:t>
            </w:r>
            <w:r>
              <w:rPr>
                <w:rFonts w:cstheme="minorHAnsi"/>
                <w:b/>
                <w:bCs/>
                <w:sz w:val="18"/>
                <w:szCs w:val="18"/>
              </w:rPr>
              <w:t xml:space="preserve">  </w:t>
            </w:r>
          </w:p>
        </w:tc>
      </w:tr>
      <w:tr w:rsidR="00937DBF" w:rsidRPr="00EE0EA9" w14:paraId="78683CD5" w14:textId="77777777" w:rsidTr="00576E6D">
        <w:trPr>
          <w:cantSplit/>
          <w:trHeight w:val="541"/>
        </w:trPr>
        <w:tc>
          <w:tcPr>
            <w:tcW w:w="14395" w:type="dxa"/>
            <w:gridSpan w:val="3"/>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804671A" w14:textId="77777777" w:rsidR="00937DBF" w:rsidRDefault="00937DBF" w:rsidP="00937DBF">
            <w:pPr>
              <w:spacing w:after="120"/>
              <w:rPr>
                <w:rFonts w:cstheme="minorHAnsi"/>
                <w:sz w:val="17"/>
                <w:szCs w:val="17"/>
              </w:rPr>
            </w:pPr>
            <w:r>
              <w:rPr>
                <w:rFonts w:cstheme="minorHAnsi"/>
                <w:sz w:val="17"/>
                <w:szCs w:val="17"/>
              </w:rPr>
              <w:t xml:space="preserve">Diagnosis: </w:t>
            </w:r>
          </w:p>
          <w:p w14:paraId="4BF42471" w14:textId="77777777" w:rsidR="00937DBF" w:rsidRDefault="00937DBF" w:rsidP="00937DBF">
            <w:pPr>
              <w:spacing w:after="120"/>
              <w:rPr>
                <w:rFonts w:cstheme="minorHAnsi"/>
                <w:sz w:val="17"/>
                <w:szCs w:val="17"/>
              </w:rPr>
            </w:pPr>
            <w:r>
              <w:rPr>
                <w:rFonts w:cstheme="minorHAnsi"/>
                <w:sz w:val="17"/>
                <w:szCs w:val="17"/>
              </w:rPr>
              <w:t xml:space="preserve">3. </w:t>
            </w:r>
            <w:r w:rsidRPr="00937DBF">
              <w:rPr>
                <w:rFonts w:cstheme="minorHAnsi"/>
                <w:sz w:val="17"/>
                <w:szCs w:val="17"/>
              </w:rPr>
              <w:t>Clinicians should evaluate patients with symptoms of urinary tract infection with a urine culture. Urinary tract infection should be suspected based on the presence of symptoms, may be supported by a positive urinalysis, and is confirmed by urine culture showing ≥100,000 CFU/mL.</w:t>
            </w:r>
          </w:p>
          <w:p w14:paraId="7026CE47" w14:textId="77777777" w:rsidR="00937DBF" w:rsidRDefault="00937DBF" w:rsidP="00937DBF">
            <w:pPr>
              <w:spacing w:after="120"/>
              <w:rPr>
                <w:rFonts w:cstheme="minorHAnsi"/>
                <w:sz w:val="17"/>
                <w:szCs w:val="17"/>
              </w:rPr>
            </w:pPr>
            <w:r>
              <w:rPr>
                <w:rFonts w:cstheme="minorHAnsi"/>
                <w:sz w:val="17"/>
                <w:szCs w:val="17"/>
              </w:rPr>
              <w:t>Treatment:</w:t>
            </w:r>
          </w:p>
          <w:p w14:paraId="5D8D7E11" w14:textId="77777777" w:rsidR="00937DBF" w:rsidRDefault="00937DBF" w:rsidP="00954867">
            <w:pPr>
              <w:spacing w:after="120"/>
              <w:rPr>
                <w:rFonts w:cstheme="minorHAnsi"/>
                <w:sz w:val="17"/>
                <w:szCs w:val="17"/>
              </w:rPr>
            </w:pPr>
            <w:r>
              <w:rPr>
                <w:rFonts w:cstheme="minorHAnsi"/>
                <w:sz w:val="17"/>
                <w:szCs w:val="17"/>
              </w:rPr>
              <w:t xml:space="preserve">4. </w:t>
            </w:r>
            <w:r w:rsidRPr="00937DBF">
              <w:rPr>
                <w:rFonts w:cstheme="minorHAnsi"/>
                <w:sz w:val="17"/>
                <w:szCs w:val="17"/>
              </w:rPr>
              <w:t xml:space="preserve">Clinicians should treat UTIs in pregnant individuals with a </w:t>
            </w:r>
            <w:proofErr w:type="gramStart"/>
            <w:r w:rsidRPr="00937DBF">
              <w:rPr>
                <w:rFonts w:cstheme="minorHAnsi"/>
                <w:sz w:val="17"/>
                <w:szCs w:val="17"/>
              </w:rPr>
              <w:t>5-7 day</w:t>
            </w:r>
            <w:proofErr w:type="gramEnd"/>
            <w:r w:rsidRPr="00937DBF">
              <w:rPr>
                <w:rFonts w:cstheme="minorHAnsi"/>
                <w:sz w:val="17"/>
                <w:szCs w:val="17"/>
              </w:rPr>
              <w:t xml:space="preserve"> course of a targeted antibiotic. If empiric therapy is started before culture and sensitivity results are available, amoxicillin/ampicillin regimens should be avoided due to high rates of resistance in E. coli to these antibiotics in most areas.</w:t>
            </w:r>
          </w:p>
          <w:p w14:paraId="49C22E66" w14:textId="77777777" w:rsidR="00937DBF" w:rsidRDefault="00937DBF" w:rsidP="00954867">
            <w:pPr>
              <w:spacing w:after="120"/>
              <w:rPr>
                <w:rFonts w:cstheme="minorHAnsi"/>
                <w:sz w:val="17"/>
                <w:szCs w:val="17"/>
              </w:rPr>
            </w:pPr>
            <w:r>
              <w:rPr>
                <w:rFonts w:cstheme="minorHAnsi"/>
                <w:sz w:val="17"/>
                <w:szCs w:val="17"/>
              </w:rPr>
              <w:t xml:space="preserve">5. </w:t>
            </w:r>
            <w:r w:rsidRPr="00937DBF">
              <w:rPr>
                <w:rFonts w:cstheme="minorHAnsi"/>
                <w:sz w:val="17"/>
                <w:szCs w:val="17"/>
              </w:rPr>
              <w:t>There is insufficient evidence to guide management after UTI treatment in pregnancy. Clinicians may consider repeating a urine culture 1-2 weeks after completing treatment for UTI or evaluating only if symptoms recur.</w:t>
            </w:r>
          </w:p>
          <w:p w14:paraId="5DD96799" w14:textId="797E5DD0" w:rsidR="00937DBF" w:rsidRPr="00AE08C2" w:rsidRDefault="00937DBF" w:rsidP="00954867">
            <w:pPr>
              <w:spacing w:after="120"/>
              <w:rPr>
                <w:rFonts w:cstheme="minorHAnsi"/>
                <w:sz w:val="17"/>
                <w:szCs w:val="17"/>
              </w:rPr>
            </w:pPr>
            <w:r>
              <w:rPr>
                <w:rFonts w:cstheme="minorHAnsi"/>
                <w:sz w:val="17"/>
                <w:szCs w:val="17"/>
              </w:rPr>
              <w:t xml:space="preserve">6. </w:t>
            </w:r>
            <w:r w:rsidRPr="00937DBF">
              <w:rPr>
                <w:rFonts w:cstheme="minorHAnsi"/>
                <w:sz w:val="17"/>
                <w:szCs w:val="17"/>
              </w:rPr>
              <w:t>There is insufficient evidence to guide management after recurrent UTI in pregnancy. After treating a recurrent acute infection, clinicians may consider initiating antimicrobial urinary suppression for the remainder of the pregnancy, preferably using a lower single daily dose of an antibacterial drug to which the bacterium isolated was susceptible.</w:t>
            </w:r>
          </w:p>
        </w:tc>
      </w:tr>
      <w:tr w:rsidR="00030ECC" w:rsidRPr="00EE0EA9" w14:paraId="67AD5E8C" w14:textId="77777777" w:rsidTr="00837DC4">
        <w:trPr>
          <w:cantSplit/>
          <w:trHeight w:val="252"/>
        </w:trPr>
        <w:tc>
          <w:tcPr>
            <w:tcW w:w="14395"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1F2B8EE" w14:textId="77777777" w:rsidR="00030ECC" w:rsidRPr="006D3199" w:rsidRDefault="00030ECC" w:rsidP="00837DC4">
            <w:pPr>
              <w:spacing w:before="240" w:line="240" w:lineRule="auto"/>
              <w:rPr>
                <w:rFonts w:asciiTheme="majorHAnsi" w:hAnsiTheme="majorHAnsi" w:cstheme="majorHAnsi"/>
                <w:b/>
                <w:bCs/>
                <w:sz w:val="18"/>
                <w:szCs w:val="18"/>
              </w:rPr>
            </w:pPr>
            <w:r w:rsidRPr="006D3199">
              <w:rPr>
                <w:rFonts w:asciiTheme="majorHAnsi" w:hAnsiTheme="majorHAnsi" w:cstheme="majorHAnsi"/>
                <w:b/>
                <w:bCs/>
                <w:sz w:val="18"/>
                <w:szCs w:val="18"/>
              </w:rPr>
              <w:t>SUPPORTING EVIDENCE</w:t>
            </w:r>
          </w:p>
        </w:tc>
      </w:tr>
      <w:tr w:rsidR="00030ECC" w:rsidRPr="00EE0EA9" w14:paraId="167E19B2" w14:textId="77777777" w:rsidTr="00837DC4">
        <w:trPr>
          <w:cantSplit/>
          <w:trHeight w:val="252"/>
        </w:trPr>
        <w:tc>
          <w:tcPr>
            <w:tcW w:w="14395" w:type="dxa"/>
            <w:gridSpan w:val="3"/>
            <w:tcBorders>
              <w:top w:val="nil"/>
              <w:left w:val="single" w:sz="4" w:space="0" w:color="D9D9D9" w:themeColor="background1" w:themeShade="D9"/>
              <w:bottom w:val="nil"/>
              <w:right w:val="single" w:sz="4" w:space="0" w:color="D9D9D9" w:themeColor="background1" w:themeShade="D9"/>
            </w:tcBorders>
          </w:tcPr>
          <w:p w14:paraId="011103C5" w14:textId="77777777" w:rsidR="00030ECC" w:rsidRPr="00610151" w:rsidRDefault="00030ECC" w:rsidP="00837DC4">
            <w:pPr>
              <w:spacing w:after="120" w:line="240" w:lineRule="auto"/>
              <w:rPr>
                <w:rFonts w:asciiTheme="majorHAnsi" w:hAnsiTheme="majorHAnsi" w:cstheme="majorHAnsi"/>
                <w:b/>
                <w:bCs/>
                <w:sz w:val="17"/>
                <w:szCs w:val="17"/>
              </w:rPr>
            </w:pPr>
            <w:r>
              <w:rPr>
                <w:rFonts w:asciiTheme="majorHAnsi" w:hAnsiTheme="majorHAnsi" w:cstheme="majorHAnsi"/>
                <w:b/>
                <w:bCs/>
                <w:sz w:val="17"/>
                <w:szCs w:val="17"/>
              </w:rPr>
              <w:t>Related</w:t>
            </w:r>
            <w:r w:rsidRPr="00610151">
              <w:rPr>
                <w:rFonts w:asciiTheme="majorHAnsi" w:hAnsiTheme="majorHAnsi" w:cstheme="majorHAnsi"/>
                <w:b/>
                <w:bCs/>
                <w:sz w:val="17"/>
                <w:szCs w:val="17"/>
              </w:rPr>
              <w:t xml:space="preserve"> Guidelines</w:t>
            </w:r>
          </w:p>
          <w:p w14:paraId="3556CA45" w14:textId="141C0606" w:rsidR="00014378" w:rsidRDefault="00014378" w:rsidP="00F22E91">
            <w:pPr>
              <w:spacing w:after="120"/>
              <w:rPr>
                <w:rFonts w:asciiTheme="majorHAnsi" w:hAnsiTheme="majorHAnsi" w:cstheme="majorHAnsi"/>
                <w:sz w:val="16"/>
                <w:szCs w:val="16"/>
              </w:rPr>
            </w:pPr>
            <w:r w:rsidRPr="0012032C">
              <w:rPr>
                <w:rFonts w:asciiTheme="majorHAnsi" w:hAnsiTheme="majorHAnsi" w:cstheme="majorHAnsi"/>
                <w:sz w:val="16"/>
                <w:szCs w:val="16"/>
                <w:u w:val="single"/>
              </w:rPr>
              <w:t>Brazilian Society of Infectious Diseases (SBI), Brazilian Federation of Gynecology and Obstetrics Associations (FEBRASGO), Brazilian Society of Urology (SBU) and Brazilian Society of Clinical Pathology/Laboratory Medicine (SBPC/ML) 2020 Joint Report</w:t>
            </w:r>
            <w:r w:rsidR="00F22E91" w:rsidRPr="0012032C">
              <w:rPr>
                <w:rFonts w:asciiTheme="majorHAnsi" w:hAnsiTheme="majorHAnsi" w:cstheme="majorHAnsi"/>
                <w:sz w:val="16"/>
                <w:szCs w:val="16"/>
                <w:u w:val="single"/>
              </w:rPr>
              <w:t>:</w:t>
            </w:r>
            <w:r w:rsidR="00F22E91">
              <w:rPr>
                <w:rFonts w:asciiTheme="majorHAnsi" w:hAnsiTheme="majorHAnsi" w:cstheme="majorHAnsi"/>
                <w:sz w:val="16"/>
                <w:szCs w:val="16"/>
              </w:rPr>
              <w:t xml:space="preserve"> </w:t>
            </w:r>
            <w:r w:rsidR="00F22E91" w:rsidRPr="00F22E91">
              <w:rPr>
                <w:rFonts w:asciiTheme="majorHAnsi" w:hAnsiTheme="majorHAnsi" w:cstheme="majorHAnsi"/>
                <w:sz w:val="16"/>
                <w:szCs w:val="16"/>
              </w:rPr>
              <w:t>All cases of significant bacteriuria (≥105 CFU/mL in middle stream</w:t>
            </w:r>
            <w:r w:rsidR="00F22E91">
              <w:rPr>
                <w:rFonts w:asciiTheme="majorHAnsi" w:hAnsiTheme="majorHAnsi" w:cstheme="majorHAnsi"/>
                <w:sz w:val="16"/>
                <w:szCs w:val="16"/>
              </w:rPr>
              <w:t xml:space="preserve"> </w:t>
            </w:r>
            <w:r w:rsidR="00F22E91" w:rsidRPr="00F22E91">
              <w:rPr>
                <w:rFonts w:asciiTheme="majorHAnsi" w:hAnsiTheme="majorHAnsi" w:cstheme="majorHAnsi"/>
                <w:sz w:val="16"/>
                <w:szCs w:val="16"/>
              </w:rPr>
              <w:t>sample) should be treated with antimicrobials considering safety and susceptibility profile.</w:t>
            </w:r>
            <w:r w:rsidR="00F22E91">
              <w:rPr>
                <w:rFonts w:asciiTheme="majorHAnsi" w:hAnsiTheme="majorHAnsi" w:cstheme="majorHAnsi"/>
                <w:sz w:val="16"/>
                <w:szCs w:val="16"/>
              </w:rPr>
              <w:t xml:space="preserve"> </w:t>
            </w:r>
            <w:r w:rsidR="00F22E91" w:rsidRPr="00F22E91">
              <w:rPr>
                <w:rFonts w:asciiTheme="majorHAnsi" w:hAnsiTheme="majorHAnsi" w:cstheme="majorHAnsi"/>
                <w:sz w:val="16"/>
                <w:szCs w:val="16"/>
              </w:rPr>
              <w:t>In women with typical symptoms of cystitis, dipsticks are not necessary for diagnosis. Urine</w:t>
            </w:r>
            <w:r w:rsidR="00F22E91">
              <w:rPr>
                <w:rFonts w:asciiTheme="majorHAnsi" w:hAnsiTheme="majorHAnsi" w:cstheme="majorHAnsi"/>
                <w:sz w:val="16"/>
                <w:szCs w:val="16"/>
              </w:rPr>
              <w:t xml:space="preserve"> </w:t>
            </w:r>
            <w:r w:rsidR="00F22E91" w:rsidRPr="00F22E91">
              <w:rPr>
                <w:rFonts w:asciiTheme="majorHAnsi" w:hAnsiTheme="majorHAnsi" w:cstheme="majorHAnsi"/>
                <w:sz w:val="16"/>
                <w:szCs w:val="16"/>
              </w:rPr>
              <w:t>cultures should be collected in pregnant women, recurrent UTI, atypical cases, and if there is</w:t>
            </w:r>
            <w:r w:rsidR="00F22E91">
              <w:rPr>
                <w:rFonts w:asciiTheme="majorHAnsi" w:hAnsiTheme="majorHAnsi" w:cstheme="majorHAnsi"/>
                <w:sz w:val="16"/>
                <w:szCs w:val="16"/>
              </w:rPr>
              <w:t xml:space="preserve"> </w:t>
            </w:r>
            <w:r w:rsidR="00F22E91" w:rsidRPr="00F22E91">
              <w:rPr>
                <w:rFonts w:asciiTheme="majorHAnsi" w:hAnsiTheme="majorHAnsi" w:cstheme="majorHAnsi"/>
                <w:sz w:val="16"/>
                <w:szCs w:val="16"/>
              </w:rPr>
              <w:t xml:space="preserve">suspicion of pyelonephritis. First line antimicrobials for cystitis are </w:t>
            </w:r>
            <w:r w:rsidR="0012032C" w:rsidRPr="00F22E91">
              <w:rPr>
                <w:rFonts w:asciiTheme="majorHAnsi" w:hAnsiTheme="majorHAnsi" w:cstheme="majorHAnsi"/>
                <w:sz w:val="16"/>
                <w:szCs w:val="16"/>
              </w:rPr>
              <w:t>Fosfomycin</w:t>
            </w:r>
            <w:r w:rsidR="00F22E91" w:rsidRPr="00F22E91">
              <w:rPr>
                <w:rFonts w:asciiTheme="majorHAnsi" w:hAnsiTheme="majorHAnsi" w:cstheme="majorHAnsi"/>
                <w:sz w:val="16"/>
                <w:szCs w:val="16"/>
              </w:rPr>
              <w:t xml:space="preserve"> trometamol</w:t>
            </w:r>
            <w:r w:rsidR="00F22E91">
              <w:rPr>
                <w:rFonts w:asciiTheme="majorHAnsi" w:hAnsiTheme="majorHAnsi" w:cstheme="majorHAnsi"/>
                <w:sz w:val="16"/>
                <w:szCs w:val="16"/>
              </w:rPr>
              <w:t xml:space="preserve"> </w:t>
            </w:r>
            <w:r w:rsidR="00F22E91" w:rsidRPr="00F22E91">
              <w:rPr>
                <w:rFonts w:asciiTheme="majorHAnsi" w:hAnsiTheme="majorHAnsi" w:cstheme="majorHAnsi"/>
                <w:sz w:val="16"/>
                <w:szCs w:val="16"/>
              </w:rPr>
              <w:t>in a single dose and nitrofurantoin, 100 mg every 6 hours for five days. Second line drugs are</w:t>
            </w:r>
            <w:r w:rsidR="00F22E91">
              <w:rPr>
                <w:rFonts w:asciiTheme="majorHAnsi" w:hAnsiTheme="majorHAnsi" w:cstheme="majorHAnsi"/>
                <w:sz w:val="16"/>
                <w:szCs w:val="16"/>
              </w:rPr>
              <w:t xml:space="preserve"> </w:t>
            </w:r>
            <w:r w:rsidR="00F22E91" w:rsidRPr="00F22E91">
              <w:rPr>
                <w:rFonts w:asciiTheme="majorHAnsi" w:hAnsiTheme="majorHAnsi" w:cstheme="majorHAnsi"/>
                <w:sz w:val="16"/>
                <w:szCs w:val="16"/>
              </w:rPr>
              <w:t>cefuroxime or amoxicillin-clavulanate for seven days. During pregnancy, amoxicillin and</w:t>
            </w:r>
            <w:r w:rsidR="00F22E91">
              <w:rPr>
                <w:rFonts w:asciiTheme="majorHAnsi" w:hAnsiTheme="majorHAnsi" w:cstheme="majorHAnsi"/>
                <w:sz w:val="16"/>
                <w:szCs w:val="16"/>
              </w:rPr>
              <w:t xml:space="preserve"> </w:t>
            </w:r>
            <w:r w:rsidR="00F22E91" w:rsidRPr="00F22E91">
              <w:rPr>
                <w:rFonts w:asciiTheme="majorHAnsi" w:hAnsiTheme="majorHAnsi" w:cstheme="majorHAnsi"/>
                <w:sz w:val="16"/>
                <w:szCs w:val="16"/>
              </w:rPr>
              <w:t>other cephalosporins may be used, but with a higher chance of therapeutic failure.</w:t>
            </w:r>
            <w:r w:rsidR="00F22E91">
              <w:t xml:space="preserve"> </w:t>
            </w:r>
            <w:r w:rsidR="00F22E91" w:rsidRPr="00F22E91">
              <w:rPr>
                <w:rFonts w:asciiTheme="majorHAnsi" w:hAnsiTheme="majorHAnsi" w:cstheme="majorHAnsi"/>
                <w:sz w:val="16"/>
                <w:szCs w:val="16"/>
              </w:rPr>
              <w:t>In recurrent UTI, all episodes should be confirmed by urine culture. Treatment</w:t>
            </w:r>
            <w:r w:rsidR="00F22E91">
              <w:rPr>
                <w:rFonts w:asciiTheme="majorHAnsi" w:hAnsiTheme="majorHAnsi" w:cstheme="majorHAnsi"/>
                <w:sz w:val="16"/>
                <w:szCs w:val="16"/>
              </w:rPr>
              <w:t xml:space="preserve"> </w:t>
            </w:r>
            <w:r w:rsidR="00F22E91" w:rsidRPr="00F22E91">
              <w:rPr>
                <w:rFonts w:asciiTheme="majorHAnsi" w:hAnsiTheme="majorHAnsi" w:cstheme="majorHAnsi"/>
                <w:sz w:val="16"/>
                <w:szCs w:val="16"/>
              </w:rPr>
              <w:t>should be initiated only after urine sampling and with the same regimens indicated for</w:t>
            </w:r>
            <w:r w:rsidR="00F22E91">
              <w:rPr>
                <w:rFonts w:asciiTheme="majorHAnsi" w:hAnsiTheme="majorHAnsi" w:cstheme="majorHAnsi"/>
                <w:sz w:val="16"/>
                <w:szCs w:val="16"/>
              </w:rPr>
              <w:t xml:space="preserve"> </w:t>
            </w:r>
            <w:r w:rsidR="00F22E91" w:rsidRPr="00F22E91">
              <w:rPr>
                <w:rFonts w:asciiTheme="majorHAnsi" w:hAnsiTheme="majorHAnsi" w:cstheme="majorHAnsi"/>
                <w:sz w:val="16"/>
                <w:szCs w:val="16"/>
              </w:rPr>
              <w:t>isolated episodes. Prophylaxis options of recurrent UTI are behavioral measures, nonantimicrobial</w:t>
            </w:r>
            <w:r w:rsidR="00F22E91">
              <w:rPr>
                <w:rFonts w:asciiTheme="majorHAnsi" w:hAnsiTheme="majorHAnsi" w:cstheme="majorHAnsi"/>
                <w:sz w:val="16"/>
                <w:szCs w:val="16"/>
              </w:rPr>
              <w:t xml:space="preserve"> </w:t>
            </w:r>
            <w:r w:rsidR="00F22E91" w:rsidRPr="00F22E91">
              <w:rPr>
                <w:rFonts w:asciiTheme="majorHAnsi" w:hAnsiTheme="majorHAnsi" w:cstheme="majorHAnsi"/>
                <w:sz w:val="16"/>
                <w:szCs w:val="16"/>
              </w:rPr>
              <w:t>and antimicrobial prophylaxis.</w:t>
            </w:r>
            <w:r w:rsidR="00F22E91">
              <w:t xml:space="preserve"> </w:t>
            </w:r>
            <w:r w:rsidR="00F22E91" w:rsidRPr="00F22E91">
              <w:rPr>
                <w:rFonts w:asciiTheme="majorHAnsi" w:hAnsiTheme="majorHAnsi" w:cstheme="majorHAnsi"/>
                <w:sz w:val="16"/>
                <w:szCs w:val="16"/>
              </w:rPr>
              <w:t>In pregnant women, options</w:t>
            </w:r>
            <w:r w:rsidR="00F22E91">
              <w:rPr>
                <w:rFonts w:asciiTheme="majorHAnsi" w:hAnsiTheme="majorHAnsi" w:cstheme="majorHAnsi"/>
                <w:sz w:val="16"/>
                <w:szCs w:val="16"/>
              </w:rPr>
              <w:t xml:space="preserve"> </w:t>
            </w:r>
            <w:r w:rsidR="00F22E91" w:rsidRPr="00F22E91">
              <w:rPr>
                <w:rFonts w:asciiTheme="majorHAnsi" w:hAnsiTheme="majorHAnsi" w:cstheme="majorHAnsi"/>
                <w:sz w:val="16"/>
                <w:szCs w:val="16"/>
              </w:rPr>
              <w:t>are cephalexin, 250–500 mg and nitrofurantoin, 100 mg (contraindicated after 37 weeks of</w:t>
            </w:r>
            <w:r w:rsidR="00F22E91">
              <w:rPr>
                <w:rFonts w:asciiTheme="majorHAnsi" w:hAnsiTheme="majorHAnsi" w:cstheme="majorHAnsi"/>
                <w:sz w:val="16"/>
                <w:szCs w:val="16"/>
              </w:rPr>
              <w:t xml:space="preserve"> </w:t>
            </w:r>
            <w:r w:rsidR="00F22E91" w:rsidRPr="00F22E91">
              <w:rPr>
                <w:rFonts w:asciiTheme="majorHAnsi" w:hAnsiTheme="majorHAnsi" w:cstheme="majorHAnsi"/>
                <w:sz w:val="16"/>
                <w:szCs w:val="16"/>
              </w:rPr>
              <w:t>pregnancy).</w:t>
            </w:r>
          </w:p>
          <w:p w14:paraId="33607AAD" w14:textId="1136DAD2" w:rsidR="00C407E6" w:rsidRDefault="00C407E6" w:rsidP="00345030">
            <w:pPr>
              <w:spacing w:after="120"/>
              <w:rPr>
                <w:rFonts w:asciiTheme="majorHAnsi" w:hAnsiTheme="majorHAnsi" w:cstheme="majorHAnsi"/>
                <w:sz w:val="16"/>
                <w:szCs w:val="16"/>
              </w:rPr>
            </w:pPr>
            <w:r w:rsidRPr="0012032C">
              <w:rPr>
                <w:rFonts w:asciiTheme="majorHAnsi" w:hAnsiTheme="majorHAnsi" w:cstheme="majorHAnsi"/>
                <w:sz w:val="16"/>
                <w:szCs w:val="16"/>
                <w:u w:val="single"/>
              </w:rPr>
              <w:t>American Urological Association (AUA), Canadian Urological Association (CUA), Society of Urodynamics, Female Pelvic Medicine &amp; Urogenital Reconstruction (SUFU) 2019</w:t>
            </w:r>
            <w:r w:rsidR="00014378">
              <w:rPr>
                <w:rFonts w:asciiTheme="majorHAnsi" w:hAnsiTheme="majorHAnsi" w:cstheme="majorHAnsi"/>
                <w:sz w:val="16"/>
                <w:szCs w:val="16"/>
              </w:rPr>
              <w:t xml:space="preserve"> </w:t>
            </w:r>
            <w:r w:rsidR="00345030">
              <w:rPr>
                <w:rFonts w:asciiTheme="majorHAnsi" w:hAnsiTheme="majorHAnsi" w:cstheme="majorHAnsi"/>
                <w:sz w:val="16"/>
                <w:szCs w:val="16"/>
              </w:rPr>
              <w:t xml:space="preserve">(Anger 2019) </w:t>
            </w:r>
            <w:r w:rsidR="00014378">
              <w:rPr>
                <w:rFonts w:asciiTheme="majorHAnsi" w:hAnsiTheme="majorHAnsi" w:cstheme="majorHAnsi"/>
                <w:sz w:val="16"/>
                <w:szCs w:val="16"/>
              </w:rPr>
              <w:t xml:space="preserve">Guideline </w:t>
            </w:r>
            <w:r w:rsidR="00014378" w:rsidRPr="00014378">
              <w:rPr>
                <w:rFonts w:asciiTheme="majorHAnsi" w:hAnsiTheme="majorHAnsi" w:cstheme="majorHAnsi"/>
                <w:sz w:val="16"/>
                <w:szCs w:val="16"/>
              </w:rPr>
              <w:t>Recurrent Uncomplicated Urinary Tract Infections in Women</w:t>
            </w:r>
            <w:r w:rsidR="00014378">
              <w:rPr>
                <w:rFonts w:asciiTheme="majorHAnsi" w:hAnsiTheme="majorHAnsi" w:cstheme="majorHAnsi"/>
                <w:sz w:val="16"/>
                <w:szCs w:val="16"/>
              </w:rPr>
              <w:t xml:space="preserve">: </w:t>
            </w:r>
            <w:r w:rsidR="00F22E91" w:rsidRPr="00F22E91">
              <w:rPr>
                <w:rFonts w:asciiTheme="majorHAnsi" w:hAnsiTheme="majorHAnsi" w:cstheme="majorHAnsi"/>
                <w:sz w:val="16"/>
                <w:szCs w:val="16"/>
              </w:rPr>
              <w:t>This guideline does not apply to pregnant women</w:t>
            </w:r>
            <w:r w:rsidR="00F22E91">
              <w:rPr>
                <w:rFonts w:asciiTheme="majorHAnsi" w:hAnsiTheme="majorHAnsi" w:cstheme="majorHAnsi"/>
                <w:sz w:val="16"/>
                <w:szCs w:val="16"/>
              </w:rPr>
              <w:t xml:space="preserve">. </w:t>
            </w:r>
            <w:r w:rsidR="00345030" w:rsidRPr="00345030">
              <w:rPr>
                <w:rFonts w:asciiTheme="majorHAnsi" w:hAnsiTheme="majorHAnsi" w:cstheme="majorHAnsi"/>
                <w:sz w:val="16"/>
                <w:szCs w:val="16"/>
              </w:rPr>
              <w:t>In women who experience UTIs temporally</w:t>
            </w:r>
            <w:r w:rsidR="00345030">
              <w:rPr>
                <w:rFonts w:asciiTheme="majorHAnsi" w:hAnsiTheme="majorHAnsi" w:cstheme="majorHAnsi"/>
                <w:sz w:val="16"/>
                <w:szCs w:val="16"/>
              </w:rPr>
              <w:t xml:space="preserve"> </w:t>
            </w:r>
            <w:r w:rsidR="00345030" w:rsidRPr="00345030">
              <w:rPr>
                <w:rFonts w:asciiTheme="majorHAnsi" w:hAnsiTheme="majorHAnsi" w:cstheme="majorHAnsi"/>
                <w:sz w:val="16"/>
                <w:szCs w:val="16"/>
              </w:rPr>
              <w:t>related to sexual activity, antibiotic prophylaxis</w:t>
            </w:r>
            <w:r w:rsidR="00345030">
              <w:rPr>
                <w:rFonts w:asciiTheme="majorHAnsi" w:hAnsiTheme="majorHAnsi" w:cstheme="majorHAnsi"/>
                <w:sz w:val="16"/>
                <w:szCs w:val="16"/>
              </w:rPr>
              <w:t xml:space="preserve"> </w:t>
            </w:r>
            <w:r w:rsidR="00345030" w:rsidRPr="00345030">
              <w:rPr>
                <w:rFonts w:asciiTheme="majorHAnsi" w:hAnsiTheme="majorHAnsi" w:cstheme="majorHAnsi"/>
                <w:sz w:val="16"/>
                <w:szCs w:val="16"/>
              </w:rPr>
              <w:t>taken before or after sexual intercourse has been</w:t>
            </w:r>
            <w:r w:rsidR="00345030">
              <w:rPr>
                <w:rFonts w:asciiTheme="majorHAnsi" w:hAnsiTheme="majorHAnsi" w:cstheme="majorHAnsi"/>
                <w:sz w:val="16"/>
                <w:szCs w:val="16"/>
              </w:rPr>
              <w:t xml:space="preserve"> </w:t>
            </w:r>
            <w:r w:rsidR="00345030" w:rsidRPr="00345030">
              <w:rPr>
                <w:rFonts w:asciiTheme="majorHAnsi" w:hAnsiTheme="majorHAnsi" w:cstheme="majorHAnsi"/>
                <w:sz w:val="16"/>
                <w:szCs w:val="16"/>
              </w:rPr>
              <w:t>shown to be effective and safe. This use of antibiotics</w:t>
            </w:r>
            <w:r w:rsidR="00345030">
              <w:rPr>
                <w:rFonts w:asciiTheme="majorHAnsi" w:hAnsiTheme="majorHAnsi" w:cstheme="majorHAnsi"/>
                <w:sz w:val="16"/>
                <w:szCs w:val="16"/>
              </w:rPr>
              <w:t xml:space="preserve"> </w:t>
            </w:r>
            <w:r w:rsidR="00345030" w:rsidRPr="00345030">
              <w:rPr>
                <w:rFonts w:asciiTheme="majorHAnsi" w:hAnsiTheme="majorHAnsi" w:cstheme="majorHAnsi"/>
                <w:sz w:val="16"/>
                <w:szCs w:val="16"/>
              </w:rPr>
              <w:t>is associated with a significant reduction in</w:t>
            </w:r>
            <w:r w:rsidR="00345030">
              <w:rPr>
                <w:rFonts w:asciiTheme="majorHAnsi" w:hAnsiTheme="majorHAnsi" w:cstheme="majorHAnsi"/>
                <w:sz w:val="16"/>
                <w:szCs w:val="16"/>
              </w:rPr>
              <w:t xml:space="preserve"> </w:t>
            </w:r>
            <w:r w:rsidR="00345030" w:rsidRPr="00345030">
              <w:rPr>
                <w:rFonts w:asciiTheme="majorHAnsi" w:hAnsiTheme="majorHAnsi" w:cstheme="majorHAnsi"/>
                <w:sz w:val="16"/>
                <w:szCs w:val="16"/>
              </w:rPr>
              <w:t xml:space="preserve">recurrence rates. </w:t>
            </w:r>
          </w:p>
          <w:p w14:paraId="124CF718" w14:textId="31AF18F9" w:rsidR="00C407E6" w:rsidRPr="00077DBE" w:rsidRDefault="00C407E6" w:rsidP="00C407E6">
            <w:pPr>
              <w:spacing w:after="0"/>
              <w:rPr>
                <w:rFonts w:asciiTheme="majorHAnsi" w:hAnsiTheme="majorHAnsi" w:cstheme="majorHAnsi"/>
                <w:sz w:val="16"/>
                <w:szCs w:val="16"/>
              </w:rPr>
            </w:pPr>
            <w:r w:rsidRPr="0012032C">
              <w:rPr>
                <w:rFonts w:asciiTheme="majorHAnsi" w:hAnsiTheme="majorHAnsi" w:cstheme="majorHAnsi"/>
                <w:sz w:val="16"/>
                <w:szCs w:val="16"/>
                <w:u w:val="single"/>
              </w:rPr>
              <w:t>Society of Obstetricians and Gynaecologists of Canada (SOGC) 2010</w:t>
            </w:r>
            <w:r w:rsidRPr="00B900FF">
              <w:rPr>
                <w:rFonts w:asciiTheme="majorHAnsi" w:hAnsiTheme="majorHAnsi" w:cstheme="majorHAnsi"/>
                <w:sz w:val="16"/>
                <w:szCs w:val="16"/>
              </w:rPr>
              <w:t xml:space="preserve"> Practice</w:t>
            </w:r>
            <w:r>
              <w:rPr>
                <w:rFonts w:asciiTheme="majorHAnsi" w:hAnsiTheme="majorHAnsi" w:cstheme="majorHAnsi"/>
                <w:sz w:val="16"/>
                <w:szCs w:val="16"/>
              </w:rPr>
              <w:t xml:space="preserve"> Guideline Recurrent urinary tract infection: </w:t>
            </w:r>
            <w:r w:rsidRPr="00077DBE">
              <w:rPr>
                <w:rFonts w:asciiTheme="majorHAnsi" w:hAnsiTheme="majorHAnsi" w:cstheme="majorHAnsi"/>
                <w:sz w:val="16"/>
                <w:szCs w:val="16"/>
              </w:rPr>
              <w:t>Pregnant women at risk of recurrent urinary tract infection should</w:t>
            </w:r>
          </w:p>
          <w:p w14:paraId="67CF2F0D" w14:textId="2DB00061" w:rsidR="00C407E6" w:rsidRDefault="00C407E6" w:rsidP="00C407E6">
            <w:pPr>
              <w:spacing w:after="120"/>
              <w:rPr>
                <w:rFonts w:asciiTheme="majorHAnsi" w:hAnsiTheme="majorHAnsi" w:cstheme="majorHAnsi"/>
                <w:sz w:val="16"/>
                <w:szCs w:val="16"/>
              </w:rPr>
            </w:pPr>
            <w:r w:rsidRPr="00077DBE">
              <w:rPr>
                <w:rFonts w:asciiTheme="majorHAnsi" w:hAnsiTheme="majorHAnsi" w:cstheme="majorHAnsi"/>
                <w:sz w:val="16"/>
                <w:szCs w:val="16"/>
              </w:rPr>
              <w:t>be offered continuous or post-coital prophylaxis with nitrofurantoin</w:t>
            </w:r>
            <w:r>
              <w:rPr>
                <w:rFonts w:asciiTheme="majorHAnsi" w:hAnsiTheme="majorHAnsi" w:cstheme="majorHAnsi"/>
                <w:sz w:val="16"/>
                <w:szCs w:val="16"/>
              </w:rPr>
              <w:t xml:space="preserve"> </w:t>
            </w:r>
            <w:r w:rsidRPr="00077DBE">
              <w:rPr>
                <w:rFonts w:asciiTheme="majorHAnsi" w:hAnsiTheme="majorHAnsi" w:cstheme="majorHAnsi"/>
                <w:sz w:val="16"/>
                <w:szCs w:val="16"/>
              </w:rPr>
              <w:t>or cephalexin, except during the last 4 weeks of pregnancy.</w:t>
            </w:r>
            <w:r>
              <w:rPr>
                <w:rFonts w:asciiTheme="majorHAnsi" w:hAnsiTheme="majorHAnsi" w:cstheme="majorHAnsi"/>
                <w:sz w:val="16"/>
                <w:szCs w:val="16"/>
              </w:rPr>
              <w:t xml:space="preserve"> </w:t>
            </w:r>
            <w:r w:rsidRPr="00077DBE">
              <w:rPr>
                <w:rFonts w:asciiTheme="majorHAnsi" w:hAnsiTheme="majorHAnsi" w:cstheme="majorHAnsi"/>
                <w:sz w:val="16"/>
                <w:szCs w:val="16"/>
              </w:rPr>
              <w:t>(II-1B)</w:t>
            </w:r>
          </w:p>
          <w:p w14:paraId="482CFFA2" w14:textId="195B6D5A" w:rsidR="00030ECC" w:rsidRDefault="00030ECC" w:rsidP="00030ECC">
            <w:pPr>
              <w:spacing w:after="120"/>
              <w:rPr>
                <w:rFonts w:asciiTheme="majorHAnsi" w:hAnsiTheme="majorHAnsi" w:cstheme="majorHAnsi"/>
                <w:sz w:val="16"/>
                <w:szCs w:val="16"/>
              </w:rPr>
            </w:pPr>
            <w:r w:rsidRPr="0012032C">
              <w:rPr>
                <w:rFonts w:asciiTheme="majorHAnsi" w:hAnsiTheme="majorHAnsi" w:cstheme="majorHAnsi"/>
                <w:sz w:val="16"/>
                <w:szCs w:val="16"/>
                <w:u w:val="single"/>
              </w:rPr>
              <w:t>American College of Physicians (ACP) 2001</w:t>
            </w:r>
            <w:r>
              <w:rPr>
                <w:rFonts w:asciiTheme="majorHAnsi" w:hAnsiTheme="majorHAnsi" w:cstheme="majorHAnsi"/>
                <w:sz w:val="16"/>
                <w:szCs w:val="16"/>
              </w:rPr>
              <w:t xml:space="preserve"> Best Practice </w:t>
            </w:r>
            <w:r w:rsidRPr="000F10F3">
              <w:rPr>
                <w:rFonts w:asciiTheme="majorHAnsi" w:hAnsiTheme="majorHAnsi" w:cstheme="majorHAnsi"/>
                <w:sz w:val="16"/>
                <w:szCs w:val="16"/>
              </w:rPr>
              <w:t>No 167: the laboratory diagnosis of urinary tract infection</w:t>
            </w:r>
            <w:r>
              <w:rPr>
                <w:rFonts w:asciiTheme="majorHAnsi" w:hAnsiTheme="majorHAnsi" w:cstheme="majorHAnsi"/>
                <w:sz w:val="16"/>
                <w:szCs w:val="16"/>
              </w:rPr>
              <w:t xml:space="preserve">: </w:t>
            </w:r>
            <w:r w:rsidRPr="000F10F3">
              <w:rPr>
                <w:rFonts w:asciiTheme="majorHAnsi" w:hAnsiTheme="majorHAnsi" w:cstheme="majorHAnsi"/>
                <w:sz w:val="16"/>
                <w:szCs w:val="16"/>
              </w:rPr>
              <w:t>The optimal method for screening is</w:t>
            </w:r>
            <w:r>
              <w:rPr>
                <w:rFonts w:asciiTheme="majorHAnsi" w:hAnsiTheme="majorHAnsi" w:cstheme="majorHAnsi"/>
                <w:sz w:val="16"/>
                <w:szCs w:val="16"/>
              </w:rPr>
              <w:t xml:space="preserve"> </w:t>
            </w:r>
            <w:r w:rsidRPr="000F10F3">
              <w:rPr>
                <w:rFonts w:asciiTheme="majorHAnsi" w:hAnsiTheme="majorHAnsi" w:cstheme="majorHAnsi"/>
                <w:sz w:val="16"/>
                <w:szCs w:val="16"/>
              </w:rPr>
              <w:t>urine culture, which should be repeated to</w:t>
            </w:r>
            <w:r>
              <w:rPr>
                <w:rFonts w:asciiTheme="majorHAnsi" w:hAnsiTheme="majorHAnsi" w:cstheme="majorHAnsi"/>
                <w:sz w:val="16"/>
                <w:szCs w:val="16"/>
              </w:rPr>
              <w:t xml:space="preserve"> </w:t>
            </w:r>
            <w:r w:rsidRPr="000F10F3">
              <w:rPr>
                <w:rFonts w:asciiTheme="majorHAnsi" w:hAnsiTheme="majorHAnsi" w:cstheme="majorHAnsi"/>
                <w:sz w:val="16"/>
                <w:szCs w:val="16"/>
              </w:rPr>
              <w:t>exclude contamination. Reagent strip testing</w:t>
            </w:r>
            <w:r>
              <w:rPr>
                <w:rFonts w:asciiTheme="majorHAnsi" w:hAnsiTheme="majorHAnsi" w:cstheme="majorHAnsi"/>
                <w:sz w:val="16"/>
                <w:szCs w:val="16"/>
              </w:rPr>
              <w:t xml:space="preserve"> </w:t>
            </w:r>
            <w:r w:rsidRPr="000F10F3">
              <w:rPr>
                <w:rFonts w:asciiTheme="majorHAnsi" w:hAnsiTheme="majorHAnsi" w:cstheme="majorHAnsi"/>
                <w:sz w:val="16"/>
                <w:szCs w:val="16"/>
              </w:rPr>
              <w:t>only is less effective in identifying those</w:t>
            </w:r>
            <w:r>
              <w:rPr>
                <w:rFonts w:asciiTheme="majorHAnsi" w:hAnsiTheme="majorHAnsi" w:cstheme="majorHAnsi"/>
                <w:sz w:val="16"/>
                <w:szCs w:val="16"/>
              </w:rPr>
              <w:t xml:space="preserve"> </w:t>
            </w:r>
            <w:r w:rsidRPr="000F10F3">
              <w:rPr>
                <w:rFonts w:asciiTheme="majorHAnsi" w:hAnsiTheme="majorHAnsi" w:cstheme="majorHAnsi"/>
                <w:sz w:val="16"/>
                <w:szCs w:val="16"/>
              </w:rPr>
              <w:t>patients who will develop pyelonephritis, but it</w:t>
            </w:r>
            <w:r>
              <w:rPr>
                <w:rFonts w:asciiTheme="majorHAnsi" w:hAnsiTheme="majorHAnsi" w:cstheme="majorHAnsi"/>
                <w:sz w:val="16"/>
                <w:szCs w:val="16"/>
              </w:rPr>
              <w:t xml:space="preserve"> </w:t>
            </w:r>
            <w:r w:rsidRPr="000F10F3">
              <w:rPr>
                <w:rFonts w:asciiTheme="majorHAnsi" w:hAnsiTheme="majorHAnsi" w:cstheme="majorHAnsi"/>
                <w:sz w:val="16"/>
                <w:szCs w:val="16"/>
              </w:rPr>
              <w:t>does offer considerable cost savings.</w:t>
            </w:r>
          </w:p>
          <w:p w14:paraId="7B841DF4" w14:textId="6F0C5BDC" w:rsidR="005E3BFF" w:rsidRPr="00D15ACA" w:rsidRDefault="005E3BFF" w:rsidP="00030ECC">
            <w:pPr>
              <w:spacing w:after="120"/>
              <w:rPr>
                <w:rFonts w:asciiTheme="majorHAnsi" w:hAnsiTheme="majorHAnsi" w:cstheme="majorHAnsi"/>
                <w:sz w:val="16"/>
                <w:szCs w:val="16"/>
              </w:rPr>
            </w:pPr>
          </w:p>
        </w:tc>
      </w:tr>
      <w:tr w:rsidR="00030ECC" w:rsidRPr="00EE0EA9" w14:paraId="16B7F182" w14:textId="77777777" w:rsidTr="00837DC4">
        <w:trPr>
          <w:cantSplit/>
          <w:trHeight w:val="297"/>
        </w:trPr>
        <w:tc>
          <w:tcPr>
            <w:tcW w:w="4798" w:type="dxa"/>
            <w:tcBorders>
              <w:top w:val="nil"/>
              <w:left w:val="single" w:sz="4" w:space="0" w:color="D9D9D9" w:themeColor="background1" w:themeShade="D9"/>
              <w:bottom w:val="nil"/>
              <w:right w:val="nil"/>
            </w:tcBorders>
          </w:tcPr>
          <w:p w14:paraId="7EAC8578" w14:textId="77777777" w:rsidR="00030ECC" w:rsidRPr="00D15ACA" w:rsidRDefault="00030ECC" w:rsidP="00837DC4">
            <w:pPr>
              <w:spacing w:before="120" w:after="120" w:line="240" w:lineRule="auto"/>
              <w:rPr>
                <w:rFonts w:asciiTheme="majorHAnsi" w:hAnsiTheme="majorHAnsi" w:cstheme="majorHAnsi"/>
                <w:b/>
                <w:bCs/>
                <w:sz w:val="17"/>
                <w:szCs w:val="17"/>
              </w:rPr>
            </w:pPr>
            <w:r w:rsidRPr="00D15ACA">
              <w:rPr>
                <w:rFonts w:asciiTheme="majorHAnsi" w:hAnsiTheme="majorHAnsi" w:cstheme="majorHAnsi"/>
                <w:b/>
                <w:bCs/>
                <w:sz w:val="17"/>
                <w:szCs w:val="17"/>
              </w:rPr>
              <w:lastRenderedPageBreak/>
              <w:t>Category I</w:t>
            </w:r>
          </w:p>
        </w:tc>
        <w:tc>
          <w:tcPr>
            <w:tcW w:w="4798" w:type="dxa"/>
            <w:tcBorders>
              <w:top w:val="nil"/>
              <w:left w:val="nil"/>
              <w:bottom w:val="nil"/>
              <w:right w:val="nil"/>
            </w:tcBorders>
          </w:tcPr>
          <w:p w14:paraId="3B895B8F" w14:textId="77777777" w:rsidR="00030ECC" w:rsidRPr="00D15ACA" w:rsidRDefault="00030ECC" w:rsidP="00837DC4">
            <w:pPr>
              <w:spacing w:before="120" w:after="120" w:line="240" w:lineRule="auto"/>
              <w:rPr>
                <w:rFonts w:asciiTheme="majorHAnsi" w:hAnsiTheme="majorHAnsi" w:cstheme="majorHAnsi"/>
                <w:b/>
                <w:bCs/>
                <w:sz w:val="17"/>
                <w:szCs w:val="17"/>
              </w:rPr>
            </w:pPr>
            <w:r w:rsidRPr="00D15ACA">
              <w:rPr>
                <w:rFonts w:asciiTheme="majorHAnsi" w:hAnsiTheme="majorHAnsi" w:cstheme="majorHAnsi"/>
                <w:b/>
                <w:bCs/>
                <w:sz w:val="17"/>
                <w:szCs w:val="17"/>
              </w:rPr>
              <w:t>Category II</w:t>
            </w:r>
          </w:p>
        </w:tc>
        <w:tc>
          <w:tcPr>
            <w:tcW w:w="4799" w:type="dxa"/>
            <w:tcBorders>
              <w:top w:val="nil"/>
              <w:left w:val="nil"/>
              <w:bottom w:val="nil"/>
              <w:right w:val="single" w:sz="4" w:space="0" w:color="D9D9D9" w:themeColor="background1" w:themeShade="D9"/>
            </w:tcBorders>
          </w:tcPr>
          <w:p w14:paraId="1F8A464E" w14:textId="77777777" w:rsidR="00030ECC" w:rsidRPr="00D15ACA" w:rsidRDefault="00030ECC" w:rsidP="00837DC4">
            <w:pPr>
              <w:spacing w:before="120" w:after="120" w:line="240" w:lineRule="auto"/>
              <w:rPr>
                <w:rFonts w:asciiTheme="majorHAnsi" w:hAnsiTheme="majorHAnsi" w:cstheme="majorHAnsi"/>
                <w:b/>
                <w:bCs/>
                <w:sz w:val="17"/>
                <w:szCs w:val="17"/>
              </w:rPr>
            </w:pPr>
            <w:r w:rsidRPr="00D15ACA">
              <w:rPr>
                <w:rFonts w:asciiTheme="majorHAnsi" w:hAnsiTheme="majorHAnsi" w:cstheme="majorHAnsi"/>
                <w:b/>
                <w:bCs/>
                <w:sz w:val="17"/>
                <w:szCs w:val="17"/>
              </w:rPr>
              <w:t>Category III</w:t>
            </w:r>
          </w:p>
        </w:tc>
      </w:tr>
      <w:tr w:rsidR="00030ECC" w:rsidRPr="00EE0EA9" w14:paraId="3FC752EE" w14:textId="77777777" w:rsidTr="00837DC4">
        <w:trPr>
          <w:cantSplit/>
          <w:trHeight w:val="50"/>
        </w:trPr>
        <w:tc>
          <w:tcPr>
            <w:tcW w:w="4798" w:type="dxa"/>
            <w:tcBorders>
              <w:top w:val="nil"/>
              <w:left w:val="single" w:sz="4" w:space="0" w:color="D9D9D9" w:themeColor="background1" w:themeShade="D9"/>
              <w:bottom w:val="single" w:sz="4" w:space="0" w:color="D9D9D9" w:themeColor="background1" w:themeShade="D9"/>
              <w:right w:val="nil"/>
            </w:tcBorders>
          </w:tcPr>
          <w:p w14:paraId="6875191B" w14:textId="182C4827" w:rsidR="00030ECC" w:rsidRDefault="00030ECC" w:rsidP="00030ECC">
            <w:pPr>
              <w:spacing w:before="40"/>
              <w:rPr>
                <w:rFonts w:cstheme="minorHAnsi"/>
                <w:sz w:val="16"/>
                <w:szCs w:val="16"/>
              </w:rPr>
            </w:pPr>
            <w:r>
              <w:rPr>
                <w:rFonts w:cstheme="minorHAnsi"/>
                <w:sz w:val="16"/>
                <w:szCs w:val="16"/>
              </w:rPr>
              <w:t>Systematic Reviews/Meta-Analyses:</w:t>
            </w:r>
          </w:p>
          <w:p w14:paraId="0248216A" w14:textId="0469FF1C" w:rsidR="0060589C" w:rsidRPr="0060589C" w:rsidRDefault="0060589C" w:rsidP="00DF343A">
            <w:pPr>
              <w:spacing w:before="40"/>
              <w:rPr>
                <w:rFonts w:cstheme="minorHAnsi"/>
                <w:sz w:val="16"/>
                <w:szCs w:val="16"/>
              </w:rPr>
            </w:pPr>
            <w:proofErr w:type="spellStart"/>
            <w:r w:rsidRPr="0060589C">
              <w:rPr>
                <w:rFonts w:cstheme="minorHAnsi"/>
                <w:sz w:val="16"/>
                <w:szCs w:val="16"/>
                <w:u w:val="single"/>
              </w:rPr>
              <w:t>Shulz</w:t>
            </w:r>
            <w:proofErr w:type="spellEnd"/>
            <w:r w:rsidRPr="0060589C">
              <w:rPr>
                <w:rFonts w:cstheme="minorHAnsi"/>
                <w:sz w:val="16"/>
                <w:szCs w:val="16"/>
                <w:u w:val="single"/>
              </w:rPr>
              <w:t xml:space="preserve"> 2022</w:t>
            </w:r>
            <w:r w:rsidRPr="0060589C">
              <w:rPr>
                <w:rFonts w:cstheme="minorHAnsi"/>
                <w:sz w:val="16"/>
                <w:szCs w:val="16"/>
              </w:rPr>
              <w:t xml:space="preserve"> A total of 1063 women from nine studies were included. The primary outcome was the microbiologic cure attested by urine culture. When compared with the multiple-day use of antibiotics, the single-dose treatment has shown statistically similar results in reaching culture cure (odds ratio 1.02, 95% confidence interval 0.73–1.44).</w:t>
            </w:r>
          </w:p>
          <w:p w14:paraId="6ABEC180" w14:textId="6860A805" w:rsidR="00DF343A" w:rsidRDefault="00DF343A" w:rsidP="00DF343A">
            <w:pPr>
              <w:spacing w:before="40"/>
              <w:rPr>
                <w:rFonts w:cstheme="minorHAnsi"/>
                <w:sz w:val="16"/>
                <w:szCs w:val="16"/>
              </w:rPr>
            </w:pPr>
            <w:proofErr w:type="spellStart"/>
            <w:r w:rsidRPr="0012032C">
              <w:rPr>
                <w:rFonts w:cstheme="minorHAnsi"/>
                <w:sz w:val="16"/>
                <w:szCs w:val="16"/>
                <w:u w:val="single"/>
              </w:rPr>
              <w:t>Emami</w:t>
            </w:r>
            <w:proofErr w:type="spellEnd"/>
            <w:r w:rsidRPr="0012032C">
              <w:rPr>
                <w:rFonts w:cstheme="minorHAnsi"/>
                <w:sz w:val="16"/>
                <w:szCs w:val="16"/>
                <w:u w:val="single"/>
              </w:rPr>
              <w:t xml:space="preserve"> 2020</w:t>
            </w:r>
            <w:r>
              <w:rPr>
                <w:rFonts w:cstheme="minorHAnsi"/>
                <w:sz w:val="16"/>
                <w:szCs w:val="16"/>
              </w:rPr>
              <w:t xml:space="preserve"> </w:t>
            </w:r>
            <w:r w:rsidRPr="002D5593">
              <w:rPr>
                <w:rFonts w:cstheme="minorHAnsi"/>
                <w:sz w:val="16"/>
                <w:szCs w:val="16"/>
              </w:rPr>
              <w:t>increasing resistance rate in UTI-related agents is a risk</w:t>
            </w:r>
            <w:r>
              <w:rPr>
                <w:rFonts w:cstheme="minorHAnsi"/>
                <w:sz w:val="16"/>
                <w:szCs w:val="16"/>
              </w:rPr>
              <w:t xml:space="preserve"> </w:t>
            </w:r>
            <w:r w:rsidRPr="002D5593">
              <w:rPr>
                <w:rFonts w:cstheme="minorHAnsi"/>
                <w:sz w:val="16"/>
                <w:szCs w:val="16"/>
              </w:rPr>
              <w:t>factor that endangers both mother and fetus</w:t>
            </w:r>
            <w:r>
              <w:rPr>
                <w:rFonts w:cstheme="minorHAnsi"/>
                <w:sz w:val="16"/>
                <w:szCs w:val="16"/>
              </w:rPr>
              <w:t>; h</w:t>
            </w:r>
            <w:r w:rsidRPr="002D5593">
              <w:rPr>
                <w:rFonts w:cstheme="minorHAnsi"/>
                <w:sz w:val="16"/>
                <w:szCs w:val="16"/>
              </w:rPr>
              <w:t>ealth care providers should consider screening as the</w:t>
            </w:r>
            <w:r>
              <w:rPr>
                <w:rFonts w:cstheme="minorHAnsi"/>
                <w:sz w:val="16"/>
                <w:szCs w:val="16"/>
              </w:rPr>
              <w:t xml:space="preserve"> </w:t>
            </w:r>
            <w:r w:rsidRPr="002D5593">
              <w:rPr>
                <w:rFonts w:cstheme="minorHAnsi"/>
                <w:sz w:val="16"/>
                <w:szCs w:val="16"/>
              </w:rPr>
              <w:t>radical part of infection control strategies</w:t>
            </w:r>
            <w:r>
              <w:rPr>
                <w:rFonts w:cstheme="minorHAnsi"/>
                <w:sz w:val="16"/>
                <w:szCs w:val="16"/>
              </w:rPr>
              <w:t>; d</w:t>
            </w:r>
            <w:r w:rsidRPr="002D5593">
              <w:rPr>
                <w:rFonts w:cstheme="minorHAnsi"/>
                <w:sz w:val="16"/>
                <w:szCs w:val="16"/>
              </w:rPr>
              <w:t xml:space="preserve">ue to low resistance rate to </w:t>
            </w:r>
            <w:r w:rsidR="00F9472B">
              <w:rPr>
                <w:rFonts w:cstheme="minorHAnsi"/>
                <w:sz w:val="16"/>
                <w:szCs w:val="16"/>
              </w:rPr>
              <w:t>n</w:t>
            </w:r>
            <w:r w:rsidRPr="002D5593">
              <w:rPr>
                <w:rFonts w:cstheme="minorHAnsi"/>
                <w:sz w:val="16"/>
                <w:szCs w:val="16"/>
              </w:rPr>
              <w:t>itrofurantoin, this drug can be</w:t>
            </w:r>
            <w:r>
              <w:rPr>
                <w:rFonts w:cstheme="minorHAnsi"/>
                <w:sz w:val="16"/>
                <w:szCs w:val="16"/>
              </w:rPr>
              <w:t xml:space="preserve"> </w:t>
            </w:r>
            <w:r w:rsidRPr="002D5593">
              <w:rPr>
                <w:rFonts w:cstheme="minorHAnsi"/>
                <w:sz w:val="16"/>
                <w:szCs w:val="16"/>
              </w:rPr>
              <w:t>a good choice for UTI treatment in pregnancies, but it should use with caution</w:t>
            </w:r>
          </w:p>
          <w:p w14:paraId="37F52B72" w14:textId="24C8B6A1" w:rsidR="00DF343A" w:rsidRPr="00DF343A" w:rsidRDefault="00DF343A" w:rsidP="00DF343A">
            <w:pPr>
              <w:spacing w:before="40"/>
              <w:rPr>
                <w:rFonts w:cstheme="minorHAnsi"/>
                <w:sz w:val="16"/>
                <w:szCs w:val="16"/>
              </w:rPr>
            </w:pPr>
            <w:r w:rsidRPr="0012032C">
              <w:rPr>
                <w:rFonts w:cstheme="minorHAnsi"/>
                <w:sz w:val="16"/>
                <w:szCs w:val="16"/>
                <w:u w:val="single"/>
              </w:rPr>
              <w:t>Wang 2020</w:t>
            </w:r>
            <w:r>
              <w:rPr>
                <w:rFonts w:cstheme="minorHAnsi"/>
                <w:sz w:val="16"/>
                <w:szCs w:val="16"/>
              </w:rPr>
              <w:t xml:space="preserve"> </w:t>
            </w:r>
            <w:r w:rsidRPr="00981765">
              <w:rPr>
                <w:rFonts w:cstheme="minorHAnsi"/>
                <w:sz w:val="16"/>
                <w:szCs w:val="16"/>
              </w:rPr>
              <w:t xml:space="preserve">suggests that single-dose </w:t>
            </w:r>
            <w:r w:rsidR="0012032C" w:rsidRPr="00981765">
              <w:rPr>
                <w:rFonts w:cstheme="minorHAnsi"/>
                <w:sz w:val="16"/>
                <w:szCs w:val="16"/>
              </w:rPr>
              <w:t>Fosfomycin</w:t>
            </w:r>
            <w:r w:rsidRPr="00981765">
              <w:rPr>
                <w:rFonts w:cstheme="minorHAnsi"/>
                <w:sz w:val="16"/>
                <w:szCs w:val="16"/>
              </w:rPr>
              <w:t xml:space="preserve"> tromethamine produces equivalent clinical outcomes to comparator antibiotics in terms of clinical efficacy and microbiological efficacy</w:t>
            </w:r>
            <w:r>
              <w:rPr>
                <w:rFonts w:cstheme="minorHAnsi"/>
                <w:sz w:val="16"/>
                <w:szCs w:val="16"/>
              </w:rPr>
              <w:t>; i</w:t>
            </w:r>
            <w:r w:rsidRPr="00981765">
              <w:rPr>
                <w:rFonts w:cstheme="minorHAnsi"/>
                <w:sz w:val="16"/>
                <w:szCs w:val="16"/>
              </w:rPr>
              <w:t>t is therefore clinically effective and safe for women with UTI and pregnant women with UTI or ASB, and has higher patient compliance</w:t>
            </w:r>
          </w:p>
          <w:p w14:paraId="4D7820C5" w14:textId="178C2BD3" w:rsidR="00C407E6" w:rsidRDefault="00C407E6" w:rsidP="00C407E6">
            <w:pPr>
              <w:spacing w:before="40"/>
              <w:rPr>
                <w:rFonts w:cstheme="minorHAnsi"/>
                <w:sz w:val="16"/>
                <w:szCs w:val="16"/>
              </w:rPr>
            </w:pPr>
            <w:proofErr w:type="spellStart"/>
            <w:r w:rsidRPr="0012032C">
              <w:rPr>
                <w:rFonts w:cstheme="minorHAnsi"/>
                <w:sz w:val="16"/>
                <w:szCs w:val="16"/>
                <w:u w:val="single"/>
              </w:rPr>
              <w:t>Schneeberger</w:t>
            </w:r>
            <w:proofErr w:type="spellEnd"/>
            <w:r w:rsidRPr="0012032C">
              <w:rPr>
                <w:rFonts w:cstheme="minorHAnsi"/>
                <w:sz w:val="16"/>
                <w:szCs w:val="16"/>
                <w:u w:val="single"/>
              </w:rPr>
              <w:t xml:space="preserve"> 2015</w:t>
            </w:r>
            <w:r>
              <w:rPr>
                <w:rFonts w:cstheme="minorHAnsi"/>
                <w:sz w:val="16"/>
                <w:szCs w:val="16"/>
              </w:rPr>
              <w:t xml:space="preserve"> a</w:t>
            </w:r>
            <w:r w:rsidRPr="00CE3DCD">
              <w:rPr>
                <w:rFonts w:cstheme="minorHAnsi"/>
                <w:sz w:val="16"/>
                <w:szCs w:val="16"/>
              </w:rPr>
              <w:t xml:space="preserve"> daily dose of nitrofurantoin and close surveillance has not been shown to prevent </w:t>
            </w:r>
            <w:r w:rsidR="00D200A6">
              <w:rPr>
                <w:rFonts w:cstheme="minorHAnsi"/>
                <w:sz w:val="16"/>
                <w:szCs w:val="16"/>
              </w:rPr>
              <w:t>recurrent UTI (</w:t>
            </w:r>
            <w:r w:rsidRPr="00CE3DCD">
              <w:rPr>
                <w:rFonts w:cstheme="minorHAnsi"/>
                <w:sz w:val="16"/>
                <w:szCs w:val="16"/>
              </w:rPr>
              <w:t>RUTI</w:t>
            </w:r>
            <w:r w:rsidR="00D200A6">
              <w:rPr>
                <w:rFonts w:cstheme="minorHAnsi"/>
                <w:sz w:val="16"/>
                <w:szCs w:val="16"/>
              </w:rPr>
              <w:t>)</w:t>
            </w:r>
            <w:r w:rsidRPr="00CE3DCD">
              <w:rPr>
                <w:rFonts w:cstheme="minorHAnsi"/>
                <w:sz w:val="16"/>
                <w:szCs w:val="16"/>
              </w:rPr>
              <w:t xml:space="preserve"> compared with close surveillance alone</w:t>
            </w:r>
            <w:r>
              <w:rPr>
                <w:rFonts w:cstheme="minorHAnsi"/>
                <w:sz w:val="16"/>
                <w:szCs w:val="16"/>
              </w:rPr>
              <w:t xml:space="preserve">; a </w:t>
            </w:r>
            <w:r w:rsidRPr="00CE3DCD">
              <w:rPr>
                <w:rFonts w:cstheme="minorHAnsi"/>
                <w:sz w:val="16"/>
                <w:szCs w:val="16"/>
              </w:rPr>
              <w:t>significant reduction of ASB was found in women with a high clinic attendance rate and who received nitrofurantoin and close surveillance</w:t>
            </w:r>
            <w:r>
              <w:rPr>
                <w:rFonts w:cstheme="minorHAnsi"/>
                <w:sz w:val="16"/>
                <w:szCs w:val="16"/>
              </w:rPr>
              <w:t>; t</w:t>
            </w:r>
            <w:r w:rsidRPr="00CE3DCD">
              <w:rPr>
                <w:rFonts w:cstheme="minorHAnsi"/>
                <w:sz w:val="16"/>
                <w:szCs w:val="16"/>
              </w:rPr>
              <w:t>here was limited reporting of both primary and secondary outcomes for both women and infants</w:t>
            </w:r>
            <w:r>
              <w:rPr>
                <w:rFonts w:cstheme="minorHAnsi"/>
                <w:sz w:val="16"/>
                <w:szCs w:val="16"/>
              </w:rPr>
              <w:t>; n</w:t>
            </w:r>
            <w:r w:rsidRPr="00CE3DCD">
              <w:rPr>
                <w:rFonts w:cstheme="minorHAnsi"/>
                <w:sz w:val="16"/>
                <w:szCs w:val="16"/>
              </w:rPr>
              <w:t>o conclusions can be drawn regarding</w:t>
            </w:r>
            <w:r>
              <w:rPr>
                <w:rFonts w:cstheme="minorHAnsi"/>
                <w:sz w:val="16"/>
                <w:szCs w:val="16"/>
              </w:rPr>
              <w:t xml:space="preserve"> </w:t>
            </w:r>
            <w:r w:rsidRPr="00CE3DCD">
              <w:rPr>
                <w:rFonts w:cstheme="minorHAnsi"/>
                <w:sz w:val="16"/>
                <w:szCs w:val="16"/>
              </w:rPr>
              <w:t>the optimal intervention to prevent RUTI in women who are pregnant</w:t>
            </w:r>
            <w:r>
              <w:rPr>
                <w:rFonts w:cstheme="minorHAnsi"/>
                <w:sz w:val="16"/>
                <w:szCs w:val="16"/>
              </w:rPr>
              <w:t xml:space="preserve">; </w:t>
            </w:r>
            <w:r w:rsidR="0012032C">
              <w:rPr>
                <w:rFonts w:cstheme="minorHAnsi"/>
                <w:sz w:val="16"/>
                <w:szCs w:val="16"/>
              </w:rPr>
              <w:t>r</w:t>
            </w:r>
            <w:r w:rsidR="0012032C" w:rsidRPr="00CE3DCD">
              <w:rPr>
                <w:rFonts w:cstheme="minorHAnsi"/>
                <w:sz w:val="16"/>
                <w:szCs w:val="16"/>
              </w:rPr>
              <w:t>andomized</w:t>
            </w:r>
            <w:r w:rsidRPr="00CE3DCD">
              <w:rPr>
                <w:rFonts w:cstheme="minorHAnsi"/>
                <w:sz w:val="16"/>
                <w:szCs w:val="16"/>
              </w:rPr>
              <w:t xml:space="preserve"> controlled trials comparing di</w:t>
            </w:r>
            <w:r>
              <w:rPr>
                <w:rFonts w:cstheme="minorHAnsi"/>
                <w:sz w:val="16"/>
                <w:szCs w:val="16"/>
              </w:rPr>
              <w:t>ff</w:t>
            </w:r>
            <w:r w:rsidRPr="00CE3DCD">
              <w:rPr>
                <w:rFonts w:cstheme="minorHAnsi"/>
                <w:sz w:val="16"/>
                <w:szCs w:val="16"/>
              </w:rPr>
              <w:t>erent pharmacological</w:t>
            </w:r>
            <w:r>
              <w:rPr>
                <w:rFonts w:cstheme="minorHAnsi"/>
                <w:sz w:val="16"/>
                <w:szCs w:val="16"/>
              </w:rPr>
              <w:t xml:space="preserve"> </w:t>
            </w:r>
            <w:r w:rsidRPr="00CE3DCD">
              <w:rPr>
                <w:rFonts w:cstheme="minorHAnsi"/>
                <w:sz w:val="16"/>
                <w:szCs w:val="16"/>
              </w:rPr>
              <w:t>and non-pharmacological interventions are necessary to investigate potentially e</w:t>
            </w:r>
            <w:r>
              <w:rPr>
                <w:rFonts w:cstheme="minorHAnsi"/>
                <w:sz w:val="16"/>
                <w:szCs w:val="16"/>
              </w:rPr>
              <w:t>ff</w:t>
            </w:r>
            <w:r w:rsidRPr="00CE3DCD">
              <w:rPr>
                <w:rFonts w:cstheme="minorHAnsi"/>
                <w:sz w:val="16"/>
                <w:szCs w:val="16"/>
              </w:rPr>
              <w:t>ective interventions to prevent RUTI in women who are</w:t>
            </w:r>
            <w:r>
              <w:rPr>
                <w:rFonts w:cstheme="minorHAnsi"/>
                <w:sz w:val="16"/>
                <w:szCs w:val="16"/>
              </w:rPr>
              <w:t xml:space="preserve"> </w:t>
            </w:r>
            <w:r w:rsidRPr="00CE3DCD">
              <w:rPr>
                <w:rFonts w:cstheme="minorHAnsi"/>
                <w:sz w:val="16"/>
                <w:szCs w:val="16"/>
              </w:rPr>
              <w:t>pregnant</w:t>
            </w:r>
          </w:p>
          <w:p w14:paraId="08715ACB" w14:textId="30F42E30" w:rsidR="001D7C00" w:rsidRDefault="00DF343A" w:rsidP="00B900FF">
            <w:pPr>
              <w:spacing w:before="40"/>
              <w:rPr>
                <w:rFonts w:cstheme="minorHAnsi"/>
                <w:sz w:val="16"/>
                <w:szCs w:val="16"/>
              </w:rPr>
            </w:pPr>
            <w:r w:rsidRPr="0012032C">
              <w:rPr>
                <w:rFonts w:cstheme="minorHAnsi"/>
                <w:sz w:val="16"/>
                <w:szCs w:val="16"/>
                <w:u w:val="single"/>
              </w:rPr>
              <w:t>Vazquez 2011</w:t>
            </w:r>
            <w:r>
              <w:rPr>
                <w:rFonts w:cstheme="minorHAnsi"/>
                <w:sz w:val="16"/>
                <w:szCs w:val="16"/>
              </w:rPr>
              <w:t xml:space="preserve"> a</w:t>
            </w:r>
            <w:r w:rsidRPr="00453823">
              <w:rPr>
                <w:rFonts w:cstheme="minorHAnsi"/>
                <w:sz w:val="16"/>
                <w:szCs w:val="16"/>
              </w:rPr>
              <w:t>lthough antibiotic treatment is effective for the cure of urinary tract infections, there are insufficient data to recommend any specific</w:t>
            </w:r>
            <w:r>
              <w:rPr>
                <w:rFonts w:cstheme="minorHAnsi"/>
                <w:sz w:val="16"/>
                <w:szCs w:val="16"/>
              </w:rPr>
              <w:t xml:space="preserve"> </w:t>
            </w:r>
            <w:r w:rsidRPr="00453823">
              <w:rPr>
                <w:rFonts w:cstheme="minorHAnsi"/>
                <w:sz w:val="16"/>
                <w:szCs w:val="16"/>
              </w:rPr>
              <w:t>drug regimen for treatment of symptomatic urinary tract infections during pregnancy</w:t>
            </w:r>
            <w:r>
              <w:rPr>
                <w:rFonts w:cstheme="minorHAnsi"/>
                <w:sz w:val="16"/>
                <w:szCs w:val="16"/>
              </w:rPr>
              <w:t>; a</w:t>
            </w:r>
            <w:r w:rsidRPr="00453823">
              <w:rPr>
                <w:rFonts w:cstheme="minorHAnsi"/>
                <w:sz w:val="16"/>
                <w:szCs w:val="16"/>
              </w:rPr>
              <w:t>ll the antibiotics studied were shown to be</w:t>
            </w:r>
            <w:r>
              <w:rPr>
                <w:rFonts w:cstheme="minorHAnsi"/>
                <w:sz w:val="16"/>
                <w:szCs w:val="16"/>
              </w:rPr>
              <w:t xml:space="preserve"> </w:t>
            </w:r>
            <w:r w:rsidRPr="00453823">
              <w:rPr>
                <w:rFonts w:cstheme="minorHAnsi"/>
                <w:sz w:val="16"/>
                <w:szCs w:val="16"/>
              </w:rPr>
              <w:t>very effective in decreasing the incidence of the different outcomes</w:t>
            </w:r>
            <w:r>
              <w:rPr>
                <w:rFonts w:cstheme="minorHAnsi"/>
                <w:sz w:val="16"/>
                <w:szCs w:val="16"/>
              </w:rPr>
              <w:t>; c</w:t>
            </w:r>
            <w:r w:rsidRPr="00453823">
              <w:rPr>
                <w:rFonts w:cstheme="minorHAnsi"/>
                <w:sz w:val="16"/>
                <w:szCs w:val="16"/>
              </w:rPr>
              <w:t>omplications were very rare</w:t>
            </w:r>
            <w:r>
              <w:rPr>
                <w:rFonts w:cstheme="minorHAnsi"/>
                <w:sz w:val="16"/>
                <w:szCs w:val="16"/>
              </w:rPr>
              <w:t>; a</w:t>
            </w:r>
            <w:r w:rsidRPr="00453823">
              <w:rPr>
                <w:rFonts w:cstheme="minorHAnsi"/>
                <w:sz w:val="16"/>
                <w:szCs w:val="16"/>
              </w:rPr>
              <w:t>ll included trials had very small</w:t>
            </w:r>
            <w:r>
              <w:rPr>
                <w:rFonts w:cstheme="minorHAnsi"/>
                <w:sz w:val="16"/>
                <w:szCs w:val="16"/>
              </w:rPr>
              <w:t xml:space="preserve"> </w:t>
            </w:r>
            <w:r w:rsidRPr="00453823">
              <w:rPr>
                <w:rFonts w:cstheme="minorHAnsi"/>
                <w:sz w:val="16"/>
                <w:szCs w:val="16"/>
              </w:rPr>
              <w:t>sample sizes to reliably detect important differences between treatments</w:t>
            </w:r>
            <w:r>
              <w:rPr>
                <w:rFonts w:cstheme="minorHAnsi"/>
                <w:sz w:val="16"/>
                <w:szCs w:val="16"/>
              </w:rPr>
              <w:t>; f</w:t>
            </w:r>
            <w:r w:rsidRPr="00453823">
              <w:rPr>
                <w:rFonts w:cstheme="minorHAnsi"/>
                <w:sz w:val="16"/>
                <w:szCs w:val="16"/>
              </w:rPr>
              <w:t>uture studies should evaluate the most promising antibiotics,</w:t>
            </w:r>
            <w:r>
              <w:rPr>
                <w:rFonts w:cstheme="minorHAnsi"/>
                <w:sz w:val="16"/>
                <w:szCs w:val="16"/>
              </w:rPr>
              <w:t xml:space="preserve"> </w:t>
            </w:r>
            <w:r w:rsidRPr="00453823">
              <w:rPr>
                <w:rFonts w:cstheme="minorHAnsi"/>
                <w:sz w:val="16"/>
                <w:szCs w:val="16"/>
              </w:rPr>
              <w:t>in terms of class, timing, dose, acceptability, maternal and neonatal outcomes and costs</w:t>
            </w:r>
          </w:p>
          <w:p w14:paraId="2FAA4DF1" w14:textId="206F5C90" w:rsidR="00887F45" w:rsidRPr="00D15ACA" w:rsidRDefault="00887F45" w:rsidP="00B900FF">
            <w:pPr>
              <w:spacing w:before="40"/>
              <w:rPr>
                <w:rFonts w:cstheme="minorHAnsi"/>
                <w:sz w:val="16"/>
                <w:szCs w:val="16"/>
              </w:rPr>
            </w:pPr>
            <w:r w:rsidRPr="0012032C">
              <w:rPr>
                <w:rFonts w:cstheme="minorHAnsi"/>
                <w:sz w:val="16"/>
                <w:szCs w:val="16"/>
                <w:u w:val="single"/>
              </w:rPr>
              <w:lastRenderedPageBreak/>
              <w:t>Albert 2004</w:t>
            </w:r>
            <w:r>
              <w:rPr>
                <w:rFonts w:cstheme="minorHAnsi"/>
                <w:sz w:val="16"/>
                <w:szCs w:val="16"/>
              </w:rPr>
              <w:t xml:space="preserve"> </w:t>
            </w:r>
            <w:r w:rsidRPr="00887F45">
              <w:rPr>
                <w:rFonts w:cstheme="minorHAnsi"/>
                <w:sz w:val="16"/>
                <w:szCs w:val="16"/>
              </w:rPr>
              <w:t>continuous antibiotic prophylaxis for 6-12 months reduced the rate of UTI during prophylaxis when compared to placebo</w:t>
            </w:r>
            <w:r w:rsidR="00432F1E">
              <w:rPr>
                <w:rFonts w:cstheme="minorHAnsi"/>
                <w:sz w:val="16"/>
                <w:szCs w:val="16"/>
              </w:rPr>
              <w:t>; a</w:t>
            </w:r>
            <w:r w:rsidRPr="00887F45">
              <w:rPr>
                <w:rFonts w:cstheme="minorHAnsi"/>
                <w:sz w:val="16"/>
                <w:szCs w:val="16"/>
              </w:rPr>
              <w:t>fter prophylaxis two studies showed no</w:t>
            </w:r>
            <w:r>
              <w:rPr>
                <w:rFonts w:cstheme="minorHAnsi"/>
                <w:sz w:val="16"/>
                <w:szCs w:val="16"/>
              </w:rPr>
              <w:t xml:space="preserve"> </w:t>
            </w:r>
            <w:r w:rsidRPr="00887F45">
              <w:rPr>
                <w:rFonts w:cstheme="minorHAnsi"/>
                <w:sz w:val="16"/>
                <w:szCs w:val="16"/>
              </w:rPr>
              <w:t>difference between groups</w:t>
            </w:r>
            <w:r w:rsidR="00432F1E">
              <w:rPr>
                <w:rFonts w:cstheme="minorHAnsi"/>
                <w:sz w:val="16"/>
                <w:szCs w:val="16"/>
              </w:rPr>
              <w:t>; t</w:t>
            </w:r>
            <w:r w:rsidRPr="00887F45">
              <w:rPr>
                <w:rFonts w:cstheme="minorHAnsi"/>
                <w:sz w:val="16"/>
                <w:szCs w:val="16"/>
              </w:rPr>
              <w:t>here were more adverse events in the antibiotic group</w:t>
            </w:r>
            <w:r w:rsidR="00432F1E">
              <w:rPr>
                <w:rFonts w:cstheme="minorHAnsi"/>
                <w:sz w:val="16"/>
                <w:szCs w:val="16"/>
              </w:rPr>
              <w:t>; o</w:t>
            </w:r>
            <w:r w:rsidRPr="00887F45">
              <w:rPr>
                <w:rFonts w:cstheme="minorHAnsi"/>
                <w:sz w:val="16"/>
                <w:szCs w:val="16"/>
              </w:rPr>
              <w:t xml:space="preserve">ne </w:t>
            </w:r>
            <w:r w:rsidR="00432F1E">
              <w:rPr>
                <w:rFonts w:cstheme="minorHAnsi"/>
                <w:sz w:val="16"/>
                <w:szCs w:val="16"/>
              </w:rPr>
              <w:t>randomized controlled trial</w:t>
            </w:r>
            <w:r w:rsidRPr="00887F45">
              <w:rPr>
                <w:rFonts w:cstheme="minorHAnsi"/>
                <w:sz w:val="16"/>
                <w:szCs w:val="16"/>
              </w:rPr>
              <w:t xml:space="preserve"> compared postcoital versus continuous daily ciprofloxacin and found no significant difference in rates of UTIs, suggesting that postcoital treatment could be offered to woman who have UTI associated with sexual intercourse</w:t>
            </w:r>
          </w:p>
        </w:tc>
        <w:tc>
          <w:tcPr>
            <w:tcW w:w="4798" w:type="dxa"/>
            <w:tcBorders>
              <w:top w:val="nil"/>
              <w:left w:val="nil"/>
              <w:bottom w:val="single" w:sz="4" w:space="0" w:color="D9D9D9" w:themeColor="background1" w:themeShade="D9"/>
              <w:right w:val="nil"/>
            </w:tcBorders>
          </w:tcPr>
          <w:p w14:paraId="053A7EC6" w14:textId="321084AA" w:rsidR="000F4A21" w:rsidRPr="000F4A21" w:rsidRDefault="000F4A21" w:rsidP="00DF343A">
            <w:pPr>
              <w:spacing w:before="40"/>
              <w:rPr>
                <w:sz w:val="16"/>
                <w:szCs w:val="16"/>
                <w:highlight w:val="yellow"/>
              </w:rPr>
            </w:pPr>
            <w:r w:rsidRPr="0012032C">
              <w:rPr>
                <w:sz w:val="16"/>
                <w:szCs w:val="16"/>
                <w:u w:val="single"/>
              </w:rPr>
              <w:lastRenderedPageBreak/>
              <w:t>Philips 2020</w:t>
            </w:r>
            <w:r w:rsidRPr="00B900FF">
              <w:rPr>
                <w:sz w:val="16"/>
                <w:szCs w:val="16"/>
              </w:rPr>
              <w:t xml:space="preserve"> </w:t>
            </w:r>
            <w:r w:rsidRPr="000F4A21">
              <w:rPr>
                <w:sz w:val="16"/>
                <w:szCs w:val="16"/>
              </w:rPr>
              <w:t xml:space="preserve">study results do not indicate an increased risk of adverse pregnancy outcome after </w:t>
            </w:r>
            <w:r w:rsidR="0012032C" w:rsidRPr="000F4A21">
              <w:rPr>
                <w:sz w:val="16"/>
                <w:szCs w:val="16"/>
              </w:rPr>
              <w:t>Fosfomycin</w:t>
            </w:r>
            <w:r w:rsidRPr="000F4A21">
              <w:rPr>
                <w:sz w:val="16"/>
                <w:szCs w:val="16"/>
              </w:rPr>
              <w:t xml:space="preserve"> exposure during early pregnancy</w:t>
            </w:r>
          </w:p>
          <w:p w14:paraId="7723F566" w14:textId="464B0866" w:rsidR="000F4A21" w:rsidRDefault="000F4A21" w:rsidP="00DF343A">
            <w:pPr>
              <w:spacing w:before="40"/>
              <w:rPr>
                <w:rFonts w:cstheme="minorHAnsi"/>
                <w:sz w:val="16"/>
                <w:szCs w:val="16"/>
              </w:rPr>
            </w:pPr>
            <w:proofErr w:type="spellStart"/>
            <w:r w:rsidRPr="0012032C">
              <w:rPr>
                <w:rFonts w:cstheme="minorHAnsi"/>
                <w:sz w:val="16"/>
                <w:szCs w:val="16"/>
                <w:u w:val="single"/>
              </w:rPr>
              <w:t>Mannucci</w:t>
            </w:r>
            <w:proofErr w:type="spellEnd"/>
            <w:r w:rsidRPr="0012032C">
              <w:rPr>
                <w:rFonts w:cstheme="minorHAnsi"/>
                <w:sz w:val="16"/>
                <w:szCs w:val="16"/>
                <w:u w:val="single"/>
              </w:rPr>
              <w:t xml:space="preserve"> 2019</w:t>
            </w:r>
            <w:r>
              <w:rPr>
                <w:rFonts w:cstheme="minorHAnsi"/>
                <w:sz w:val="16"/>
                <w:szCs w:val="16"/>
              </w:rPr>
              <w:t xml:space="preserve"> study </w:t>
            </w:r>
            <w:r w:rsidRPr="00121289">
              <w:rPr>
                <w:rFonts w:cstheme="minorHAnsi"/>
                <w:sz w:val="16"/>
                <w:szCs w:val="16"/>
              </w:rPr>
              <w:t xml:space="preserve">data, based on </w:t>
            </w:r>
            <w:proofErr w:type="gramStart"/>
            <w:r w:rsidRPr="00121289">
              <w:rPr>
                <w:rFonts w:cstheme="minorHAnsi"/>
                <w:sz w:val="16"/>
                <w:szCs w:val="16"/>
              </w:rPr>
              <w:t>a large number of</w:t>
            </w:r>
            <w:proofErr w:type="gramEnd"/>
            <w:r w:rsidRPr="00121289">
              <w:rPr>
                <w:rFonts w:cstheme="minorHAnsi"/>
                <w:sz w:val="16"/>
                <w:szCs w:val="16"/>
              </w:rPr>
              <w:t xml:space="preserve"> pregnancies, confirm the safety use of </w:t>
            </w:r>
            <w:r w:rsidR="0012032C">
              <w:rPr>
                <w:rFonts w:cstheme="minorHAnsi"/>
                <w:sz w:val="16"/>
                <w:szCs w:val="16"/>
              </w:rPr>
              <w:t>Fosfomycin</w:t>
            </w:r>
            <w:r>
              <w:rPr>
                <w:rFonts w:cstheme="minorHAnsi"/>
                <w:sz w:val="16"/>
                <w:szCs w:val="16"/>
              </w:rPr>
              <w:t xml:space="preserve"> </w:t>
            </w:r>
            <w:r w:rsidRPr="00121289">
              <w:rPr>
                <w:rFonts w:cstheme="minorHAnsi"/>
                <w:sz w:val="16"/>
                <w:szCs w:val="16"/>
              </w:rPr>
              <w:t>use in pregnancy</w:t>
            </w:r>
          </w:p>
          <w:p w14:paraId="573B6AD0" w14:textId="478FC45E" w:rsidR="00C54779" w:rsidRPr="000F4A21" w:rsidRDefault="00C54779" w:rsidP="0074677A">
            <w:pPr>
              <w:spacing w:before="40"/>
              <w:rPr>
                <w:rFonts w:cstheme="minorHAnsi"/>
                <w:sz w:val="16"/>
                <w:szCs w:val="16"/>
              </w:rPr>
            </w:pPr>
            <w:r w:rsidRPr="0012032C">
              <w:rPr>
                <w:rFonts w:cstheme="minorHAnsi"/>
                <w:sz w:val="16"/>
                <w:szCs w:val="16"/>
                <w:u w:val="single"/>
              </w:rPr>
              <w:t>Hansen 2016</w:t>
            </w:r>
            <w:r>
              <w:rPr>
                <w:rFonts w:cstheme="minorHAnsi"/>
                <w:sz w:val="16"/>
                <w:szCs w:val="16"/>
              </w:rPr>
              <w:t xml:space="preserve"> </w:t>
            </w:r>
            <w:r w:rsidR="0074677A">
              <w:rPr>
                <w:rFonts w:cstheme="minorHAnsi"/>
                <w:sz w:val="16"/>
                <w:szCs w:val="16"/>
              </w:rPr>
              <w:t>f</w:t>
            </w:r>
            <w:r w:rsidR="0074677A" w:rsidRPr="0074677A">
              <w:rPr>
                <w:rFonts w:cstheme="minorHAnsi"/>
                <w:sz w:val="16"/>
                <w:szCs w:val="16"/>
              </w:rPr>
              <w:t xml:space="preserve">irst trimester </w:t>
            </w:r>
            <w:r w:rsidR="00AE199C" w:rsidRPr="00AE199C">
              <w:rPr>
                <w:rFonts w:cstheme="minorHAnsi"/>
                <w:sz w:val="16"/>
                <w:szCs w:val="16"/>
              </w:rPr>
              <w:t>trimethoprim-sulfonamide (TMPSUL)</w:t>
            </w:r>
            <w:r w:rsidR="0074677A" w:rsidRPr="0074677A">
              <w:rPr>
                <w:rFonts w:cstheme="minorHAnsi"/>
                <w:sz w:val="16"/>
                <w:szCs w:val="16"/>
              </w:rPr>
              <w:t xml:space="preserve"> exposure was not associated with a higher risk of the</w:t>
            </w:r>
            <w:r w:rsidR="0074677A">
              <w:rPr>
                <w:rFonts w:cstheme="minorHAnsi"/>
                <w:sz w:val="16"/>
                <w:szCs w:val="16"/>
              </w:rPr>
              <w:t xml:space="preserve"> </w:t>
            </w:r>
            <w:r w:rsidR="0074677A" w:rsidRPr="0074677A">
              <w:rPr>
                <w:rFonts w:cstheme="minorHAnsi"/>
                <w:sz w:val="16"/>
                <w:szCs w:val="16"/>
              </w:rPr>
              <w:t xml:space="preserve">congenital anomalies studied, compared to exposure to </w:t>
            </w:r>
            <w:r w:rsidR="0012032C" w:rsidRPr="0074677A">
              <w:rPr>
                <w:rFonts w:cstheme="minorHAnsi"/>
                <w:sz w:val="16"/>
                <w:szCs w:val="16"/>
              </w:rPr>
              <w:t>penicillin’s</w:t>
            </w:r>
            <w:r w:rsidR="0074677A" w:rsidRPr="0074677A">
              <w:rPr>
                <w:rFonts w:cstheme="minorHAnsi"/>
                <w:sz w:val="16"/>
                <w:szCs w:val="16"/>
              </w:rPr>
              <w:t xml:space="preserve"> and/or cephalosporins, or no</w:t>
            </w:r>
            <w:r w:rsidR="0074677A">
              <w:rPr>
                <w:rFonts w:cstheme="minorHAnsi"/>
                <w:sz w:val="16"/>
                <w:szCs w:val="16"/>
              </w:rPr>
              <w:t xml:space="preserve"> </w:t>
            </w:r>
            <w:r w:rsidR="0074677A" w:rsidRPr="0074677A">
              <w:rPr>
                <w:rFonts w:cstheme="minorHAnsi"/>
                <w:sz w:val="16"/>
                <w:szCs w:val="16"/>
              </w:rPr>
              <w:t xml:space="preserve">exposure to </w:t>
            </w:r>
            <w:r w:rsidR="0012032C" w:rsidRPr="0074677A">
              <w:rPr>
                <w:rFonts w:cstheme="minorHAnsi"/>
                <w:sz w:val="16"/>
                <w:szCs w:val="16"/>
              </w:rPr>
              <w:t>antibacterial</w:t>
            </w:r>
          </w:p>
          <w:p w14:paraId="4236A700" w14:textId="0FB43986" w:rsidR="00DF343A" w:rsidRPr="00DF343A" w:rsidRDefault="00DF343A" w:rsidP="00DF343A">
            <w:pPr>
              <w:spacing w:before="40"/>
              <w:rPr>
                <w:rFonts w:cstheme="minorHAnsi"/>
                <w:sz w:val="16"/>
                <w:szCs w:val="16"/>
              </w:rPr>
            </w:pPr>
            <w:r w:rsidRPr="0012032C">
              <w:rPr>
                <w:rFonts w:cstheme="minorHAnsi"/>
                <w:sz w:val="16"/>
                <w:szCs w:val="16"/>
                <w:u w:val="single"/>
              </w:rPr>
              <w:t>Goldberg 2013</w:t>
            </w:r>
            <w:r>
              <w:rPr>
                <w:rFonts w:cstheme="minorHAnsi"/>
                <w:sz w:val="16"/>
                <w:szCs w:val="16"/>
              </w:rPr>
              <w:t xml:space="preserve"> f</w:t>
            </w:r>
            <w:r w:rsidRPr="00C451ED">
              <w:rPr>
                <w:rFonts w:cstheme="minorHAnsi"/>
                <w:sz w:val="16"/>
                <w:szCs w:val="16"/>
              </w:rPr>
              <w:t>irst trimester exposure to nitrofurantoin was not</w:t>
            </w:r>
            <w:r>
              <w:rPr>
                <w:rFonts w:cstheme="minorHAnsi"/>
                <w:sz w:val="16"/>
                <w:szCs w:val="16"/>
              </w:rPr>
              <w:t xml:space="preserve"> </w:t>
            </w:r>
            <w:r w:rsidRPr="00C451ED">
              <w:rPr>
                <w:rFonts w:cstheme="minorHAnsi"/>
                <w:sz w:val="16"/>
                <w:szCs w:val="16"/>
              </w:rPr>
              <w:t>associated with increased risk for total major congenital malformations or with specific malformations</w:t>
            </w:r>
          </w:p>
          <w:p w14:paraId="2F43702C" w14:textId="49299473" w:rsidR="00DF343A" w:rsidRDefault="00DF343A" w:rsidP="00B20F48">
            <w:pPr>
              <w:spacing w:before="40"/>
              <w:rPr>
                <w:sz w:val="16"/>
                <w:szCs w:val="16"/>
              </w:rPr>
            </w:pPr>
            <w:r w:rsidRPr="0012032C">
              <w:rPr>
                <w:sz w:val="16"/>
                <w:szCs w:val="16"/>
                <w:u w:val="single"/>
              </w:rPr>
              <w:t>Crider 2009</w:t>
            </w:r>
            <w:r w:rsidR="00B20F48">
              <w:rPr>
                <w:sz w:val="16"/>
                <w:szCs w:val="16"/>
              </w:rPr>
              <w:t xml:space="preserve"> </w:t>
            </w:r>
            <w:r w:rsidR="0012032C" w:rsidRPr="00B20F48">
              <w:rPr>
                <w:sz w:val="16"/>
                <w:szCs w:val="16"/>
              </w:rPr>
              <w:t>penicillin’s</w:t>
            </w:r>
            <w:r w:rsidR="00B20F48" w:rsidRPr="00B20F48">
              <w:rPr>
                <w:sz w:val="16"/>
                <w:szCs w:val="16"/>
              </w:rPr>
              <w:t xml:space="preserve">, </w:t>
            </w:r>
            <w:r w:rsidR="0012032C" w:rsidRPr="00B20F48">
              <w:rPr>
                <w:sz w:val="16"/>
                <w:szCs w:val="16"/>
              </w:rPr>
              <w:t>erythromycins, and</w:t>
            </w:r>
            <w:r w:rsidR="00B20F48" w:rsidRPr="00B20F48">
              <w:rPr>
                <w:sz w:val="16"/>
                <w:szCs w:val="16"/>
              </w:rPr>
              <w:t xml:space="preserve"> cephalosporins, although used commonly by</w:t>
            </w:r>
            <w:r w:rsidR="00B20F48">
              <w:rPr>
                <w:sz w:val="16"/>
                <w:szCs w:val="16"/>
              </w:rPr>
              <w:t xml:space="preserve"> </w:t>
            </w:r>
            <w:r w:rsidR="00B20F48" w:rsidRPr="00B20F48">
              <w:rPr>
                <w:sz w:val="16"/>
                <w:szCs w:val="16"/>
              </w:rPr>
              <w:t>pregnant women, were not associated with many birth</w:t>
            </w:r>
            <w:r w:rsidR="00B20F48">
              <w:rPr>
                <w:sz w:val="16"/>
                <w:szCs w:val="16"/>
              </w:rPr>
              <w:t xml:space="preserve"> </w:t>
            </w:r>
            <w:r w:rsidR="00B20F48" w:rsidRPr="00B20F48">
              <w:rPr>
                <w:sz w:val="16"/>
                <w:szCs w:val="16"/>
              </w:rPr>
              <w:t>defects</w:t>
            </w:r>
            <w:r w:rsidR="00B20F48">
              <w:rPr>
                <w:sz w:val="16"/>
                <w:szCs w:val="16"/>
              </w:rPr>
              <w:t>; s</w:t>
            </w:r>
            <w:r w:rsidR="00B20F48" w:rsidRPr="00B20F48">
              <w:rPr>
                <w:sz w:val="16"/>
                <w:szCs w:val="16"/>
              </w:rPr>
              <w:t xml:space="preserve">ulfonamides and </w:t>
            </w:r>
            <w:r w:rsidR="0012032C" w:rsidRPr="00B20F48">
              <w:rPr>
                <w:sz w:val="16"/>
                <w:szCs w:val="16"/>
              </w:rPr>
              <w:t>nitrofurantoin’s</w:t>
            </w:r>
            <w:r w:rsidR="00B20F48" w:rsidRPr="00B20F48">
              <w:rPr>
                <w:sz w:val="16"/>
                <w:szCs w:val="16"/>
              </w:rPr>
              <w:t xml:space="preserve"> were associated</w:t>
            </w:r>
            <w:r w:rsidR="00B20F48">
              <w:rPr>
                <w:sz w:val="16"/>
                <w:szCs w:val="16"/>
              </w:rPr>
              <w:t xml:space="preserve"> </w:t>
            </w:r>
            <w:r w:rsidR="00B20F48" w:rsidRPr="00B20F48">
              <w:rPr>
                <w:sz w:val="16"/>
                <w:szCs w:val="16"/>
              </w:rPr>
              <w:t>with several birth defects, indicating a need for additional</w:t>
            </w:r>
            <w:r w:rsidR="00B20F48">
              <w:rPr>
                <w:sz w:val="16"/>
                <w:szCs w:val="16"/>
              </w:rPr>
              <w:t xml:space="preserve"> </w:t>
            </w:r>
            <w:r w:rsidR="00B20F48" w:rsidRPr="00B20F48">
              <w:rPr>
                <w:sz w:val="16"/>
                <w:szCs w:val="16"/>
              </w:rPr>
              <w:t>scrutiny</w:t>
            </w:r>
          </w:p>
          <w:p w14:paraId="3EDAC402" w14:textId="3E98B15C" w:rsidR="00887F45" w:rsidRDefault="00887F45" w:rsidP="00B20F48">
            <w:pPr>
              <w:spacing w:before="40"/>
              <w:rPr>
                <w:sz w:val="16"/>
                <w:szCs w:val="16"/>
              </w:rPr>
            </w:pPr>
            <w:proofErr w:type="spellStart"/>
            <w:r w:rsidRPr="0012032C">
              <w:rPr>
                <w:sz w:val="16"/>
                <w:szCs w:val="16"/>
                <w:u w:val="single"/>
              </w:rPr>
              <w:t>Naber</w:t>
            </w:r>
            <w:proofErr w:type="spellEnd"/>
            <w:r w:rsidRPr="0012032C">
              <w:rPr>
                <w:sz w:val="16"/>
                <w:szCs w:val="16"/>
                <w:u w:val="single"/>
              </w:rPr>
              <w:t xml:space="preserve"> 2008</w:t>
            </w:r>
            <w:r>
              <w:rPr>
                <w:sz w:val="16"/>
                <w:szCs w:val="16"/>
              </w:rPr>
              <w:t xml:space="preserve"> d</w:t>
            </w:r>
            <w:r w:rsidRPr="00887F45">
              <w:rPr>
                <w:sz w:val="16"/>
                <w:szCs w:val="16"/>
              </w:rPr>
              <w:t xml:space="preserve">espite wide cross-country variability of bacterial susceptibility/resistance rates to the other antimicrobials tested, </w:t>
            </w:r>
            <w:r w:rsidR="0012032C" w:rsidRPr="00887F45">
              <w:rPr>
                <w:sz w:val="16"/>
                <w:szCs w:val="16"/>
              </w:rPr>
              <w:t>Fosfomycin</w:t>
            </w:r>
            <w:r w:rsidRPr="00887F45">
              <w:rPr>
                <w:sz w:val="16"/>
                <w:szCs w:val="16"/>
              </w:rPr>
              <w:t xml:space="preserve">, mecillinam, and nitrofurantoin have preserved </w:t>
            </w:r>
            <w:proofErr w:type="spellStart"/>
            <w:r w:rsidRPr="00887F45">
              <w:rPr>
                <w:sz w:val="16"/>
                <w:szCs w:val="16"/>
              </w:rPr>
              <w:t>their</w:t>
            </w:r>
            <w:proofErr w:type="spellEnd"/>
            <w:r w:rsidRPr="00887F45">
              <w:rPr>
                <w:sz w:val="16"/>
                <w:szCs w:val="16"/>
              </w:rPr>
              <w:t xml:space="preserve"> in vitro activity in all countries investigated</w:t>
            </w:r>
          </w:p>
          <w:p w14:paraId="5D4289B7" w14:textId="7D854FBF" w:rsidR="000E0E15" w:rsidRDefault="000E0E15" w:rsidP="000E0E15">
            <w:pPr>
              <w:spacing w:before="40" w:after="0"/>
              <w:rPr>
                <w:sz w:val="16"/>
                <w:szCs w:val="16"/>
              </w:rPr>
            </w:pPr>
            <w:proofErr w:type="spellStart"/>
            <w:r w:rsidRPr="0012032C">
              <w:rPr>
                <w:sz w:val="16"/>
                <w:szCs w:val="16"/>
                <w:u w:val="single"/>
              </w:rPr>
              <w:t>Zhanel</w:t>
            </w:r>
            <w:proofErr w:type="spellEnd"/>
            <w:r w:rsidRPr="0012032C">
              <w:rPr>
                <w:sz w:val="16"/>
                <w:szCs w:val="16"/>
                <w:u w:val="single"/>
              </w:rPr>
              <w:t xml:space="preserve"> 2006</w:t>
            </w:r>
            <w:r>
              <w:rPr>
                <w:sz w:val="16"/>
                <w:szCs w:val="16"/>
              </w:rPr>
              <w:t xml:space="preserve"> </w:t>
            </w:r>
            <w:r w:rsidRPr="000E0E15">
              <w:rPr>
                <w:sz w:val="16"/>
                <w:szCs w:val="16"/>
              </w:rPr>
              <w:t>study reports higher rates of antibiotic resistance in US versus Canadian outpatient urinary isolates of E. coli and demonstrates the continuing evolution of resistance to antimicrobial agents</w:t>
            </w:r>
          </w:p>
          <w:p w14:paraId="6B07C0B1" w14:textId="77777777" w:rsidR="000E0E15" w:rsidRPr="00755A37" w:rsidRDefault="000E0E15" w:rsidP="000E0E15">
            <w:pPr>
              <w:spacing w:before="40" w:after="0"/>
              <w:rPr>
                <w:sz w:val="16"/>
                <w:szCs w:val="16"/>
              </w:rPr>
            </w:pPr>
          </w:p>
          <w:p w14:paraId="00BE756E" w14:textId="066711F1" w:rsidR="004921EC" w:rsidRPr="00D15ACA" w:rsidRDefault="00A90D34" w:rsidP="00837DC4">
            <w:pPr>
              <w:spacing w:before="40"/>
              <w:rPr>
                <w:rFonts w:cstheme="minorHAnsi"/>
                <w:sz w:val="16"/>
                <w:szCs w:val="16"/>
              </w:rPr>
            </w:pPr>
            <w:r w:rsidRPr="0012032C">
              <w:rPr>
                <w:rFonts w:cstheme="minorHAnsi"/>
                <w:sz w:val="16"/>
                <w:szCs w:val="16"/>
                <w:u w:val="single"/>
              </w:rPr>
              <w:t>Aslan 2003</w:t>
            </w:r>
            <w:r>
              <w:rPr>
                <w:rFonts w:cstheme="minorHAnsi"/>
                <w:sz w:val="16"/>
                <w:szCs w:val="16"/>
              </w:rPr>
              <w:t xml:space="preserve"> v</w:t>
            </w:r>
            <w:r w:rsidRPr="00A90D34">
              <w:rPr>
                <w:rFonts w:cstheme="minorHAnsi"/>
                <w:sz w:val="16"/>
                <w:szCs w:val="16"/>
              </w:rPr>
              <w:t>oiding symptoms during pregnancy are highly prevalent</w:t>
            </w:r>
            <w:r>
              <w:rPr>
                <w:rFonts w:cstheme="minorHAnsi"/>
                <w:sz w:val="16"/>
                <w:szCs w:val="16"/>
              </w:rPr>
              <w:t>; t</w:t>
            </w:r>
            <w:r w:rsidRPr="00A90D34">
              <w:rPr>
                <w:rFonts w:cstheme="minorHAnsi"/>
                <w:sz w:val="16"/>
                <w:szCs w:val="16"/>
              </w:rPr>
              <w:t>hese symptoms worsen as the pregnancy p</w:t>
            </w:r>
            <w:r>
              <w:rPr>
                <w:rFonts w:cstheme="minorHAnsi"/>
                <w:sz w:val="16"/>
                <w:szCs w:val="16"/>
              </w:rPr>
              <w:t>rogresses</w:t>
            </w:r>
          </w:p>
        </w:tc>
        <w:tc>
          <w:tcPr>
            <w:tcW w:w="4799" w:type="dxa"/>
            <w:tcBorders>
              <w:top w:val="nil"/>
              <w:left w:val="nil"/>
              <w:bottom w:val="single" w:sz="4" w:space="0" w:color="D9D9D9" w:themeColor="background1" w:themeShade="D9"/>
              <w:right w:val="single" w:sz="4" w:space="0" w:color="D9D9D9" w:themeColor="background1" w:themeShade="D9"/>
            </w:tcBorders>
          </w:tcPr>
          <w:p w14:paraId="1C9373AA" w14:textId="63F94AB6" w:rsidR="00030ECC" w:rsidRDefault="00030ECC" w:rsidP="00030ECC">
            <w:pPr>
              <w:spacing w:before="40"/>
              <w:rPr>
                <w:rFonts w:cstheme="minorHAnsi"/>
                <w:sz w:val="16"/>
                <w:szCs w:val="16"/>
              </w:rPr>
            </w:pPr>
            <w:r w:rsidRPr="0012032C">
              <w:rPr>
                <w:rFonts w:cstheme="minorHAnsi"/>
                <w:sz w:val="16"/>
                <w:szCs w:val="16"/>
                <w:u w:val="single"/>
              </w:rPr>
              <w:t>Chu 2018</w:t>
            </w:r>
            <w:r>
              <w:rPr>
                <w:rFonts w:cstheme="minorHAnsi"/>
                <w:sz w:val="16"/>
                <w:szCs w:val="16"/>
              </w:rPr>
              <w:t xml:space="preserve"> i</w:t>
            </w:r>
            <w:r w:rsidRPr="00AE583F">
              <w:rPr>
                <w:rFonts w:cstheme="minorHAnsi"/>
                <w:sz w:val="16"/>
                <w:szCs w:val="16"/>
              </w:rPr>
              <w:t>nterpreting the probability of urinary tract infection</w:t>
            </w:r>
            <w:r>
              <w:rPr>
                <w:rFonts w:cstheme="minorHAnsi"/>
                <w:sz w:val="16"/>
                <w:szCs w:val="16"/>
              </w:rPr>
              <w:t xml:space="preserve"> </w:t>
            </w:r>
            <w:r w:rsidRPr="00AE583F">
              <w:rPr>
                <w:rFonts w:cstheme="minorHAnsi"/>
                <w:sz w:val="16"/>
                <w:szCs w:val="16"/>
              </w:rPr>
              <w:t>based on symptoms and testing allows for greater accuracy in diagnosis of urinary tract</w:t>
            </w:r>
            <w:r>
              <w:rPr>
                <w:rFonts w:cstheme="minorHAnsi"/>
                <w:sz w:val="16"/>
                <w:szCs w:val="16"/>
              </w:rPr>
              <w:t xml:space="preserve"> </w:t>
            </w:r>
            <w:r w:rsidRPr="00AE583F">
              <w:rPr>
                <w:rFonts w:cstheme="minorHAnsi"/>
                <w:sz w:val="16"/>
                <w:szCs w:val="16"/>
              </w:rPr>
              <w:t>infection, decreasing overtreatment and encouraging antimicrobial stewardship</w:t>
            </w:r>
          </w:p>
          <w:p w14:paraId="3CEA02E8" w14:textId="2FB5CEEA" w:rsidR="00DF343A" w:rsidRDefault="00DF343A" w:rsidP="00DF343A">
            <w:pPr>
              <w:spacing w:before="40"/>
              <w:rPr>
                <w:rFonts w:cstheme="minorHAnsi"/>
                <w:sz w:val="16"/>
                <w:szCs w:val="16"/>
              </w:rPr>
            </w:pPr>
            <w:r w:rsidRPr="0012032C">
              <w:rPr>
                <w:rFonts w:cstheme="minorHAnsi"/>
                <w:sz w:val="16"/>
                <w:szCs w:val="16"/>
                <w:u w:val="single"/>
              </w:rPr>
              <w:t>Glaser 2015</w:t>
            </w:r>
            <w:r>
              <w:rPr>
                <w:rFonts w:cstheme="minorHAnsi"/>
                <w:sz w:val="16"/>
                <w:szCs w:val="16"/>
              </w:rPr>
              <w:t xml:space="preserve"> a</w:t>
            </w:r>
            <w:r w:rsidRPr="00C451ED">
              <w:rPr>
                <w:rFonts w:cstheme="minorHAnsi"/>
                <w:sz w:val="16"/>
                <w:szCs w:val="16"/>
              </w:rPr>
              <w:t>ntimicrobial choice in pregnancy should reflect safety for both the mother and the fetus</w:t>
            </w:r>
            <w:r>
              <w:rPr>
                <w:rFonts w:cstheme="minorHAnsi"/>
                <w:sz w:val="16"/>
                <w:szCs w:val="16"/>
              </w:rPr>
              <w:t>; p</w:t>
            </w:r>
            <w:r w:rsidRPr="00C451ED">
              <w:rPr>
                <w:rFonts w:cstheme="minorHAnsi"/>
                <w:sz w:val="16"/>
                <w:szCs w:val="16"/>
              </w:rPr>
              <w:t>regnant patients with cystitis should be treated for 3 to 7 day</w:t>
            </w:r>
            <w:r>
              <w:rPr>
                <w:rFonts w:cstheme="minorHAnsi"/>
                <w:sz w:val="16"/>
                <w:szCs w:val="16"/>
              </w:rPr>
              <w:t>s; t</w:t>
            </w:r>
            <w:r w:rsidRPr="00C451ED">
              <w:rPr>
                <w:rFonts w:cstheme="minorHAnsi"/>
                <w:sz w:val="16"/>
                <w:szCs w:val="16"/>
              </w:rPr>
              <w:t>hese patients should be followed</w:t>
            </w:r>
            <w:r>
              <w:rPr>
                <w:rFonts w:cstheme="minorHAnsi"/>
                <w:sz w:val="16"/>
                <w:szCs w:val="16"/>
              </w:rPr>
              <w:t xml:space="preserve"> </w:t>
            </w:r>
            <w:r w:rsidRPr="00C451ED">
              <w:rPr>
                <w:rFonts w:cstheme="minorHAnsi"/>
                <w:sz w:val="16"/>
                <w:szCs w:val="16"/>
              </w:rPr>
              <w:t>with serial cultures throughout pregnancy, and prophylactic antimicrobial therapy should be</w:t>
            </w:r>
            <w:r>
              <w:rPr>
                <w:rFonts w:cstheme="minorHAnsi"/>
                <w:sz w:val="16"/>
                <w:szCs w:val="16"/>
              </w:rPr>
              <w:t xml:space="preserve"> </w:t>
            </w:r>
            <w:r w:rsidRPr="00C451ED">
              <w:rPr>
                <w:rFonts w:cstheme="minorHAnsi"/>
                <w:sz w:val="16"/>
                <w:szCs w:val="16"/>
              </w:rPr>
              <w:t>considered</w:t>
            </w:r>
            <w:r>
              <w:rPr>
                <w:rFonts w:cstheme="minorHAnsi"/>
                <w:sz w:val="16"/>
                <w:szCs w:val="16"/>
              </w:rPr>
              <w:t>; p</w:t>
            </w:r>
            <w:r w:rsidRPr="001C28D6">
              <w:rPr>
                <w:rFonts w:cstheme="minorHAnsi"/>
                <w:sz w:val="16"/>
                <w:szCs w:val="16"/>
              </w:rPr>
              <w:t>regnant patients with pyelonephritis should initially be admitted for intravenous antimicrobial therapy</w:t>
            </w:r>
            <w:r>
              <w:rPr>
                <w:rFonts w:cstheme="minorHAnsi"/>
                <w:sz w:val="16"/>
                <w:szCs w:val="16"/>
              </w:rPr>
              <w:t xml:space="preserve"> </w:t>
            </w:r>
            <w:r w:rsidRPr="001C28D6">
              <w:rPr>
                <w:rFonts w:cstheme="minorHAnsi"/>
                <w:sz w:val="16"/>
                <w:szCs w:val="16"/>
              </w:rPr>
              <w:t>and receive a total of 7 to 14 days of culture-directed treatment</w:t>
            </w:r>
            <w:r>
              <w:rPr>
                <w:rFonts w:cstheme="minorHAnsi"/>
                <w:sz w:val="16"/>
                <w:szCs w:val="16"/>
              </w:rPr>
              <w:t>; t</w:t>
            </w:r>
            <w:r w:rsidRPr="001C28D6">
              <w:rPr>
                <w:rFonts w:cstheme="minorHAnsi"/>
                <w:sz w:val="16"/>
                <w:szCs w:val="16"/>
              </w:rPr>
              <w:t>hese patients should be followed</w:t>
            </w:r>
            <w:r>
              <w:rPr>
                <w:rFonts w:cstheme="minorHAnsi"/>
                <w:sz w:val="16"/>
                <w:szCs w:val="16"/>
              </w:rPr>
              <w:t xml:space="preserve"> </w:t>
            </w:r>
            <w:r w:rsidRPr="001C28D6">
              <w:rPr>
                <w:rFonts w:cstheme="minorHAnsi"/>
                <w:sz w:val="16"/>
                <w:szCs w:val="16"/>
              </w:rPr>
              <w:t>with serial cultures throughout pregnancy, and prophylactic antimicrobial therapy should be</w:t>
            </w:r>
            <w:r>
              <w:rPr>
                <w:rFonts w:cstheme="minorHAnsi"/>
                <w:sz w:val="16"/>
                <w:szCs w:val="16"/>
              </w:rPr>
              <w:t xml:space="preserve"> </w:t>
            </w:r>
            <w:r w:rsidRPr="001C28D6">
              <w:rPr>
                <w:rFonts w:cstheme="minorHAnsi"/>
                <w:sz w:val="16"/>
                <w:szCs w:val="16"/>
              </w:rPr>
              <w:t>strongly considered</w:t>
            </w:r>
          </w:p>
          <w:p w14:paraId="1402BDF1" w14:textId="79A490CF" w:rsidR="00C407E6" w:rsidRDefault="00C407E6" w:rsidP="00DF343A">
            <w:pPr>
              <w:spacing w:before="40"/>
              <w:rPr>
                <w:rFonts w:cstheme="minorHAnsi"/>
                <w:sz w:val="16"/>
                <w:szCs w:val="16"/>
              </w:rPr>
            </w:pPr>
            <w:r w:rsidRPr="0012032C">
              <w:rPr>
                <w:rFonts w:cstheme="minorHAnsi"/>
                <w:sz w:val="16"/>
                <w:szCs w:val="16"/>
                <w:u w:val="single"/>
              </w:rPr>
              <w:t>McCormick 2008</w:t>
            </w:r>
            <w:r>
              <w:rPr>
                <w:rFonts w:cstheme="minorHAnsi"/>
                <w:sz w:val="16"/>
                <w:szCs w:val="16"/>
              </w:rPr>
              <w:t xml:space="preserve"> a</w:t>
            </w:r>
            <w:r w:rsidRPr="008A1074">
              <w:rPr>
                <w:rFonts w:cstheme="minorHAnsi"/>
                <w:sz w:val="16"/>
                <w:szCs w:val="16"/>
              </w:rPr>
              <w:t>cute cystitis and pyelonephritis</w:t>
            </w:r>
            <w:r>
              <w:rPr>
                <w:rFonts w:cstheme="minorHAnsi"/>
                <w:sz w:val="16"/>
                <w:szCs w:val="16"/>
              </w:rPr>
              <w:t xml:space="preserve"> </w:t>
            </w:r>
            <w:r w:rsidRPr="008A1074">
              <w:rPr>
                <w:rFonts w:cstheme="minorHAnsi"/>
                <w:sz w:val="16"/>
                <w:szCs w:val="16"/>
              </w:rPr>
              <w:t>demand full assessment and treatment,</w:t>
            </w:r>
            <w:r>
              <w:rPr>
                <w:rFonts w:cstheme="minorHAnsi"/>
                <w:sz w:val="16"/>
                <w:szCs w:val="16"/>
              </w:rPr>
              <w:t xml:space="preserve"> </w:t>
            </w:r>
            <w:r w:rsidRPr="008A1074">
              <w:rPr>
                <w:rFonts w:cstheme="minorHAnsi"/>
                <w:sz w:val="16"/>
                <w:szCs w:val="16"/>
              </w:rPr>
              <w:t>with early</w:t>
            </w:r>
            <w:r>
              <w:rPr>
                <w:rFonts w:cstheme="minorHAnsi"/>
                <w:sz w:val="16"/>
                <w:szCs w:val="16"/>
              </w:rPr>
              <w:t xml:space="preserve"> </w:t>
            </w:r>
            <w:r w:rsidRPr="008A1074">
              <w:rPr>
                <w:rFonts w:cstheme="minorHAnsi"/>
                <w:sz w:val="16"/>
                <w:szCs w:val="16"/>
              </w:rPr>
              <w:t>involvement of other specialists in severe or</w:t>
            </w:r>
            <w:r>
              <w:rPr>
                <w:rFonts w:cstheme="minorHAnsi"/>
                <w:sz w:val="16"/>
                <w:szCs w:val="16"/>
              </w:rPr>
              <w:t xml:space="preserve"> </w:t>
            </w:r>
            <w:r w:rsidRPr="008A1074">
              <w:rPr>
                <w:rFonts w:cstheme="minorHAnsi"/>
                <w:sz w:val="16"/>
                <w:szCs w:val="16"/>
              </w:rPr>
              <w:t>systemic infecti</w:t>
            </w:r>
            <w:r>
              <w:rPr>
                <w:rFonts w:cstheme="minorHAnsi"/>
                <w:sz w:val="16"/>
                <w:szCs w:val="16"/>
              </w:rPr>
              <w:t>on; a</w:t>
            </w:r>
            <w:r w:rsidRPr="008A1074">
              <w:rPr>
                <w:rFonts w:cstheme="minorHAnsi"/>
                <w:sz w:val="16"/>
                <w:szCs w:val="16"/>
              </w:rPr>
              <w:t>ll women should be reviewed</w:t>
            </w:r>
            <w:r>
              <w:rPr>
                <w:rFonts w:cstheme="minorHAnsi"/>
                <w:sz w:val="16"/>
                <w:szCs w:val="16"/>
              </w:rPr>
              <w:t xml:space="preserve"> </w:t>
            </w:r>
            <w:r w:rsidRPr="008A1074">
              <w:rPr>
                <w:rFonts w:cstheme="minorHAnsi"/>
                <w:sz w:val="16"/>
                <w:szCs w:val="16"/>
              </w:rPr>
              <w:t>to confirm post-treatment urine sterility</w:t>
            </w:r>
            <w:r>
              <w:rPr>
                <w:rFonts w:cstheme="minorHAnsi"/>
                <w:sz w:val="16"/>
                <w:szCs w:val="16"/>
              </w:rPr>
              <w:t>; e</w:t>
            </w:r>
            <w:r w:rsidRPr="008A1074">
              <w:rPr>
                <w:rFonts w:cstheme="minorHAnsi"/>
                <w:sz w:val="16"/>
                <w:szCs w:val="16"/>
              </w:rPr>
              <w:t>mpirical antimicrobial treatments will</w:t>
            </w:r>
            <w:r>
              <w:rPr>
                <w:rFonts w:cstheme="minorHAnsi"/>
                <w:sz w:val="16"/>
                <w:szCs w:val="16"/>
              </w:rPr>
              <w:t xml:space="preserve"> </w:t>
            </w:r>
            <w:r w:rsidRPr="008A1074">
              <w:rPr>
                <w:rFonts w:cstheme="minorHAnsi"/>
                <w:sz w:val="16"/>
                <w:szCs w:val="16"/>
              </w:rPr>
              <w:t>occasionally be required but any decision to treat</w:t>
            </w:r>
            <w:r>
              <w:rPr>
                <w:rFonts w:cstheme="minorHAnsi"/>
                <w:sz w:val="16"/>
                <w:szCs w:val="16"/>
              </w:rPr>
              <w:t xml:space="preserve"> </w:t>
            </w:r>
            <w:r w:rsidRPr="008A1074">
              <w:rPr>
                <w:rFonts w:cstheme="minorHAnsi"/>
                <w:sz w:val="16"/>
                <w:szCs w:val="16"/>
              </w:rPr>
              <w:t>should be re-evaluated once culture and sensitivity</w:t>
            </w:r>
            <w:r>
              <w:rPr>
                <w:rFonts w:cstheme="minorHAnsi"/>
                <w:sz w:val="16"/>
                <w:szCs w:val="16"/>
              </w:rPr>
              <w:t xml:space="preserve"> </w:t>
            </w:r>
            <w:r w:rsidRPr="008A1074">
              <w:rPr>
                <w:rFonts w:cstheme="minorHAnsi"/>
                <w:sz w:val="16"/>
                <w:szCs w:val="16"/>
              </w:rPr>
              <w:t xml:space="preserve">reports are </w:t>
            </w:r>
            <w:r>
              <w:rPr>
                <w:rFonts w:cstheme="minorHAnsi"/>
                <w:sz w:val="16"/>
                <w:szCs w:val="16"/>
              </w:rPr>
              <w:t>available; w</w:t>
            </w:r>
            <w:r w:rsidRPr="008A1074">
              <w:rPr>
                <w:rFonts w:cstheme="minorHAnsi"/>
                <w:sz w:val="16"/>
                <w:szCs w:val="16"/>
              </w:rPr>
              <w:t>hen choosing an</w:t>
            </w:r>
            <w:r>
              <w:rPr>
                <w:rFonts w:cstheme="minorHAnsi"/>
                <w:sz w:val="16"/>
                <w:szCs w:val="16"/>
              </w:rPr>
              <w:t xml:space="preserve"> </w:t>
            </w:r>
            <w:r w:rsidRPr="008A1074">
              <w:rPr>
                <w:rFonts w:cstheme="minorHAnsi"/>
                <w:sz w:val="16"/>
                <w:szCs w:val="16"/>
              </w:rPr>
              <w:t>antimicrobial, the pharmacokinetics and</w:t>
            </w:r>
            <w:r>
              <w:rPr>
                <w:rFonts w:cstheme="minorHAnsi"/>
                <w:sz w:val="16"/>
                <w:szCs w:val="16"/>
              </w:rPr>
              <w:t xml:space="preserve"> </w:t>
            </w:r>
            <w:r w:rsidRPr="008A1074">
              <w:rPr>
                <w:rFonts w:cstheme="minorHAnsi"/>
                <w:sz w:val="16"/>
                <w:szCs w:val="16"/>
              </w:rPr>
              <w:t>bioavailability of the individual drug in pregnancy</w:t>
            </w:r>
            <w:r>
              <w:rPr>
                <w:rFonts w:cstheme="minorHAnsi"/>
                <w:sz w:val="16"/>
                <w:szCs w:val="16"/>
              </w:rPr>
              <w:t xml:space="preserve"> </w:t>
            </w:r>
            <w:r w:rsidRPr="008A1074">
              <w:rPr>
                <w:rFonts w:cstheme="minorHAnsi"/>
                <w:sz w:val="16"/>
                <w:szCs w:val="16"/>
              </w:rPr>
              <w:t>must be considered along with the resistance</w:t>
            </w:r>
            <w:r>
              <w:rPr>
                <w:rFonts w:cstheme="minorHAnsi"/>
                <w:sz w:val="16"/>
                <w:szCs w:val="16"/>
              </w:rPr>
              <w:t xml:space="preserve"> </w:t>
            </w:r>
            <w:r w:rsidRPr="008A1074">
              <w:rPr>
                <w:rFonts w:cstheme="minorHAnsi"/>
                <w:sz w:val="16"/>
                <w:szCs w:val="16"/>
              </w:rPr>
              <w:t>profiles of microorganisms in the local antenatal</w:t>
            </w:r>
            <w:r>
              <w:rPr>
                <w:rFonts w:cstheme="minorHAnsi"/>
                <w:sz w:val="16"/>
                <w:szCs w:val="16"/>
              </w:rPr>
              <w:t xml:space="preserve"> </w:t>
            </w:r>
            <w:r w:rsidRPr="008A1074">
              <w:rPr>
                <w:rFonts w:cstheme="minorHAnsi"/>
                <w:sz w:val="16"/>
                <w:szCs w:val="16"/>
              </w:rPr>
              <w:t>population</w:t>
            </w:r>
            <w:r>
              <w:rPr>
                <w:rFonts w:cstheme="minorHAnsi"/>
                <w:sz w:val="16"/>
                <w:szCs w:val="16"/>
              </w:rPr>
              <w:t>; i</w:t>
            </w:r>
            <w:r w:rsidRPr="008A1074">
              <w:rPr>
                <w:rFonts w:cstheme="minorHAnsi"/>
                <w:sz w:val="16"/>
                <w:szCs w:val="16"/>
              </w:rPr>
              <w:t>t is also vital to use treatments with an</w:t>
            </w:r>
            <w:r>
              <w:rPr>
                <w:rFonts w:cstheme="minorHAnsi"/>
                <w:sz w:val="16"/>
                <w:szCs w:val="16"/>
              </w:rPr>
              <w:t xml:space="preserve"> </w:t>
            </w:r>
            <w:r w:rsidRPr="008A1074">
              <w:rPr>
                <w:rFonts w:cstheme="minorHAnsi"/>
                <w:sz w:val="16"/>
                <w:szCs w:val="16"/>
              </w:rPr>
              <w:t>established safety profile and, most importantly,</w:t>
            </w:r>
            <w:r>
              <w:rPr>
                <w:rFonts w:cstheme="minorHAnsi"/>
                <w:sz w:val="16"/>
                <w:szCs w:val="16"/>
              </w:rPr>
              <w:t xml:space="preserve"> </w:t>
            </w:r>
            <w:r w:rsidRPr="008A1074">
              <w:rPr>
                <w:rFonts w:cstheme="minorHAnsi"/>
                <w:sz w:val="16"/>
                <w:szCs w:val="16"/>
              </w:rPr>
              <w:t>without teratogenetic risks</w:t>
            </w:r>
          </w:p>
          <w:p w14:paraId="23A53F54" w14:textId="59314BE2" w:rsidR="00842598" w:rsidRDefault="00842598" w:rsidP="00A908E7">
            <w:pPr>
              <w:spacing w:before="40"/>
              <w:rPr>
                <w:rFonts w:cstheme="minorHAnsi"/>
                <w:sz w:val="16"/>
                <w:szCs w:val="16"/>
              </w:rPr>
            </w:pPr>
            <w:r w:rsidRPr="0012032C">
              <w:rPr>
                <w:rFonts w:cstheme="minorHAnsi"/>
                <w:sz w:val="16"/>
                <w:szCs w:val="16"/>
                <w:u w:val="single"/>
              </w:rPr>
              <w:t>Lee 2008</w:t>
            </w:r>
            <w:r w:rsidR="00617B6C">
              <w:rPr>
                <w:rFonts w:cstheme="minorHAnsi"/>
                <w:sz w:val="16"/>
                <w:szCs w:val="16"/>
              </w:rPr>
              <w:t xml:space="preserve"> </w:t>
            </w:r>
            <w:r w:rsidR="00A908E7">
              <w:rPr>
                <w:rFonts w:cstheme="minorHAnsi"/>
                <w:sz w:val="16"/>
                <w:szCs w:val="16"/>
              </w:rPr>
              <w:t>e</w:t>
            </w:r>
            <w:r w:rsidR="00A908E7" w:rsidRPr="00A908E7">
              <w:rPr>
                <w:rFonts w:cstheme="minorHAnsi"/>
                <w:sz w:val="16"/>
                <w:szCs w:val="16"/>
              </w:rPr>
              <w:t xml:space="preserve">xisting data indicate that exposure to </w:t>
            </w:r>
            <w:r w:rsidR="0012032C" w:rsidRPr="00A908E7">
              <w:rPr>
                <w:rFonts w:cstheme="minorHAnsi"/>
                <w:sz w:val="16"/>
                <w:szCs w:val="16"/>
              </w:rPr>
              <w:t>penicillin’s</w:t>
            </w:r>
            <w:r w:rsidR="00A908E7" w:rsidRPr="00A908E7">
              <w:rPr>
                <w:rFonts w:cstheme="minorHAnsi"/>
                <w:sz w:val="16"/>
                <w:szCs w:val="16"/>
              </w:rPr>
              <w:t>, cephalosporins, fluoroquinolones, nitrofurantoin, or</w:t>
            </w:r>
            <w:r w:rsidR="00A908E7">
              <w:rPr>
                <w:rFonts w:cstheme="minorHAnsi"/>
                <w:sz w:val="16"/>
                <w:szCs w:val="16"/>
              </w:rPr>
              <w:t xml:space="preserve"> </w:t>
            </w:r>
            <w:r w:rsidR="00A908E7" w:rsidRPr="00A908E7">
              <w:rPr>
                <w:rFonts w:cstheme="minorHAnsi"/>
                <w:sz w:val="16"/>
                <w:szCs w:val="16"/>
              </w:rPr>
              <w:t>phenazopyridine during pregnancy is not associated with increased risk of fetal malformations</w:t>
            </w:r>
            <w:r w:rsidR="00A908E7">
              <w:rPr>
                <w:rFonts w:cstheme="minorHAnsi"/>
                <w:sz w:val="16"/>
                <w:szCs w:val="16"/>
              </w:rPr>
              <w:t xml:space="preserve">; </w:t>
            </w:r>
            <w:r w:rsidR="0012032C">
              <w:rPr>
                <w:rFonts w:cstheme="minorHAnsi"/>
                <w:sz w:val="16"/>
                <w:szCs w:val="16"/>
              </w:rPr>
              <w:t>t</w:t>
            </w:r>
            <w:r w:rsidR="0012032C" w:rsidRPr="00A908E7">
              <w:rPr>
                <w:rFonts w:cstheme="minorHAnsi"/>
                <w:sz w:val="16"/>
                <w:szCs w:val="16"/>
              </w:rPr>
              <w:t>rimethoprim sulfamethoxazole</w:t>
            </w:r>
            <w:r w:rsidR="00A908E7" w:rsidRPr="00A908E7">
              <w:rPr>
                <w:rFonts w:cstheme="minorHAnsi"/>
                <w:sz w:val="16"/>
                <w:szCs w:val="16"/>
              </w:rPr>
              <w:t xml:space="preserve"> should be avoided, if possible, during the first trimester of pregnancy because of the antifolate</w:t>
            </w:r>
            <w:r w:rsidR="00A908E7">
              <w:rPr>
                <w:rFonts w:cstheme="minorHAnsi"/>
                <w:sz w:val="16"/>
                <w:szCs w:val="16"/>
              </w:rPr>
              <w:t xml:space="preserve"> </w:t>
            </w:r>
            <w:r w:rsidR="00A908E7" w:rsidRPr="00A908E7">
              <w:rPr>
                <w:rFonts w:cstheme="minorHAnsi"/>
                <w:sz w:val="16"/>
                <w:szCs w:val="16"/>
              </w:rPr>
              <w:t>effect associated with neural tube defects</w:t>
            </w:r>
          </w:p>
          <w:p w14:paraId="78291216" w14:textId="3E41643B" w:rsidR="00BA4723" w:rsidRDefault="00BA4723" w:rsidP="00030ECC">
            <w:pPr>
              <w:spacing w:before="40"/>
              <w:rPr>
                <w:rFonts w:cstheme="minorHAnsi"/>
                <w:sz w:val="16"/>
                <w:szCs w:val="16"/>
              </w:rPr>
            </w:pPr>
            <w:r w:rsidRPr="0012032C">
              <w:rPr>
                <w:rFonts w:cstheme="minorHAnsi"/>
                <w:sz w:val="16"/>
                <w:szCs w:val="16"/>
                <w:u w:val="single"/>
              </w:rPr>
              <w:t>FitzGerald 2007</w:t>
            </w:r>
            <w:r>
              <w:rPr>
                <w:rFonts w:cstheme="minorHAnsi"/>
                <w:sz w:val="16"/>
                <w:szCs w:val="16"/>
              </w:rPr>
              <w:t xml:space="preserve"> </w:t>
            </w:r>
            <w:r w:rsidRPr="00BA4723">
              <w:rPr>
                <w:rFonts w:cstheme="minorHAnsi"/>
                <w:sz w:val="16"/>
                <w:szCs w:val="16"/>
              </w:rPr>
              <w:t>provides an overview of the lower urinary tract during pregnancy, including considerations of symptoms of urinary frequency; nocturia and incontinence; changes in bladder support; and the occurrence of urinary retention, a urologic emergency</w:t>
            </w:r>
          </w:p>
          <w:p w14:paraId="7AE50A41" w14:textId="6BACBFA8" w:rsidR="00B71C22" w:rsidRPr="00D15ACA" w:rsidRDefault="001D3A7C" w:rsidP="009C5081">
            <w:pPr>
              <w:spacing w:before="40"/>
              <w:rPr>
                <w:rFonts w:cstheme="minorHAnsi"/>
                <w:sz w:val="16"/>
                <w:szCs w:val="16"/>
              </w:rPr>
            </w:pPr>
            <w:proofErr w:type="spellStart"/>
            <w:r w:rsidRPr="0012032C">
              <w:rPr>
                <w:rFonts w:cstheme="minorHAnsi"/>
                <w:sz w:val="16"/>
                <w:szCs w:val="16"/>
                <w:u w:val="single"/>
              </w:rPr>
              <w:t>Simerville</w:t>
            </w:r>
            <w:proofErr w:type="spellEnd"/>
            <w:r w:rsidRPr="0012032C">
              <w:rPr>
                <w:rFonts w:cstheme="minorHAnsi"/>
                <w:sz w:val="16"/>
                <w:szCs w:val="16"/>
                <w:u w:val="single"/>
              </w:rPr>
              <w:t xml:space="preserve"> 2005</w:t>
            </w:r>
            <w:r>
              <w:rPr>
                <w:rFonts w:cstheme="minorHAnsi"/>
                <w:sz w:val="16"/>
                <w:szCs w:val="16"/>
              </w:rPr>
              <w:t xml:space="preserve"> a</w:t>
            </w:r>
            <w:r w:rsidRPr="001D3A7C">
              <w:rPr>
                <w:rFonts w:cstheme="minorHAnsi"/>
                <w:sz w:val="16"/>
                <w:szCs w:val="16"/>
              </w:rPr>
              <w:t xml:space="preserve"> complete urinalysis includes physical, chemical, and microscopic examination</w:t>
            </w:r>
            <w:r>
              <w:rPr>
                <w:rFonts w:cstheme="minorHAnsi"/>
                <w:sz w:val="16"/>
                <w:szCs w:val="16"/>
              </w:rPr>
              <w:t>s; m</w:t>
            </w:r>
            <w:r w:rsidRPr="001D3A7C">
              <w:rPr>
                <w:rFonts w:cstheme="minorHAnsi"/>
                <w:sz w:val="16"/>
                <w:szCs w:val="16"/>
              </w:rPr>
              <w:t>idstream</w:t>
            </w:r>
            <w:r>
              <w:rPr>
                <w:rFonts w:cstheme="minorHAnsi"/>
                <w:sz w:val="16"/>
                <w:szCs w:val="16"/>
              </w:rPr>
              <w:t xml:space="preserve"> </w:t>
            </w:r>
            <w:r w:rsidRPr="001D3A7C">
              <w:rPr>
                <w:rFonts w:cstheme="minorHAnsi"/>
                <w:sz w:val="16"/>
                <w:szCs w:val="16"/>
              </w:rPr>
              <w:t>clean collection is acceptable in most situations, but the specimen should be examined within</w:t>
            </w:r>
            <w:r>
              <w:rPr>
                <w:rFonts w:cstheme="minorHAnsi"/>
                <w:sz w:val="16"/>
                <w:szCs w:val="16"/>
              </w:rPr>
              <w:t xml:space="preserve"> </w:t>
            </w:r>
            <w:r w:rsidRPr="001D3A7C">
              <w:rPr>
                <w:rFonts w:cstheme="minorHAnsi"/>
                <w:sz w:val="16"/>
                <w:szCs w:val="16"/>
              </w:rPr>
              <w:t>two hours of collection</w:t>
            </w:r>
            <w:r>
              <w:rPr>
                <w:rFonts w:cstheme="minorHAnsi"/>
                <w:sz w:val="16"/>
                <w:szCs w:val="16"/>
              </w:rPr>
              <w:t>; c</w:t>
            </w:r>
            <w:r w:rsidRPr="001D3A7C">
              <w:rPr>
                <w:rFonts w:cstheme="minorHAnsi"/>
                <w:sz w:val="16"/>
                <w:szCs w:val="16"/>
              </w:rPr>
              <w:t>loudy urine often is a result of precipitated phosphate crystals in alkaline</w:t>
            </w:r>
            <w:r>
              <w:rPr>
                <w:rFonts w:cstheme="minorHAnsi"/>
                <w:sz w:val="16"/>
                <w:szCs w:val="16"/>
              </w:rPr>
              <w:t xml:space="preserve"> </w:t>
            </w:r>
            <w:r w:rsidRPr="001D3A7C">
              <w:rPr>
                <w:rFonts w:cstheme="minorHAnsi"/>
                <w:sz w:val="16"/>
                <w:szCs w:val="16"/>
              </w:rPr>
              <w:t>urine, but pyuria also can be the cause</w:t>
            </w:r>
            <w:r>
              <w:rPr>
                <w:rFonts w:cstheme="minorHAnsi"/>
                <w:sz w:val="16"/>
                <w:szCs w:val="16"/>
              </w:rPr>
              <w:t>; a</w:t>
            </w:r>
            <w:r w:rsidRPr="001D3A7C">
              <w:rPr>
                <w:rFonts w:cstheme="minorHAnsi"/>
                <w:sz w:val="16"/>
                <w:szCs w:val="16"/>
              </w:rPr>
              <w:t xml:space="preserve"> strong odor may be </w:t>
            </w:r>
            <w:r w:rsidRPr="001D3A7C">
              <w:rPr>
                <w:rFonts w:cstheme="minorHAnsi"/>
                <w:sz w:val="16"/>
                <w:szCs w:val="16"/>
              </w:rPr>
              <w:lastRenderedPageBreak/>
              <w:t>the result of a concentrated</w:t>
            </w:r>
            <w:r>
              <w:rPr>
                <w:rFonts w:cstheme="minorHAnsi"/>
                <w:sz w:val="16"/>
                <w:szCs w:val="16"/>
              </w:rPr>
              <w:t xml:space="preserve"> </w:t>
            </w:r>
            <w:r w:rsidRPr="001D3A7C">
              <w:rPr>
                <w:rFonts w:cstheme="minorHAnsi"/>
                <w:sz w:val="16"/>
                <w:szCs w:val="16"/>
              </w:rPr>
              <w:t>specimen rather than a urinary tract infection</w:t>
            </w:r>
            <w:r>
              <w:rPr>
                <w:rFonts w:cstheme="minorHAnsi"/>
                <w:sz w:val="16"/>
                <w:szCs w:val="16"/>
              </w:rPr>
              <w:t>; d</w:t>
            </w:r>
            <w:r w:rsidRPr="001D3A7C">
              <w:rPr>
                <w:rFonts w:cstheme="minorHAnsi"/>
                <w:sz w:val="16"/>
                <w:szCs w:val="16"/>
              </w:rPr>
              <w:t>ipstick urinalysis is convenient, but false-positive</w:t>
            </w:r>
            <w:r>
              <w:rPr>
                <w:rFonts w:cstheme="minorHAnsi"/>
                <w:sz w:val="16"/>
                <w:szCs w:val="16"/>
              </w:rPr>
              <w:t xml:space="preserve"> </w:t>
            </w:r>
            <w:r w:rsidRPr="001D3A7C">
              <w:rPr>
                <w:rFonts w:cstheme="minorHAnsi"/>
                <w:sz w:val="16"/>
                <w:szCs w:val="16"/>
              </w:rPr>
              <w:t>and false-negative results can occur</w:t>
            </w:r>
            <w:r>
              <w:rPr>
                <w:rFonts w:cstheme="minorHAnsi"/>
                <w:sz w:val="16"/>
                <w:szCs w:val="16"/>
              </w:rPr>
              <w:t>; s</w:t>
            </w:r>
            <w:r w:rsidRPr="001D3A7C">
              <w:rPr>
                <w:rFonts w:cstheme="minorHAnsi"/>
                <w:sz w:val="16"/>
                <w:szCs w:val="16"/>
              </w:rPr>
              <w:t>pecific gravity provides a reliable assessment of the</w:t>
            </w:r>
            <w:r>
              <w:rPr>
                <w:rFonts w:cstheme="minorHAnsi"/>
                <w:sz w:val="16"/>
                <w:szCs w:val="16"/>
              </w:rPr>
              <w:t xml:space="preserve"> </w:t>
            </w:r>
            <w:r w:rsidRPr="001D3A7C">
              <w:rPr>
                <w:rFonts w:cstheme="minorHAnsi"/>
                <w:sz w:val="16"/>
                <w:szCs w:val="16"/>
              </w:rPr>
              <w:t>patient’s hydration status</w:t>
            </w:r>
            <w:r>
              <w:rPr>
                <w:rFonts w:cstheme="minorHAnsi"/>
                <w:sz w:val="16"/>
                <w:szCs w:val="16"/>
              </w:rPr>
              <w:t>; m</w:t>
            </w:r>
            <w:r w:rsidRPr="001D3A7C">
              <w:rPr>
                <w:rFonts w:cstheme="minorHAnsi"/>
                <w:sz w:val="16"/>
                <w:szCs w:val="16"/>
              </w:rPr>
              <w:t>icrohematuria has a range of causes, from benign to life threatening</w:t>
            </w:r>
            <w:r>
              <w:rPr>
                <w:rFonts w:cstheme="minorHAnsi"/>
                <w:sz w:val="16"/>
                <w:szCs w:val="16"/>
              </w:rPr>
              <w:t>; g</w:t>
            </w:r>
            <w:r w:rsidRPr="001D3A7C">
              <w:rPr>
                <w:rFonts w:cstheme="minorHAnsi"/>
                <w:sz w:val="16"/>
                <w:szCs w:val="16"/>
              </w:rPr>
              <w:t>lomerular, renal, and urologic causes of microhematuria often can be differentiated by other</w:t>
            </w:r>
            <w:r>
              <w:rPr>
                <w:rFonts w:cstheme="minorHAnsi"/>
                <w:sz w:val="16"/>
                <w:szCs w:val="16"/>
              </w:rPr>
              <w:t xml:space="preserve"> </w:t>
            </w:r>
            <w:r w:rsidRPr="001D3A7C">
              <w:rPr>
                <w:rFonts w:cstheme="minorHAnsi"/>
                <w:sz w:val="16"/>
                <w:szCs w:val="16"/>
              </w:rPr>
              <w:t>elements of the urinalysis</w:t>
            </w:r>
            <w:r>
              <w:rPr>
                <w:rFonts w:cstheme="minorHAnsi"/>
                <w:sz w:val="16"/>
                <w:szCs w:val="16"/>
              </w:rPr>
              <w:t>; a</w:t>
            </w:r>
            <w:r w:rsidRPr="001D3A7C">
              <w:rPr>
                <w:rFonts w:cstheme="minorHAnsi"/>
                <w:sz w:val="16"/>
                <w:szCs w:val="16"/>
              </w:rPr>
              <w:t>lthough transient proteinuria typically is a benign condition, persistent</w:t>
            </w:r>
            <w:r>
              <w:rPr>
                <w:rFonts w:cstheme="minorHAnsi"/>
                <w:sz w:val="16"/>
                <w:szCs w:val="16"/>
              </w:rPr>
              <w:t xml:space="preserve"> </w:t>
            </w:r>
            <w:r w:rsidRPr="001D3A7C">
              <w:rPr>
                <w:rFonts w:cstheme="minorHAnsi"/>
                <w:sz w:val="16"/>
                <w:szCs w:val="16"/>
              </w:rPr>
              <w:t>proteinuria requires further work-up</w:t>
            </w:r>
            <w:r>
              <w:rPr>
                <w:rFonts w:cstheme="minorHAnsi"/>
                <w:sz w:val="16"/>
                <w:szCs w:val="16"/>
              </w:rPr>
              <w:t>; u</w:t>
            </w:r>
            <w:r w:rsidRPr="001D3A7C">
              <w:rPr>
                <w:rFonts w:cstheme="minorHAnsi"/>
                <w:sz w:val="16"/>
                <w:szCs w:val="16"/>
              </w:rPr>
              <w:t>ncomplicated urinary tract infections diagnosed by</w:t>
            </w:r>
            <w:r>
              <w:rPr>
                <w:rFonts w:cstheme="minorHAnsi"/>
                <w:sz w:val="16"/>
                <w:szCs w:val="16"/>
              </w:rPr>
              <w:t xml:space="preserve"> </w:t>
            </w:r>
            <w:r w:rsidRPr="001D3A7C">
              <w:rPr>
                <w:rFonts w:cstheme="minorHAnsi"/>
                <w:sz w:val="16"/>
                <w:szCs w:val="16"/>
              </w:rPr>
              <w:t>positive leukocyte esterase and nitrite tests can be treated without culture</w:t>
            </w:r>
          </w:p>
        </w:tc>
      </w:tr>
    </w:tbl>
    <w:p w14:paraId="439C429A" w14:textId="77777777" w:rsidR="000C2E7B" w:rsidRDefault="000C2E7B" w:rsidP="007735D8">
      <w:pPr>
        <w:spacing w:after="0" w:line="240" w:lineRule="auto"/>
        <w:rPr>
          <w:rFonts w:ascii="Arial Nova Light" w:hAnsi="Arial Nova Light"/>
          <w:sz w:val="20"/>
          <w:szCs w:val="20"/>
        </w:rPr>
      </w:pPr>
    </w:p>
    <w:tbl>
      <w:tblPr>
        <w:tblpPr w:leftFromText="187" w:rightFromText="187" w:tblpY="2809"/>
        <w:tblOverlap w:val="neve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8"/>
        <w:gridCol w:w="4798"/>
        <w:gridCol w:w="4799"/>
      </w:tblGrid>
      <w:tr w:rsidR="000C2E7B" w:rsidRPr="00EE0EA9" w14:paraId="66DA2A5B" w14:textId="77777777" w:rsidTr="00837DC4">
        <w:trPr>
          <w:cantSplit/>
          <w:trHeight w:val="167"/>
        </w:trPr>
        <w:tc>
          <w:tcPr>
            <w:tcW w:w="14395"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8913CE7" w14:textId="5267C4E4" w:rsidR="000C2E7B" w:rsidRPr="00581FFA" w:rsidRDefault="00937DBF" w:rsidP="00837DC4">
            <w:pPr>
              <w:spacing w:before="120" w:after="120" w:line="240" w:lineRule="auto"/>
              <w:rPr>
                <w:rFonts w:cstheme="minorHAnsi"/>
                <w:b/>
                <w:bCs/>
                <w:sz w:val="20"/>
                <w:szCs w:val="20"/>
              </w:rPr>
            </w:pPr>
            <w:r>
              <w:rPr>
                <w:rFonts w:cstheme="minorHAnsi"/>
                <w:b/>
                <w:bCs/>
                <w:sz w:val="20"/>
                <w:szCs w:val="20"/>
              </w:rPr>
              <w:t xml:space="preserve">Pyelonephritis Diagnosis and Treatment </w:t>
            </w:r>
          </w:p>
        </w:tc>
      </w:tr>
      <w:tr w:rsidR="000C2E7B" w:rsidRPr="00EE0EA9" w14:paraId="0BB9C143" w14:textId="77777777" w:rsidTr="00837DC4">
        <w:trPr>
          <w:cantSplit/>
          <w:trHeight w:val="345"/>
        </w:trPr>
        <w:tc>
          <w:tcPr>
            <w:tcW w:w="14395"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F2F2F2" w:themeFill="background1" w:themeFillShade="F2"/>
          </w:tcPr>
          <w:p w14:paraId="5A97C6FD" w14:textId="123ADC6A" w:rsidR="000C2E7B" w:rsidRPr="00D15ACA" w:rsidRDefault="000C2E7B" w:rsidP="00837DC4">
            <w:pPr>
              <w:spacing w:before="120" w:after="120" w:line="240" w:lineRule="auto"/>
              <w:rPr>
                <w:rFonts w:cstheme="minorHAnsi"/>
                <w:b/>
                <w:bCs/>
                <w:sz w:val="18"/>
                <w:szCs w:val="18"/>
              </w:rPr>
            </w:pPr>
            <w:r w:rsidRPr="00D15ACA">
              <w:rPr>
                <w:rFonts w:cstheme="minorHAnsi"/>
                <w:b/>
                <w:bCs/>
                <w:sz w:val="18"/>
                <w:szCs w:val="18"/>
              </w:rPr>
              <w:t>RECOMMENDATION STATEMENT</w:t>
            </w:r>
            <w:r w:rsidR="001D0E86">
              <w:rPr>
                <w:rFonts w:cstheme="minorHAnsi"/>
                <w:b/>
                <w:bCs/>
                <w:sz w:val="18"/>
                <w:szCs w:val="18"/>
              </w:rPr>
              <w:t>S</w:t>
            </w:r>
            <w:r>
              <w:rPr>
                <w:rFonts w:cstheme="minorHAnsi"/>
                <w:b/>
                <w:bCs/>
                <w:sz w:val="18"/>
                <w:szCs w:val="18"/>
              </w:rPr>
              <w:t xml:space="preserve"> </w:t>
            </w:r>
          </w:p>
        </w:tc>
      </w:tr>
      <w:tr w:rsidR="00D32F2A" w:rsidRPr="00EE0EA9" w14:paraId="4FA08E52" w14:textId="77777777" w:rsidTr="00D32F2A">
        <w:trPr>
          <w:cantSplit/>
          <w:trHeight w:val="541"/>
        </w:trPr>
        <w:tc>
          <w:tcPr>
            <w:tcW w:w="14395" w:type="dxa"/>
            <w:gridSpan w:val="3"/>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3CF97BE" w14:textId="77777777" w:rsidR="008A1074" w:rsidRDefault="00937DBF" w:rsidP="00937DBF">
            <w:pPr>
              <w:spacing w:after="120"/>
              <w:rPr>
                <w:rFonts w:cstheme="minorHAnsi"/>
                <w:sz w:val="17"/>
                <w:szCs w:val="17"/>
              </w:rPr>
            </w:pPr>
            <w:r>
              <w:rPr>
                <w:rFonts w:cstheme="minorHAnsi"/>
                <w:sz w:val="17"/>
                <w:szCs w:val="17"/>
              </w:rPr>
              <w:t>Diagnosis:</w:t>
            </w:r>
          </w:p>
          <w:p w14:paraId="51CC9B86" w14:textId="77777777" w:rsidR="00937DBF" w:rsidRDefault="00937DBF" w:rsidP="00937DBF">
            <w:pPr>
              <w:spacing w:after="120"/>
              <w:rPr>
                <w:rFonts w:cstheme="minorHAnsi"/>
                <w:sz w:val="17"/>
                <w:szCs w:val="17"/>
              </w:rPr>
            </w:pPr>
            <w:r>
              <w:rPr>
                <w:rFonts w:cstheme="minorHAnsi"/>
                <w:sz w:val="17"/>
                <w:szCs w:val="17"/>
              </w:rPr>
              <w:t xml:space="preserve">7. </w:t>
            </w:r>
            <w:r w:rsidRPr="00937DBF">
              <w:rPr>
                <w:rFonts w:cstheme="minorHAnsi"/>
                <w:sz w:val="17"/>
                <w:szCs w:val="17"/>
              </w:rPr>
              <w:t>Pyelonephritis should be suspected in the presence of fever ≥ 38.0 C and urine studies suggesting UTI, with additional symptoms of upper genitourinary tract infection [such as flank pain or costovertebral angle tenderness] supporting the diagnosis.</w:t>
            </w:r>
          </w:p>
          <w:p w14:paraId="33361D6F" w14:textId="77777777" w:rsidR="00937DBF" w:rsidRDefault="00937DBF" w:rsidP="00937DBF">
            <w:pPr>
              <w:spacing w:after="120"/>
              <w:rPr>
                <w:rFonts w:cstheme="minorHAnsi"/>
                <w:sz w:val="17"/>
                <w:szCs w:val="17"/>
              </w:rPr>
            </w:pPr>
            <w:r>
              <w:rPr>
                <w:rFonts w:cstheme="minorHAnsi"/>
                <w:sz w:val="17"/>
                <w:szCs w:val="17"/>
              </w:rPr>
              <w:t>Treatment:</w:t>
            </w:r>
          </w:p>
          <w:p w14:paraId="2F5A1FE1" w14:textId="626641A6" w:rsidR="00937DBF" w:rsidRDefault="00937DBF" w:rsidP="00937DBF">
            <w:pPr>
              <w:spacing w:after="120"/>
              <w:rPr>
                <w:rFonts w:cstheme="minorHAnsi"/>
                <w:sz w:val="17"/>
                <w:szCs w:val="17"/>
              </w:rPr>
            </w:pPr>
            <w:r>
              <w:rPr>
                <w:rFonts w:cstheme="minorHAnsi"/>
                <w:sz w:val="17"/>
                <w:szCs w:val="17"/>
              </w:rPr>
              <w:t xml:space="preserve">8. </w:t>
            </w:r>
            <w:r w:rsidR="0091037D" w:rsidRPr="0091037D">
              <w:rPr>
                <w:rFonts w:cstheme="minorHAnsi"/>
                <w:sz w:val="17"/>
                <w:szCs w:val="17"/>
              </w:rPr>
              <w:t>Clinicians should initially manage pyelonephritis in pregnancy in the inpatient setting. Empiric antibiotic therapy should have adequate renal tissue penetration and be targeted against most likely pathogens. Antibiotic therapy should be adjusted as needed based on urine culture and sensitivity. Parenteral antibiotics should be continued until the patient is clinically improving. Patients should complete a total of 14 days of antibiotic therapy.</w:t>
            </w:r>
          </w:p>
          <w:p w14:paraId="2C0B7BFE" w14:textId="731EE0AE" w:rsidR="0091037D" w:rsidRPr="00937DBF" w:rsidRDefault="0091037D" w:rsidP="00937DBF">
            <w:pPr>
              <w:spacing w:after="120"/>
              <w:rPr>
                <w:rFonts w:cstheme="minorHAnsi"/>
                <w:sz w:val="17"/>
                <w:szCs w:val="17"/>
              </w:rPr>
            </w:pPr>
            <w:r>
              <w:rPr>
                <w:rFonts w:cstheme="minorHAnsi"/>
                <w:sz w:val="17"/>
                <w:szCs w:val="17"/>
              </w:rPr>
              <w:t xml:space="preserve">9. </w:t>
            </w:r>
            <w:r w:rsidRPr="0091037D">
              <w:rPr>
                <w:rFonts w:cstheme="minorHAnsi"/>
                <w:sz w:val="17"/>
                <w:szCs w:val="17"/>
              </w:rPr>
              <w:t>There is insufficient evidence to guide management after treatment of pyelonephritis in pregnancy. Clinicians may consider suppressive therapy for the remainder of the pregnancy as for recurrent UTI.</w:t>
            </w:r>
          </w:p>
        </w:tc>
      </w:tr>
      <w:tr w:rsidR="000C2E7B" w:rsidRPr="00EE0EA9" w14:paraId="31FE9D64" w14:textId="77777777" w:rsidTr="00837DC4">
        <w:trPr>
          <w:cantSplit/>
          <w:trHeight w:val="252"/>
        </w:trPr>
        <w:tc>
          <w:tcPr>
            <w:tcW w:w="14395"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D80D1D4" w14:textId="77777777" w:rsidR="000C2E7B" w:rsidRPr="006D3199" w:rsidRDefault="000C2E7B" w:rsidP="00837DC4">
            <w:pPr>
              <w:spacing w:before="240" w:line="240" w:lineRule="auto"/>
              <w:rPr>
                <w:rFonts w:asciiTheme="majorHAnsi" w:hAnsiTheme="majorHAnsi" w:cstheme="majorHAnsi"/>
                <w:b/>
                <w:bCs/>
                <w:sz w:val="18"/>
                <w:szCs w:val="18"/>
              </w:rPr>
            </w:pPr>
            <w:r w:rsidRPr="006D3199">
              <w:rPr>
                <w:rFonts w:asciiTheme="majorHAnsi" w:hAnsiTheme="majorHAnsi" w:cstheme="majorHAnsi"/>
                <w:b/>
                <w:bCs/>
                <w:sz w:val="18"/>
                <w:szCs w:val="18"/>
              </w:rPr>
              <w:t>SUPPORTING EVIDENCE</w:t>
            </w:r>
          </w:p>
        </w:tc>
      </w:tr>
      <w:tr w:rsidR="000C2E7B" w:rsidRPr="00EE0EA9" w14:paraId="3475A076" w14:textId="77777777" w:rsidTr="00837DC4">
        <w:trPr>
          <w:cantSplit/>
          <w:trHeight w:val="297"/>
        </w:trPr>
        <w:tc>
          <w:tcPr>
            <w:tcW w:w="4798" w:type="dxa"/>
            <w:tcBorders>
              <w:top w:val="nil"/>
              <w:left w:val="single" w:sz="4" w:space="0" w:color="D9D9D9" w:themeColor="background1" w:themeShade="D9"/>
              <w:bottom w:val="nil"/>
              <w:right w:val="nil"/>
            </w:tcBorders>
          </w:tcPr>
          <w:p w14:paraId="1B731C75" w14:textId="77777777" w:rsidR="000C2E7B" w:rsidRPr="00D15ACA" w:rsidRDefault="000C2E7B" w:rsidP="00837DC4">
            <w:pPr>
              <w:spacing w:before="120" w:after="120" w:line="240" w:lineRule="auto"/>
              <w:rPr>
                <w:rFonts w:asciiTheme="majorHAnsi" w:hAnsiTheme="majorHAnsi" w:cstheme="majorHAnsi"/>
                <w:b/>
                <w:bCs/>
                <w:sz w:val="17"/>
                <w:szCs w:val="17"/>
              </w:rPr>
            </w:pPr>
            <w:r w:rsidRPr="00D15ACA">
              <w:rPr>
                <w:rFonts w:asciiTheme="majorHAnsi" w:hAnsiTheme="majorHAnsi" w:cstheme="majorHAnsi"/>
                <w:b/>
                <w:bCs/>
                <w:sz w:val="17"/>
                <w:szCs w:val="17"/>
              </w:rPr>
              <w:t>Category I</w:t>
            </w:r>
          </w:p>
        </w:tc>
        <w:tc>
          <w:tcPr>
            <w:tcW w:w="4798" w:type="dxa"/>
            <w:tcBorders>
              <w:top w:val="nil"/>
              <w:left w:val="nil"/>
              <w:bottom w:val="nil"/>
              <w:right w:val="nil"/>
            </w:tcBorders>
          </w:tcPr>
          <w:p w14:paraId="2A177D90" w14:textId="77777777" w:rsidR="000C2E7B" w:rsidRPr="00D15ACA" w:rsidRDefault="000C2E7B" w:rsidP="00837DC4">
            <w:pPr>
              <w:spacing w:before="120" w:after="120" w:line="240" w:lineRule="auto"/>
              <w:rPr>
                <w:rFonts w:asciiTheme="majorHAnsi" w:hAnsiTheme="majorHAnsi" w:cstheme="majorHAnsi"/>
                <w:b/>
                <w:bCs/>
                <w:sz w:val="17"/>
                <w:szCs w:val="17"/>
              </w:rPr>
            </w:pPr>
            <w:r w:rsidRPr="00D15ACA">
              <w:rPr>
                <w:rFonts w:asciiTheme="majorHAnsi" w:hAnsiTheme="majorHAnsi" w:cstheme="majorHAnsi"/>
                <w:b/>
                <w:bCs/>
                <w:sz w:val="17"/>
                <w:szCs w:val="17"/>
              </w:rPr>
              <w:t>Category II</w:t>
            </w:r>
          </w:p>
        </w:tc>
        <w:tc>
          <w:tcPr>
            <w:tcW w:w="4799" w:type="dxa"/>
            <w:tcBorders>
              <w:top w:val="nil"/>
              <w:left w:val="nil"/>
              <w:bottom w:val="nil"/>
              <w:right w:val="single" w:sz="4" w:space="0" w:color="D9D9D9" w:themeColor="background1" w:themeShade="D9"/>
            </w:tcBorders>
          </w:tcPr>
          <w:p w14:paraId="6238B49C" w14:textId="77777777" w:rsidR="000C2E7B" w:rsidRPr="00D15ACA" w:rsidRDefault="000C2E7B" w:rsidP="00837DC4">
            <w:pPr>
              <w:spacing w:before="120" w:after="120" w:line="240" w:lineRule="auto"/>
              <w:rPr>
                <w:rFonts w:asciiTheme="majorHAnsi" w:hAnsiTheme="majorHAnsi" w:cstheme="majorHAnsi"/>
                <w:b/>
                <w:bCs/>
                <w:sz w:val="17"/>
                <w:szCs w:val="17"/>
              </w:rPr>
            </w:pPr>
            <w:r w:rsidRPr="00D15ACA">
              <w:rPr>
                <w:rFonts w:asciiTheme="majorHAnsi" w:hAnsiTheme="majorHAnsi" w:cstheme="majorHAnsi"/>
                <w:b/>
                <w:bCs/>
                <w:sz w:val="17"/>
                <w:szCs w:val="17"/>
              </w:rPr>
              <w:t>Category III</w:t>
            </w:r>
          </w:p>
        </w:tc>
      </w:tr>
      <w:tr w:rsidR="000C2E7B" w:rsidRPr="00EE0EA9" w14:paraId="76AD75FB" w14:textId="77777777" w:rsidTr="00837DC4">
        <w:trPr>
          <w:cantSplit/>
          <w:trHeight w:val="50"/>
        </w:trPr>
        <w:tc>
          <w:tcPr>
            <w:tcW w:w="4798" w:type="dxa"/>
            <w:tcBorders>
              <w:top w:val="nil"/>
              <w:left w:val="single" w:sz="4" w:space="0" w:color="D9D9D9" w:themeColor="background1" w:themeShade="D9"/>
              <w:bottom w:val="single" w:sz="4" w:space="0" w:color="D9D9D9" w:themeColor="background1" w:themeShade="D9"/>
              <w:right w:val="nil"/>
            </w:tcBorders>
          </w:tcPr>
          <w:p w14:paraId="3C19B72A" w14:textId="3F31A380" w:rsidR="000C2E7B" w:rsidRDefault="000C2E7B" w:rsidP="000C2E7B">
            <w:pPr>
              <w:spacing w:before="40"/>
              <w:rPr>
                <w:rFonts w:cstheme="minorHAnsi"/>
                <w:sz w:val="16"/>
                <w:szCs w:val="16"/>
              </w:rPr>
            </w:pPr>
            <w:r>
              <w:rPr>
                <w:rFonts w:cstheme="minorHAnsi"/>
                <w:sz w:val="16"/>
                <w:szCs w:val="16"/>
              </w:rPr>
              <w:t>Systematic Reviews/Meta-Analyses:</w:t>
            </w:r>
          </w:p>
          <w:p w14:paraId="002F03F6" w14:textId="4C7760F0" w:rsidR="00B900FF" w:rsidRPr="006F648D" w:rsidRDefault="00B900FF" w:rsidP="00EC31DA">
            <w:pPr>
              <w:spacing w:before="40"/>
              <w:rPr>
                <w:sz w:val="16"/>
                <w:szCs w:val="16"/>
              </w:rPr>
            </w:pPr>
            <w:r w:rsidRPr="0012032C">
              <w:rPr>
                <w:sz w:val="16"/>
                <w:szCs w:val="16"/>
                <w:u w:val="single"/>
              </w:rPr>
              <w:t>Moradi 2021</w:t>
            </w:r>
            <w:r w:rsidR="006F648D">
              <w:t xml:space="preserve"> </w:t>
            </w:r>
            <w:r w:rsidR="006F648D" w:rsidRPr="006F648D">
              <w:rPr>
                <w:sz w:val="16"/>
                <w:szCs w:val="16"/>
              </w:rPr>
              <w:t xml:space="preserve">the prevalence of E. coli and </w:t>
            </w:r>
            <w:r w:rsidR="00C97BA5" w:rsidRPr="00C97BA5">
              <w:rPr>
                <w:sz w:val="16"/>
                <w:szCs w:val="16"/>
              </w:rPr>
              <w:t>extended</w:t>
            </w:r>
            <w:r w:rsidR="00C97BA5" w:rsidRPr="00C97BA5">
              <w:rPr>
                <w:rFonts w:ascii="Cambria Math" w:hAnsi="Cambria Math" w:cs="Cambria Math"/>
                <w:sz w:val="16"/>
                <w:szCs w:val="16"/>
              </w:rPr>
              <w:t>‑</w:t>
            </w:r>
            <w:r w:rsidR="00C97BA5" w:rsidRPr="00C97BA5">
              <w:rPr>
                <w:sz w:val="16"/>
                <w:szCs w:val="16"/>
              </w:rPr>
              <w:t>spectrum β</w:t>
            </w:r>
            <w:r w:rsidR="00C97BA5" w:rsidRPr="00C97BA5">
              <w:rPr>
                <w:rFonts w:ascii="Cambria Math" w:hAnsi="Cambria Math" w:cs="Cambria Math"/>
                <w:sz w:val="16"/>
                <w:szCs w:val="16"/>
              </w:rPr>
              <w:t>‑</w:t>
            </w:r>
            <w:r w:rsidR="00C97BA5" w:rsidRPr="00C97BA5">
              <w:rPr>
                <w:sz w:val="16"/>
                <w:szCs w:val="16"/>
              </w:rPr>
              <w:t>lactamase</w:t>
            </w:r>
            <w:r w:rsidR="00C97BA5">
              <w:rPr>
                <w:rFonts w:ascii="Cambria Math" w:hAnsi="Cambria Math" w:cs="Cambria Math"/>
                <w:sz w:val="16"/>
                <w:szCs w:val="16"/>
              </w:rPr>
              <w:t xml:space="preserve"> (</w:t>
            </w:r>
            <w:r w:rsidR="006F648D" w:rsidRPr="006F648D">
              <w:rPr>
                <w:sz w:val="16"/>
                <w:szCs w:val="16"/>
              </w:rPr>
              <w:t>ESBL</w:t>
            </w:r>
            <w:r w:rsidR="00C97BA5">
              <w:rPr>
                <w:sz w:val="16"/>
                <w:szCs w:val="16"/>
              </w:rPr>
              <w:t>)</w:t>
            </w:r>
            <w:r w:rsidR="006F648D" w:rsidRPr="006F648D">
              <w:rPr>
                <w:sz w:val="16"/>
                <w:szCs w:val="16"/>
              </w:rPr>
              <w:t xml:space="preserve"> E. coli is high in pregnant </w:t>
            </w:r>
            <w:r w:rsidR="00ED1C23" w:rsidRPr="006F648D">
              <w:rPr>
                <w:sz w:val="16"/>
                <w:szCs w:val="16"/>
              </w:rPr>
              <w:t>women</w:t>
            </w:r>
            <w:r w:rsidR="00ED1C23">
              <w:rPr>
                <w:sz w:val="16"/>
                <w:szCs w:val="16"/>
              </w:rPr>
              <w:t xml:space="preserve">; </w:t>
            </w:r>
            <w:r w:rsidR="00ED1C23" w:rsidRPr="00ED1C23">
              <w:rPr>
                <w:rFonts w:cstheme="minorHAnsi"/>
                <w:sz w:val="16"/>
                <w:szCs w:val="16"/>
              </w:rPr>
              <w:t>the</w:t>
            </w:r>
            <w:r w:rsidR="006F648D" w:rsidRPr="006F648D">
              <w:rPr>
                <w:sz w:val="16"/>
                <w:szCs w:val="16"/>
              </w:rPr>
              <w:t xml:space="preserve"> overuse of antibiotics was higher in European and Asian pregnant women than other continents</w:t>
            </w:r>
          </w:p>
          <w:p w14:paraId="6E5A4C13" w14:textId="052B1993" w:rsidR="00EC31DA" w:rsidRDefault="00EC31DA" w:rsidP="00EC31DA">
            <w:pPr>
              <w:spacing w:before="40"/>
              <w:rPr>
                <w:rFonts w:cstheme="minorHAnsi"/>
                <w:sz w:val="16"/>
                <w:szCs w:val="16"/>
              </w:rPr>
            </w:pPr>
            <w:r w:rsidRPr="0012032C">
              <w:rPr>
                <w:rFonts w:cstheme="minorHAnsi"/>
                <w:sz w:val="16"/>
                <w:szCs w:val="16"/>
                <w:u w:val="single"/>
              </w:rPr>
              <w:t>Vazquez 2011</w:t>
            </w:r>
            <w:r>
              <w:rPr>
                <w:rFonts w:cstheme="minorHAnsi"/>
                <w:sz w:val="16"/>
                <w:szCs w:val="16"/>
              </w:rPr>
              <w:t xml:space="preserve"> a</w:t>
            </w:r>
            <w:r w:rsidRPr="00453823">
              <w:rPr>
                <w:rFonts w:cstheme="minorHAnsi"/>
                <w:sz w:val="16"/>
                <w:szCs w:val="16"/>
              </w:rPr>
              <w:t>lthough antibiotic treatment is effective for the cure of urinary tract infections, there are insufficient data to recommend any specific</w:t>
            </w:r>
            <w:r>
              <w:rPr>
                <w:rFonts w:cstheme="minorHAnsi"/>
                <w:sz w:val="16"/>
                <w:szCs w:val="16"/>
              </w:rPr>
              <w:t xml:space="preserve"> </w:t>
            </w:r>
            <w:r w:rsidRPr="00453823">
              <w:rPr>
                <w:rFonts w:cstheme="minorHAnsi"/>
                <w:sz w:val="16"/>
                <w:szCs w:val="16"/>
              </w:rPr>
              <w:t>drug regimen for treatment of symptomatic urinary tract infections during pregnancy</w:t>
            </w:r>
            <w:r>
              <w:rPr>
                <w:rFonts w:cstheme="minorHAnsi"/>
                <w:sz w:val="16"/>
                <w:szCs w:val="16"/>
              </w:rPr>
              <w:t>; a</w:t>
            </w:r>
            <w:r w:rsidRPr="00453823">
              <w:rPr>
                <w:rFonts w:cstheme="minorHAnsi"/>
                <w:sz w:val="16"/>
                <w:szCs w:val="16"/>
              </w:rPr>
              <w:t>ll the antibiotics studied were shown to be</w:t>
            </w:r>
            <w:r>
              <w:rPr>
                <w:rFonts w:cstheme="minorHAnsi"/>
                <w:sz w:val="16"/>
                <w:szCs w:val="16"/>
              </w:rPr>
              <w:t xml:space="preserve"> </w:t>
            </w:r>
            <w:r w:rsidRPr="00453823">
              <w:rPr>
                <w:rFonts w:cstheme="minorHAnsi"/>
                <w:sz w:val="16"/>
                <w:szCs w:val="16"/>
              </w:rPr>
              <w:t>very effective in decreasing the incidence of the different outcomes</w:t>
            </w:r>
            <w:r>
              <w:rPr>
                <w:rFonts w:cstheme="minorHAnsi"/>
                <w:sz w:val="16"/>
                <w:szCs w:val="16"/>
              </w:rPr>
              <w:t>; c</w:t>
            </w:r>
            <w:r w:rsidRPr="00453823">
              <w:rPr>
                <w:rFonts w:cstheme="minorHAnsi"/>
                <w:sz w:val="16"/>
                <w:szCs w:val="16"/>
              </w:rPr>
              <w:t>omplications were very rare</w:t>
            </w:r>
            <w:r>
              <w:rPr>
                <w:rFonts w:cstheme="minorHAnsi"/>
                <w:sz w:val="16"/>
                <w:szCs w:val="16"/>
              </w:rPr>
              <w:t>; a</w:t>
            </w:r>
            <w:r w:rsidRPr="00453823">
              <w:rPr>
                <w:rFonts w:cstheme="minorHAnsi"/>
                <w:sz w:val="16"/>
                <w:szCs w:val="16"/>
              </w:rPr>
              <w:t>ll included trials had very small</w:t>
            </w:r>
            <w:r>
              <w:rPr>
                <w:rFonts w:cstheme="minorHAnsi"/>
                <w:sz w:val="16"/>
                <w:szCs w:val="16"/>
              </w:rPr>
              <w:t xml:space="preserve"> </w:t>
            </w:r>
            <w:r w:rsidRPr="00453823">
              <w:rPr>
                <w:rFonts w:cstheme="minorHAnsi"/>
                <w:sz w:val="16"/>
                <w:szCs w:val="16"/>
              </w:rPr>
              <w:t xml:space="preserve">sample sizes to reliably </w:t>
            </w:r>
            <w:r w:rsidRPr="00453823">
              <w:rPr>
                <w:rFonts w:cstheme="minorHAnsi"/>
                <w:sz w:val="16"/>
                <w:szCs w:val="16"/>
              </w:rPr>
              <w:lastRenderedPageBreak/>
              <w:t>detect important differences between treatments</w:t>
            </w:r>
            <w:r>
              <w:rPr>
                <w:rFonts w:cstheme="minorHAnsi"/>
                <w:sz w:val="16"/>
                <w:szCs w:val="16"/>
              </w:rPr>
              <w:t>; f</w:t>
            </w:r>
            <w:r w:rsidRPr="00453823">
              <w:rPr>
                <w:rFonts w:cstheme="minorHAnsi"/>
                <w:sz w:val="16"/>
                <w:szCs w:val="16"/>
              </w:rPr>
              <w:t>uture studies should evaluate the most promising antibiotics,</w:t>
            </w:r>
            <w:r>
              <w:rPr>
                <w:rFonts w:cstheme="minorHAnsi"/>
                <w:sz w:val="16"/>
                <w:szCs w:val="16"/>
              </w:rPr>
              <w:t xml:space="preserve"> </w:t>
            </w:r>
            <w:r w:rsidRPr="00453823">
              <w:rPr>
                <w:rFonts w:cstheme="minorHAnsi"/>
                <w:sz w:val="16"/>
                <w:szCs w:val="16"/>
              </w:rPr>
              <w:t>in terms of class, timing, dose, acceptability, maternal and neonatal outcomes and costs</w:t>
            </w:r>
          </w:p>
          <w:p w14:paraId="2D43B9F0" w14:textId="77777777" w:rsidR="000C2E7B" w:rsidRDefault="000C2E7B" w:rsidP="000C2E7B">
            <w:pPr>
              <w:spacing w:before="40"/>
              <w:rPr>
                <w:rFonts w:cstheme="minorHAnsi"/>
                <w:sz w:val="16"/>
                <w:szCs w:val="16"/>
              </w:rPr>
            </w:pPr>
            <w:r>
              <w:rPr>
                <w:rFonts w:cstheme="minorHAnsi"/>
                <w:sz w:val="16"/>
                <w:szCs w:val="16"/>
              </w:rPr>
              <w:t>Randomized Controlled Trials:</w:t>
            </w:r>
            <w:r w:rsidRPr="00D15ACA">
              <w:rPr>
                <w:rFonts w:cstheme="minorHAnsi"/>
                <w:sz w:val="16"/>
                <w:szCs w:val="16"/>
              </w:rPr>
              <w:t xml:space="preserve"> </w:t>
            </w:r>
          </w:p>
          <w:p w14:paraId="10CB5E61" w14:textId="746FE0D9" w:rsidR="006A368C" w:rsidRDefault="006A368C" w:rsidP="006A368C">
            <w:pPr>
              <w:spacing w:before="40"/>
              <w:rPr>
                <w:rFonts w:cstheme="minorHAnsi"/>
                <w:sz w:val="16"/>
                <w:szCs w:val="16"/>
              </w:rPr>
            </w:pPr>
            <w:r w:rsidRPr="00BD61E2">
              <w:rPr>
                <w:rFonts w:cstheme="minorHAnsi"/>
                <w:sz w:val="16"/>
                <w:szCs w:val="16"/>
                <w:u w:val="single"/>
              </w:rPr>
              <w:t>Sanchez-Ramos 1995</w:t>
            </w:r>
            <w:r>
              <w:rPr>
                <w:rFonts w:cstheme="minorHAnsi"/>
                <w:sz w:val="16"/>
                <w:szCs w:val="16"/>
              </w:rPr>
              <w:t xml:space="preserve"> d</w:t>
            </w:r>
            <w:r w:rsidRPr="004E19F6">
              <w:rPr>
                <w:rFonts w:cstheme="minorHAnsi"/>
                <w:sz w:val="16"/>
                <w:szCs w:val="16"/>
              </w:rPr>
              <w:t>aily single-dose intravenous ceftriaxone is as effective as multiple-dose cefazolin in the treatment of patients with acute pyelonephritis during pregnancy</w:t>
            </w:r>
          </w:p>
          <w:p w14:paraId="77D994FC" w14:textId="5F27EC0D" w:rsidR="00B900FF" w:rsidRDefault="00B900FF" w:rsidP="006A368C">
            <w:pPr>
              <w:spacing w:before="40"/>
              <w:rPr>
                <w:rFonts w:cstheme="minorHAnsi"/>
                <w:sz w:val="16"/>
                <w:szCs w:val="16"/>
              </w:rPr>
            </w:pPr>
            <w:r w:rsidRPr="00BD61E2">
              <w:rPr>
                <w:rFonts w:cstheme="minorHAnsi"/>
                <w:sz w:val="16"/>
                <w:szCs w:val="16"/>
                <w:u w:val="single"/>
              </w:rPr>
              <w:t>Van Dorsten 1987</w:t>
            </w:r>
            <w:r w:rsidR="00ED1C23">
              <w:rPr>
                <w:rFonts w:cstheme="minorHAnsi"/>
                <w:sz w:val="16"/>
                <w:szCs w:val="16"/>
              </w:rPr>
              <w:t xml:space="preserve"> results suggest that more aggressive management of acute pyelonephritis in pregnancy may be </w:t>
            </w:r>
            <w:proofErr w:type="gramStart"/>
            <w:r w:rsidR="00ED1C23">
              <w:rPr>
                <w:rFonts w:cstheme="minorHAnsi"/>
                <w:sz w:val="16"/>
                <w:szCs w:val="16"/>
              </w:rPr>
              <w:t>indicated</w:t>
            </w:r>
            <w:proofErr w:type="gramEnd"/>
            <w:r w:rsidR="00ED1C23">
              <w:rPr>
                <w:rFonts w:cstheme="minorHAnsi"/>
                <w:sz w:val="16"/>
                <w:szCs w:val="16"/>
              </w:rPr>
              <w:t xml:space="preserve"> and that suppressive therapy cannot compensate for inappropriate in-hospital management </w:t>
            </w:r>
          </w:p>
          <w:p w14:paraId="4E49CE68" w14:textId="77777777" w:rsidR="006A368C" w:rsidRDefault="006A368C" w:rsidP="004E19F6">
            <w:pPr>
              <w:spacing w:before="40"/>
              <w:rPr>
                <w:rFonts w:cstheme="minorHAnsi"/>
                <w:sz w:val="16"/>
                <w:szCs w:val="16"/>
              </w:rPr>
            </w:pPr>
          </w:p>
          <w:p w14:paraId="4F982B27" w14:textId="75DD15A7" w:rsidR="004E19F6" w:rsidRPr="00D15ACA" w:rsidRDefault="004E19F6" w:rsidP="000C2E7B">
            <w:pPr>
              <w:spacing w:before="40"/>
              <w:rPr>
                <w:rFonts w:cstheme="minorHAnsi"/>
                <w:sz w:val="16"/>
                <w:szCs w:val="16"/>
              </w:rPr>
            </w:pPr>
          </w:p>
        </w:tc>
        <w:tc>
          <w:tcPr>
            <w:tcW w:w="4798" w:type="dxa"/>
            <w:tcBorders>
              <w:top w:val="nil"/>
              <w:left w:val="nil"/>
              <w:bottom w:val="single" w:sz="4" w:space="0" w:color="D9D9D9" w:themeColor="background1" w:themeShade="D9"/>
              <w:right w:val="nil"/>
            </w:tcBorders>
          </w:tcPr>
          <w:p w14:paraId="35120CAC" w14:textId="2532623B" w:rsidR="00696B25" w:rsidRDefault="00696B25" w:rsidP="000C2E7B">
            <w:pPr>
              <w:spacing w:before="40" w:after="0"/>
              <w:rPr>
                <w:sz w:val="16"/>
                <w:szCs w:val="16"/>
              </w:rPr>
            </w:pPr>
            <w:proofErr w:type="spellStart"/>
            <w:r w:rsidRPr="0012032C">
              <w:rPr>
                <w:sz w:val="16"/>
                <w:szCs w:val="16"/>
                <w:u w:val="single"/>
              </w:rPr>
              <w:lastRenderedPageBreak/>
              <w:t>Denoble</w:t>
            </w:r>
            <w:proofErr w:type="spellEnd"/>
            <w:r w:rsidRPr="0012032C">
              <w:rPr>
                <w:sz w:val="16"/>
                <w:szCs w:val="16"/>
                <w:u w:val="single"/>
              </w:rPr>
              <w:t xml:space="preserve"> 2022</w:t>
            </w:r>
            <w:r w:rsidR="00ED414E">
              <w:rPr>
                <w:sz w:val="16"/>
                <w:szCs w:val="16"/>
              </w:rPr>
              <w:t xml:space="preserve"> </w:t>
            </w:r>
            <w:r w:rsidR="00D92422" w:rsidRPr="00D92422">
              <w:rPr>
                <w:sz w:val="16"/>
                <w:szCs w:val="16"/>
              </w:rPr>
              <w:t>in an age of increasing antibiotic resistance, more than one-half of pregnant women with bacteriuria experience at least 1 infection with an antibiotic-resistant organism</w:t>
            </w:r>
            <w:r w:rsidR="00D92422">
              <w:rPr>
                <w:sz w:val="16"/>
                <w:szCs w:val="16"/>
              </w:rPr>
              <w:t>; t</w:t>
            </w:r>
            <w:r w:rsidR="00D92422" w:rsidRPr="00D92422">
              <w:rPr>
                <w:sz w:val="16"/>
                <w:szCs w:val="16"/>
              </w:rPr>
              <w:t>hese resistance patterns have a real clinical impact as pregnant women with antibiotic-resistant gram-negative lower urinary tract infections have an estimated 2- to 3-fold increased odds of developing pyelonephritis</w:t>
            </w:r>
          </w:p>
          <w:p w14:paraId="4D2F0179" w14:textId="77777777" w:rsidR="00696B25" w:rsidRPr="00696B25" w:rsidRDefault="00696B25" w:rsidP="000C2E7B">
            <w:pPr>
              <w:spacing w:before="40" w:after="0"/>
              <w:rPr>
                <w:sz w:val="16"/>
                <w:szCs w:val="16"/>
              </w:rPr>
            </w:pPr>
          </w:p>
          <w:p w14:paraId="2ADFECF0" w14:textId="2E21F9DF" w:rsidR="000C2E7B" w:rsidRDefault="000C2E7B" w:rsidP="000C2E7B">
            <w:pPr>
              <w:spacing w:before="40" w:after="0"/>
              <w:rPr>
                <w:rFonts w:cstheme="minorHAnsi"/>
                <w:sz w:val="16"/>
                <w:szCs w:val="16"/>
              </w:rPr>
            </w:pPr>
            <w:proofErr w:type="spellStart"/>
            <w:r w:rsidRPr="0012032C">
              <w:rPr>
                <w:rFonts w:cstheme="minorHAnsi"/>
                <w:sz w:val="16"/>
                <w:szCs w:val="16"/>
                <w:u w:val="single"/>
              </w:rPr>
              <w:t>Artero</w:t>
            </w:r>
            <w:proofErr w:type="spellEnd"/>
            <w:r w:rsidRPr="0012032C">
              <w:rPr>
                <w:rFonts w:cstheme="minorHAnsi"/>
                <w:sz w:val="16"/>
                <w:szCs w:val="16"/>
                <w:u w:val="single"/>
              </w:rPr>
              <w:t xml:space="preserve"> 2013</w:t>
            </w:r>
            <w:r>
              <w:rPr>
                <w:rFonts w:cstheme="minorHAnsi"/>
                <w:sz w:val="16"/>
                <w:szCs w:val="16"/>
              </w:rPr>
              <w:t xml:space="preserve"> p</w:t>
            </w:r>
            <w:r w:rsidRPr="00875671">
              <w:rPr>
                <w:rFonts w:cstheme="minorHAnsi"/>
                <w:sz w:val="16"/>
                <w:szCs w:val="16"/>
              </w:rPr>
              <w:t>regnant women with pyelonephritis received</w:t>
            </w:r>
            <w:r>
              <w:rPr>
                <w:rFonts w:cstheme="minorHAnsi"/>
                <w:sz w:val="16"/>
                <w:szCs w:val="16"/>
              </w:rPr>
              <w:t xml:space="preserve"> </w:t>
            </w:r>
            <w:r w:rsidRPr="00875671">
              <w:rPr>
                <w:rFonts w:cstheme="minorHAnsi"/>
                <w:sz w:val="16"/>
                <w:szCs w:val="16"/>
              </w:rPr>
              <w:t>inappropriate empirical antimicrobial</w:t>
            </w:r>
            <w:r>
              <w:rPr>
                <w:rFonts w:cstheme="minorHAnsi"/>
                <w:sz w:val="16"/>
                <w:szCs w:val="16"/>
              </w:rPr>
              <w:t xml:space="preserve"> t</w:t>
            </w:r>
            <w:r w:rsidRPr="00875671">
              <w:rPr>
                <w:rFonts w:cstheme="minorHAnsi"/>
                <w:sz w:val="16"/>
                <w:szCs w:val="16"/>
              </w:rPr>
              <w:t>reatment</w:t>
            </w:r>
            <w:r>
              <w:rPr>
                <w:rFonts w:cstheme="minorHAnsi"/>
                <w:sz w:val="16"/>
                <w:szCs w:val="16"/>
              </w:rPr>
              <w:t xml:space="preserve"> (</w:t>
            </w:r>
            <w:r w:rsidRPr="00875671">
              <w:rPr>
                <w:rFonts w:cstheme="minorHAnsi"/>
                <w:sz w:val="16"/>
                <w:szCs w:val="16"/>
              </w:rPr>
              <w:t>IEAT</w:t>
            </w:r>
            <w:r>
              <w:rPr>
                <w:rFonts w:cstheme="minorHAnsi"/>
                <w:sz w:val="16"/>
                <w:szCs w:val="16"/>
              </w:rPr>
              <w:t>)</w:t>
            </w:r>
            <w:r w:rsidRPr="00875671">
              <w:rPr>
                <w:rFonts w:cstheme="minorHAnsi"/>
                <w:sz w:val="16"/>
                <w:szCs w:val="16"/>
              </w:rPr>
              <w:t xml:space="preserve"> in a small but significant number of cases</w:t>
            </w:r>
            <w:r>
              <w:rPr>
                <w:rFonts w:cstheme="minorHAnsi"/>
                <w:sz w:val="16"/>
                <w:szCs w:val="16"/>
              </w:rPr>
              <w:t>; a</w:t>
            </w:r>
            <w:r w:rsidRPr="00875671">
              <w:rPr>
                <w:rFonts w:cstheme="minorHAnsi"/>
                <w:sz w:val="16"/>
                <w:szCs w:val="16"/>
              </w:rPr>
              <w:t>moxicillin-</w:t>
            </w:r>
            <w:proofErr w:type="spellStart"/>
            <w:r w:rsidRPr="00875671">
              <w:rPr>
                <w:rFonts w:cstheme="minorHAnsi"/>
                <w:sz w:val="16"/>
                <w:szCs w:val="16"/>
              </w:rPr>
              <w:t>clavulante</w:t>
            </w:r>
            <w:proofErr w:type="spellEnd"/>
            <w:r w:rsidRPr="00875671">
              <w:rPr>
                <w:rFonts w:cstheme="minorHAnsi"/>
                <w:sz w:val="16"/>
                <w:szCs w:val="16"/>
              </w:rPr>
              <w:t xml:space="preserve"> and cephalosporines were adequate in most</w:t>
            </w:r>
            <w:r>
              <w:rPr>
                <w:rFonts w:cstheme="minorHAnsi"/>
                <w:sz w:val="16"/>
                <w:szCs w:val="16"/>
              </w:rPr>
              <w:t xml:space="preserve"> </w:t>
            </w:r>
            <w:r w:rsidRPr="00875671">
              <w:rPr>
                <w:rFonts w:cstheme="minorHAnsi"/>
                <w:sz w:val="16"/>
                <w:szCs w:val="16"/>
              </w:rPr>
              <w:t>cases</w:t>
            </w:r>
            <w:r>
              <w:rPr>
                <w:rFonts w:cstheme="minorHAnsi"/>
                <w:sz w:val="16"/>
                <w:szCs w:val="16"/>
              </w:rPr>
              <w:t>; m</w:t>
            </w:r>
            <w:r w:rsidRPr="00875671">
              <w:rPr>
                <w:rFonts w:cstheme="minorHAnsi"/>
                <w:sz w:val="16"/>
                <w:szCs w:val="16"/>
              </w:rPr>
              <w:t>ore studies are needed to define the clinical impact of</w:t>
            </w:r>
            <w:r>
              <w:rPr>
                <w:rFonts w:cstheme="minorHAnsi"/>
                <w:sz w:val="16"/>
                <w:szCs w:val="16"/>
              </w:rPr>
              <w:t xml:space="preserve"> </w:t>
            </w:r>
            <w:r w:rsidRPr="00875671">
              <w:rPr>
                <w:rFonts w:cstheme="minorHAnsi"/>
                <w:sz w:val="16"/>
                <w:szCs w:val="16"/>
              </w:rPr>
              <w:t>IEAT on prognosis</w:t>
            </w:r>
          </w:p>
          <w:p w14:paraId="2A7A25DD" w14:textId="2B0B6036" w:rsidR="001E7B65" w:rsidRDefault="001E7B65" w:rsidP="000C2E7B">
            <w:pPr>
              <w:spacing w:before="40" w:after="0"/>
              <w:rPr>
                <w:rFonts w:cstheme="minorHAnsi"/>
                <w:sz w:val="16"/>
                <w:szCs w:val="16"/>
              </w:rPr>
            </w:pPr>
          </w:p>
          <w:p w14:paraId="6E76C8B0" w14:textId="68306486" w:rsidR="001E7B65" w:rsidRDefault="001E7B65" w:rsidP="000C2E7B">
            <w:pPr>
              <w:spacing w:before="40" w:after="0"/>
              <w:rPr>
                <w:rFonts w:cstheme="minorHAnsi"/>
                <w:sz w:val="16"/>
                <w:szCs w:val="16"/>
              </w:rPr>
            </w:pPr>
            <w:r w:rsidRPr="00BD61E2">
              <w:rPr>
                <w:rFonts w:cstheme="minorHAnsi"/>
                <w:sz w:val="16"/>
                <w:szCs w:val="16"/>
                <w:u w:val="single"/>
              </w:rPr>
              <w:t>Rizvi 2011</w:t>
            </w:r>
            <w:r>
              <w:rPr>
                <w:rFonts w:cstheme="minorHAnsi"/>
                <w:sz w:val="16"/>
                <w:szCs w:val="16"/>
              </w:rPr>
              <w:t xml:space="preserve"> </w:t>
            </w:r>
            <w:r w:rsidRPr="001E7B65">
              <w:rPr>
                <w:sz w:val="16"/>
                <w:szCs w:val="16"/>
              </w:rPr>
              <w:t>r</w:t>
            </w:r>
            <w:r w:rsidRPr="001E7B65">
              <w:rPr>
                <w:rFonts w:cstheme="minorHAnsi"/>
                <w:sz w:val="16"/>
                <w:szCs w:val="16"/>
              </w:rPr>
              <w:t>egular screening should be done for the presence of symptomatic or asymptomatic bacteriuria in pregnancy</w:t>
            </w:r>
            <w:r>
              <w:rPr>
                <w:rFonts w:cstheme="minorHAnsi"/>
                <w:sz w:val="16"/>
                <w:szCs w:val="16"/>
              </w:rPr>
              <w:t xml:space="preserve">; </w:t>
            </w:r>
            <w:r w:rsidRPr="001E7B65">
              <w:rPr>
                <w:sz w:val="16"/>
                <w:szCs w:val="16"/>
              </w:rPr>
              <w:t>f</w:t>
            </w:r>
            <w:r w:rsidRPr="001E7B65">
              <w:rPr>
                <w:rFonts w:cstheme="minorHAnsi"/>
                <w:sz w:val="16"/>
                <w:szCs w:val="16"/>
              </w:rPr>
              <w:t xml:space="preserve">or empirical treatment </w:t>
            </w:r>
            <w:proofErr w:type="spellStart"/>
            <w:r w:rsidRPr="001E7B65">
              <w:rPr>
                <w:rFonts w:cstheme="minorHAnsi"/>
                <w:sz w:val="16"/>
                <w:szCs w:val="16"/>
              </w:rPr>
              <w:t>cefoperazone-sulbactum</w:t>
            </w:r>
            <w:proofErr w:type="spellEnd"/>
            <w:r w:rsidRPr="001E7B65">
              <w:rPr>
                <w:rFonts w:cstheme="minorHAnsi"/>
                <w:sz w:val="16"/>
                <w:szCs w:val="16"/>
              </w:rPr>
              <w:t xml:space="preserve"> can be</w:t>
            </w:r>
            <w:r>
              <w:rPr>
                <w:rFonts w:cstheme="minorHAnsi"/>
                <w:sz w:val="16"/>
                <w:szCs w:val="16"/>
              </w:rPr>
              <w:t xml:space="preserve"> </w:t>
            </w:r>
            <w:r w:rsidRPr="001E7B65">
              <w:rPr>
                <w:rFonts w:cstheme="minorHAnsi"/>
                <w:sz w:val="16"/>
                <w:szCs w:val="16"/>
              </w:rPr>
              <w:t xml:space="preserve">recommended, which is a safe drug, covering both gram positive and </w:t>
            </w:r>
            <w:proofErr w:type="gramStart"/>
            <w:r w:rsidRPr="001E7B65">
              <w:rPr>
                <w:rFonts w:cstheme="minorHAnsi"/>
                <w:sz w:val="16"/>
                <w:szCs w:val="16"/>
              </w:rPr>
              <w:t>gram negative</w:t>
            </w:r>
            <w:proofErr w:type="gramEnd"/>
            <w:r w:rsidRPr="001E7B65">
              <w:rPr>
                <w:rFonts w:cstheme="minorHAnsi"/>
                <w:sz w:val="16"/>
                <w:szCs w:val="16"/>
              </w:rPr>
              <w:t xml:space="preserve"> organisms and with a good sensitivity</w:t>
            </w:r>
          </w:p>
          <w:p w14:paraId="72C2C3C7" w14:textId="77777777" w:rsidR="00B900FF" w:rsidRDefault="00B900FF" w:rsidP="000C2E7B">
            <w:pPr>
              <w:spacing w:before="40" w:after="0"/>
              <w:rPr>
                <w:rFonts w:cstheme="minorHAnsi"/>
                <w:sz w:val="16"/>
                <w:szCs w:val="16"/>
              </w:rPr>
            </w:pPr>
          </w:p>
          <w:p w14:paraId="1A508439" w14:textId="01C705BF" w:rsidR="00B900FF" w:rsidRDefault="00B900FF" w:rsidP="00A15D17">
            <w:pPr>
              <w:spacing w:before="40" w:after="0"/>
              <w:rPr>
                <w:rFonts w:cstheme="minorHAnsi"/>
                <w:sz w:val="16"/>
                <w:szCs w:val="16"/>
              </w:rPr>
            </w:pPr>
            <w:r w:rsidRPr="00BD61E2">
              <w:rPr>
                <w:rFonts w:cstheme="minorHAnsi"/>
                <w:sz w:val="16"/>
                <w:szCs w:val="16"/>
                <w:u w:val="single"/>
              </w:rPr>
              <w:t>Greer 2008</w:t>
            </w:r>
            <w:r w:rsidR="00A15D17">
              <w:rPr>
                <w:rFonts w:cstheme="minorHAnsi"/>
                <w:sz w:val="16"/>
                <w:szCs w:val="16"/>
              </w:rPr>
              <w:t xml:space="preserve"> </w:t>
            </w:r>
            <w:r w:rsidR="00A15D17" w:rsidRPr="00A15D17">
              <w:rPr>
                <w:rFonts w:cstheme="minorHAnsi"/>
                <w:sz w:val="16"/>
                <w:szCs w:val="16"/>
              </w:rPr>
              <w:t>the patients with ampicillin-resistant organisms were more likely to be older and multiparous</w:t>
            </w:r>
            <w:r w:rsidR="00A15D17">
              <w:rPr>
                <w:rFonts w:cstheme="minorHAnsi"/>
                <w:sz w:val="16"/>
                <w:szCs w:val="16"/>
              </w:rPr>
              <w:t>; t</w:t>
            </w:r>
            <w:r w:rsidR="00A15D17" w:rsidRPr="00A15D17">
              <w:rPr>
                <w:rFonts w:cstheme="minorHAnsi"/>
                <w:sz w:val="16"/>
                <w:szCs w:val="16"/>
              </w:rPr>
              <w:t>here were no significant</w:t>
            </w:r>
            <w:r w:rsidR="00A077CD">
              <w:rPr>
                <w:rFonts w:cstheme="minorHAnsi"/>
                <w:sz w:val="16"/>
                <w:szCs w:val="16"/>
              </w:rPr>
              <w:t xml:space="preserve"> </w:t>
            </w:r>
            <w:r w:rsidR="00A15D17" w:rsidRPr="00A15D17">
              <w:rPr>
                <w:rFonts w:cstheme="minorHAnsi"/>
                <w:sz w:val="16"/>
                <w:szCs w:val="16"/>
              </w:rPr>
              <w:t xml:space="preserve">differences in hospital course (length of stay, days of antibiotics, </w:t>
            </w:r>
            <w:r w:rsidR="002579EC">
              <w:rPr>
                <w:rFonts w:cstheme="minorHAnsi"/>
                <w:sz w:val="16"/>
                <w:szCs w:val="16"/>
              </w:rPr>
              <w:t>extended care unit (</w:t>
            </w:r>
            <w:r w:rsidR="00A15D17" w:rsidRPr="00A15D17">
              <w:rPr>
                <w:rFonts w:cstheme="minorHAnsi"/>
                <w:sz w:val="16"/>
                <w:szCs w:val="16"/>
              </w:rPr>
              <w:t>ECU</w:t>
            </w:r>
            <w:r w:rsidR="002579EC">
              <w:rPr>
                <w:rFonts w:cstheme="minorHAnsi"/>
                <w:sz w:val="16"/>
                <w:szCs w:val="16"/>
              </w:rPr>
              <w:t>)</w:t>
            </w:r>
            <w:r w:rsidR="00A15D17" w:rsidRPr="00A15D17">
              <w:rPr>
                <w:rFonts w:cstheme="minorHAnsi"/>
                <w:sz w:val="16"/>
                <w:szCs w:val="16"/>
              </w:rPr>
              <w:t xml:space="preserve"> admission, or readmission)</w:t>
            </w:r>
            <w:r w:rsidR="00A077CD">
              <w:rPr>
                <w:rFonts w:cstheme="minorHAnsi"/>
                <w:sz w:val="16"/>
                <w:szCs w:val="16"/>
              </w:rPr>
              <w:t>; p</w:t>
            </w:r>
            <w:r w:rsidR="00A15D17" w:rsidRPr="00A15D17">
              <w:rPr>
                <w:rFonts w:cstheme="minorHAnsi"/>
                <w:sz w:val="16"/>
                <w:szCs w:val="16"/>
              </w:rPr>
              <w:t>atients with</w:t>
            </w:r>
            <w:r w:rsidR="00A077CD">
              <w:rPr>
                <w:rFonts w:cstheme="minorHAnsi"/>
                <w:sz w:val="16"/>
                <w:szCs w:val="16"/>
              </w:rPr>
              <w:t xml:space="preserve"> </w:t>
            </w:r>
            <w:r w:rsidR="00A15D17" w:rsidRPr="00A15D17">
              <w:rPr>
                <w:rFonts w:cstheme="minorHAnsi"/>
                <w:sz w:val="16"/>
                <w:szCs w:val="16"/>
              </w:rPr>
              <w:t>ampicillin</w:t>
            </w:r>
            <w:r w:rsidR="00A077CD">
              <w:rPr>
                <w:rFonts w:cstheme="minorHAnsi"/>
                <w:sz w:val="16"/>
                <w:szCs w:val="16"/>
              </w:rPr>
              <w:t xml:space="preserve"> </w:t>
            </w:r>
            <w:r w:rsidR="00A15D17" w:rsidRPr="00A15D17">
              <w:rPr>
                <w:rFonts w:cstheme="minorHAnsi"/>
                <w:sz w:val="16"/>
                <w:szCs w:val="16"/>
              </w:rPr>
              <w:t>resistant</w:t>
            </w:r>
            <w:r w:rsidR="00A077CD">
              <w:rPr>
                <w:rFonts w:cstheme="minorHAnsi"/>
                <w:sz w:val="16"/>
                <w:szCs w:val="16"/>
              </w:rPr>
              <w:t xml:space="preserve"> </w:t>
            </w:r>
            <w:r w:rsidR="00A15D17" w:rsidRPr="00A15D17">
              <w:rPr>
                <w:rFonts w:cstheme="minorHAnsi"/>
                <w:sz w:val="16"/>
                <w:szCs w:val="16"/>
              </w:rPr>
              <w:t>organisms did not have higher complication rates (anemia, renal dysfunction, respiratory insufficiency, or preterm</w:t>
            </w:r>
            <w:r w:rsidR="00A077CD">
              <w:rPr>
                <w:rFonts w:cstheme="minorHAnsi"/>
                <w:sz w:val="16"/>
                <w:szCs w:val="16"/>
              </w:rPr>
              <w:t xml:space="preserve"> </w:t>
            </w:r>
            <w:r w:rsidR="00A15D17" w:rsidRPr="00A15D17">
              <w:rPr>
                <w:rFonts w:cstheme="minorHAnsi"/>
                <w:sz w:val="16"/>
                <w:szCs w:val="16"/>
              </w:rPr>
              <w:t>birth)</w:t>
            </w:r>
            <w:r w:rsidR="00A077CD">
              <w:rPr>
                <w:rFonts w:cstheme="minorHAnsi"/>
                <w:sz w:val="16"/>
                <w:szCs w:val="16"/>
              </w:rPr>
              <w:t xml:space="preserve">; a </w:t>
            </w:r>
            <w:r w:rsidR="00A15D17" w:rsidRPr="00A15D17">
              <w:rPr>
                <w:rFonts w:cstheme="minorHAnsi"/>
                <w:sz w:val="16"/>
                <w:szCs w:val="16"/>
              </w:rPr>
              <w:t xml:space="preserve">majority of </w:t>
            </w:r>
            <w:proofErr w:type="spellStart"/>
            <w:r w:rsidR="00A15D17" w:rsidRPr="00A15D17">
              <w:rPr>
                <w:rFonts w:cstheme="minorHAnsi"/>
                <w:sz w:val="16"/>
                <w:szCs w:val="16"/>
              </w:rPr>
              <w:t>uropathogens</w:t>
            </w:r>
            <w:proofErr w:type="spellEnd"/>
            <w:r w:rsidR="00A15D17" w:rsidRPr="00A15D17">
              <w:rPr>
                <w:rFonts w:cstheme="minorHAnsi"/>
                <w:sz w:val="16"/>
                <w:szCs w:val="16"/>
              </w:rPr>
              <w:t xml:space="preserve"> were ampicillin resistant, but no differences in outcomes were observed in these patients</w:t>
            </w:r>
          </w:p>
          <w:p w14:paraId="293F4F71" w14:textId="7CD76BC7" w:rsidR="001E7B65" w:rsidRDefault="001E7B65" w:rsidP="00A15D17">
            <w:pPr>
              <w:spacing w:before="40" w:after="0"/>
              <w:rPr>
                <w:rFonts w:cstheme="minorHAnsi"/>
                <w:sz w:val="16"/>
                <w:szCs w:val="16"/>
              </w:rPr>
            </w:pPr>
          </w:p>
          <w:p w14:paraId="6F4EA74D" w14:textId="3AC349FB" w:rsidR="001E7B65" w:rsidRDefault="001E7B65" w:rsidP="00A15D17">
            <w:pPr>
              <w:spacing w:before="40" w:after="0"/>
              <w:rPr>
                <w:rFonts w:cstheme="minorHAnsi"/>
                <w:sz w:val="16"/>
                <w:szCs w:val="16"/>
              </w:rPr>
            </w:pPr>
            <w:r w:rsidRPr="00BD61E2">
              <w:rPr>
                <w:rFonts w:cstheme="minorHAnsi"/>
                <w:sz w:val="16"/>
                <w:szCs w:val="16"/>
                <w:u w:val="single"/>
              </w:rPr>
              <w:t>Melzer 2007</w:t>
            </w:r>
            <w:r>
              <w:rPr>
                <w:rFonts w:cstheme="minorHAnsi"/>
                <w:sz w:val="16"/>
                <w:szCs w:val="16"/>
              </w:rPr>
              <w:t xml:space="preserve"> </w:t>
            </w:r>
            <w:r w:rsidRPr="001E7B65">
              <w:rPr>
                <w:sz w:val="16"/>
                <w:szCs w:val="16"/>
              </w:rPr>
              <w:t>m</w:t>
            </w:r>
            <w:r w:rsidRPr="001E7B65">
              <w:rPr>
                <w:rFonts w:cstheme="minorHAnsi"/>
                <w:sz w:val="16"/>
                <w:szCs w:val="16"/>
              </w:rPr>
              <w:t xml:space="preserve">ortality following </w:t>
            </w:r>
            <w:r w:rsidR="00BD61E2" w:rsidRPr="001E7B65">
              <w:rPr>
                <w:rFonts w:cstheme="minorHAnsi"/>
                <w:sz w:val="16"/>
                <w:szCs w:val="16"/>
              </w:rPr>
              <w:t>bacteremia</w:t>
            </w:r>
            <w:r w:rsidRPr="001E7B65">
              <w:rPr>
                <w:rFonts w:cstheme="minorHAnsi"/>
                <w:sz w:val="16"/>
                <w:szCs w:val="16"/>
              </w:rPr>
              <w:t xml:space="preserve"> infection caused by ESBL producing E. coli was significantly higher than non-ESBL producing E. col</w:t>
            </w:r>
            <w:r>
              <w:rPr>
                <w:rFonts w:cstheme="minorHAnsi"/>
                <w:sz w:val="16"/>
                <w:szCs w:val="16"/>
              </w:rPr>
              <w:t>i</w:t>
            </w:r>
          </w:p>
          <w:p w14:paraId="0C0D74D0" w14:textId="77777777" w:rsidR="00EC31DA" w:rsidRDefault="00EC31DA" w:rsidP="000C2E7B">
            <w:pPr>
              <w:spacing w:before="40" w:after="0"/>
              <w:rPr>
                <w:rFonts w:cstheme="minorHAnsi"/>
                <w:sz w:val="16"/>
                <w:szCs w:val="16"/>
              </w:rPr>
            </w:pPr>
          </w:p>
          <w:p w14:paraId="6B917C3E" w14:textId="6302F60C" w:rsidR="000C2E7B" w:rsidRDefault="00EC31DA" w:rsidP="00EC31DA">
            <w:pPr>
              <w:spacing w:before="40"/>
              <w:rPr>
                <w:rFonts w:cstheme="minorHAnsi"/>
                <w:sz w:val="16"/>
                <w:szCs w:val="16"/>
              </w:rPr>
            </w:pPr>
            <w:r w:rsidRPr="00BD61E2">
              <w:rPr>
                <w:rFonts w:cstheme="minorHAnsi"/>
                <w:sz w:val="16"/>
                <w:szCs w:val="16"/>
                <w:u w:val="single"/>
              </w:rPr>
              <w:t>Chen 2006</w:t>
            </w:r>
            <w:r>
              <w:rPr>
                <w:rFonts w:cstheme="minorHAnsi"/>
                <w:sz w:val="16"/>
                <w:szCs w:val="16"/>
              </w:rPr>
              <w:t xml:space="preserve"> i</w:t>
            </w:r>
            <w:r w:rsidRPr="00E25323">
              <w:rPr>
                <w:rFonts w:cstheme="minorHAnsi"/>
                <w:sz w:val="16"/>
                <w:szCs w:val="16"/>
              </w:rPr>
              <w:t>n the management of complicated acute pyelonephritis</w:t>
            </w:r>
            <w:r>
              <w:rPr>
                <w:rFonts w:cstheme="minorHAnsi"/>
                <w:sz w:val="16"/>
                <w:szCs w:val="16"/>
              </w:rPr>
              <w:t xml:space="preserve"> (</w:t>
            </w:r>
            <w:r w:rsidRPr="00E25323">
              <w:rPr>
                <w:rFonts w:cstheme="minorHAnsi"/>
                <w:sz w:val="16"/>
                <w:szCs w:val="16"/>
              </w:rPr>
              <w:t>APN</w:t>
            </w:r>
            <w:r>
              <w:rPr>
                <w:rFonts w:cstheme="minorHAnsi"/>
                <w:sz w:val="16"/>
                <w:szCs w:val="16"/>
              </w:rPr>
              <w:t>)</w:t>
            </w:r>
            <w:r w:rsidRPr="00E25323">
              <w:rPr>
                <w:rFonts w:cstheme="minorHAnsi"/>
                <w:sz w:val="16"/>
                <w:szCs w:val="16"/>
              </w:rPr>
              <w:t>, routine cultures of blood should be reevaluated</w:t>
            </w:r>
          </w:p>
          <w:p w14:paraId="157A839E" w14:textId="15FE478B" w:rsidR="002C6CF3" w:rsidRDefault="002C6CF3" w:rsidP="002C6CF3">
            <w:pPr>
              <w:spacing w:before="40"/>
              <w:rPr>
                <w:rFonts w:cstheme="minorHAnsi"/>
                <w:sz w:val="16"/>
                <w:szCs w:val="16"/>
              </w:rPr>
            </w:pPr>
            <w:r w:rsidRPr="00BD61E2">
              <w:rPr>
                <w:rFonts w:cstheme="minorHAnsi"/>
                <w:sz w:val="16"/>
                <w:szCs w:val="16"/>
                <w:u w:val="single"/>
              </w:rPr>
              <w:t>Hill 2005</w:t>
            </w:r>
            <w:r w:rsidRPr="00DD510F">
              <w:rPr>
                <w:rFonts w:cstheme="minorHAnsi"/>
                <w:sz w:val="16"/>
                <w:szCs w:val="16"/>
              </w:rPr>
              <w:t xml:space="preserve"> </w:t>
            </w:r>
            <w:r w:rsidRPr="00DD510F">
              <w:rPr>
                <w:sz w:val="16"/>
                <w:szCs w:val="16"/>
              </w:rPr>
              <w:t>t</w:t>
            </w:r>
            <w:r w:rsidRPr="00DD510F">
              <w:rPr>
                <w:rFonts w:cstheme="minorHAnsi"/>
                <w:sz w:val="16"/>
                <w:szCs w:val="16"/>
              </w:rPr>
              <w:t>he</w:t>
            </w:r>
            <w:r w:rsidRPr="0067504D">
              <w:rPr>
                <w:rFonts w:cstheme="minorHAnsi"/>
                <w:sz w:val="16"/>
                <w:szCs w:val="16"/>
              </w:rPr>
              <w:t xml:space="preserve"> incidence of pyelonephritis has remained low in the era of routine prenatal screening for asymptomatic bacteriuria</w:t>
            </w:r>
            <w:r>
              <w:rPr>
                <w:rFonts w:cstheme="minorHAnsi"/>
                <w:sz w:val="16"/>
                <w:szCs w:val="16"/>
              </w:rPr>
              <w:t>; f</w:t>
            </w:r>
            <w:r w:rsidRPr="0067504D">
              <w:rPr>
                <w:rFonts w:cstheme="minorHAnsi"/>
                <w:sz w:val="16"/>
                <w:szCs w:val="16"/>
              </w:rPr>
              <w:t>irst-trimester pyelonephritis accounts for over 1 in 5 antepartum cases</w:t>
            </w:r>
            <w:r>
              <w:rPr>
                <w:rFonts w:cstheme="minorHAnsi"/>
                <w:sz w:val="16"/>
                <w:szCs w:val="16"/>
              </w:rPr>
              <w:t>; g</w:t>
            </w:r>
            <w:r w:rsidRPr="0067504D">
              <w:rPr>
                <w:rFonts w:cstheme="minorHAnsi"/>
                <w:sz w:val="16"/>
                <w:szCs w:val="16"/>
              </w:rPr>
              <w:t xml:space="preserve">ram-positive </w:t>
            </w:r>
            <w:proofErr w:type="spellStart"/>
            <w:r w:rsidRPr="0067504D">
              <w:rPr>
                <w:rFonts w:cstheme="minorHAnsi"/>
                <w:sz w:val="16"/>
                <w:szCs w:val="16"/>
              </w:rPr>
              <w:t>uropathogens</w:t>
            </w:r>
            <w:proofErr w:type="spellEnd"/>
            <w:r w:rsidRPr="0067504D">
              <w:rPr>
                <w:rFonts w:cstheme="minorHAnsi"/>
                <w:sz w:val="16"/>
                <w:szCs w:val="16"/>
              </w:rPr>
              <w:t xml:space="preserve"> are found more commonly as pregnancy progresses</w:t>
            </w:r>
            <w:r>
              <w:rPr>
                <w:rFonts w:cstheme="minorHAnsi"/>
                <w:sz w:val="16"/>
                <w:szCs w:val="16"/>
              </w:rPr>
              <w:t>; m</w:t>
            </w:r>
            <w:r w:rsidRPr="0067504D">
              <w:rPr>
                <w:rFonts w:cstheme="minorHAnsi"/>
                <w:sz w:val="16"/>
                <w:szCs w:val="16"/>
              </w:rPr>
              <w:t>aternal complications continue, but poor obstetrical outcomes are rare</w:t>
            </w:r>
          </w:p>
          <w:p w14:paraId="70566A12" w14:textId="69A01EEF" w:rsidR="004E19F6" w:rsidRDefault="004E19F6" w:rsidP="004E19F6">
            <w:pPr>
              <w:spacing w:before="40"/>
              <w:rPr>
                <w:rFonts w:cstheme="minorHAnsi"/>
                <w:sz w:val="16"/>
                <w:szCs w:val="16"/>
              </w:rPr>
            </w:pPr>
            <w:r w:rsidRPr="00BD61E2">
              <w:rPr>
                <w:rFonts w:cstheme="minorHAnsi"/>
                <w:sz w:val="16"/>
                <w:szCs w:val="16"/>
                <w:u w:val="single"/>
              </w:rPr>
              <w:t>Wing 1998</w:t>
            </w:r>
            <w:r>
              <w:rPr>
                <w:rFonts w:cstheme="minorHAnsi"/>
                <w:sz w:val="16"/>
                <w:szCs w:val="16"/>
              </w:rPr>
              <w:t xml:space="preserve"> t</w:t>
            </w:r>
            <w:r w:rsidRPr="004E19F6">
              <w:rPr>
                <w:rFonts w:cstheme="minorHAnsi"/>
                <w:sz w:val="16"/>
                <w:szCs w:val="16"/>
              </w:rPr>
              <w:t>here are no significant differences in clinical response to antimicrobial therapy or birth outcomes among subjects treated with ampicillin and gentamicin, cefazolin, or ceftriaxone for acute pyelonephritis in pregnancy before 24 weeks' gestation</w:t>
            </w:r>
          </w:p>
          <w:p w14:paraId="7B628EBF" w14:textId="41DB5725" w:rsidR="000C2E7B" w:rsidRDefault="00302306" w:rsidP="00837DC4">
            <w:pPr>
              <w:spacing w:before="40"/>
              <w:rPr>
                <w:rFonts w:cstheme="minorHAnsi"/>
                <w:sz w:val="16"/>
                <w:szCs w:val="16"/>
              </w:rPr>
            </w:pPr>
            <w:r w:rsidRPr="00BD61E2">
              <w:rPr>
                <w:rFonts w:cstheme="minorHAnsi"/>
                <w:sz w:val="16"/>
                <w:szCs w:val="16"/>
                <w:u w:val="single"/>
              </w:rPr>
              <w:t>Sandberg 1991</w:t>
            </w:r>
            <w:r>
              <w:rPr>
                <w:rFonts w:cstheme="minorHAnsi"/>
                <w:sz w:val="16"/>
                <w:szCs w:val="16"/>
              </w:rPr>
              <w:t xml:space="preserve"> </w:t>
            </w:r>
            <w:r w:rsidRPr="00302306">
              <w:rPr>
                <w:rFonts w:cstheme="minorHAnsi"/>
                <w:sz w:val="16"/>
                <w:szCs w:val="16"/>
              </w:rPr>
              <w:t>results show that long-term low-dose antimicrobial prophylaxis is highly effective in this population at high risk of recurrent acute pyelonephritis</w:t>
            </w:r>
          </w:p>
          <w:p w14:paraId="7CB89170" w14:textId="63DC62ED" w:rsidR="00302306" w:rsidRPr="0090298E" w:rsidRDefault="0090298E" w:rsidP="00837DC4">
            <w:pPr>
              <w:spacing w:before="40"/>
            </w:pPr>
            <w:r>
              <w:rPr>
                <w:rFonts w:cstheme="minorHAnsi"/>
                <w:sz w:val="16"/>
                <w:szCs w:val="16"/>
                <w:u w:val="single"/>
              </w:rPr>
              <w:t>Wing 2014</w:t>
            </w:r>
            <w:r>
              <w:rPr>
                <w:rFonts w:cstheme="minorHAnsi"/>
                <w:sz w:val="16"/>
                <w:szCs w:val="16"/>
              </w:rPr>
              <w:t xml:space="preserve"> m</w:t>
            </w:r>
            <w:r w:rsidRPr="0090298E">
              <w:rPr>
                <w:rFonts w:cstheme="minorHAnsi"/>
                <w:sz w:val="16"/>
                <w:szCs w:val="16"/>
              </w:rPr>
              <w:t>aternal complications</w:t>
            </w:r>
            <w:r>
              <w:rPr>
                <w:rFonts w:cstheme="minorHAnsi"/>
                <w:sz w:val="16"/>
                <w:szCs w:val="16"/>
              </w:rPr>
              <w:t xml:space="preserve"> of anemia, septicemia, acute pulmonary insufficiency, and acute renal dysfunction </w:t>
            </w:r>
            <w:r w:rsidRPr="0090298E">
              <w:rPr>
                <w:rFonts w:cstheme="minorHAnsi"/>
                <w:sz w:val="16"/>
                <w:szCs w:val="16"/>
              </w:rPr>
              <w:t xml:space="preserve">are commonly </w:t>
            </w:r>
            <w:r w:rsidRPr="0090298E">
              <w:rPr>
                <w:rFonts w:cstheme="minorHAnsi"/>
                <w:sz w:val="16"/>
                <w:szCs w:val="16"/>
              </w:rPr>
              <w:t>encountered,</w:t>
            </w:r>
            <w:r w:rsidRPr="0090298E">
              <w:rPr>
                <w:rFonts w:cstheme="minorHAnsi"/>
                <w:sz w:val="16"/>
                <w:szCs w:val="16"/>
              </w:rPr>
              <w:t xml:space="preserve"> and the risk of preterm birth is higher </w:t>
            </w:r>
            <w:r>
              <w:rPr>
                <w:rFonts w:cstheme="minorHAnsi"/>
                <w:sz w:val="16"/>
                <w:szCs w:val="16"/>
              </w:rPr>
              <w:t>in the obstetric population with py</w:t>
            </w:r>
            <w:r w:rsidR="00FD3410">
              <w:rPr>
                <w:rFonts w:cstheme="minorHAnsi"/>
                <w:sz w:val="16"/>
                <w:szCs w:val="16"/>
              </w:rPr>
              <w:t xml:space="preserve">elonephritis </w:t>
            </w:r>
            <w:r w:rsidRPr="0090298E">
              <w:rPr>
                <w:rFonts w:cstheme="minorHAnsi"/>
                <w:sz w:val="16"/>
                <w:szCs w:val="16"/>
              </w:rPr>
              <w:t xml:space="preserve">than the baseline obstetric </w:t>
            </w:r>
            <w:proofErr w:type="spellStart"/>
            <w:r w:rsidRPr="0090298E">
              <w:rPr>
                <w:rFonts w:cstheme="minorHAnsi"/>
                <w:sz w:val="16"/>
                <w:szCs w:val="16"/>
              </w:rPr>
              <w:t>populatio</w:t>
            </w:r>
            <w:proofErr w:type="spellEnd"/>
          </w:p>
        </w:tc>
        <w:tc>
          <w:tcPr>
            <w:tcW w:w="4799" w:type="dxa"/>
            <w:tcBorders>
              <w:top w:val="nil"/>
              <w:left w:val="nil"/>
              <w:bottom w:val="single" w:sz="4" w:space="0" w:color="D9D9D9" w:themeColor="background1" w:themeShade="D9"/>
              <w:right w:val="single" w:sz="4" w:space="0" w:color="D9D9D9" w:themeColor="background1" w:themeShade="D9"/>
            </w:tcBorders>
          </w:tcPr>
          <w:p w14:paraId="763F66A2" w14:textId="61664452" w:rsidR="00EC31DA" w:rsidRDefault="00EC31DA" w:rsidP="00EC31DA">
            <w:pPr>
              <w:spacing w:before="40"/>
              <w:rPr>
                <w:rFonts w:cstheme="minorHAnsi"/>
                <w:sz w:val="16"/>
                <w:szCs w:val="16"/>
              </w:rPr>
            </w:pPr>
            <w:r w:rsidRPr="0012032C">
              <w:rPr>
                <w:rFonts w:cstheme="minorHAnsi"/>
                <w:sz w:val="16"/>
                <w:szCs w:val="16"/>
                <w:u w:val="single"/>
              </w:rPr>
              <w:lastRenderedPageBreak/>
              <w:t>Glaser 2015</w:t>
            </w:r>
            <w:r>
              <w:rPr>
                <w:rFonts w:cstheme="minorHAnsi"/>
                <w:sz w:val="16"/>
                <w:szCs w:val="16"/>
              </w:rPr>
              <w:t xml:space="preserve"> a</w:t>
            </w:r>
            <w:r w:rsidRPr="00C451ED">
              <w:rPr>
                <w:rFonts w:cstheme="minorHAnsi"/>
                <w:sz w:val="16"/>
                <w:szCs w:val="16"/>
              </w:rPr>
              <w:t>ntimicrobial choice in pregnancy should reflect safety for both the mother and the fetus</w:t>
            </w:r>
            <w:r>
              <w:rPr>
                <w:rFonts w:cstheme="minorHAnsi"/>
                <w:sz w:val="16"/>
                <w:szCs w:val="16"/>
              </w:rPr>
              <w:t>; p</w:t>
            </w:r>
            <w:r w:rsidRPr="00C451ED">
              <w:rPr>
                <w:rFonts w:cstheme="minorHAnsi"/>
                <w:sz w:val="16"/>
                <w:szCs w:val="16"/>
              </w:rPr>
              <w:t>regnant patients with cystitis should be treated for 3 to 7 day</w:t>
            </w:r>
            <w:r>
              <w:rPr>
                <w:rFonts w:cstheme="minorHAnsi"/>
                <w:sz w:val="16"/>
                <w:szCs w:val="16"/>
              </w:rPr>
              <w:t>s; t</w:t>
            </w:r>
            <w:r w:rsidRPr="00C451ED">
              <w:rPr>
                <w:rFonts w:cstheme="minorHAnsi"/>
                <w:sz w:val="16"/>
                <w:szCs w:val="16"/>
              </w:rPr>
              <w:t>hese patients should be followed</w:t>
            </w:r>
            <w:r>
              <w:rPr>
                <w:rFonts w:cstheme="minorHAnsi"/>
                <w:sz w:val="16"/>
                <w:szCs w:val="16"/>
              </w:rPr>
              <w:t xml:space="preserve"> </w:t>
            </w:r>
            <w:r w:rsidRPr="00C451ED">
              <w:rPr>
                <w:rFonts w:cstheme="minorHAnsi"/>
                <w:sz w:val="16"/>
                <w:szCs w:val="16"/>
              </w:rPr>
              <w:t>with serial cultures throughout pregnancy, and prophylactic antimicrobial therapy should be</w:t>
            </w:r>
            <w:r>
              <w:rPr>
                <w:rFonts w:cstheme="minorHAnsi"/>
                <w:sz w:val="16"/>
                <w:szCs w:val="16"/>
              </w:rPr>
              <w:t xml:space="preserve"> </w:t>
            </w:r>
            <w:r w:rsidRPr="00C451ED">
              <w:rPr>
                <w:rFonts w:cstheme="minorHAnsi"/>
                <w:sz w:val="16"/>
                <w:szCs w:val="16"/>
              </w:rPr>
              <w:t>considered</w:t>
            </w:r>
            <w:r>
              <w:rPr>
                <w:rFonts w:cstheme="minorHAnsi"/>
                <w:sz w:val="16"/>
                <w:szCs w:val="16"/>
              </w:rPr>
              <w:t>; p</w:t>
            </w:r>
            <w:r w:rsidRPr="001C28D6">
              <w:rPr>
                <w:rFonts w:cstheme="minorHAnsi"/>
                <w:sz w:val="16"/>
                <w:szCs w:val="16"/>
              </w:rPr>
              <w:t>regnant patients with pyelonephritis should initially be admitted for intravenous antimicrobial therapy</w:t>
            </w:r>
            <w:r>
              <w:rPr>
                <w:rFonts w:cstheme="minorHAnsi"/>
                <w:sz w:val="16"/>
                <w:szCs w:val="16"/>
              </w:rPr>
              <w:t xml:space="preserve"> </w:t>
            </w:r>
            <w:r w:rsidRPr="001C28D6">
              <w:rPr>
                <w:rFonts w:cstheme="minorHAnsi"/>
                <w:sz w:val="16"/>
                <w:szCs w:val="16"/>
              </w:rPr>
              <w:t>and receive a total of 7 to 14 days of culture-directed treatment</w:t>
            </w:r>
            <w:r>
              <w:rPr>
                <w:rFonts w:cstheme="minorHAnsi"/>
                <w:sz w:val="16"/>
                <w:szCs w:val="16"/>
              </w:rPr>
              <w:t>; t</w:t>
            </w:r>
            <w:r w:rsidRPr="001C28D6">
              <w:rPr>
                <w:rFonts w:cstheme="minorHAnsi"/>
                <w:sz w:val="16"/>
                <w:szCs w:val="16"/>
              </w:rPr>
              <w:t>hese patients should be followed</w:t>
            </w:r>
            <w:r>
              <w:rPr>
                <w:rFonts w:cstheme="minorHAnsi"/>
                <w:sz w:val="16"/>
                <w:szCs w:val="16"/>
              </w:rPr>
              <w:t xml:space="preserve"> </w:t>
            </w:r>
            <w:r w:rsidRPr="001C28D6">
              <w:rPr>
                <w:rFonts w:cstheme="minorHAnsi"/>
                <w:sz w:val="16"/>
                <w:szCs w:val="16"/>
              </w:rPr>
              <w:t>with serial cultures throughout pregnancy, and prophylactic antimicrobial therapy should be</w:t>
            </w:r>
            <w:r>
              <w:rPr>
                <w:rFonts w:cstheme="minorHAnsi"/>
                <w:sz w:val="16"/>
                <w:szCs w:val="16"/>
              </w:rPr>
              <w:t xml:space="preserve"> </w:t>
            </w:r>
            <w:r w:rsidRPr="001C28D6">
              <w:rPr>
                <w:rFonts w:cstheme="minorHAnsi"/>
                <w:sz w:val="16"/>
                <w:szCs w:val="16"/>
              </w:rPr>
              <w:t>strongly considered</w:t>
            </w:r>
          </w:p>
          <w:p w14:paraId="6D5CEC26" w14:textId="6C39E183" w:rsidR="000C2E7B" w:rsidRDefault="000C2E7B" w:rsidP="000C2E7B">
            <w:pPr>
              <w:spacing w:before="40"/>
              <w:rPr>
                <w:rFonts w:cstheme="minorHAnsi"/>
                <w:sz w:val="16"/>
                <w:szCs w:val="16"/>
              </w:rPr>
            </w:pPr>
            <w:r w:rsidRPr="0012032C">
              <w:rPr>
                <w:rFonts w:cstheme="minorHAnsi"/>
                <w:sz w:val="16"/>
                <w:szCs w:val="16"/>
                <w:u w:val="single"/>
              </w:rPr>
              <w:t>Jolley 2010</w:t>
            </w:r>
            <w:r>
              <w:rPr>
                <w:rFonts w:cstheme="minorHAnsi"/>
                <w:sz w:val="16"/>
                <w:szCs w:val="16"/>
              </w:rPr>
              <w:t xml:space="preserve"> w</w:t>
            </w:r>
            <w:r w:rsidRPr="00B45115">
              <w:rPr>
                <w:rFonts w:cstheme="minorHAnsi"/>
                <w:sz w:val="16"/>
                <w:szCs w:val="16"/>
              </w:rPr>
              <w:t>hen acute pyelonephritis is diagnosed, conventional</w:t>
            </w:r>
            <w:r>
              <w:rPr>
                <w:rFonts w:cstheme="minorHAnsi"/>
                <w:sz w:val="16"/>
                <w:szCs w:val="16"/>
              </w:rPr>
              <w:t xml:space="preserve"> </w:t>
            </w:r>
            <w:r w:rsidRPr="00B45115">
              <w:rPr>
                <w:rFonts w:cstheme="minorHAnsi"/>
                <w:sz w:val="16"/>
                <w:szCs w:val="16"/>
              </w:rPr>
              <w:t>treatment includes intravenous fluid and parenteral antibacterial</w:t>
            </w:r>
            <w:r>
              <w:rPr>
                <w:rFonts w:cstheme="minorHAnsi"/>
                <w:sz w:val="16"/>
                <w:szCs w:val="16"/>
              </w:rPr>
              <w:t xml:space="preserve"> </w:t>
            </w:r>
            <w:r w:rsidRPr="00B45115">
              <w:rPr>
                <w:rFonts w:cstheme="minorHAnsi"/>
                <w:sz w:val="16"/>
                <w:szCs w:val="16"/>
              </w:rPr>
              <w:t>administration</w:t>
            </w:r>
            <w:r>
              <w:rPr>
                <w:rFonts w:cstheme="minorHAnsi"/>
                <w:sz w:val="16"/>
                <w:szCs w:val="16"/>
              </w:rPr>
              <w:t>; t</w:t>
            </w:r>
            <w:r w:rsidRPr="00B45115">
              <w:rPr>
                <w:rFonts w:cstheme="minorHAnsi"/>
                <w:sz w:val="16"/>
                <w:szCs w:val="16"/>
              </w:rPr>
              <w:t xml:space="preserve">here are limited data by which to </w:t>
            </w:r>
            <w:r w:rsidRPr="00B45115">
              <w:rPr>
                <w:rFonts w:cstheme="minorHAnsi"/>
                <w:sz w:val="16"/>
                <w:szCs w:val="16"/>
              </w:rPr>
              <w:lastRenderedPageBreak/>
              <w:t>assess the superiority of</w:t>
            </w:r>
            <w:r>
              <w:rPr>
                <w:rFonts w:cstheme="minorHAnsi"/>
                <w:sz w:val="16"/>
                <w:szCs w:val="16"/>
              </w:rPr>
              <w:t xml:space="preserve"> </w:t>
            </w:r>
            <w:r w:rsidRPr="00B45115">
              <w:rPr>
                <w:rFonts w:cstheme="minorHAnsi"/>
                <w:sz w:val="16"/>
                <w:szCs w:val="16"/>
              </w:rPr>
              <w:t>one antibacterial regimen over the other in terms of efficacy, patient acceptance</w:t>
            </w:r>
            <w:r>
              <w:rPr>
                <w:rFonts w:cstheme="minorHAnsi"/>
                <w:sz w:val="16"/>
                <w:szCs w:val="16"/>
              </w:rPr>
              <w:t xml:space="preserve"> </w:t>
            </w:r>
            <w:r w:rsidRPr="00B45115">
              <w:rPr>
                <w:rFonts w:cstheme="minorHAnsi"/>
                <w:sz w:val="16"/>
                <w:szCs w:val="16"/>
              </w:rPr>
              <w:t>and safety for the developing fetus; however, it is important to consider</w:t>
            </w:r>
            <w:r>
              <w:rPr>
                <w:rFonts w:cstheme="minorHAnsi"/>
                <w:sz w:val="16"/>
                <w:szCs w:val="16"/>
              </w:rPr>
              <w:t xml:space="preserve"> </w:t>
            </w:r>
            <w:r w:rsidRPr="00B45115">
              <w:rPr>
                <w:rFonts w:cstheme="minorHAnsi"/>
                <w:sz w:val="16"/>
                <w:szCs w:val="16"/>
              </w:rPr>
              <w:t>antimicrobial resistance patterns in the local community when choosing an</w:t>
            </w:r>
            <w:r>
              <w:rPr>
                <w:rFonts w:cstheme="minorHAnsi"/>
                <w:sz w:val="16"/>
                <w:szCs w:val="16"/>
              </w:rPr>
              <w:t xml:space="preserve"> </w:t>
            </w:r>
            <w:r w:rsidRPr="00B45115">
              <w:rPr>
                <w:rFonts w:cstheme="minorHAnsi"/>
                <w:sz w:val="16"/>
                <w:szCs w:val="16"/>
              </w:rPr>
              <w:t>agent</w:t>
            </w:r>
            <w:r>
              <w:rPr>
                <w:rFonts w:cstheme="minorHAnsi"/>
                <w:sz w:val="16"/>
                <w:szCs w:val="16"/>
              </w:rPr>
              <w:t>; m</w:t>
            </w:r>
            <w:r w:rsidRPr="00B45115">
              <w:rPr>
                <w:rFonts w:cstheme="minorHAnsi"/>
                <w:sz w:val="16"/>
                <w:szCs w:val="16"/>
              </w:rPr>
              <w:t>oreover, there are growing public health concerns regarding antimicrobial</w:t>
            </w:r>
            <w:r>
              <w:rPr>
                <w:rFonts w:cstheme="minorHAnsi"/>
                <w:sz w:val="16"/>
                <w:szCs w:val="16"/>
              </w:rPr>
              <w:t xml:space="preserve"> </w:t>
            </w:r>
            <w:r w:rsidRPr="00B45115">
              <w:rPr>
                <w:rFonts w:cstheme="minorHAnsi"/>
                <w:sz w:val="16"/>
                <w:szCs w:val="16"/>
              </w:rPr>
              <w:t>resistance to commonly prescribed medications for urinary tract</w:t>
            </w:r>
            <w:r>
              <w:rPr>
                <w:rFonts w:cstheme="minorHAnsi"/>
                <w:sz w:val="16"/>
                <w:szCs w:val="16"/>
              </w:rPr>
              <w:t xml:space="preserve"> </w:t>
            </w:r>
            <w:r w:rsidRPr="00B45115">
              <w:rPr>
                <w:rFonts w:cstheme="minorHAnsi"/>
                <w:sz w:val="16"/>
                <w:szCs w:val="16"/>
              </w:rPr>
              <w:t>infections in pregnancy</w:t>
            </w:r>
            <w:r>
              <w:rPr>
                <w:rFonts w:cstheme="minorHAnsi"/>
                <w:sz w:val="16"/>
                <w:szCs w:val="16"/>
              </w:rPr>
              <w:t>; t</w:t>
            </w:r>
            <w:r w:rsidRPr="00B45115">
              <w:rPr>
                <w:rFonts w:cstheme="minorHAnsi"/>
                <w:sz w:val="16"/>
                <w:szCs w:val="16"/>
              </w:rPr>
              <w:t>here is a small body of evidence to support the</w:t>
            </w:r>
            <w:r>
              <w:rPr>
                <w:rFonts w:cstheme="minorHAnsi"/>
                <w:sz w:val="16"/>
                <w:szCs w:val="16"/>
              </w:rPr>
              <w:t xml:space="preserve"> </w:t>
            </w:r>
            <w:r w:rsidRPr="00B45115">
              <w:rPr>
                <w:rFonts w:cstheme="minorHAnsi"/>
                <w:sz w:val="16"/>
                <w:szCs w:val="16"/>
              </w:rPr>
              <w:t>ambulatory treatment of pregnant women with pyelonephritis in the first and</w:t>
            </w:r>
            <w:r>
              <w:rPr>
                <w:rFonts w:cstheme="minorHAnsi"/>
                <w:sz w:val="16"/>
                <w:szCs w:val="16"/>
              </w:rPr>
              <w:t xml:space="preserve"> </w:t>
            </w:r>
            <w:r w:rsidRPr="00B45115">
              <w:rPr>
                <w:rFonts w:cstheme="minorHAnsi"/>
                <w:sz w:val="16"/>
                <w:szCs w:val="16"/>
              </w:rPr>
              <w:t>early second trimesters, but the majority of women will be managed as inpatients</w:t>
            </w:r>
          </w:p>
          <w:p w14:paraId="1803CE7A" w14:textId="443644A2" w:rsidR="00B900FF" w:rsidRDefault="00B900FF" w:rsidP="00B900FF">
            <w:pPr>
              <w:spacing w:before="40"/>
              <w:rPr>
                <w:rFonts w:cstheme="minorHAnsi"/>
                <w:sz w:val="16"/>
                <w:szCs w:val="16"/>
              </w:rPr>
            </w:pPr>
            <w:r w:rsidRPr="00BD61E2">
              <w:rPr>
                <w:rFonts w:cstheme="minorHAnsi"/>
                <w:sz w:val="16"/>
                <w:szCs w:val="16"/>
                <w:u w:val="single"/>
              </w:rPr>
              <w:t>McCormick 2008</w:t>
            </w:r>
            <w:r>
              <w:rPr>
                <w:rFonts w:cstheme="minorHAnsi"/>
                <w:sz w:val="16"/>
                <w:szCs w:val="16"/>
              </w:rPr>
              <w:t xml:space="preserve"> a</w:t>
            </w:r>
            <w:r w:rsidRPr="008A1074">
              <w:rPr>
                <w:rFonts w:cstheme="minorHAnsi"/>
                <w:sz w:val="16"/>
                <w:szCs w:val="16"/>
              </w:rPr>
              <w:t>cute cystitis and pyelonephritis</w:t>
            </w:r>
            <w:r>
              <w:rPr>
                <w:rFonts w:cstheme="minorHAnsi"/>
                <w:sz w:val="16"/>
                <w:szCs w:val="16"/>
              </w:rPr>
              <w:t xml:space="preserve"> </w:t>
            </w:r>
            <w:r w:rsidRPr="008A1074">
              <w:rPr>
                <w:rFonts w:cstheme="minorHAnsi"/>
                <w:sz w:val="16"/>
                <w:szCs w:val="16"/>
              </w:rPr>
              <w:t>demand full assessment and treatment,</w:t>
            </w:r>
            <w:r>
              <w:rPr>
                <w:rFonts w:cstheme="minorHAnsi"/>
                <w:sz w:val="16"/>
                <w:szCs w:val="16"/>
              </w:rPr>
              <w:t xml:space="preserve"> </w:t>
            </w:r>
            <w:r w:rsidRPr="008A1074">
              <w:rPr>
                <w:rFonts w:cstheme="minorHAnsi"/>
                <w:sz w:val="16"/>
                <w:szCs w:val="16"/>
              </w:rPr>
              <w:t>with early</w:t>
            </w:r>
            <w:r>
              <w:rPr>
                <w:rFonts w:cstheme="minorHAnsi"/>
                <w:sz w:val="16"/>
                <w:szCs w:val="16"/>
              </w:rPr>
              <w:t xml:space="preserve"> </w:t>
            </w:r>
            <w:r w:rsidRPr="008A1074">
              <w:rPr>
                <w:rFonts w:cstheme="minorHAnsi"/>
                <w:sz w:val="16"/>
                <w:szCs w:val="16"/>
              </w:rPr>
              <w:t>involvement of other specialists in severe or</w:t>
            </w:r>
            <w:r>
              <w:rPr>
                <w:rFonts w:cstheme="minorHAnsi"/>
                <w:sz w:val="16"/>
                <w:szCs w:val="16"/>
              </w:rPr>
              <w:t xml:space="preserve"> </w:t>
            </w:r>
            <w:r w:rsidRPr="008A1074">
              <w:rPr>
                <w:rFonts w:cstheme="minorHAnsi"/>
                <w:sz w:val="16"/>
                <w:szCs w:val="16"/>
              </w:rPr>
              <w:t>systemic infecti</w:t>
            </w:r>
            <w:r>
              <w:rPr>
                <w:rFonts w:cstheme="minorHAnsi"/>
                <w:sz w:val="16"/>
                <w:szCs w:val="16"/>
              </w:rPr>
              <w:t>on; a</w:t>
            </w:r>
            <w:r w:rsidRPr="008A1074">
              <w:rPr>
                <w:rFonts w:cstheme="minorHAnsi"/>
                <w:sz w:val="16"/>
                <w:szCs w:val="16"/>
              </w:rPr>
              <w:t>ll women should be reviewed</w:t>
            </w:r>
            <w:r>
              <w:rPr>
                <w:rFonts w:cstheme="minorHAnsi"/>
                <w:sz w:val="16"/>
                <w:szCs w:val="16"/>
              </w:rPr>
              <w:t xml:space="preserve"> </w:t>
            </w:r>
            <w:r w:rsidRPr="008A1074">
              <w:rPr>
                <w:rFonts w:cstheme="minorHAnsi"/>
                <w:sz w:val="16"/>
                <w:szCs w:val="16"/>
              </w:rPr>
              <w:t>to confirm post-treatment urine sterility</w:t>
            </w:r>
            <w:r>
              <w:rPr>
                <w:rFonts w:cstheme="minorHAnsi"/>
                <w:sz w:val="16"/>
                <w:szCs w:val="16"/>
              </w:rPr>
              <w:t>; e</w:t>
            </w:r>
            <w:r w:rsidRPr="008A1074">
              <w:rPr>
                <w:rFonts w:cstheme="minorHAnsi"/>
                <w:sz w:val="16"/>
                <w:szCs w:val="16"/>
              </w:rPr>
              <w:t>mpirical antimicrobial treatments will</w:t>
            </w:r>
            <w:r>
              <w:rPr>
                <w:rFonts w:cstheme="minorHAnsi"/>
                <w:sz w:val="16"/>
                <w:szCs w:val="16"/>
              </w:rPr>
              <w:t xml:space="preserve"> </w:t>
            </w:r>
            <w:r w:rsidRPr="008A1074">
              <w:rPr>
                <w:rFonts w:cstheme="minorHAnsi"/>
                <w:sz w:val="16"/>
                <w:szCs w:val="16"/>
              </w:rPr>
              <w:t>occasionally be required but any decision to treat</w:t>
            </w:r>
            <w:r>
              <w:rPr>
                <w:rFonts w:cstheme="minorHAnsi"/>
                <w:sz w:val="16"/>
                <w:szCs w:val="16"/>
              </w:rPr>
              <w:t xml:space="preserve"> </w:t>
            </w:r>
            <w:r w:rsidRPr="008A1074">
              <w:rPr>
                <w:rFonts w:cstheme="minorHAnsi"/>
                <w:sz w:val="16"/>
                <w:szCs w:val="16"/>
              </w:rPr>
              <w:t>should be re-evaluated once culture and sensitivity</w:t>
            </w:r>
            <w:r>
              <w:rPr>
                <w:rFonts w:cstheme="minorHAnsi"/>
                <w:sz w:val="16"/>
                <w:szCs w:val="16"/>
              </w:rPr>
              <w:t xml:space="preserve"> </w:t>
            </w:r>
            <w:r w:rsidRPr="008A1074">
              <w:rPr>
                <w:rFonts w:cstheme="minorHAnsi"/>
                <w:sz w:val="16"/>
                <w:szCs w:val="16"/>
              </w:rPr>
              <w:t xml:space="preserve">reports are </w:t>
            </w:r>
            <w:r>
              <w:rPr>
                <w:rFonts w:cstheme="minorHAnsi"/>
                <w:sz w:val="16"/>
                <w:szCs w:val="16"/>
              </w:rPr>
              <w:t>available; w</w:t>
            </w:r>
            <w:r w:rsidRPr="008A1074">
              <w:rPr>
                <w:rFonts w:cstheme="minorHAnsi"/>
                <w:sz w:val="16"/>
                <w:szCs w:val="16"/>
              </w:rPr>
              <w:t>hen choosing an</w:t>
            </w:r>
            <w:r>
              <w:rPr>
                <w:rFonts w:cstheme="minorHAnsi"/>
                <w:sz w:val="16"/>
                <w:szCs w:val="16"/>
              </w:rPr>
              <w:t xml:space="preserve"> </w:t>
            </w:r>
            <w:r w:rsidRPr="008A1074">
              <w:rPr>
                <w:rFonts w:cstheme="minorHAnsi"/>
                <w:sz w:val="16"/>
                <w:szCs w:val="16"/>
              </w:rPr>
              <w:t>antimicrobial, the pharmacokinetics and</w:t>
            </w:r>
            <w:r>
              <w:rPr>
                <w:rFonts w:cstheme="minorHAnsi"/>
                <w:sz w:val="16"/>
                <w:szCs w:val="16"/>
              </w:rPr>
              <w:t xml:space="preserve"> </w:t>
            </w:r>
            <w:r w:rsidRPr="008A1074">
              <w:rPr>
                <w:rFonts w:cstheme="minorHAnsi"/>
                <w:sz w:val="16"/>
                <w:szCs w:val="16"/>
              </w:rPr>
              <w:t>bioavailability of the individual drug in pregnancy</w:t>
            </w:r>
            <w:r>
              <w:rPr>
                <w:rFonts w:cstheme="minorHAnsi"/>
                <w:sz w:val="16"/>
                <w:szCs w:val="16"/>
              </w:rPr>
              <w:t xml:space="preserve"> </w:t>
            </w:r>
            <w:r w:rsidRPr="008A1074">
              <w:rPr>
                <w:rFonts w:cstheme="minorHAnsi"/>
                <w:sz w:val="16"/>
                <w:szCs w:val="16"/>
              </w:rPr>
              <w:t>must be considered along with the resistance</w:t>
            </w:r>
            <w:r>
              <w:rPr>
                <w:rFonts w:cstheme="minorHAnsi"/>
                <w:sz w:val="16"/>
                <w:szCs w:val="16"/>
              </w:rPr>
              <w:t xml:space="preserve"> </w:t>
            </w:r>
            <w:r w:rsidRPr="008A1074">
              <w:rPr>
                <w:rFonts w:cstheme="minorHAnsi"/>
                <w:sz w:val="16"/>
                <w:szCs w:val="16"/>
              </w:rPr>
              <w:t>profiles of microorganisms in the local antenatal</w:t>
            </w:r>
            <w:r>
              <w:rPr>
                <w:rFonts w:cstheme="minorHAnsi"/>
                <w:sz w:val="16"/>
                <w:szCs w:val="16"/>
              </w:rPr>
              <w:t xml:space="preserve"> </w:t>
            </w:r>
            <w:r w:rsidRPr="008A1074">
              <w:rPr>
                <w:rFonts w:cstheme="minorHAnsi"/>
                <w:sz w:val="16"/>
                <w:szCs w:val="16"/>
              </w:rPr>
              <w:t>population</w:t>
            </w:r>
            <w:r>
              <w:rPr>
                <w:rFonts w:cstheme="minorHAnsi"/>
                <w:sz w:val="16"/>
                <w:szCs w:val="16"/>
              </w:rPr>
              <w:t>; i</w:t>
            </w:r>
            <w:r w:rsidRPr="008A1074">
              <w:rPr>
                <w:rFonts w:cstheme="minorHAnsi"/>
                <w:sz w:val="16"/>
                <w:szCs w:val="16"/>
              </w:rPr>
              <w:t>t is also vital to use treatments with an</w:t>
            </w:r>
            <w:r>
              <w:rPr>
                <w:rFonts w:cstheme="minorHAnsi"/>
                <w:sz w:val="16"/>
                <w:szCs w:val="16"/>
              </w:rPr>
              <w:t xml:space="preserve"> </w:t>
            </w:r>
            <w:r w:rsidRPr="008A1074">
              <w:rPr>
                <w:rFonts w:cstheme="minorHAnsi"/>
                <w:sz w:val="16"/>
                <w:szCs w:val="16"/>
              </w:rPr>
              <w:t>established safety profile and, most importantly,</w:t>
            </w:r>
            <w:r>
              <w:rPr>
                <w:rFonts w:cstheme="minorHAnsi"/>
                <w:sz w:val="16"/>
                <w:szCs w:val="16"/>
              </w:rPr>
              <w:t xml:space="preserve"> </w:t>
            </w:r>
            <w:r w:rsidRPr="008A1074">
              <w:rPr>
                <w:rFonts w:cstheme="minorHAnsi"/>
                <w:sz w:val="16"/>
                <w:szCs w:val="16"/>
              </w:rPr>
              <w:t>without teratogenetic risks</w:t>
            </w:r>
          </w:p>
          <w:p w14:paraId="1D156E13" w14:textId="54D1A05E" w:rsidR="000C2E7B" w:rsidRDefault="000C2E7B" w:rsidP="000C2E7B">
            <w:pPr>
              <w:spacing w:before="40"/>
              <w:rPr>
                <w:rFonts w:cstheme="minorHAnsi"/>
                <w:sz w:val="16"/>
                <w:szCs w:val="16"/>
              </w:rPr>
            </w:pPr>
            <w:r w:rsidRPr="00BD61E2">
              <w:rPr>
                <w:rFonts w:cstheme="minorHAnsi"/>
                <w:sz w:val="16"/>
                <w:szCs w:val="16"/>
                <w:u w:val="single"/>
              </w:rPr>
              <w:t>Mittal 2005</w:t>
            </w:r>
            <w:r>
              <w:rPr>
                <w:rFonts w:cstheme="minorHAnsi"/>
                <w:sz w:val="16"/>
                <w:szCs w:val="16"/>
              </w:rPr>
              <w:t xml:space="preserve"> </w:t>
            </w:r>
            <w:r w:rsidRPr="00A72F63">
              <w:rPr>
                <w:rFonts w:cstheme="minorHAnsi"/>
                <w:sz w:val="16"/>
                <w:szCs w:val="16"/>
              </w:rPr>
              <w:t>ASB, if left unrecognized and untreated, frequently progresses to pyelonephritis,</w:t>
            </w:r>
            <w:r>
              <w:rPr>
                <w:rFonts w:cstheme="minorHAnsi"/>
                <w:sz w:val="16"/>
                <w:szCs w:val="16"/>
              </w:rPr>
              <w:t xml:space="preserve"> </w:t>
            </w:r>
            <w:r w:rsidRPr="00A72F63">
              <w:rPr>
                <w:rFonts w:cstheme="minorHAnsi"/>
                <w:sz w:val="16"/>
                <w:szCs w:val="16"/>
              </w:rPr>
              <w:t>and is associated with preterm delivery and low birth weight infants</w:t>
            </w:r>
            <w:r>
              <w:rPr>
                <w:rFonts w:cstheme="minorHAnsi"/>
                <w:sz w:val="16"/>
                <w:szCs w:val="16"/>
              </w:rPr>
              <w:t>; p</w:t>
            </w:r>
            <w:r w:rsidRPr="00A72F63">
              <w:rPr>
                <w:rFonts w:cstheme="minorHAnsi"/>
                <w:sz w:val="16"/>
                <w:szCs w:val="16"/>
              </w:rPr>
              <w:t>yelonephritis is a serious</w:t>
            </w:r>
            <w:r>
              <w:rPr>
                <w:rFonts w:cstheme="minorHAnsi"/>
                <w:sz w:val="16"/>
                <w:szCs w:val="16"/>
              </w:rPr>
              <w:t xml:space="preserve"> </w:t>
            </w:r>
            <w:r w:rsidRPr="00A72F63">
              <w:rPr>
                <w:rFonts w:cstheme="minorHAnsi"/>
                <w:sz w:val="16"/>
                <w:szCs w:val="16"/>
              </w:rPr>
              <w:t>medical condition in pregnancy and poses a significant medical risk to maternal,</w:t>
            </w:r>
            <w:r>
              <w:rPr>
                <w:rFonts w:cstheme="minorHAnsi"/>
                <w:sz w:val="16"/>
                <w:szCs w:val="16"/>
              </w:rPr>
              <w:t xml:space="preserve"> </w:t>
            </w:r>
            <w:r w:rsidRPr="00A72F63">
              <w:rPr>
                <w:rFonts w:cstheme="minorHAnsi"/>
                <w:sz w:val="16"/>
                <w:szCs w:val="16"/>
              </w:rPr>
              <w:t>and, therefore, fetal well-being</w:t>
            </w:r>
            <w:r>
              <w:rPr>
                <w:rFonts w:cstheme="minorHAnsi"/>
                <w:sz w:val="16"/>
                <w:szCs w:val="16"/>
              </w:rPr>
              <w:t>; p</w:t>
            </w:r>
            <w:r w:rsidRPr="00A72F63">
              <w:rPr>
                <w:rFonts w:cstheme="minorHAnsi"/>
                <w:sz w:val="16"/>
                <w:szCs w:val="16"/>
              </w:rPr>
              <w:t xml:space="preserve">atients should be treated </w:t>
            </w:r>
            <w:proofErr w:type="gramStart"/>
            <w:r w:rsidRPr="00A72F63">
              <w:rPr>
                <w:rFonts w:cstheme="minorHAnsi"/>
                <w:sz w:val="16"/>
                <w:szCs w:val="16"/>
              </w:rPr>
              <w:t>immediately</w:t>
            </w:r>
            <w:proofErr w:type="gramEnd"/>
            <w:r w:rsidRPr="00A72F63">
              <w:rPr>
                <w:rFonts w:cstheme="minorHAnsi"/>
                <w:sz w:val="16"/>
                <w:szCs w:val="16"/>
              </w:rPr>
              <w:t xml:space="preserve"> and</w:t>
            </w:r>
            <w:r>
              <w:rPr>
                <w:rFonts w:cstheme="minorHAnsi"/>
                <w:sz w:val="16"/>
                <w:szCs w:val="16"/>
              </w:rPr>
              <w:t xml:space="preserve"> </w:t>
            </w:r>
            <w:r w:rsidRPr="00A72F63">
              <w:rPr>
                <w:rFonts w:cstheme="minorHAnsi"/>
                <w:sz w:val="16"/>
                <w:szCs w:val="16"/>
              </w:rPr>
              <w:t>failure of response should be evaluated promptly</w:t>
            </w:r>
          </w:p>
          <w:p w14:paraId="478A7687" w14:textId="32DB042A" w:rsidR="000C2E7B" w:rsidRDefault="000C2E7B" w:rsidP="000C2E7B">
            <w:pPr>
              <w:spacing w:before="40"/>
              <w:rPr>
                <w:rFonts w:cstheme="minorHAnsi"/>
                <w:sz w:val="16"/>
                <w:szCs w:val="16"/>
              </w:rPr>
            </w:pPr>
            <w:r w:rsidRPr="00BD61E2">
              <w:rPr>
                <w:rFonts w:cstheme="minorHAnsi"/>
                <w:sz w:val="16"/>
                <w:szCs w:val="16"/>
                <w:u w:val="single"/>
              </w:rPr>
              <w:t>Gilstrap 2001</w:t>
            </w:r>
            <w:r>
              <w:rPr>
                <w:rFonts w:cstheme="minorHAnsi"/>
                <w:sz w:val="16"/>
                <w:szCs w:val="16"/>
              </w:rPr>
              <w:t xml:space="preserve"> b</w:t>
            </w:r>
            <w:r w:rsidRPr="00744764">
              <w:rPr>
                <w:rFonts w:cstheme="minorHAnsi"/>
                <w:sz w:val="16"/>
                <w:szCs w:val="16"/>
              </w:rPr>
              <w:t>ecause the initial antibiotic therapy is empirical, a variety of antimicrobial</w:t>
            </w:r>
            <w:r>
              <w:rPr>
                <w:rFonts w:cstheme="minorHAnsi"/>
                <w:sz w:val="16"/>
                <w:szCs w:val="16"/>
              </w:rPr>
              <w:t xml:space="preserve"> </w:t>
            </w:r>
            <w:r w:rsidRPr="00744764">
              <w:rPr>
                <w:rFonts w:cstheme="minorHAnsi"/>
                <w:sz w:val="16"/>
                <w:szCs w:val="16"/>
              </w:rPr>
              <w:t>agents can be used for the treatment of bacteriuria</w:t>
            </w:r>
            <w:r>
              <w:rPr>
                <w:rFonts w:cstheme="minorHAnsi"/>
                <w:sz w:val="16"/>
                <w:szCs w:val="16"/>
              </w:rPr>
              <w:t>; t</w:t>
            </w:r>
            <w:r w:rsidRPr="00744764">
              <w:rPr>
                <w:rFonts w:cstheme="minorHAnsi"/>
                <w:sz w:val="16"/>
                <w:szCs w:val="16"/>
              </w:rPr>
              <w:t>hese</w:t>
            </w:r>
            <w:r>
              <w:rPr>
                <w:rFonts w:cstheme="minorHAnsi"/>
                <w:sz w:val="16"/>
                <w:szCs w:val="16"/>
              </w:rPr>
              <w:t xml:space="preserve"> </w:t>
            </w:r>
            <w:r w:rsidRPr="00744764">
              <w:rPr>
                <w:rFonts w:cstheme="minorHAnsi"/>
                <w:sz w:val="16"/>
                <w:szCs w:val="16"/>
              </w:rPr>
              <w:t>drugs include the sulfonamides (500 mg; four times a day), nitrofurantoin</w:t>
            </w:r>
            <w:r>
              <w:rPr>
                <w:rFonts w:cstheme="minorHAnsi"/>
                <w:sz w:val="16"/>
                <w:szCs w:val="16"/>
              </w:rPr>
              <w:t xml:space="preserve"> </w:t>
            </w:r>
            <w:r w:rsidRPr="00744764">
              <w:rPr>
                <w:rFonts w:cstheme="minorHAnsi"/>
                <w:sz w:val="16"/>
                <w:szCs w:val="16"/>
              </w:rPr>
              <w:t>(100 mg twice daily), and the cephalosporins (250 mg four times a</w:t>
            </w:r>
            <w:r>
              <w:rPr>
                <w:rFonts w:cstheme="minorHAnsi"/>
                <w:sz w:val="16"/>
                <w:szCs w:val="16"/>
              </w:rPr>
              <w:t xml:space="preserve"> </w:t>
            </w:r>
            <w:r w:rsidRPr="00744764">
              <w:rPr>
                <w:rFonts w:cstheme="minorHAnsi"/>
                <w:sz w:val="16"/>
                <w:szCs w:val="16"/>
              </w:rPr>
              <w:t>day)</w:t>
            </w:r>
            <w:r>
              <w:rPr>
                <w:rFonts w:cstheme="minorHAnsi"/>
                <w:sz w:val="16"/>
                <w:szCs w:val="16"/>
              </w:rPr>
              <w:t>; t</w:t>
            </w:r>
            <w:r w:rsidRPr="00744764">
              <w:rPr>
                <w:rFonts w:cstheme="minorHAnsi"/>
                <w:sz w:val="16"/>
                <w:szCs w:val="16"/>
              </w:rPr>
              <w:t>herapy should generally be given for 3 days for the initial infection</w:t>
            </w:r>
            <w:r>
              <w:rPr>
                <w:rFonts w:cstheme="minorHAnsi"/>
                <w:sz w:val="16"/>
                <w:szCs w:val="16"/>
              </w:rPr>
              <w:t>; l</w:t>
            </w:r>
            <w:r w:rsidRPr="00744764">
              <w:rPr>
                <w:rFonts w:cstheme="minorHAnsi"/>
                <w:sz w:val="16"/>
                <w:szCs w:val="16"/>
              </w:rPr>
              <w:t>onger courses of therapy can be used for recurrent infection</w:t>
            </w:r>
            <w:r>
              <w:rPr>
                <w:rFonts w:cstheme="minorHAnsi"/>
                <w:sz w:val="16"/>
                <w:szCs w:val="16"/>
              </w:rPr>
              <w:t>s; a</w:t>
            </w:r>
            <w:r w:rsidRPr="00F802EF">
              <w:rPr>
                <w:rFonts w:cstheme="minorHAnsi"/>
                <w:sz w:val="16"/>
                <w:szCs w:val="16"/>
              </w:rPr>
              <w:t>nother useful regimen is nitrofurantoin, 100 mg at bedtime for 10 days,</w:t>
            </w:r>
            <w:r>
              <w:rPr>
                <w:rFonts w:cstheme="minorHAnsi"/>
                <w:sz w:val="16"/>
                <w:szCs w:val="16"/>
              </w:rPr>
              <w:t xml:space="preserve"> </w:t>
            </w:r>
            <w:r w:rsidRPr="00F802EF">
              <w:rPr>
                <w:rFonts w:cstheme="minorHAnsi"/>
                <w:sz w:val="16"/>
                <w:szCs w:val="16"/>
              </w:rPr>
              <w:t>or for 21 days for recurrences</w:t>
            </w:r>
            <w:r>
              <w:rPr>
                <w:rFonts w:cstheme="minorHAnsi"/>
                <w:sz w:val="16"/>
                <w:szCs w:val="16"/>
              </w:rPr>
              <w:t>; s</w:t>
            </w:r>
            <w:r w:rsidRPr="00F802EF">
              <w:rPr>
                <w:rFonts w:cstheme="minorHAnsi"/>
                <w:sz w:val="16"/>
                <w:szCs w:val="16"/>
              </w:rPr>
              <w:t>ingle-dose regimens have also been</w:t>
            </w:r>
            <w:r>
              <w:rPr>
                <w:rFonts w:cstheme="minorHAnsi"/>
                <w:sz w:val="16"/>
                <w:szCs w:val="16"/>
              </w:rPr>
              <w:t xml:space="preserve"> used</w:t>
            </w:r>
          </w:p>
          <w:p w14:paraId="25F1EB17" w14:textId="6DF5E87D" w:rsidR="000C2E7B" w:rsidRPr="00925713" w:rsidRDefault="000C2E7B" w:rsidP="000C2E7B">
            <w:pPr>
              <w:spacing w:after="0"/>
              <w:rPr>
                <w:rFonts w:cstheme="minorHAnsi"/>
                <w:sz w:val="16"/>
                <w:szCs w:val="16"/>
              </w:rPr>
            </w:pPr>
            <w:r w:rsidRPr="00BD61E2">
              <w:rPr>
                <w:rFonts w:cstheme="minorHAnsi"/>
                <w:sz w:val="16"/>
                <w:szCs w:val="16"/>
                <w:u w:val="single"/>
              </w:rPr>
              <w:t>Wing 2001</w:t>
            </w:r>
            <w:r>
              <w:rPr>
                <w:rFonts w:cstheme="minorHAnsi"/>
                <w:sz w:val="16"/>
                <w:szCs w:val="16"/>
              </w:rPr>
              <w:t xml:space="preserve"> t</w:t>
            </w:r>
            <w:r w:rsidRPr="00925713">
              <w:rPr>
                <w:rFonts w:cstheme="minorHAnsi"/>
                <w:sz w:val="16"/>
                <w:szCs w:val="16"/>
              </w:rPr>
              <w:t>he standard approach to the treatment of acute</w:t>
            </w:r>
          </w:p>
          <w:p w14:paraId="4CD4A739" w14:textId="4237B8FD" w:rsidR="000C2E7B" w:rsidRPr="00925713" w:rsidRDefault="000C2E7B" w:rsidP="000C2E7B">
            <w:pPr>
              <w:spacing w:after="0"/>
              <w:rPr>
                <w:rFonts w:cstheme="minorHAnsi"/>
                <w:sz w:val="16"/>
                <w:szCs w:val="16"/>
              </w:rPr>
            </w:pPr>
            <w:r w:rsidRPr="00925713">
              <w:rPr>
                <w:rFonts w:cstheme="minorHAnsi"/>
                <w:sz w:val="16"/>
                <w:szCs w:val="16"/>
              </w:rPr>
              <w:t xml:space="preserve">pyelonephritis in pregnancy is </w:t>
            </w:r>
            <w:r w:rsidR="00BD61E2" w:rsidRPr="00925713">
              <w:rPr>
                <w:rFonts w:cstheme="minorHAnsi"/>
                <w:sz w:val="16"/>
                <w:szCs w:val="16"/>
              </w:rPr>
              <w:t>hospitalization</w:t>
            </w:r>
            <w:r w:rsidRPr="00925713">
              <w:rPr>
                <w:rFonts w:cstheme="minorHAnsi"/>
                <w:sz w:val="16"/>
                <w:szCs w:val="16"/>
              </w:rPr>
              <w:t>, and</w:t>
            </w:r>
          </w:p>
          <w:p w14:paraId="152015B1" w14:textId="77777777" w:rsidR="000C2E7B" w:rsidRPr="00925713" w:rsidRDefault="000C2E7B" w:rsidP="000C2E7B">
            <w:pPr>
              <w:spacing w:after="0"/>
              <w:rPr>
                <w:rFonts w:cstheme="minorHAnsi"/>
                <w:sz w:val="16"/>
                <w:szCs w:val="16"/>
              </w:rPr>
            </w:pPr>
            <w:r w:rsidRPr="00925713">
              <w:rPr>
                <w:rFonts w:cstheme="minorHAnsi"/>
                <w:sz w:val="16"/>
                <w:szCs w:val="16"/>
              </w:rPr>
              <w:t>administration of intravenous hydration, antipyretics</w:t>
            </w:r>
            <w:r>
              <w:rPr>
                <w:rFonts w:cstheme="minorHAnsi"/>
                <w:sz w:val="16"/>
                <w:szCs w:val="16"/>
              </w:rPr>
              <w:t xml:space="preserve"> </w:t>
            </w:r>
            <w:r w:rsidRPr="00925713">
              <w:rPr>
                <w:rFonts w:cstheme="minorHAnsi"/>
                <w:sz w:val="16"/>
                <w:szCs w:val="16"/>
              </w:rPr>
              <w:t>and parenteral antimicrobial therapy</w:t>
            </w:r>
            <w:r>
              <w:rPr>
                <w:rFonts w:cstheme="minorHAnsi"/>
                <w:sz w:val="16"/>
                <w:szCs w:val="16"/>
              </w:rPr>
              <w:t>; t</w:t>
            </w:r>
            <w:r w:rsidRPr="00925713">
              <w:rPr>
                <w:rFonts w:cstheme="minorHAnsi"/>
                <w:sz w:val="16"/>
                <w:szCs w:val="16"/>
              </w:rPr>
              <w:t>here is insufficient data to recommend one antibacterial</w:t>
            </w:r>
            <w:r>
              <w:rPr>
                <w:rFonts w:cstheme="minorHAnsi"/>
                <w:sz w:val="16"/>
                <w:szCs w:val="16"/>
              </w:rPr>
              <w:t xml:space="preserve"> </w:t>
            </w:r>
            <w:r w:rsidRPr="00925713">
              <w:rPr>
                <w:rFonts w:cstheme="minorHAnsi"/>
                <w:sz w:val="16"/>
                <w:szCs w:val="16"/>
              </w:rPr>
              <w:t>regimen at the current time</w:t>
            </w:r>
            <w:r>
              <w:rPr>
                <w:rFonts w:cstheme="minorHAnsi"/>
                <w:sz w:val="16"/>
                <w:szCs w:val="16"/>
              </w:rPr>
              <w:t>; a</w:t>
            </w:r>
            <w:r w:rsidRPr="00925713">
              <w:rPr>
                <w:rFonts w:cstheme="minorHAnsi"/>
                <w:sz w:val="16"/>
                <w:szCs w:val="16"/>
              </w:rPr>
              <w:t>mbulatory</w:t>
            </w:r>
            <w:r>
              <w:rPr>
                <w:rFonts w:cstheme="minorHAnsi"/>
                <w:sz w:val="16"/>
                <w:szCs w:val="16"/>
              </w:rPr>
              <w:t xml:space="preserve"> </w:t>
            </w:r>
            <w:r w:rsidRPr="00925713">
              <w:rPr>
                <w:rFonts w:cstheme="minorHAnsi"/>
                <w:sz w:val="16"/>
                <w:szCs w:val="16"/>
              </w:rPr>
              <w:t>treatment of acute pyelonephritis in pregnancy beyond</w:t>
            </w:r>
            <w:r>
              <w:rPr>
                <w:rFonts w:cstheme="minorHAnsi"/>
                <w:sz w:val="16"/>
                <w:szCs w:val="16"/>
              </w:rPr>
              <w:t xml:space="preserve"> </w:t>
            </w:r>
            <w:r w:rsidRPr="00925713">
              <w:rPr>
                <w:rFonts w:cstheme="minorHAnsi"/>
                <w:sz w:val="16"/>
                <w:szCs w:val="16"/>
              </w:rPr>
              <w:t xml:space="preserve">24 </w:t>
            </w:r>
            <w:proofErr w:type="gramStart"/>
            <w:r w:rsidRPr="00925713">
              <w:rPr>
                <w:rFonts w:cstheme="minorHAnsi"/>
                <w:sz w:val="16"/>
                <w:szCs w:val="16"/>
              </w:rPr>
              <w:t>weeks’</w:t>
            </w:r>
            <w:proofErr w:type="gramEnd"/>
            <w:r w:rsidRPr="00925713">
              <w:rPr>
                <w:rFonts w:cstheme="minorHAnsi"/>
                <w:sz w:val="16"/>
                <w:szCs w:val="16"/>
              </w:rPr>
              <w:t xml:space="preserve"> appears to be limited in its applicability</w:t>
            </w:r>
          </w:p>
          <w:p w14:paraId="68A0AA2D" w14:textId="09F8CD79" w:rsidR="000C2E7B" w:rsidRPr="00D15ACA" w:rsidRDefault="000C2E7B" w:rsidP="000C2E7B">
            <w:pPr>
              <w:spacing w:after="0"/>
              <w:rPr>
                <w:rFonts w:cstheme="minorHAnsi"/>
                <w:sz w:val="16"/>
                <w:szCs w:val="16"/>
              </w:rPr>
            </w:pPr>
            <w:r w:rsidRPr="00925713">
              <w:rPr>
                <w:rFonts w:cstheme="minorHAnsi"/>
                <w:sz w:val="16"/>
                <w:szCs w:val="16"/>
              </w:rPr>
              <w:t>and is therefore not recommended</w:t>
            </w:r>
          </w:p>
        </w:tc>
      </w:tr>
      <w:bookmarkEnd w:id="0"/>
    </w:tbl>
    <w:p w14:paraId="1E5A3BE1" w14:textId="5923C028" w:rsidR="005E3BFF" w:rsidRPr="005A62AB" w:rsidRDefault="005E3BFF" w:rsidP="005E3BFF">
      <w:pPr>
        <w:rPr>
          <w:rFonts w:ascii="Arial Nova Light" w:hAnsi="Arial Nova Light"/>
          <w:sz w:val="20"/>
          <w:szCs w:val="20"/>
        </w:rPr>
      </w:pPr>
    </w:p>
    <w:sectPr w:rsidR="005E3BFF" w:rsidRPr="005A62AB" w:rsidSect="005E3BFF">
      <w:footerReference w:type="default" r:id="rId8"/>
      <w:pgSz w:w="15840" w:h="12240" w:orient="landscape" w:code="1"/>
      <w:pgMar w:top="720" w:right="720" w:bottom="720" w:left="72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9C61" w14:textId="77777777" w:rsidR="00645C0D" w:rsidRDefault="00645C0D" w:rsidP="00DF0FBD">
      <w:pPr>
        <w:spacing w:after="0" w:line="240" w:lineRule="auto"/>
      </w:pPr>
      <w:r>
        <w:separator/>
      </w:r>
    </w:p>
  </w:endnote>
  <w:endnote w:type="continuationSeparator" w:id="0">
    <w:p w14:paraId="23C4B0E0" w14:textId="77777777" w:rsidR="00645C0D" w:rsidRDefault="00645C0D" w:rsidP="00DF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ucida Sans" w:hAnsi="Lucida Sans"/>
      </w:rPr>
      <w:id w:val="1828941949"/>
      <w:docPartObj>
        <w:docPartGallery w:val="Page Numbers (Bottom of Page)"/>
        <w:docPartUnique/>
      </w:docPartObj>
    </w:sdtPr>
    <w:sdtEndPr>
      <w:rPr>
        <w:rFonts w:ascii="Arial Narrow" w:hAnsi="Arial Narrow" w:cstheme="majorHAnsi"/>
        <w:noProof/>
        <w:sz w:val="20"/>
        <w:szCs w:val="20"/>
      </w:rPr>
    </w:sdtEndPr>
    <w:sdtContent>
      <w:p w14:paraId="45B91333" w14:textId="7CC389D7" w:rsidR="00EC3F0D" w:rsidRPr="002E6BBB" w:rsidRDefault="00EC3F0D" w:rsidP="00B924F8">
        <w:pPr>
          <w:pStyle w:val="Footer"/>
          <w:rPr>
            <w:rFonts w:ascii="Arial Narrow" w:eastAsia="FangSong" w:hAnsi="Arial Narrow" w:cstheme="majorHAnsi"/>
            <w:sz w:val="20"/>
            <w:szCs w:val="20"/>
          </w:rPr>
        </w:pPr>
        <w:r w:rsidRPr="002E6BBB">
          <w:rPr>
            <w:rFonts w:ascii="Arial Narrow" w:hAnsi="Arial Narrow" w:cstheme="majorHAnsi"/>
            <w:sz w:val="20"/>
            <w:szCs w:val="20"/>
          </w:rPr>
          <w:fldChar w:fldCharType="begin"/>
        </w:r>
        <w:r w:rsidRPr="002E6BBB">
          <w:rPr>
            <w:rFonts w:ascii="Arial Narrow" w:hAnsi="Arial Narrow" w:cstheme="majorHAnsi"/>
            <w:sz w:val="20"/>
            <w:szCs w:val="20"/>
          </w:rPr>
          <w:instrText xml:space="preserve"> PAGE   \* MERGEFORMAT </w:instrText>
        </w:r>
        <w:r w:rsidRPr="002E6BBB">
          <w:rPr>
            <w:rFonts w:ascii="Arial Narrow" w:hAnsi="Arial Narrow" w:cstheme="majorHAnsi"/>
            <w:sz w:val="20"/>
            <w:szCs w:val="20"/>
          </w:rPr>
          <w:fldChar w:fldCharType="separate"/>
        </w:r>
        <w:r>
          <w:rPr>
            <w:rFonts w:ascii="Arial Narrow" w:hAnsi="Arial Narrow" w:cstheme="majorHAnsi"/>
            <w:noProof/>
            <w:sz w:val="20"/>
            <w:szCs w:val="20"/>
          </w:rPr>
          <w:t>13</w:t>
        </w:r>
        <w:r w:rsidRPr="002E6BBB">
          <w:rPr>
            <w:rFonts w:ascii="Arial Narrow" w:hAnsi="Arial Narrow" w:cstheme="majorHAnsi"/>
            <w:noProof/>
            <w:sz w:val="20"/>
            <w:szCs w:val="20"/>
          </w:rPr>
          <w:fldChar w:fldCharType="end"/>
        </w:r>
        <w:r w:rsidRPr="002E6BBB">
          <w:rPr>
            <w:rFonts w:ascii="Arial Narrow" w:hAnsi="Arial Narrow" w:cstheme="majorHAnsi"/>
            <w:noProof/>
            <w:sz w:val="20"/>
            <w:szCs w:val="20"/>
          </w:rPr>
          <w:tab/>
        </w:r>
        <w:r w:rsidRPr="002E6BBB">
          <w:rPr>
            <w:rFonts w:ascii="Arial Narrow" w:hAnsi="Arial Narrow" w:cstheme="majorHAnsi"/>
            <w:noProof/>
            <w:sz w:val="20"/>
            <w:szCs w:val="20"/>
          </w:rPr>
          <w:tab/>
          <w:t xml:space="preserve">                                                            </w:t>
        </w:r>
        <w:r>
          <w:rPr>
            <w:rFonts w:ascii="Arial Narrow" w:hAnsi="Arial Narrow" w:cstheme="majorHAnsi"/>
            <w:noProof/>
            <w:sz w:val="20"/>
            <w:szCs w:val="20"/>
          </w:rPr>
          <w:t xml:space="preserve">                                          </w:t>
        </w:r>
        <w:r w:rsidRPr="002E6BBB">
          <w:rPr>
            <w:rFonts w:ascii="Arial Narrow" w:eastAsia="FangSong" w:hAnsi="Arial Narrow" w:cstheme="majorHAnsi"/>
            <w:sz w:val="20"/>
            <w:szCs w:val="20"/>
          </w:rPr>
          <w:t xml:space="preserve">EVIDENCE MAP </w:t>
        </w:r>
        <w:r>
          <w:rPr>
            <w:rFonts w:ascii="Arial Narrow" w:eastAsia="FangSong" w:hAnsi="Arial Narrow" w:cstheme="majorHAnsi"/>
            <w:i/>
            <w:iCs/>
            <w:sz w:val="20"/>
            <w:szCs w:val="20"/>
          </w:rPr>
          <w:t>Urinary Tract Infections in Pregnant Individuals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949C" w14:textId="77777777" w:rsidR="00645C0D" w:rsidRDefault="00645C0D" w:rsidP="00DF0FBD">
      <w:pPr>
        <w:spacing w:after="0" w:line="240" w:lineRule="auto"/>
      </w:pPr>
      <w:r>
        <w:separator/>
      </w:r>
    </w:p>
  </w:footnote>
  <w:footnote w:type="continuationSeparator" w:id="0">
    <w:p w14:paraId="5ECCAEEA" w14:textId="77777777" w:rsidR="00645C0D" w:rsidRDefault="00645C0D" w:rsidP="00DF0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302"/>
    <w:multiLevelType w:val="hybridMultilevel"/>
    <w:tmpl w:val="EF9C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E6094"/>
    <w:multiLevelType w:val="hybridMultilevel"/>
    <w:tmpl w:val="C6EC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A036D"/>
    <w:multiLevelType w:val="hybridMultilevel"/>
    <w:tmpl w:val="EB6C56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E7660"/>
    <w:multiLevelType w:val="hybridMultilevel"/>
    <w:tmpl w:val="103C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43CBA"/>
    <w:multiLevelType w:val="hybridMultilevel"/>
    <w:tmpl w:val="E84A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57B57"/>
    <w:multiLevelType w:val="hybridMultilevel"/>
    <w:tmpl w:val="338E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80AE2"/>
    <w:multiLevelType w:val="hybridMultilevel"/>
    <w:tmpl w:val="05583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619D4"/>
    <w:multiLevelType w:val="multilevel"/>
    <w:tmpl w:val="3ECE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B1FF7"/>
    <w:multiLevelType w:val="hybridMultilevel"/>
    <w:tmpl w:val="C45C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52355"/>
    <w:multiLevelType w:val="hybridMultilevel"/>
    <w:tmpl w:val="5DDE9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70093"/>
    <w:multiLevelType w:val="hybridMultilevel"/>
    <w:tmpl w:val="78082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1357F6"/>
    <w:multiLevelType w:val="multilevel"/>
    <w:tmpl w:val="608A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DB64BD"/>
    <w:multiLevelType w:val="hybridMultilevel"/>
    <w:tmpl w:val="32DC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25E07"/>
    <w:multiLevelType w:val="hybridMultilevel"/>
    <w:tmpl w:val="ABCA0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5289B"/>
    <w:multiLevelType w:val="hybridMultilevel"/>
    <w:tmpl w:val="16B4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C6C82"/>
    <w:multiLevelType w:val="hybridMultilevel"/>
    <w:tmpl w:val="42BC7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97482"/>
    <w:multiLevelType w:val="multilevel"/>
    <w:tmpl w:val="D53C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744B58"/>
    <w:multiLevelType w:val="hybridMultilevel"/>
    <w:tmpl w:val="55ACF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8F65D3"/>
    <w:multiLevelType w:val="hybridMultilevel"/>
    <w:tmpl w:val="12524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C5051"/>
    <w:multiLevelType w:val="hybridMultilevel"/>
    <w:tmpl w:val="55ACF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71C70"/>
    <w:multiLevelType w:val="hybridMultilevel"/>
    <w:tmpl w:val="38A4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26A2A"/>
    <w:multiLevelType w:val="hybridMultilevel"/>
    <w:tmpl w:val="ECCC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53436"/>
    <w:multiLevelType w:val="hybridMultilevel"/>
    <w:tmpl w:val="B4DC04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C7B09"/>
    <w:multiLevelType w:val="hybridMultilevel"/>
    <w:tmpl w:val="5674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F735E"/>
    <w:multiLevelType w:val="hybridMultilevel"/>
    <w:tmpl w:val="0C70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92F4F"/>
    <w:multiLevelType w:val="hybridMultilevel"/>
    <w:tmpl w:val="3ED6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357DB"/>
    <w:multiLevelType w:val="multilevel"/>
    <w:tmpl w:val="4B2E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784A3A"/>
    <w:multiLevelType w:val="hybridMultilevel"/>
    <w:tmpl w:val="C094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D1FD2"/>
    <w:multiLevelType w:val="hybridMultilevel"/>
    <w:tmpl w:val="DA5805C6"/>
    <w:lvl w:ilvl="0" w:tplc="39A619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F51B8"/>
    <w:multiLevelType w:val="hybridMultilevel"/>
    <w:tmpl w:val="7F00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452058"/>
    <w:multiLevelType w:val="hybridMultilevel"/>
    <w:tmpl w:val="55D8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202E7"/>
    <w:multiLevelType w:val="hybridMultilevel"/>
    <w:tmpl w:val="DDD0091E"/>
    <w:lvl w:ilvl="0" w:tplc="C8B09D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90F28"/>
    <w:multiLevelType w:val="hybridMultilevel"/>
    <w:tmpl w:val="050A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F6426"/>
    <w:multiLevelType w:val="hybridMultilevel"/>
    <w:tmpl w:val="B3C4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734750"/>
    <w:multiLevelType w:val="hybridMultilevel"/>
    <w:tmpl w:val="05583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567F87"/>
    <w:multiLevelType w:val="hybridMultilevel"/>
    <w:tmpl w:val="8654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0931827">
    <w:abstractNumId w:val="21"/>
  </w:num>
  <w:num w:numId="2" w16cid:durableId="1294285427">
    <w:abstractNumId w:val="12"/>
  </w:num>
  <w:num w:numId="3" w16cid:durableId="1289166478">
    <w:abstractNumId w:val="5"/>
  </w:num>
  <w:num w:numId="4" w16cid:durableId="196823475">
    <w:abstractNumId w:val="33"/>
  </w:num>
  <w:num w:numId="5" w16cid:durableId="157815068">
    <w:abstractNumId w:val="1"/>
  </w:num>
  <w:num w:numId="6" w16cid:durableId="842165590">
    <w:abstractNumId w:val="0"/>
  </w:num>
  <w:num w:numId="7" w16cid:durableId="1985767348">
    <w:abstractNumId w:val="35"/>
  </w:num>
  <w:num w:numId="8" w16cid:durableId="1479612637">
    <w:abstractNumId w:val="14"/>
  </w:num>
  <w:num w:numId="9" w16cid:durableId="1557548239">
    <w:abstractNumId w:val="32"/>
  </w:num>
  <w:num w:numId="10" w16cid:durableId="2091733620">
    <w:abstractNumId w:val="23"/>
  </w:num>
  <w:num w:numId="11" w16cid:durableId="387647905">
    <w:abstractNumId w:val="27"/>
  </w:num>
  <w:num w:numId="12" w16cid:durableId="1263343339">
    <w:abstractNumId w:val="29"/>
  </w:num>
  <w:num w:numId="13" w16cid:durableId="1679699991">
    <w:abstractNumId w:val="25"/>
  </w:num>
  <w:num w:numId="14" w16cid:durableId="690643185">
    <w:abstractNumId w:val="26"/>
  </w:num>
  <w:num w:numId="15" w16cid:durableId="1621911785">
    <w:abstractNumId w:val="20"/>
  </w:num>
  <w:num w:numId="16" w16cid:durableId="2000687485">
    <w:abstractNumId w:val="31"/>
  </w:num>
  <w:num w:numId="17" w16cid:durableId="889003642">
    <w:abstractNumId w:val="18"/>
  </w:num>
  <w:num w:numId="18" w16cid:durableId="565263511">
    <w:abstractNumId w:val="19"/>
  </w:num>
  <w:num w:numId="19" w16cid:durableId="670058810">
    <w:abstractNumId w:val="9"/>
  </w:num>
  <w:num w:numId="20" w16cid:durableId="1870680357">
    <w:abstractNumId w:val="22"/>
  </w:num>
  <w:num w:numId="21" w16cid:durableId="611744446">
    <w:abstractNumId w:val="2"/>
  </w:num>
  <w:num w:numId="22" w16cid:durableId="2074159437">
    <w:abstractNumId w:val="24"/>
  </w:num>
  <w:num w:numId="23" w16cid:durableId="1926843135">
    <w:abstractNumId w:val="4"/>
  </w:num>
  <w:num w:numId="24" w16cid:durableId="1016886655">
    <w:abstractNumId w:val="10"/>
  </w:num>
  <w:num w:numId="25" w16cid:durableId="1463496444">
    <w:abstractNumId w:val="30"/>
  </w:num>
  <w:num w:numId="26" w16cid:durableId="1259749567">
    <w:abstractNumId w:val="6"/>
  </w:num>
  <w:num w:numId="27" w16cid:durableId="1070425796">
    <w:abstractNumId w:val="17"/>
  </w:num>
  <w:num w:numId="28" w16cid:durableId="1082027551">
    <w:abstractNumId w:val="34"/>
  </w:num>
  <w:num w:numId="29" w16cid:durableId="157383303">
    <w:abstractNumId w:val="16"/>
  </w:num>
  <w:num w:numId="30" w16cid:durableId="331568924">
    <w:abstractNumId w:val="13"/>
  </w:num>
  <w:num w:numId="31" w16cid:durableId="293340097">
    <w:abstractNumId w:val="11"/>
  </w:num>
  <w:num w:numId="32" w16cid:durableId="1488325642">
    <w:abstractNumId w:val="3"/>
  </w:num>
  <w:num w:numId="33" w16cid:durableId="840393342">
    <w:abstractNumId w:val="7"/>
  </w:num>
  <w:num w:numId="34" w16cid:durableId="1410542255">
    <w:abstractNumId w:val="15"/>
  </w:num>
  <w:num w:numId="35" w16cid:durableId="64304134">
    <w:abstractNumId w:val="8"/>
  </w:num>
  <w:num w:numId="36" w16cid:durableId="138209169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FBD"/>
    <w:rsid w:val="00007256"/>
    <w:rsid w:val="00013CD6"/>
    <w:rsid w:val="00014378"/>
    <w:rsid w:val="000301EA"/>
    <w:rsid w:val="000309F2"/>
    <w:rsid w:val="00030ECC"/>
    <w:rsid w:val="00042BB9"/>
    <w:rsid w:val="0006165F"/>
    <w:rsid w:val="00076F81"/>
    <w:rsid w:val="00077DBE"/>
    <w:rsid w:val="000828B8"/>
    <w:rsid w:val="00095668"/>
    <w:rsid w:val="000A0316"/>
    <w:rsid w:val="000A4B62"/>
    <w:rsid w:val="000B431A"/>
    <w:rsid w:val="000B431F"/>
    <w:rsid w:val="000C2E7B"/>
    <w:rsid w:val="000D1B2A"/>
    <w:rsid w:val="000D206C"/>
    <w:rsid w:val="000E0E15"/>
    <w:rsid w:val="000F10F3"/>
    <w:rsid w:val="000F21CA"/>
    <w:rsid w:val="000F4A21"/>
    <w:rsid w:val="00100E86"/>
    <w:rsid w:val="001038E5"/>
    <w:rsid w:val="001044A7"/>
    <w:rsid w:val="001166CD"/>
    <w:rsid w:val="0012032C"/>
    <w:rsid w:val="00121289"/>
    <w:rsid w:val="00127E1B"/>
    <w:rsid w:val="001310BE"/>
    <w:rsid w:val="00135B7A"/>
    <w:rsid w:val="00142BF6"/>
    <w:rsid w:val="0014529F"/>
    <w:rsid w:val="00154765"/>
    <w:rsid w:val="0015509F"/>
    <w:rsid w:val="00174789"/>
    <w:rsid w:val="00184D45"/>
    <w:rsid w:val="00192C50"/>
    <w:rsid w:val="001936BB"/>
    <w:rsid w:val="00194841"/>
    <w:rsid w:val="0019605D"/>
    <w:rsid w:val="001A2EB4"/>
    <w:rsid w:val="001A58E6"/>
    <w:rsid w:val="001B00E7"/>
    <w:rsid w:val="001B07CF"/>
    <w:rsid w:val="001B7270"/>
    <w:rsid w:val="001C28D6"/>
    <w:rsid w:val="001D0574"/>
    <w:rsid w:val="001D0BC8"/>
    <w:rsid w:val="001D0E86"/>
    <w:rsid w:val="001D3A7C"/>
    <w:rsid w:val="001D7C00"/>
    <w:rsid w:val="001E3A28"/>
    <w:rsid w:val="001E678C"/>
    <w:rsid w:val="001E7B65"/>
    <w:rsid w:val="001F462E"/>
    <w:rsid w:val="001F6506"/>
    <w:rsid w:val="00200EBF"/>
    <w:rsid w:val="00215A8F"/>
    <w:rsid w:val="002236DD"/>
    <w:rsid w:val="00226E34"/>
    <w:rsid w:val="00251091"/>
    <w:rsid w:val="00251A1B"/>
    <w:rsid w:val="00255FAB"/>
    <w:rsid w:val="002579EC"/>
    <w:rsid w:val="00260484"/>
    <w:rsid w:val="002669DD"/>
    <w:rsid w:val="00266F6B"/>
    <w:rsid w:val="00275B1C"/>
    <w:rsid w:val="002847AA"/>
    <w:rsid w:val="0029094B"/>
    <w:rsid w:val="002A5EF7"/>
    <w:rsid w:val="002B43B0"/>
    <w:rsid w:val="002C3C54"/>
    <w:rsid w:val="002C3EFD"/>
    <w:rsid w:val="002C5E38"/>
    <w:rsid w:val="002C6CF3"/>
    <w:rsid w:val="002D5593"/>
    <w:rsid w:val="002E02CB"/>
    <w:rsid w:val="002E0AA1"/>
    <w:rsid w:val="002E6BBB"/>
    <w:rsid w:val="002F006F"/>
    <w:rsid w:val="002F09B9"/>
    <w:rsid w:val="002F1ACD"/>
    <w:rsid w:val="002F426E"/>
    <w:rsid w:val="00302306"/>
    <w:rsid w:val="0031702A"/>
    <w:rsid w:val="00323BBA"/>
    <w:rsid w:val="003267B4"/>
    <w:rsid w:val="00345030"/>
    <w:rsid w:val="003458A8"/>
    <w:rsid w:val="00350CEA"/>
    <w:rsid w:val="00351D9D"/>
    <w:rsid w:val="003634AD"/>
    <w:rsid w:val="00366342"/>
    <w:rsid w:val="00371614"/>
    <w:rsid w:val="00386721"/>
    <w:rsid w:val="003B18A9"/>
    <w:rsid w:val="003B4148"/>
    <w:rsid w:val="003D20E7"/>
    <w:rsid w:val="003E56F5"/>
    <w:rsid w:val="003F09B4"/>
    <w:rsid w:val="00415A9D"/>
    <w:rsid w:val="00430542"/>
    <w:rsid w:val="00432F1E"/>
    <w:rsid w:val="004460D0"/>
    <w:rsid w:val="00453823"/>
    <w:rsid w:val="004675B0"/>
    <w:rsid w:val="00471C2B"/>
    <w:rsid w:val="004915D8"/>
    <w:rsid w:val="004921EC"/>
    <w:rsid w:val="004A336F"/>
    <w:rsid w:val="004B4AEC"/>
    <w:rsid w:val="004C6DAF"/>
    <w:rsid w:val="004D68CE"/>
    <w:rsid w:val="004E19F6"/>
    <w:rsid w:val="004E7955"/>
    <w:rsid w:val="004F730D"/>
    <w:rsid w:val="0052486A"/>
    <w:rsid w:val="005303AA"/>
    <w:rsid w:val="00535A44"/>
    <w:rsid w:val="00542829"/>
    <w:rsid w:val="0054419B"/>
    <w:rsid w:val="005450C1"/>
    <w:rsid w:val="00550CAA"/>
    <w:rsid w:val="00553431"/>
    <w:rsid w:val="00553F93"/>
    <w:rsid w:val="00560ED8"/>
    <w:rsid w:val="0056602C"/>
    <w:rsid w:val="0056794A"/>
    <w:rsid w:val="005739FD"/>
    <w:rsid w:val="00575B97"/>
    <w:rsid w:val="00581FFA"/>
    <w:rsid w:val="005829D2"/>
    <w:rsid w:val="00585B39"/>
    <w:rsid w:val="005974D4"/>
    <w:rsid w:val="005A30D0"/>
    <w:rsid w:val="005A62AB"/>
    <w:rsid w:val="005A632D"/>
    <w:rsid w:val="005D4CB3"/>
    <w:rsid w:val="005E3BFF"/>
    <w:rsid w:val="005E5F50"/>
    <w:rsid w:val="005F1044"/>
    <w:rsid w:val="005F6AE6"/>
    <w:rsid w:val="005F6B30"/>
    <w:rsid w:val="00600522"/>
    <w:rsid w:val="00602076"/>
    <w:rsid w:val="0060589C"/>
    <w:rsid w:val="00610151"/>
    <w:rsid w:val="006127B8"/>
    <w:rsid w:val="00616667"/>
    <w:rsid w:val="00617754"/>
    <w:rsid w:val="00617B6C"/>
    <w:rsid w:val="00630998"/>
    <w:rsid w:val="00633D18"/>
    <w:rsid w:val="00635E54"/>
    <w:rsid w:val="0064391E"/>
    <w:rsid w:val="00645C0D"/>
    <w:rsid w:val="00670198"/>
    <w:rsid w:val="0067504D"/>
    <w:rsid w:val="0067677B"/>
    <w:rsid w:val="00685226"/>
    <w:rsid w:val="00691823"/>
    <w:rsid w:val="00696B25"/>
    <w:rsid w:val="006A2009"/>
    <w:rsid w:val="006A368C"/>
    <w:rsid w:val="006A4B83"/>
    <w:rsid w:val="006A6558"/>
    <w:rsid w:val="006C4BCF"/>
    <w:rsid w:val="006C6E4A"/>
    <w:rsid w:val="006D0D89"/>
    <w:rsid w:val="006D3199"/>
    <w:rsid w:val="006E7469"/>
    <w:rsid w:val="006E75E0"/>
    <w:rsid w:val="006E79D3"/>
    <w:rsid w:val="006F648D"/>
    <w:rsid w:val="00706C97"/>
    <w:rsid w:val="00713144"/>
    <w:rsid w:val="00722E4D"/>
    <w:rsid w:val="00733992"/>
    <w:rsid w:val="00744764"/>
    <w:rsid w:val="0074677A"/>
    <w:rsid w:val="007536A7"/>
    <w:rsid w:val="00755A37"/>
    <w:rsid w:val="00757ABB"/>
    <w:rsid w:val="0076289E"/>
    <w:rsid w:val="00763828"/>
    <w:rsid w:val="007705BF"/>
    <w:rsid w:val="007735D8"/>
    <w:rsid w:val="00780914"/>
    <w:rsid w:val="0078714D"/>
    <w:rsid w:val="007A6647"/>
    <w:rsid w:val="007C0F8E"/>
    <w:rsid w:val="007C3D28"/>
    <w:rsid w:val="007D68B5"/>
    <w:rsid w:val="0080218B"/>
    <w:rsid w:val="008076D4"/>
    <w:rsid w:val="008110AE"/>
    <w:rsid w:val="008130BF"/>
    <w:rsid w:val="00821EAB"/>
    <w:rsid w:val="00822641"/>
    <w:rsid w:val="00825278"/>
    <w:rsid w:val="00825B0F"/>
    <w:rsid w:val="008314AD"/>
    <w:rsid w:val="0083265E"/>
    <w:rsid w:val="008379F9"/>
    <w:rsid w:val="00837DC4"/>
    <w:rsid w:val="00842598"/>
    <w:rsid w:val="00843E75"/>
    <w:rsid w:val="00852657"/>
    <w:rsid w:val="00855C7D"/>
    <w:rsid w:val="00862F1E"/>
    <w:rsid w:val="00873888"/>
    <w:rsid w:val="00874436"/>
    <w:rsid w:val="00875671"/>
    <w:rsid w:val="0087765E"/>
    <w:rsid w:val="00883289"/>
    <w:rsid w:val="00887F45"/>
    <w:rsid w:val="00890678"/>
    <w:rsid w:val="00893401"/>
    <w:rsid w:val="00894DCA"/>
    <w:rsid w:val="00895DC7"/>
    <w:rsid w:val="008A1074"/>
    <w:rsid w:val="008B4946"/>
    <w:rsid w:val="008C2777"/>
    <w:rsid w:val="008C4DAC"/>
    <w:rsid w:val="008D6196"/>
    <w:rsid w:val="008E0E9B"/>
    <w:rsid w:val="0090298E"/>
    <w:rsid w:val="009034CA"/>
    <w:rsid w:val="0091037D"/>
    <w:rsid w:val="00911E08"/>
    <w:rsid w:val="009122A0"/>
    <w:rsid w:val="00914EE1"/>
    <w:rsid w:val="00925713"/>
    <w:rsid w:val="00925A6C"/>
    <w:rsid w:val="00933F44"/>
    <w:rsid w:val="00934F5F"/>
    <w:rsid w:val="00937DBF"/>
    <w:rsid w:val="00941309"/>
    <w:rsid w:val="00954385"/>
    <w:rsid w:val="00954867"/>
    <w:rsid w:val="00957546"/>
    <w:rsid w:val="00960DED"/>
    <w:rsid w:val="009715CB"/>
    <w:rsid w:val="00973DD7"/>
    <w:rsid w:val="00981765"/>
    <w:rsid w:val="009A1D2D"/>
    <w:rsid w:val="009B3DEE"/>
    <w:rsid w:val="009C5081"/>
    <w:rsid w:val="009E4EC1"/>
    <w:rsid w:val="009E6F48"/>
    <w:rsid w:val="009F6201"/>
    <w:rsid w:val="00A010E1"/>
    <w:rsid w:val="00A02B72"/>
    <w:rsid w:val="00A077CD"/>
    <w:rsid w:val="00A10851"/>
    <w:rsid w:val="00A13AC1"/>
    <w:rsid w:val="00A15D17"/>
    <w:rsid w:val="00A204DC"/>
    <w:rsid w:val="00A2741D"/>
    <w:rsid w:val="00A27A4E"/>
    <w:rsid w:val="00A31290"/>
    <w:rsid w:val="00A345CF"/>
    <w:rsid w:val="00A35EBC"/>
    <w:rsid w:val="00A40C7B"/>
    <w:rsid w:val="00A42238"/>
    <w:rsid w:val="00A56736"/>
    <w:rsid w:val="00A6032B"/>
    <w:rsid w:val="00A63245"/>
    <w:rsid w:val="00A72F63"/>
    <w:rsid w:val="00A734D5"/>
    <w:rsid w:val="00A908E7"/>
    <w:rsid w:val="00A90D34"/>
    <w:rsid w:val="00A918DF"/>
    <w:rsid w:val="00A92610"/>
    <w:rsid w:val="00AA2909"/>
    <w:rsid w:val="00AB3876"/>
    <w:rsid w:val="00AC1EB1"/>
    <w:rsid w:val="00AC62A6"/>
    <w:rsid w:val="00AC78F2"/>
    <w:rsid w:val="00AD5807"/>
    <w:rsid w:val="00AD7345"/>
    <w:rsid w:val="00AE08C2"/>
    <w:rsid w:val="00AE199C"/>
    <w:rsid w:val="00AE583F"/>
    <w:rsid w:val="00AE6145"/>
    <w:rsid w:val="00AE648E"/>
    <w:rsid w:val="00AF0DB0"/>
    <w:rsid w:val="00B0019E"/>
    <w:rsid w:val="00B02D06"/>
    <w:rsid w:val="00B1117B"/>
    <w:rsid w:val="00B14683"/>
    <w:rsid w:val="00B20CD6"/>
    <w:rsid w:val="00B20F48"/>
    <w:rsid w:val="00B22B32"/>
    <w:rsid w:val="00B31E54"/>
    <w:rsid w:val="00B34632"/>
    <w:rsid w:val="00B40066"/>
    <w:rsid w:val="00B45115"/>
    <w:rsid w:val="00B55536"/>
    <w:rsid w:val="00B60B2E"/>
    <w:rsid w:val="00B71C22"/>
    <w:rsid w:val="00B7535D"/>
    <w:rsid w:val="00B770A4"/>
    <w:rsid w:val="00B900FF"/>
    <w:rsid w:val="00B91EDA"/>
    <w:rsid w:val="00B924F8"/>
    <w:rsid w:val="00B9404E"/>
    <w:rsid w:val="00BA09A1"/>
    <w:rsid w:val="00BA24BA"/>
    <w:rsid w:val="00BA4723"/>
    <w:rsid w:val="00BB2D32"/>
    <w:rsid w:val="00BB5510"/>
    <w:rsid w:val="00BB6E6C"/>
    <w:rsid w:val="00BD10B1"/>
    <w:rsid w:val="00BD3DE9"/>
    <w:rsid w:val="00BD61E2"/>
    <w:rsid w:val="00BD7E35"/>
    <w:rsid w:val="00BE5245"/>
    <w:rsid w:val="00C06F7C"/>
    <w:rsid w:val="00C256AD"/>
    <w:rsid w:val="00C35E0A"/>
    <w:rsid w:val="00C407E6"/>
    <w:rsid w:val="00C431A9"/>
    <w:rsid w:val="00C451ED"/>
    <w:rsid w:val="00C50623"/>
    <w:rsid w:val="00C54779"/>
    <w:rsid w:val="00C55FB9"/>
    <w:rsid w:val="00C630FF"/>
    <w:rsid w:val="00C75BBA"/>
    <w:rsid w:val="00C86C28"/>
    <w:rsid w:val="00C90B55"/>
    <w:rsid w:val="00C90F92"/>
    <w:rsid w:val="00C91026"/>
    <w:rsid w:val="00C9765B"/>
    <w:rsid w:val="00C97BA5"/>
    <w:rsid w:val="00CA1735"/>
    <w:rsid w:val="00CD03C8"/>
    <w:rsid w:val="00CD5E65"/>
    <w:rsid w:val="00CE1496"/>
    <w:rsid w:val="00CE3DCD"/>
    <w:rsid w:val="00D0031E"/>
    <w:rsid w:val="00D05090"/>
    <w:rsid w:val="00D15ACA"/>
    <w:rsid w:val="00D200A6"/>
    <w:rsid w:val="00D32F2A"/>
    <w:rsid w:val="00D47BC2"/>
    <w:rsid w:val="00D56AF5"/>
    <w:rsid w:val="00D660EC"/>
    <w:rsid w:val="00D717EB"/>
    <w:rsid w:val="00D820D2"/>
    <w:rsid w:val="00D92422"/>
    <w:rsid w:val="00D94F02"/>
    <w:rsid w:val="00DA3E82"/>
    <w:rsid w:val="00DB517E"/>
    <w:rsid w:val="00DC14C0"/>
    <w:rsid w:val="00DC2258"/>
    <w:rsid w:val="00DC7A6A"/>
    <w:rsid w:val="00DD0069"/>
    <w:rsid w:val="00DD510F"/>
    <w:rsid w:val="00DD707A"/>
    <w:rsid w:val="00DE4258"/>
    <w:rsid w:val="00DF0FBD"/>
    <w:rsid w:val="00DF21F1"/>
    <w:rsid w:val="00DF343A"/>
    <w:rsid w:val="00E25323"/>
    <w:rsid w:val="00E36FCB"/>
    <w:rsid w:val="00E55AD5"/>
    <w:rsid w:val="00E57992"/>
    <w:rsid w:val="00E70350"/>
    <w:rsid w:val="00E80356"/>
    <w:rsid w:val="00E90EF9"/>
    <w:rsid w:val="00EA3A53"/>
    <w:rsid w:val="00EB0FE3"/>
    <w:rsid w:val="00EC31DA"/>
    <w:rsid w:val="00EC3F0D"/>
    <w:rsid w:val="00EC63B0"/>
    <w:rsid w:val="00EC6DCB"/>
    <w:rsid w:val="00ED1C23"/>
    <w:rsid w:val="00ED2FFA"/>
    <w:rsid w:val="00ED414E"/>
    <w:rsid w:val="00EE0EA9"/>
    <w:rsid w:val="00EF1E55"/>
    <w:rsid w:val="00EF721F"/>
    <w:rsid w:val="00F031BA"/>
    <w:rsid w:val="00F13898"/>
    <w:rsid w:val="00F1524E"/>
    <w:rsid w:val="00F16963"/>
    <w:rsid w:val="00F22E91"/>
    <w:rsid w:val="00F32CE2"/>
    <w:rsid w:val="00F34200"/>
    <w:rsid w:val="00F34B9F"/>
    <w:rsid w:val="00F36460"/>
    <w:rsid w:val="00F477D8"/>
    <w:rsid w:val="00F47F65"/>
    <w:rsid w:val="00F5344A"/>
    <w:rsid w:val="00F56227"/>
    <w:rsid w:val="00F802EF"/>
    <w:rsid w:val="00F858AC"/>
    <w:rsid w:val="00F90444"/>
    <w:rsid w:val="00F9472B"/>
    <w:rsid w:val="00F953C2"/>
    <w:rsid w:val="00FA54B3"/>
    <w:rsid w:val="00FC1602"/>
    <w:rsid w:val="00FC5A5E"/>
    <w:rsid w:val="00FC7B0C"/>
    <w:rsid w:val="00FD0FC3"/>
    <w:rsid w:val="00FD3410"/>
    <w:rsid w:val="00FE00A6"/>
    <w:rsid w:val="00FE6CEE"/>
    <w:rsid w:val="00FE79E2"/>
    <w:rsid w:val="00FF4602"/>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80C10"/>
  <w15:chartTrackingRefBased/>
  <w15:docId w15:val="{C83BD966-9C4E-47A9-85C0-F8324D86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74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FBD"/>
  </w:style>
  <w:style w:type="paragraph" w:styleId="Footer">
    <w:name w:val="footer"/>
    <w:basedOn w:val="Normal"/>
    <w:link w:val="FooterChar"/>
    <w:uiPriority w:val="99"/>
    <w:unhideWhenUsed/>
    <w:rsid w:val="00DF0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FBD"/>
  </w:style>
  <w:style w:type="paragraph" w:styleId="BalloonText">
    <w:name w:val="Balloon Text"/>
    <w:basedOn w:val="Normal"/>
    <w:link w:val="BalloonTextChar"/>
    <w:uiPriority w:val="99"/>
    <w:semiHidden/>
    <w:unhideWhenUsed/>
    <w:rsid w:val="00874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436"/>
    <w:rPr>
      <w:rFonts w:ascii="Segoe UI" w:hAnsi="Segoe UI" w:cs="Segoe UI"/>
      <w:sz w:val="18"/>
      <w:szCs w:val="18"/>
    </w:rPr>
  </w:style>
  <w:style w:type="character" w:styleId="CommentReference">
    <w:name w:val="annotation reference"/>
    <w:basedOn w:val="DefaultParagraphFont"/>
    <w:uiPriority w:val="99"/>
    <w:semiHidden/>
    <w:unhideWhenUsed/>
    <w:rsid w:val="00862F1E"/>
    <w:rPr>
      <w:sz w:val="16"/>
      <w:szCs w:val="16"/>
    </w:rPr>
  </w:style>
  <w:style w:type="paragraph" w:styleId="CommentText">
    <w:name w:val="annotation text"/>
    <w:basedOn w:val="Normal"/>
    <w:link w:val="CommentTextChar"/>
    <w:uiPriority w:val="99"/>
    <w:unhideWhenUsed/>
    <w:rsid w:val="00862F1E"/>
    <w:pPr>
      <w:spacing w:line="240" w:lineRule="auto"/>
    </w:pPr>
    <w:rPr>
      <w:sz w:val="20"/>
      <w:szCs w:val="20"/>
    </w:rPr>
  </w:style>
  <w:style w:type="character" w:customStyle="1" w:styleId="CommentTextChar">
    <w:name w:val="Comment Text Char"/>
    <w:basedOn w:val="DefaultParagraphFont"/>
    <w:link w:val="CommentText"/>
    <w:uiPriority w:val="99"/>
    <w:rsid w:val="00862F1E"/>
    <w:rPr>
      <w:sz w:val="20"/>
      <w:szCs w:val="20"/>
    </w:rPr>
  </w:style>
  <w:style w:type="paragraph" w:styleId="CommentSubject">
    <w:name w:val="annotation subject"/>
    <w:basedOn w:val="CommentText"/>
    <w:next w:val="CommentText"/>
    <w:link w:val="CommentSubjectChar"/>
    <w:uiPriority w:val="99"/>
    <w:semiHidden/>
    <w:unhideWhenUsed/>
    <w:rsid w:val="00862F1E"/>
    <w:rPr>
      <w:b/>
      <w:bCs/>
    </w:rPr>
  </w:style>
  <w:style w:type="character" w:customStyle="1" w:styleId="CommentSubjectChar">
    <w:name w:val="Comment Subject Char"/>
    <w:basedOn w:val="CommentTextChar"/>
    <w:link w:val="CommentSubject"/>
    <w:uiPriority w:val="99"/>
    <w:semiHidden/>
    <w:rsid w:val="00862F1E"/>
    <w:rPr>
      <w:b/>
      <w:bCs/>
      <w:sz w:val="20"/>
      <w:szCs w:val="20"/>
    </w:rPr>
  </w:style>
  <w:style w:type="character" w:styleId="Hyperlink">
    <w:name w:val="Hyperlink"/>
    <w:basedOn w:val="DefaultParagraphFont"/>
    <w:uiPriority w:val="99"/>
    <w:unhideWhenUsed/>
    <w:rsid w:val="002D5593"/>
    <w:rPr>
      <w:color w:val="0563C1" w:themeColor="hyperlink"/>
      <w:u w:val="single"/>
    </w:rPr>
  </w:style>
  <w:style w:type="character" w:customStyle="1" w:styleId="UnresolvedMention1">
    <w:name w:val="Unresolved Mention1"/>
    <w:basedOn w:val="DefaultParagraphFont"/>
    <w:uiPriority w:val="99"/>
    <w:semiHidden/>
    <w:unhideWhenUsed/>
    <w:rsid w:val="002D5593"/>
    <w:rPr>
      <w:color w:val="605E5C"/>
      <w:shd w:val="clear" w:color="auto" w:fill="E1DFDD"/>
    </w:rPr>
  </w:style>
  <w:style w:type="character" w:styleId="FollowedHyperlink">
    <w:name w:val="FollowedHyperlink"/>
    <w:basedOn w:val="DefaultParagraphFont"/>
    <w:uiPriority w:val="99"/>
    <w:semiHidden/>
    <w:unhideWhenUsed/>
    <w:rsid w:val="002F1ACD"/>
    <w:rPr>
      <w:color w:val="954F72" w:themeColor="followedHyperlink"/>
      <w:u w:val="single"/>
    </w:rPr>
  </w:style>
  <w:style w:type="paragraph" w:styleId="Revision">
    <w:name w:val="Revision"/>
    <w:hidden/>
    <w:uiPriority w:val="99"/>
    <w:semiHidden/>
    <w:rsid w:val="00A56736"/>
    <w:pPr>
      <w:spacing w:after="0" w:line="240" w:lineRule="auto"/>
    </w:pPr>
  </w:style>
  <w:style w:type="paragraph" w:styleId="NormalWeb">
    <w:name w:val="Normal (Web)"/>
    <w:basedOn w:val="Normal"/>
    <w:uiPriority w:val="99"/>
    <w:unhideWhenUsed/>
    <w:rsid w:val="00837D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30D0"/>
    <w:pPr>
      <w:ind w:left="720"/>
      <w:contextualSpacing/>
    </w:pPr>
  </w:style>
  <w:style w:type="character" w:customStyle="1" w:styleId="UnresolvedMention2">
    <w:name w:val="Unresolved Mention2"/>
    <w:basedOn w:val="DefaultParagraphFont"/>
    <w:uiPriority w:val="99"/>
    <w:semiHidden/>
    <w:unhideWhenUsed/>
    <w:rsid w:val="001044A7"/>
    <w:rPr>
      <w:color w:val="605E5C"/>
      <w:shd w:val="clear" w:color="auto" w:fill="E1DFDD"/>
    </w:rPr>
  </w:style>
  <w:style w:type="character" w:customStyle="1" w:styleId="Heading1Char">
    <w:name w:val="Heading 1 Char"/>
    <w:basedOn w:val="DefaultParagraphFont"/>
    <w:link w:val="Heading1"/>
    <w:uiPriority w:val="9"/>
    <w:rsid w:val="006E7469"/>
    <w:rPr>
      <w:rFonts w:ascii="Times New Roman" w:eastAsia="Times New Roman" w:hAnsi="Times New Roman" w:cs="Times New Roman"/>
      <w:b/>
      <w:bCs/>
      <w:kern w:val="36"/>
      <w:sz w:val="48"/>
      <w:szCs w:val="48"/>
    </w:rPr>
  </w:style>
  <w:style w:type="paragraph" w:customStyle="1" w:styleId="author">
    <w:name w:val="author"/>
    <w:basedOn w:val="Normal"/>
    <w:rsid w:val="006E7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1">
    <w:name w:val="author1"/>
    <w:basedOn w:val="DefaultParagraphFont"/>
    <w:rsid w:val="006E7469"/>
  </w:style>
  <w:style w:type="character" w:customStyle="1" w:styleId="publish-date">
    <w:name w:val="publish-date"/>
    <w:basedOn w:val="DefaultParagraphFont"/>
    <w:rsid w:val="006E7469"/>
  </w:style>
  <w:style w:type="character" w:customStyle="1" w:styleId="nlmarticle-title">
    <w:name w:val="nlm_article-title"/>
    <w:basedOn w:val="DefaultParagraphFont"/>
    <w:rsid w:val="00FC1602"/>
  </w:style>
  <w:style w:type="character" w:customStyle="1" w:styleId="contribdegrees">
    <w:name w:val="contribdegrees"/>
    <w:basedOn w:val="DefaultParagraphFont"/>
    <w:rsid w:val="00FC1602"/>
  </w:style>
  <w:style w:type="paragraph" w:customStyle="1" w:styleId="downloadcitations">
    <w:name w:val="downloadcitations"/>
    <w:basedOn w:val="Normal"/>
    <w:rsid w:val="00FC1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x-doi">
    <w:name w:val="dx-doi"/>
    <w:basedOn w:val="Normal"/>
    <w:rsid w:val="00FC1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0828B8"/>
  </w:style>
  <w:style w:type="character" w:customStyle="1" w:styleId="ref-journal">
    <w:name w:val="ref-journal"/>
    <w:basedOn w:val="DefaultParagraphFont"/>
    <w:rsid w:val="000828B8"/>
  </w:style>
  <w:style w:type="character" w:customStyle="1" w:styleId="ref-vol">
    <w:name w:val="ref-vol"/>
    <w:basedOn w:val="DefaultParagraphFont"/>
    <w:rsid w:val="000828B8"/>
  </w:style>
  <w:style w:type="character" w:styleId="UnresolvedMention">
    <w:name w:val="Unresolved Mention"/>
    <w:basedOn w:val="DefaultParagraphFont"/>
    <w:uiPriority w:val="99"/>
    <w:semiHidden/>
    <w:unhideWhenUsed/>
    <w:rsid w:val="009A1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5340">
      <w:bodyDiv w:val="1"/>
      <w:marLeft w:val="0"/>
      <w:marRight w:val="0"/>
      <w:marTop w:val="0"/>
      <w:marBottom w:val="0"/>
      <w:divBdr>
        <w:top w:val="none" w:sz="0" w:space="0" w:color="auto"/>
        <w:left w:val="none" w:sz="0" w:space="0" w:color="auto"/>
        <w:bottom w:val="none" w:sz="0" w:space="0" w:color="auto"/>
        <w:right w:val="none" w:sz="0" w:space="0" w:color="auto"/>
      </w:divBdr>
    </w:div>
    <w:div w:id="935214047">
      <w:bodyDiv w:val="1"/>
      <w:marLeft w:val="0"/>
      <w:marRight w:val="0"/>
      <w:marTop w:val="0"/>
      <w:marBottom w:val="0"/>
      <w:divBdr>
        <w:top w:val="none" w:sz="0" w:space="0" w:color="auto"/>
        <w:left w:val="none" w:sz="0" w:space="0" w:color="auto"/>
        <w:bottom w:val="none" w:sz="0" w:space="0" w:color="auto"/>
        <w:right w:val="none" w:sz="0" w:space="0" w:color="auto"/>
      </w:divBdr>
      <w:divsChild>
        <w:div w:id="1520504060">
          <w:marLeft w:val="0"/>
          <w:marRight w:val="0"/>
          <w:marTop w:val="0"/>
          <w:marBottom w:val="0"/>
          <w:divBdr>
            <w:top w:val="none" w:sz="0" w:space="0" w:color="auto"/>
            <w:left w:val="none" w:sz="0" w:space="0" w:color="auto"/>
            <w:bottom w:val="none" w:sz="0" w:space="0" w:color="auto"/>
            <w:right w:val="none" w:sz="0" w:space="0" w:color="auto"/>
          </w:divBdr>
          <w:divsChild>
            <w:div w:id="921990068">
              <w:marLeft w:val="0"/>
              <w:marRight w:val="0"/>
              <w:marTop w:val="0"/>
              <w:marBottom w:val="0"/>
              <w:divBdr>
                <w:top w:val="none" w:sz="0" w:space="0" w:color="auto"/>
                <w:left w:val="none" w:sz="0" w:space="0" w:color="auto"/>
                <w:bottom w:val="none" w:sz="0" w:space="0" w:color="auto"/>
                <w:right w:val="none" w:sz="0" w:space="0" w:color="auto"/>
              </w:divBdr>
              <w:divsChild>
                <w:div w:id="1445924006">
                  <w:marLeft w:val="0"/>
                  <w:marRight w:val="0"/>
                  <w:marTop w:val="0"/>
                  <w:marBottom w:val="0"/>
                  <w:divBdr>
                    <w:top w:val="none" w:sz="0" w:space="0" w:color="auto"/>
                    <w:left w:val="none" w:sz="0" w:space="0" w:color="auto"/>
                    <w:bottom w:val="none" w:sz="0" w:space="0" w:color="auto"/>
                    <w:right w:val="none" w:sz="0" w:space="0" w:color="auto"/>
                  </w:divBdr>
                  <w:divsChild>
                    <w:div w:id="1675572033">
                      <w:marLeft w:val="0"/>
                      <w:marRight w:val="0"/>
                      <w:marTop w:val="0"/>
                      <w:marBottom w:val="0"/>
                      <w:divBdr>
                        <w:top w:val="none" w:sz="0" w:space="0" w:color="auto"/>
                        <w:left w:val="none" w:sz="0" w:space="0" w:color="auto"/>
                        <w:bottom w:val="none" w:sz="0" w:space="0" w:color="auto"/>
                        <w:right w:val="none" w:sz="0" w:space="0" w:color="auto"/>
                      </w:divBdr>
                      <w:divsChild>
                        <w:div w:id="255480894">
                          <w:marLeft w:val="0"/>
                          <w:marRight w:val="0"/>
                          <w:marTop w:val="0"/>
                          <w:marBottom w:val="0"/>
                          <w:divBdr>
                            <w:top w:val="none" w:sz="0" w:space="0" w:color="auto"/>
                            <w:left w:val="none" w:sz="0" w:space="0" w:color="auto"/>
                            <w:bottom w:val="none" w:sz="0" w:space="0" w:color="auto"/>
                            <w:right w:val="none" w:sz="0" w:space="0" w:color="auto"/>
                          </w:divBdr>
                          <w:divsChild>
                            <w:div w:id="142477947">
                              <w:marLeft w:val="0"/>
                              <w:marRight w:val="0"/>
                              <w:marTop w:val="0"/>
                              <w:marBottom w:val="0"/>
                              <w:divBdr>
                                <w:top w:val="none" w:sz="0" w:space="0" w:color="auto"/>
                                <w:left w:val="none" w:sz="0" w:space="0" w:color="auto"/>
                                <w:bottom w:val="none" w:sz="0" w:space="0" w:color="auto"/>
                                <w:right w:val="none" w:sz="0" w:space="0" w:color="auto"/>
                              </w:divBdr>
                              <w:divsChild>
                                <w:div w:id="2145467811">
                                  <w:marLeft w:val="0"/>
                                  <w:marRight w:val="0"/>
                                  <w:marTop w:val="0"/>
                                  <w:marBottom w:val="0"/>
                                  <w:divBdr>
                                    <w:top w:val="none" w:sz="0" w:space="0" w:color="auto"/>
                                    <w:left w:val="none" w:sz="0" w:space="0" w:color="auto"/>
                                    <w:bottom w:val="none" w:sz="0" w:space="0" w:color="auto"/>
                                    <w:right w:val="none" w:sz="0" w:space="0" w:color="auto"/>
                                  </w:divBdr>
                                </w:div>
                                <w:div w:id="6901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37628">
          <w:marLeft w:val="0"/>
          <w:marRight w:val="0"/>
          <w:marTop w:val="0"/>
          <w:marBottom w:val="0"/>
          <w:divBdr>
            <w:top w:val="none" w:sz="0" w:space="0" w:color="auto"/>
            <w:left w:val="none" w:sz="0" w:space="0" w:color="auto"/>
            <w:bottom w:val="none" w:sz="0" w:space="0" w:color="auto"/>
            <w:right w:val="none" w:sz="0" w:space="0" w:color="auto"/>
          </w:divBdr>
          <w:divsChild>
            <w:div w:id="1462992241">
              <w:marLeft w:val="0"/>
              <w:marRight w:val="0"/>
              <w:marTop w:val="0"/>
              <w:marBottom w:val="0"/>
              <w:divBdr>
                <w:top w:val="none" w:sz="0" w:space="0" w:color="auto"/>
                <w:left w:val="none" w:sz="0" w:space="0" w:color="auto"/>
                <w:bottom w:val="none" w:sz="0" w:space="0" w:color="auto"/>
                <w:right w:val="none" w:sz="0" w:space="0" w:color="auto"/>
              </w:divBdr>
              <w:divsChild>
                <w:div w:id="1697925838">
                  <w:marLeft w:val="0"/>
                  <w:marRight w:val="0"/>
                  <w:marTop w:val="0"/>
                  <w:marBottom w:val="0"/>
                  <w:divBdr>
                    <w:top w:val="none" w:sz="0" w:space="0" w:color="auto"/>
                    <w:left w:val="none" w:sz="0" w:space="0" w:color="auto"/>
                    <w:bottom w:val="none" w:sz="0" w:space="0" w:color="auto"/>
                    <w:right w:val="none" w:sz="0" w:space="0" w:color="auto"/>
                  </w:divBdr>
                  <w:divsChild>
                    <w:div w:id="1844929842">
                      <w:marLeft w:val="0"/>
                      <w:marRight w:val="0"/>
                      <w:marTop w:val="0"/>
                      <w:marBottom w:val="0"/>
                      <w:divBdr>
                        <w:top w:val="none" w:sz="0" w:space="0" w:color="auto"/>
                        <w:left w:val="none" w:sz="0" w:space="0" w:color="auto"/>
                        <w:bottom w:val="none" w:sz="0" w:space="0" w:color="auto"/>
                        <w:right w:val="none" w:sz="0" w:space="0" w:color="auto"/>
                      </w:divBdr>
                      <w:divsChild>
                        <w:div w:id="34432921">
                          <w:marLeft w:val="0"/>
                          <w:marRight w:val="0"/>
                          <w:marTop w:val="0"/>
                          <w:marBottom w:val="0"/>
                          <w:divBdr>
                            <w:top w:val="none" w:sz="0" w:space="0" w:color="auto"/>
                            <w:left w:val="none" w:sz="0" w:space="0" w:color="auto"/>
                            <w:bottom w:val="none" w:sz="0" w:space="0" w:color="auto"/>
                            <w:right w:val="none" w:sz="0" w:space="0" w:color="auto"/>
                          </w:divBdr>
                          <w:divsChild>
                            <w:div w:id="1749424733">
                              <w:marLeft w:val="0"/>
                              <w:marRight w:val="0"/>
                              <w:marTop w:val="0"/>
                              <w:marBottom w:val="0"/>
                              <w:divBdr>
                                <w:top w:val="none" w:sz="0" w:space="0" w:color="auto"/>
                                <w:left w:val="none" w:sz="0" w:space="0" w:color="auto"/>
                                <w:bottom w:val="none" w:sz="0" w:space="0" w:color="auto"/>
                                <w:right w:val="none" w:sz="0" w:space="0" w:color="auto"/>
                              </w:divBdr>
                              <w:divsChild>
                                <w:div w:id="1073550457">
                                  <w:marLeft w:val="0"/>
                                  <w:marRight w:val="0"/>
                                  <w:marTop w:val="0"/>
                                  <w:marBottom w:val="0"/>
                                  <w:divBdr>
                                    <w:top w:val="none" w:sz="0" w:space="0" w:color="auto"/>
                                    <w:left w:val="none" w:sz="0" w:space="0" w:color="auto"/>
                                    <w:bottom w:val="none" w:sz="0" w:space="0" w:color="auto"/>
                                    <w:right w:val="none" w:sz="0" w:space="0" w:color="auto"/>
                                  </w:divBdr>
                                  <w:divsChild>
                                    <w:div w:id="1748845721">
                                      <w:marLeft w:val="0"/>
                                      <w:marRight w:val="0"/>
                                      <w:marTop w:val="0"/>
                                      <w:marBottom w:val="0"/>
                                      <w:divBdr>
                                        <w:top w:val="none" w:sz="0" w:space="0" w:color="auto"/>
                                        <w:left w:val="none" w:sz="0" w:space="0" w:color="auto"/>
                                        <w:bottom w:val="none" w:sz="0" w:space="0" w:color="auto"/>
                                        <w:right w:val="none" w:sz="0" w:space="0" w:color="auto"/>
                                      </w:divBdr>
                                      <w:divsChild>
                                        <w:div w:id="1407648504">
                                          <w:marLeft w:val="0"/>
                                          <w:marRight w:val="0"/>
                                          <w:marTop w:val="0"/>
                                          <w:marBottom w:val="0"/>
                                          <w:divBdr>
                                            <w:top w:val="none" w:sz="0" w:space="0" w:color="auto"/>
                                            <w:left w:val="none" w:sz="0" w:space="0" w:color="auto"/>
                                            <w:bottom w:val="none" w:sz="0" w:space="0" w:color="auto"/>
                                            <w:right w:val="none" w:sz="0" w:space="0" w:color="auto"/>
                                          </w:divBdr>
                                          <w:divsChild>
                                            <w:div w:id="1246039727">
                                              <w:marLeft w:val="0"/>
                                              <w:marRight w:val="0"/>
                                              <w:marTop w:val="0"/>
                                              <w:marBottom w:val="0"/>
                                              <w:divBdr>
                                                <w:top w:val="none" w:sz="0" w:space="0" w:color="auto"/>
                                                <w:left w:val="none" w:sz="0" w:space="0" w:color="auto"/>
                                                <w:bottom w:val="none" w:sz="0" w:space="0" w:color="auto"/>
                                                <w:right w:val="none" w:sz="0" w:space="0" w:color="auto"/>
                                              </w:divBdr>
                                              <w:divsChild>
                                                <w:div w:id="1974024251">
                                                  <w:marLeft w:val="0"/>
                                                  <w:marRight w:val="0"/>
                                                  <w:marTop w:val="0"/>
                                                  <w:marBottom w:val="0"/>
                                                  <w:divBdr>
                                                    <w:top w:val="none" w:sz="0" w:space="0" w:color="auto"/>
                                                    <w:left w:val="none" w:sz="0" w:space="0" w:color="auto"/>
                                                    <w:bottom w:val="none" w:sz="0" w:space="0" w:color="auto"/>
                                                    <w:right w:val="none" w:sz="0" w:space="0" w:color="auto"/>
                                                  </w:divBdr>
                                                  <w:divsChild>
                                                    <w:div w:id="1034621614">
                                                      <w:marLeft w:val="0"/>
                                                      <w:marRight w:val="0"/>
                                                      <w:marTop w:val="0"/>
                                                      <w:marBottom w:val="0"/>
                                                      <w:divBdr>
                                                        <w:top w:val="none" w:sz="0" w:space="0" w:color="auto"/>
                                                        <w:left w:val="none" w:sz="0" w:space="0" w:color="auto"/>
                                                        <w:bottom w:val="none" w:sz="0" w:space="0" w:color="auto"/>
                                                        <w:right w:val="none" w:sz="0" w:space="0" w:color="auto"/>
                                                      </w:divBdr>
                                                    </w:div>
                                                    <w:div w:id="383215950">
                                                      <w:marLeft w:val="0"/>
                                                      <w:marRight w:val="0"/>
                                                      <w:marTop w:val="0"/>
                                                      <w:marBottom w:val="0"/>
                                                      <w:divBdr>
                                                        <w:top w:val="none" w:sz="0" w:space="0" w:color="auto"/>
                                                        <w:left w:val="none" w:sz="0" w:space="0" w:color="auto"/>
                                                        <w:bottom w:val="none" w:sz="0" w:space="0" w:color="auto"/>
                                                        <w:right w:val="none" w:sz="0" w:space="0" w:color="auto"/>
                                                      </w:divBdr>
                                                      <w:divsChild>
                                                        <w:div w:id="2104102036">
                                                          <w:marLeft w:val="0"/>
                                                          <w:marRight w:val="0"/>
                                                          <w:marTop w:val="0"/>
                                                          <w:marBottom w:val="0"/>
                                                          <w:divBdr>
                                                            <w:top w:val="none" w:sz="0" w:space="0" w:color="auto"/>
                                                            <w:left w:val="none" w:sz="0" w:space="0" w:color="auto"/>
                                                            <w:bottom w:val="none" w:sz="0" w:space="0" w:color="auto"/>
                                                            <w:right w:val="none" w:sz="0" w:space="0" w:color="auto"/>
                                                          </w:divBdr>
                                                          <w:divsChild>
                                                            <w:div w:id="129325682">
                                                              <w:marLeft w:val="0"/>
                                                              <w:marRight w:val="0"/>
                                                              <w:marTop w:val="0"/>
                                                              <w:marBottom w:val="0"/>
                                                              <w:divBdr>
                                                                <w:top w:val="none" w:sz="0" w:space="0" w:color="auto"/>
                                                                <w:left w:val="none" w:sz="0" w:space="0" w:color="auto"/>
                                                                <w:bottom w:val="none" w:sz="0" w:space="0" w:color="auto"/>
                                                                <w:right w:val="none" w:sz="0" w:space="0" w:color="auto"/>
                                                              </w:divBdr>
                                                              <w:divsChild>
                                                                <w:div w:id="15252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5592010">
      <w:bodyDiv w:val="1"/>
      <w:marLeft w:val="0"/>
      <w:marRight w:val="0"/>
      <w:marTop w:val="0"/>
      <w:marBottom w:val="0"/>
      <w:divBdr>
        <w:top w:val="none" w:sz="0" w:space="0" w:color="auto"/>
        <w:left w:val="none" w:sz="0" w:space="0" w:color="auto"/>
        <w:bottom w:val="none" w:sz="0" w:space="0" w:color="auto"/>
        <w:right w:val="none" w:sz="0" w:space="0" w:color="auto"/>
      </w:divBdr>
    </w:div>
    <w:div w:id="1384065769">
      <w:bodyDiv w:val="1"/>
      <w:marLeft w:val="0"/>
      <w:marRight w:val="0"/>
      <w:marTop w:val="0"/>
      <w:marBottom w:val="0"/>
      <w:divBdr>
        <w:top w:val="none" w:sz="0" w:space="0" w:color="auto"/>
        <w:left w:val="none" w:sz="0" w:space="0" w:color="auto"/>
        <w:bottom w:val="none" w:sz="0" w:space="0" w:color="auto"/>
        <w:right w:val="none" w:sz="0" w:space="0" w:color="auto"/>
      </w:divBdr>
      <w:divsChild>
        <w:div w:id="840631106">
          <w:marLeft w:val="0"/>
          <w:marRight w:val="0"/>
          <w:marTop w:val="0"/>
          <w:marBottom w:val="0"/>
          <w:divBdr>
            <w:top w:val="none" w:sz="0" w:space="0" w:color="auto"/>
            <w:left w:val="none" w:sz="0" w:space="0" w:color="auto"/>
            <w:bottom w:val="none" w:sz="0" w:space="0" w:color="auto"/>
            <w:right w:val="none" w:sz="0" w:space="0" w:color="auto"/>
          </w:divBdr>
          <w:divsChild>
            <w:div w:id="17438529">
              <w:marLeft w:val="0"/>
              <w:marRight w:val="0"/>
              <w:marTop w:val="0"/>
              <w:marBottom w:val="0"/>
              <w:divBdr>
                <w:top w:val="none" w:sz="0" w:space="0" w:color="auto"/>
                <w:left w:val="none" w:sz="0" w:space="0" w:color="auto"/>
                <w:bottom w:val="none" w:sz="0" w:space="0" w:color="auto"/>
                <w:right w:val="none" w:sz="0" w:space="0" w:color="auto"/>
              </w:divBdr>
              <w:divsChild>
                <w:div w:id="11862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2338">
          <w:marLeft w:val="0"/>
          <w:marRight w:val="0"/>
          <w:marTop w:val="0"/>
          <w:marBottom w:val="0"/>
          <w:divBdr>
            <w:top w:val="none" w:sz="0" w:space="0" w:color="auto"/>
            <w:left w:val="none" w:sz="0" w:space="0" w:color="auto"/>
            <w:bottom w:val="none" w:sz="0" w:space="0" w:color="auto"/>
            <w:right w:val="none" w:sz="0" w:space="0" w:color="auto"/>
          </w:divBdr>
          <w:divsChild>
            <w:div w:id="20745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1482">
      <w:bodyDiv w:val="1"/>
      <w:marLeft w:val="0"/>
      <w:marRight w:val="0"/>
      <w:marTop w:val="0"/>
      <w:marBottom w:val="0"/>
      <w:divBdr>
        <w:top w:val="none" w:sz="0" w:space="0" w:color="auto"/>
        <w:left w:val="none" w:sz="0" w:space="0" w:color="auto"/>
        <w:bottom w:val="none" w:sz="0" w:space="0" w:color="auto"/>
        <w:right w:val="none" w:sz="0" w:space="0" w:color="auto"/>
      </w:divBdr>
    </w:div>
    <w:div w:id="1970893383">
      <w:bodyDiv w:val="1"/>
      <w:marLeft w:val="0"/>
      <w:marRight w:val="0"/>
      <w:marTop w:val="0"/>
      <w:marBottom w:val="0"/>
      <w:divBdr>
        <w:top w:val="none" w:sz="0" w:space="0" w:color="auto"/>
        <w:left w:val="none" w:sz="0" w:space="0" w:color="auto"/>
        <w:bottom w:val="none" w:sz="0" w:space="0" w:color="auto"/>
        <w:right w:val="none" w:sz="0" w:space="0" w:color="auto"/>
      </w:divBdr>
    </w:div>
    <w:div w:id="2142266306">
      <w:bodyDiv w:val="1"/>
      <w:marLeft w:val="0"/>
      <w:marRight w:val="0"/>
      <w:marTop w:val="0"/>
      <w:marBottom w:val="0"/>
      <w:divBdr>
        <w:top w:val="none" w:sz="0" w:space="0" w:color="auto"/>
        <w:left w:val="none" w:sz="0" w:space="0" w:color="auto"/>
        <w:bottom w:val="none" w:sz="0" w:space="0" w:color="auto"/>
        <w:right w:val="none" w:sz="0" w:space="0" w:color="auto"/>
      </w:divBdr>
      <w:divsChild>
        <w:div w:id="1821462933">
          <w:marLeft w:val="0"/>
          <w:marRight w:val="0"/>
          <w:marTop w:val="0"/>
          <w:marBottom w:val="0"/>
          <w:divBdr>
            <w:top w:val="none" w:sz="0" w:space="0" w:color="auto"/>
            <w:left w:val="none" w:sz="0" w:space="0" w:color="auto"/>
            <w:bottom w:val="none" w:sz="0" w:space="0" w:color="auto"/>
            <w:right w:val="none" w:sz="0" w:space="0" w:color="auto"/>
          </w:divBdr>
          <w:divsChild>
            <w:div w:id="473331299">
              <w:marLeft w:val="0"/>
              <w:marRight w:val="0"/>
              <w:marTop w:val="0"/>
              <w:marBottom w:val="0"/>
              <w:divBdr>
                <w:top w:val="none" w:sz="0" w:space="0" w:color="auto"/>
                <w:left w:val="none" w:sz="0" w:space="0" w:color="auto"/>
                <w:bottom w:val="none" w:sz="0" w:space="0" w:color="auto"/>
                <w:right w:val="none" w:sz="0" w:space="0" w:color="auto"/>
              </w:divBdr>
              <w:divsChild>
                <w:div w:id="21117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8982">
          <w:marLeft w:val="0"/>
          <w:marRight w:val="0"/>
          <w:marTop w:val="0"/>
          <w:marBottom w:val="0"/>
          <w:divBdr>
            <w:top w:val="none" w:sz="0" w:space="0" w:color="auto"/>
            <w:left w:val="none" w:sz="0" w:space="0" w:color="auto"/>
            <w:bottom w:val="none" w:sz="0" w:space="0" w:color="auto"/>
            <w:right w:val="none" w:sz="0" w:space="0" w:color="auto"/>
          </w:divBdr>
          <w:divsChild>
            <w:div w:id="17624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A76D-1988-43BD-85B5-562BCDAB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4098</Words>
  <Characters>23359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Madden</dc:creator>
  <cp:keywords/>
  <dc:description/>
  <cp:lastModifiedBy>Lamiya Ahmed</cp:lastModifiedBy>
  <cp:revision>3</cp:revision>
  <dcterms:created xsi:type="dcterms:W3CDTF">2023-05-19T21:08:00Z</dcterms:created>
  <dcterms:modified xsi:type="dcterms:W3CDTF">2023-05-19T21:08:00Z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27218449</vt:i4>
  </property>
</Properties>
</file>