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E0858">
        <w:rPr>
          <w:rFonts w:ascii="Times New Roman" w:eastAsia="Calibri" w:hAnsi="Times New Roman" w:cs="Times New Roman"/>
          <w:b/>
          <w:sz w:val="24"/>
          <w:szCs w:val="24"/>
        </w:rPr>
        <w:t>Supp</w:t>
      </w:r>
      <w:bookmarkStart w:id="0" w:name="_GoBack"/>
      <w:bookmarkEnd w:id="0"/>
      <w:r w:rsidRPr="008E0858">
        <w:rPr>
          <w:rFonts w:ascii="Times New Roman" w:eastAsia="Calibri" w:hAnsi="Times New Roman" w:cs="Times New Roman"/>
          <w:b/>
          <w:sz w:val="24"/>
          <w:szCs w:val="24"/>
        </w:rPr>
        <w:t>lemental Digital Content</w:t>
      </w: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4"/>
        </w:rPr>
      </w:pPr>
      <w:r w:rsidRPr="008E0858">
        <w:rPr>
          <w:rFonts w:ascii="Times New Roman" w:eastAsia="Calibri" w:hAnsi="Times New Roman" w:cs="Times New Roman"/>
          <w:b/>
          <w:sz w:val="24"/>
        </w:rPr>
        <w:t xml:space="preserve">Inclusions and exclusions at full text level 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3728"/>
        <w:gridCol w:w="1332"/>
        <w:gridCol w:w="2900"/>
      </w:tblGrid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5278" w:type="dxa"/>
            <w:gridSpan w:val="2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St. Louis Group Citations 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Rationale/comments</w:t>
            </w:r>
          </w:p>
        </w:tc>
      </w:tr>
      <w:tr w:rsidR="00353F9A" w:rsidRPr="008E0858" w:rsidTr="00103EDB">
        <w:tc>
          <w:tcPr>
            <w:tcW w:w="1550" w:type="dxa"/>
            <w:vMerge w:val="restart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ADULTS </w:t>
            </w:r>
          </w:p>
        </w:tc>
        <w:tc>
          <w:tcPr>
            <w:tcW w:w="3728" w:type="dxa"/>
          </w:tcPr>
          <w:p w:rsidR="00353F9A" w:rsidRPr="008E0858" w:rsidRDefault="00353F9A" w:rsidP="00761F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Kim YJ, Bridwell KH, Lenke LG,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et al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Proximal junctional kyphosis in adult spinal deformity after segmental posterior spinal instrumentation and fusion: minimum five-year follow-up. </w:t>
            </w:r>
            <w:r w:rsidRPr="008E08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Pa 1976)</w:t>
            </w:r>
            <w:r w:rsidR="00761F5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  <w:proofErr w:type="gram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;33</w:t>
            </w:r>
            <w:proofErr w:type="gram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(20):2179-84.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Largest sample, longest follow-up, evaluated confounding factors</w:t>
            </w:r>
          </w:p>
        </w:tc>
      </w:tr>
      <w:tr w:rsidR="00353F9A" w:rsidRPr="008E0858" w:rsidTr="00103EDB">
        <w:tc>
          <w:tcPr>
            <w:tcW w:w="1550" w:type="dxa"/>
            <w:vMerge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Kim, Y. J., K. H. Bridwell, et al. Is the T9, T11, or L1 the more reliable proximal level after adult lumbar or lumbosacral instrumented fusion to L5 or S1?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2007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(24):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2653-61.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Excluded</w:t>
            </w:r>
          </w:p>
        </w:tc>
        <w:tc>
          <w:tcPr>
            <w:tcW w:w="2900" w:type="dxa"/>
          </w:tcPr>
          <w:p w:rsidR="00353F9A" w:rsidRPr="008E0858" w:rsidRDefault="00353F9A" w:rsidP="008E0858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Looks like only 2 of 3 groups had fusion of ≥5 segments, shorter f/u than above study, no evaluation of confounding</w:t>
            </w:r>
          </w:p>
        </w:tc>
      </w:tr>
      <w:tr w:rsidR="00353F9A" w:rsidRPr="008E0858" w:rsidTr="00103EDB">
        <w:tc>
          <w:tcPr>
            <w:tcW w:w="1550" w:type="dxa"/>
            <w:vMerge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103EDB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Glattes 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RC, Bridwell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KH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et al. Proximal junctional kyphosis in adult spinal deformity following long instrumented posterior spinal fusion: incidence, outcomes, and risk factor analysis. </w:t>
            </w:r>
            <w:r w:rsidR="00353F9A"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="00353F9A"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="00353F9A"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2005</w:t>
            </w:r>
            <w:proofErr w:type="gram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;30</w:t>
            </w:r>
            <w:proofErr w:type="gram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(14):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1643-9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Excluded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Smaller series from same underlying population; lower power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Kim YB, Lenke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LG, et al.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Surgical treatment of adult scoliosis: is anterior apical release and fusion necessary for the lumbar curve?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;33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(10):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1125-32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Exclude</w:t>
            </w:r>
            <w:r w:rsidR="006F50C2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Does not refer to PJK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Ped</w:t>
            </w:r>
            <w:proofErr w:type="spell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/Adolescent</w:t>
            </w:r>
          </w:p>
        </w:tc>
        <w:tc>
          <w:tcPr>
            <w:tcW w:w="3728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</w:tcPr>
          <w:p w:rsidR="00353F9A" w:rsidRPr="008E0858" w:rsidRDefault="00353F9A" w:rsidP="00103EDB">
            <w:pPr>
              <w:spacing w:after="0" w:line="240" w:lineRule="auto"/>
              <w:ind w:left="9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Kim YJ, Lenke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LG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et al. Proximal junctional kyphosis in adolescent idiopathic scoliosis after 3 different types of posterior segmental spinal instrumentation and fusions: incidence and risk factor analysis of 410 cases.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2007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;32</w:t>
            </w:r>
            <w:proofErr w:type="gram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(24):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2731-8.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Largest series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Kim YJ, Bridwell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KH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et al. Proximal junctional kyphosis in adolescent idiopathic scoliosis following segmental posterior spinal instrumentation and fusion: minimum 5-year follow-up.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2005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;30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(18):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2045-50.</w:t>
            </w:r>
          </w:p>
        </w:tc>
        <w:tc>
          <w:tcPr>
            <w:tcW w:w="1332" w:type="dxa"/>
          </w:tcPr>
          <w:p w:rsidR="00353F9A" w:rsidRPr="008E0858" w:rsidRDefault="006F50C2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xclude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00" w:type="dxa"/>
          </w:tcPr>
          <w:p w:rsidR="00353F9A" w:rsidRPr="008E0858" w:rsidRDefault="00353F9A" w:rsidP="00761F54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Earlier, smaller series–likely same population</w:t>
            </w:r>
          </w:p>
        </w:tc>
      </w:tr>
      <w:tr w:rsidR="00353F9A" w:rsidRPr="008E0858" w:rsidTr="00103EDB">
        <w:tc>
          <w:tcPr>
            <w:tcW w:w="5278" w:type="dxa"/>
            <w:gridSpan w:val="2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New York Group (Boachie-Adjei senior author) citations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3728" w:type="dxa"/>
          </w:tcPr>
          <w:p w:rsidR="00353F9A" w:rsidRPr="008E0858" w:rsidRDefault="00353F9A" w:rsidP="00761F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Kim HJ, </w:t>
            </w:r>
            <w:proofErr w:type="spell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agi</w:t>
            </w:r>
            <w:proofErr w:type="spell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et al. Combined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nterior-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osterior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urgery is the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m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ost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mportant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isk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actor for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eveloping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roximal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unctional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yphosis in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diopathic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coliosis.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Clin Orthop Relat Res</w:t>
            </w:r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2012</w:t>
            </w:r>
            <w:proofErr w:type="gramStart"/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>;470</w:t>
            </w:r>
            <w:proofErr w:type="gramEnd"/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>(6):1633-9.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INCLUDED </w:t>
            </w:r>
          </w:p>
        </w:tc>
        <w:tc>
          <w:tcPr>
            <w:tcW w:w="2900" w:type="dxa"/>
          </w:tcPr>
          <w:p w:rsidR="00353F9A" w:rsidRPr="008E0858" w:rsidRDefault="00353F9A" w:rsidP="00103ED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40" w:hanging="180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Larger series; use of multivariate methods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761F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Yagi</w:t>
            </w:r>
            <w:proofErr w:type="spell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King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Incidence, risk factors and clinical outcome of proximal junctional kyphosis for patients with adult idiopathic scoliosi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s: Minimum five-year follow-up.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J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2011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;11</w:t>
            </w:r>
            <w:proofErr w:type="gramEnd"/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>(10)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:20S-21S.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Exclude</w:t>
            </w:r>
            <w:r w:rsidR="006F50C2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Smaller series in same population</w:t>
            </w:r>
          </w:p>
        </w:tc>
      </w:tr>
      <w:tr w:rsidR="00353F9A" w:rsidRPr="008E0858" w:rsidTr="00103EDB">
        <w:tc>
          <w:tcPr>
            <w:tcW w:w="5278" w:type="dxa"/>
            <w:gridSpan w:val="2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OTHERS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3728" w:type="dxa"/>
          </w:tcPr>
          <w:p w:rsidR="00353F9A" w:rsidRPr="008E0858" w:rsidRDefault="00353F9A" w:rsidP="002C2A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Mendoza-Lattes S, </w:t>
            </w:r>
            <w:proofErr w:type="spell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Ries</w:t>
            </w:r>
            <w:proofErr w:type="spell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Proximal junctional kyphosis in adult reconstructive spine surgery results from incomplete restoration of the lumbar lordosis relative to the magnitude of the thoracic kyphosis.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2A28" w:rsidRPr="00761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Iowa Orthop J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2011</w:t>
            </w:r>
            <w:proofErr w:type="gramStart"/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31:199</w:t>
            </w:r>
            <w:proofErr w:type="gram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-206.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INCLUDED</w:t>
            </w:r>
          </w:p>
        </w:tc>
        <w:tc>
          <w:tcPr>
            <w:tcW w:w="2900" w:type="dxa"/>
          </w:tcPr>
          <w:p w:rsidR="00353F9A" w:rsidRPr="008E0858" w:rsidRDefault="00353F9A" w:rsidP="00761F54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Appears to meet definition; </w:t>
            </w:r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inary logistic regression used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Hyun SJ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Rhim SC.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Clinical outcomes and complications after pedicle subtraction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osteotomy for fixed sagittal imbalance </w:t>
            </w:r>
            <w:proofErr w:type="gram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patients :</w:t>
            </w:r>
            <w:proofErr w:type="gram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 long-term follow-up data.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J Korean Neurosurg Soc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2012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;47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95-101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353F9A" w:rsidRPr="008E0858" w:rsidRDefault="006F50C2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Excluded</w:t>
            </w:r>
          </w:p>
        </w:tc>
        <w:tc>
          <w:tcPr>
            <w:tcW w:w="2900" w:type="dxa"/>
          </w:tcPr>
          <w:p w:rsidR="00353F9A" w:rsidRPr="008E0858" w:rsidRDefault="00353F9A" w:rsidP="00761F54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 = 13, 6 of which had PSO for post-traumatic kyphosis; sample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size too small to allow meaningful evaluation; no comparison between those that did and did not develop PJK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8E08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Ped</w:t>
            </w:r>
            <w:proofErr w:type="spell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/Adolescents</w:t>
            </w: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Wang J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Zhao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Risk factor analysis of proximal junctional kyphosis after posterior fusion in pati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ents with idiopathic scoliosis.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Injury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;41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(4):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415-20.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INCLUDE</w:t>
            </w:r>
            <w:r w:rsidR="006F50C2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Used Glattes’ definition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Mean # fused levels not reported – appears that 27/123 (22%) had fewer than 6 levels fused, but unknown # with fewer than 5 –have included provisionally</w:t>
            </w:r>
          </w:p>
        </w:tc>
      </w:tr>
      <w:tr w:rsidR="00353F9A" w:rsidRPr="008E0858" w:rsidTr="00103EDB">
        <w:tc>
          <w:tcPr>
            <w:tcW w:w="9510" w:type="dxa"/>
            <w:gridSpan w:val="4"/>
          </w:tcPr>
          <w:p w:rsidR="00353F9A" w:rsidRPr="008E0858" w:rsidRDefault="00353F9A" w:rsidP="00353F9A">
            <w:pPr>
              <w:spacing w:after="0" w:line="240" w:lineRule="auto"/>
              <w:ind w:left="9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10 degree – but 2 levels above not specified, number of fused levels not specified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Scheuermann’s</w:t>
            </w: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Denis F, Sun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EC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et al. Incidence and risk factors for proximal and distal junctional kyphosis following surgical treatment for Scheuermann kyphosis: minimum five-year follow-up. </w:t>
            </w:r>
            <w:r w:rsidRPr="00761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761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761F5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;34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(20):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E729-734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INCLUDE</w:t>
            </w:r>
            <w:r w:rsidR="006F50C2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PJK &gt;10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°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 PJ angle and &gt;10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°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than corresponding preop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# fused levels not reported but assumed to be &gt;5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103EDB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Scheuermann’s-</w:t>
            </w:r>
            <w:proofErr w:type="spellStart"/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ped</w:t>
            </w:r>
            <w:proofErr w:type="spellEnd"/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/adolescent</w:t>
            </w:r>
          </w:p>
        </w:tc>
        <w:tc>
          <w:tcPr>
            <w:tcW w:w="3728" w:type="dxa"/>
          </w:tcPr>
          <w:p w:rsidR="00353F9A" w:rsidRPr="008E0858" w:rsidRDefault="00353F9A" w:rsidP="00103E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Lonner BS, Newton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Operative management of Scheuermann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’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kyphosis in 78 patients: radiographic outcomes, complications, and technique.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2007</w:t>
            </w:r>
            <w:proofErr w:type="gramStart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;32</w:t>
            </w:r>
            <w:proofErr w:type="gramEnd"/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(24):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2644-52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INCLUDE</w:t>
            </w:r>
            <w:r w:rsidR="006F50C2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0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PJK &gt;10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°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</w:t>
            </w:r>
            <w:r w:rsidR="00103EDB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easured from 1 segment cephalad to UIV end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# fused levels not reported; assumed to be &gt;5</w:t>
            </w:r>
          </w:p>
          <w:p w:rsidR="00353F9A" w:rsidRPr="008E0858" w:rsidRDefault="00353F9A" w:rsidP="00103EDB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Limited evaluation of risk factors</w:t>
            </w:r>
          </w:p>
        </w:tc>
      </w:tr>
    </w:tbl>
    <w:p w:rsidR="006F50C2" w:rsidRPr="008E0858" w:rsidRDefault="006F50C2">
      <w:pPr>
        <w:rPr>
          <w:rFonts w:ascii="Times New Roman" w:eastAsia="Calibri" w:hAnsi="Times New Roman" w:cs="Times New Roman"/>
          <w:sz w:val="24"/>
        </w:rPr>
      </w:pPr>
      <w:r w:rsidRPr="008E0858">
        <w:rPr>
          <w:rFonts w:ascii="Times New Roman" w:eastAsia="Calibri" w:hAnsi="Times New Roman" w:cs="Times New Roman"/>
          <w:sz w:val="24"/>
        </w:rPr>
        <w:br w:type="page"/>
      </w:r>
    </w:p>
    <w:p w:rsidR="00353F9A" w:rsidRPr="008E0858" w:rsidRDefault="006F50C2" w:rsidP="00353F9A">
      <w:pPr>
        <w:rPr>
          <w:rFonts w:ascii="Times New Roman" w:eastAsia="Calibri" w:hAnsi="Times New Roman" w:cs="Times New Roman"/>
          <w:b/>
          <w:sz w:val="24"/>
        </w:rPr>
      </w:pPr>
      <w:r w:rsidRPr="008E0858">
        <w:rPr>
          <w:rFonts w:ascii="Times New Roman" w:eastAsia="Calibri" w:hAnsi="Times New Roman" w:cs="Times New Roman"/>
          <w:b/>
          <w:sz w:val="24"/>
        </w:rPr>
        <w:lastRenderedPageBreak/>
        <w:t>List of other excluded studies (definition other than 10 degrees / 2 levels above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2968"/>
        <w:gridCol w:w="2160"/>
        <w:gridCol w:w="2790"/>
      </w:tblGrid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Definition</w:t>
            </w:r>
          </w:p>
        </w:tc>
        <w:tc>
          <w:tcPr>
            <w:tcW w:w="279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Reason for exclusion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2968" w:type="dxa"/>
          </w:tcPr>
          <w:p w:rsidR="00353F9A" w:rsidRPr="008E0858" w:rsidRDefault="00353F9A" w:rsidP="002C2A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Kim YJ, 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Bridwell KH,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al. Sagittal thoracic decompensation following long adult lumbar spinal instrumentation and fusion to L5 or S1: causes, prevalence, and risk factor analysis.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  <w:proofErr w:type="gramStart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;31</w:t>
            </w:r>
            <w:proofErr w:type="gram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(20):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2359-66.</w:t>
            </w:r>
          </w:p>
        </w:tc>
        <w:tc>
          <w:tcPr>
            <w:tcW w:w="2160" w:type="dxa"/>
          </w:tcPr>
          <w:p w:rsidR="00353F9A" w:rsidRPr="008E0858" w:rsidRDefault="002C2A28" w:rsidP="008E08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249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S</w:t>
            </w:r>
            <w:r w:rsidR="00353F9A" w:rsidRPr="008E0858">
              <w:rPr>
                <w:rFonts w:ascii="Times New Roman" w:hAnsi="Times New Roman"/>
                <w:sz w:val="18"/>
                <w:szCs w:val="18"/>
              </w:rPr>
              <w:t>agittal thoracic decompensation as a progressive kyphotic deformity of the thoracic spine without pseudarthr</w:t>
            </w:r>
            <w:r w:rsidRPr="008E0858">
              <w:rPr>
                <w:rFonts w:ascii="Times New Roman" w:hAnsi="Times New Roman"/>
                <w:sz w:val="18"/>
                <w:szCs w:val="18"/>
              </w:rPr>
              <w:t>osis after a long lumbar fusion</w:t>
            </w:r>
          </w:p>
        </w:tc>
        <w:tc>
          <w:tcPr>
            <w:tcW w:w="279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Different definition vs. others – cannot draw conclusions across populations/pa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pers with different definitions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Concerns regarding overlap with other papers from same group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353F9A" w:rsidRPr="008E0858" w:rsidRDefault="00353F9A" w:rsidP="00761F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Kim JH, Kim</w:t>
            </w:r>
            <w:r w:rsidR="00761F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SS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Incidence of proximal adjacent failure in adult lumbar deformity correction based on proximal fusion level.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Asian Spine J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2007</w:t>
            </w:r>
            <w:proofErr w:type="gramStart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(1):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19-26</w:t>
            </w:r>
            <w:r w:rsidR="008E085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353F9A" w:rsidRPr="008E0858" w:rsidRDefault="002C2A28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ocal kyphosis of more than 10 measured from consecutive 3 segments or more of </w:t>
            </w:r>
            <w:r w:rsidR="008E085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vertebra as kyphosis</w:t>
            </w:r>
          </w:p>
          <w:p w:rsidR="00353F9A" w:rsidRPr="008E0858" w:rsidRDefault="002C2A28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escribe adjacent segment failure/degeneration</w:t>
            </w:r>
          </w:p>
        </w:tc>
        <w:tc>
          <w:tcPr>
            <w:tcW w:w="279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Does not evaluate risk factors for PJK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Number of fused levels not given 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353F9A" w:rsidRPr="008E0858" w:rsidRDefault="00353F9A" w:rsidP="00D236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Sethi RK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Patel M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Geula D, 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et al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Proximal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unctional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yphosis above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usions to the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t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horacolumbar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pine for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dult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coliosis: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ate and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redictive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actors.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J Orthopaedics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2011</w:t>
            </w:r>
            <w:proofErr w:type="gramStart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  <w:proofErr w:type="gramEnd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(4):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e14.</w:t>
            </w:r>
          </w:p>
        </w:tc>
        <w:tc>
          <w:tcPr>
            <w:tcW w:w="2160" w:type="dxa"/>
          </w:tcPr>
          <w:p w:rsidR="00353F9A" w:rsidRPr="008E0858" w:rsidRDefault="002C2A28" w:rsidP="002C2A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2" w:hanging="251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Kyphosis progression &gt;5°</w:t>
            </w:r>
          </w:p>
        </w:tc>
        <w:tc>
          <w:tcPr>
            <w:tcW w:w="279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Number of levels fused not clear</w:t>
            </w:r>
          </w:p>
          <w:p w:rsidR="00353F9A" w:rsidRPr="008E0858" w:rsidRDefault="00353F9A" w:rsidP="002C2A28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Web page says Journal indexed in CINAHL, but citation not found in this database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Scheuermann’s </w:t>
            </w:r>
          </w:p>
        </w:tc>
        <w:tc>
          <w:tcPr>
            <w:tcW w:w="2968" w:type="dxa"/>
          </w:tcPr>
          <w:p w:rsidR="00353F9A" w:rsidRPr="008E0858" w:rsidRDefault="00353F9A" w:rsidP="00D236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Lowe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TG, Kasten MD.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 analysis of sagittal curves and balance after Cotrel-Dubousset instrumentation for kyphosis secondary to Scheuermann's disease. A review of 32 patients.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1994</w:t>
            </w:r>
            <w:proofErr w:type="gramStart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19</w:t>
            </w:r>
            <w:proofErr w:type="gramEnd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(15):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1680-5.</w:t>
            </w:r>
          </w:p>
        </w:tc>
        <w:tc>
          <w:tcPr>
            <w:tcW w:w="2160" w:type="dxa"/>
          </w:tcPr>
          <w:p w:rsidR="00353F9A" w:rsidRPr="008E0858" w:rsidRDefault="00353F9A" w:rsidP="002C2A2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194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Definition not provided</w:t>
            </w:r>
          </w:p>
        </w:tc>
        <w:tc>
          <w:tcPr>
            <w:tcW w:w="279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Definition not provided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Number of fused levels not described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Peds</w:t>
            </w:r>
            <w:proofErr w:type="spell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/Adolescent</w:t>
            </w:r>
          </w:p>
        </w:tc>
        <w:tc>
          <w:tcPr>
            <w:tcW w:w="2968" w:type="dxa"/>
          </w:tcPr>
          <w:p w:rsidR="00353F9A" w:rsidRPr="008E0858" w:rsidRDefault="00353F9A" w:rsidP="00D236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Helgeson MD, Shah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Evaluation of proximal junctional kyphosis in adolescent idiopathic scoliosis following pedicle screw, h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ook, or hybrid instrumentation.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2010</w:t>
            </w:r>
            <w:proofErr w:type="gramStart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</w:t>
            </w:r>
            <w:proofErr w:type="gramEnd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(2):177-81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2C2A28" w:rsidRPr="008E0858" w:rsidRDefault="00353F9A" w:rsidP="00353F9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2" w:hanging="249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2 standard deviations</w:t>
            </w:r>
          </w:p>
          <w:p w:rsidR="00353F9A" w:rsidRPr="008E0858" w:rsidRDefault="002C2A28" w:rsidP="002C2A2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2" w:hanging="249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A</w:t>
            </w:r>
            <w:r w:rsidR="00353F9A" w:rsidRPr="008E0858">
              <w:rPr>
                <w:rFonts w:ascii="Times New Roman" w:hAnsi="Times New Roman"/>
                <w:sz w:val="18"/>
                <w:szCs w:val="18"/>
              </w:rPr>
              <w:t>bove the mean as being “abnormal” we are redefining abnormal PJK as any increased postoperative kyphosis of 15° or more</w:t>
            </w:r>
          </w:p>
        </w:tc>
        <w:tc>
          <w:tcPr>
            <w:tcW w:w="2790" w:type="dxa"/>
          </w:tcPr>
          <w:p w:rsidR="00353F9A" w:rsidRPr="008E0858" w:rsidRDefault="00353F9A" w:rsidP="002C2A28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Number of fused levels not given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353F9A" w:rsidRPr="008E0858" w:rsidRDefault="00353F9A" w:rsidP="00D2360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Hollenbeck SM, Glattes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RC, et al.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The prevalence of increased proximal junctional flexion following posterior instrumentation and arthrodesis for adolescent idiopathic scoliosis.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2011</w:t>
            </w:r>
            <w:proofErr w:type="gramStart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</w:t>
            </w:r>
            <w:proofErr w:type="gramEnd"/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(15):1675-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  <w:r w:rsidR="00D23606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353F9A" w:rsidRPr="008E0858" w:rsidRDefault="00353F9A" w:rsidP="00D2360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52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Definition of “increased proximal junctional flexion” or increased “proximal junctional angles” not provided</w:t>
            </w:r>
          </w:p>
        </w:tc>
        <w:tc>
          <w:tcPr>
            <w:tcW w:w="2790" w:type="dxa"/>
          </w:tcPr>
          <w:p w:rsidR="00353F9A" w:rsidRPr="008E0858" w:rsidRDefault="002C2A28" w:rsidP="002C2A28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umber fused levels not provided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Lee GA, Betz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RR, et al. 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Proximal kyphosis after posterior spinal fusion in pati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ents with idiopathic scoliosis.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1999</w:t>
            </w:r>
            <w:proofErr w:type="gramStart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24</w:t>
            </w:r>
            <w:proofErr w:type="gram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(8):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795-9.</w:t>
            </w:r>
          </w:p>
        </w:tc>
        <w:tc>
          <w:tcPr>
            <w:tcW w:w="2160" w:type="dxa"/>
          </w:tcPr>
          <w:p w:rsidR="00353F9A" w:rsidRPr="008E0858" w:rsidRDefault="00353F9A" w:rsidP="002C2A2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62" w:hanging="252"/>
              <w:rPr>
                <w:rFonts w:ascii="Times New Roman" w:hAnsi="Times New Roman"/>
                <w:sz w:val="18"/>
                <w:szCs w:val="18"/>
              </w:rPr>
            </w:pPr>
            <w:r w:rsidRPr="008E0858">
              <w:rPr>
                <w:rFonts w:ascii="Times New Roman" w:hAnsi="Times New Roman"/>
                <w:sz w:val="18"/>
                <w:szCs w:val="18"/>
              </w:rPr>
              <w:t>&gt;5</w:t>
            </w:r>
            <w:r w:rsidR="002C2A28" w:rsidRPr="008E0858">
              <w:rPr>
                <w:rFonts w:ascii="Times New Roman" w:hAnsi="Times New Roman"/>
                <w:sz w:val="18"/>
                <w:szCs w:val="18"/>
              </w:rPr>
              <w:t>°</w:t>
            </w:r>
            <w:r w:rsidRPr="008E0858">
              <w:rPr>
                <w:rFonts w:ascii="Times New Roman" w:hAnsi="Times New Roman"/>
                <w:sz w:val="18"/>
                <w:szCs w:val="18"/>
              </w:rPr>
              <w:t xml:space="preserve"> above summed normal angular measurement</w:t>
            </w:r>
          </w:p>
        </w:tc>
        <w:tc>
          <w:tcPr>
            <w:tcW w:w="2790" w:type="dxa"/>
          </w:tcPr>
          <w:p w:rsidR="00353F9A" w:rsidRPr="008E0858" w:rsidRDefault="002C2A28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="00353F9A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umber fused levels not provided</w:t>
            </w:r>
          </w:p>
        </w:tc>
      </w:tr>
      <w:tr w:rsidR="00353F9A" w:rsidRPr="008E0858" w:rsidTr="00103EDB">
        <w:tc>
          <w:tcPr>
            <w:tcW w:w="155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2968" w:type="dxa"/>
          </w:tcPr>
          <w:p w:rsidR="00353F9A" w:rsidRPr="008E0858" w:rsidRDefault="00353F9A" w:rsidP="002C2A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Sacramento-Dominguez C, </w:t>
            </w:r>
            <w:proofErr w:type="spellStart"/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Vayas-Diez</w:t>
            </w:r>
            <w:proofErr w:type="spell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, et al. Reproducibility measuring the angle of proximal junctional kyphosis using the first or the second vertebra above the upper instrumented vertebrae in patients surgically tre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ated for scoliosis.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Spine (</w:t>
            </w:r>
            <w:proofErr w:type="spellStart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Phila</w:t>
            </w:r>
            <w:proofErr w:type="spellEnd"/>
            <w:r w:rsidRPr="008E085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Pa 1976)</w:t>
            </w: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2A28"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2009</w:t>
            </w:r>
            <w:proofErr w:type="gramStart"/>
            <w:r w:rsidR="002C2A28"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;3</w:t>
            </w:r>
            <w:r w:rsidRPr="008E085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  <w:proofErr w:type="gramEnd"/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(25):2787-791.</w:t>
            </w:r>
          </w:p>
        </w:tc>
        <w:tc>
          <w:tcPr>
            <w:tcW w:w="2160" w:type="dxa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Study</w:t>
            </w:r>
            <w:r w:rsidR="002C2A28"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of measurement reproducibility</w:t>
            </w:r>
          </w:p>
          <w:p w:rsidR="00353F9A" w:rsidRPr="008E0858" w:rsidRDefault="00353F9A" w:rsidP="00353F9A">
            <w:pPr>
              <w:numPr>
                <w:ilvl w:val="0"/>
                <w:numId w:val="19"/>
              </w:numPr>
              <w:spacing w:after="0" w:line="240" w:lineRule="auto"/>
              <w:ind w:left="93" w:hanging="18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sz w:val="18"/>
                <w:szCs w:val="18"/>
              </w:rPr>
              <w:t>No evaluation of PJK risk factors</w:t>
            </w:r>
          </w:p>
        </w:tc>
      </w:tr>
    </w:tbl>
    <w:p w:rsidR="00353F9A" w:rsidRPr="008E0858" w:rsidRDefault="00353F9A" w:rsidP="00353F9A">
      <w:pPr>
        <w:rPr>
          <w:rFonts w:ascii="Times New Roman" w:eastAsia="Calibri" w:hAnsi="Times New Roman" w:cs="Times New Roman"/>
          <w:sz w:val="24"/>
        </w:rPr>
      </w:pPr>
    </w:p>
    <w:p w:rsidR="00353F9A" w:rsidRPr="008E0858" w:rsidRDefault="00353F9A" w:rsidP="00353F9A">
      <w:pPr>
        <w:rPr>
          <w:rFonts w:ascii="Times New Roman" w:eastAsia="Calibri" w:hAnsi="Times New Roman" w:cs="Times New Roman"/>
          <w:sz w:val="24"/>
        </w:rPr>
        <w:sectPr w:rsidR="00353F9A" w:rsidRPr="008E0858" w:rsidSect="00103ED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4"/>
        </w:rPr>
      </w:pPr>
      <w:r w:rsidRPr="008E0858">
        <w:rPr>
          <w:rFonts w:ascii="Times New Roman" w:eastAsia="Calibri" w:hAnsi="Times New Roman" w:cs="Times New Roman"/>
          <w:b/>
          <w:sz w:val="24"/>
        </w:rPr>
        <w:lastRenderedPageBreak/>
        <w:t>Critical appraisal and level of evidence (L</w:t>
      </w:r>
      <w:r w:rsidR="00D23606" w:rsidRPr="008E0858">
        <w:rPr>
          <w:rFonts w:ascii="Times New Roman" w:eastAsia="Calibri" w:hAnsi="Times New Roman" w:cs="Times New Roman"/>
          <w:b/>
          <w:sz w:val="24"/>
        </w:rPr>
        <w:t>OE) for included studies</w:t>
      </w:r>
    </w:p>
    <w:tbl>
      <w:tblPr>
        <w:tblW w:w="10008" w:type="dxa"/>
        <w:tblLayout w:type="fixed"/>
        <w:tblLook w:val="0000"/>
      </w:tblPr>
      <w:tblGrid>
        <w:gridCol w:w="3258"/>
        <w:gridCol w:w="990"/>
        <w:gridCol w:w="900"/>
        <w:gridCol w:w="990"/>
        <w:gridCol w:w="900"/>
        <w:gridCol w:w="990"/>
        <w:gridCol w:w="990"/>
        <w:gridCol w:w="990"/>
      </w:tblGrid>
      <w:tr w:rsidR="00353F9A" w:rsidRPr="008E0858" w:rsidTr="00103ED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color w:val="FFFFFF"/>
                <w:kern w:val="36"/>
                <w:sz w:val="18"/>
                <w:szCs w:val="18"/>
              </w:rPr>
              <w:t>Methodological principle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Kim YJ</w:t>
            </w:r>
          </w:p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(2008)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Kim HJ (2011)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Mendoza-Lattes (2011)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Denis (2009)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Lonner (2007)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Kim YJ (2007)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bottom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-90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Wang (2010)</w:t>
            </w: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Study design</w:t>
            </w: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Prospective cohort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Retrospective cohort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353F9A" w:rsidRPr="008E0858" w:rsidTr="00103EDB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Case-control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Cross-sectional study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Case-series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color w:val="000000"/>
                <w:kern w:val="36"/>
                <w:sz w:val="18"/>
                <w:szCs w:val="18"/>
              </w:rPr>
              <w:t>COHORT STUDIES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Patients at similar point in the course of their disease or treatment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D23606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 xml:space="preserve">Complete follow-up of </w:t>
            </w: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  <w:u w:val="single"/>
              </w:rPr>
              <w:t>&gt;</w:t>
            </w: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 xml:space="preserve"> 80%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Patients followed long enough for outcomes to occur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Accounting for other prognostic factors*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  <w:t>+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+</w:t>
            </w:r>
          </w:p>
        </w:tc>
      </w:tr>
      <w:tr w:rsidR="00353F9A" w:rsidRPr="008E0858" w:rsidTr="00103EDB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color w:val="000000"/>
                <w:kern w:val="36"/>
                <w:sz w:val="18"/>
                <w:szCs w:val="18"/>
              </w:rPr>
              <w:t>CASE-CONTROL STUDIES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Incidence cases from defined population over a specified time period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4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Controls represent the population from which the cases come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Exposure precedes an outcome of interest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Accounting for other prognostic factors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color w:val="000000"/>
                <w:kern w:val="36"/>
                <w:sz w:val="18"/>
                <w:szCs w:val="18"/>
              </w:rPr>
              <w:t>CROSS-SECTIONAL STUDIES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A representative sample of the population of interest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Exposure that precedes an outcome of interest (e.g., sex, genetic factor)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>Accounting for other prognostic factors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943634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D23606">
            <w:pPr>
              <w:snapToGrid w:val="0"/>
              <w:spacing w:after="0" w:line="240" w:lineRule="auto"/>
              <w:ind w:left="180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 xml:space="preserve">For surveys, a return rate of </w:t>
            </w: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  <w:u w:val="single"/>
              </w:rPr>
              <w:t>&gt;</w:t>
            </w:r>
            <w:r w:rsidRPr="008E0858"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  <w:t xml:space="preserve"> 80%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18"/>
                <w:szCs w:val="18"/>
              </w:rPr>
            </w:pPr>
          </w:p>
        </w:tc>
      </w:tr>
      <w:tr w:rsidR="00353F9A" w:rsidRPr="008E0858" w:rsidTr="00103EDB"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color w:val="FFFFFF"/>
                <w:kern w:val="36"/>
                <w:sz w:val="18"/>
                <w:szCs w:val="18"/>
              </w:rPr>
              <w:t>Evidence class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  <w:vAlign w:val="center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353F9A" w:rsidRPr="008E0858" w:rsidRDefault="00353F9A" w:rsidP="00353F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color w:val="FFFFFF"/>
                <w:kern w:val="36"/>
                <w:sz w:val="18"/>
                <w:szCs w:val="18"/>
              </w:rPr>
              <w:t>III</w:t>
            </w:r>
          </w:p>
        </w:tc>
      </w:tr>
    </w:tbl>
    <w:p w:rsidR="00D23606" w:rsidRPr="008E0858" w:rsidRDefault="00D23606">
      <w:pPr>
        <w:rPr>
          <w:rFonts w:ascii="Times New Roman" w:eastAsia="Calibri" w:hAnsi="Times New Roman" w:cs="Times New Roman"/>
        </w:rPr>
      </w:pPr>
      <w:r w:rsidRPr="008E0858">
        <w:rPr>
          <w:rFonts w:ascii="Times New Roman" w:eastAsia="Calibri" w:hAnsi="Times New Roman" w:cs="Times New Roman"/>
        </w:rPr>
        <w:br w:type="page"/>
      </w:r>
    </w:p>
    <w:p w:rsidR="00353F9A" w:rsidRPr="008E0858" w:rsidRDefault="00353F9A" w:rsidP="00353F9A">
      <w:pPr>
        <w:spacing w:after="0" w:line="240" w:lineRule="auto"/>
        <w:ind w:right="-720"/>
        <w:rPr>
          <w:rFonts w:ascii="Times New Roman" w:eastAsia="PMingLiU" w:hAnsi="Times New Roman" w:cs="Times New Roman"/>
          <w:b/>
          <w:sz w:val="24"/>
          <w:szCs w:val="24"/>
        </w:rPr>
      </w:pPr>
      <w:r w:rsidRPr="008E0858">
        <w:rPr>
          <w:rFonts w:ascii="Times New Roman" w:eastAsia="PMingLiU" w:hAnsi="Times New Roman" w:cs="Times New Roman"/>
          <w:b/>
          <w:sz w:val="24"/>
          <w:szCs w:val="24"/>
        </w:rPr>
        <w:lastRenderedPageBreak/>
        <w:t>O</w:t>
      </w:r>
      <w:r w:rsidR="00D23606" w:rsidRPr="008E0858">
        <w:rPr>
          <w:rFonts w:ascii="Times New Roman" w:eastAsia="PMingLiU" w:hAnsi="Times New Roman" w:cs="Times New Roman"/>
          <w:b/>
          <w:sz w:val="24"/>
          <w:szCs w:val="24"/>
        </w:rPr>
        <w:t>verall body of evidence summary</w:t>
      </w:r>
    </w:p>
    <w:p w:rsidR="00353F9A" w:rsidRPr="008E0858" w:rsidRDefault="00353F9A" w:rsidP="00353F9A">
      <w:pPr>
        <w:rPr>
          <w:rFonts w:ascii="Times New Roman" w:eastAsia="Calibri" w:hAnsi="Times New Roman" w:cs="Times New Roman"/>
          <w:sz w:val="24"/>
        </w:rPr>
      </w:pPr>
      <w:r w:rsidRPr="008E0858">
        <w:rPr>
          <w:rFonts w:ascii="Times New Roman" w:eastAsia="Calibri" w:hAnsi="Times New Roman" w:cs="Times New Roman"/>
          <w:sz w:val="24"/>
        </w:rPr>
        <w:t>The following overall summary of the available evidence focuses on findings across multiple studies to the extent possible.</w:t>
      </w:r>
    </w:p>
    <w:tbl>
      <w:tblPr>
        <w:tblW w:w="10740" w:type="dxa"/>
        <w:tblInd w:w="-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890"/>
        <w:gridCol w:w="3240"/>
        <w:gridCol w:w="840"/>
        <w:gridCol w:w="1350"/>
        <w:gridCol w:w="1620"/>
      </w:tblGrid>
      <w:tr w:rsidR="00353F9A" w:rsidRPr="008E0858" w:rsidTr="00761F54">
        <w:trPr>
          <w:trHeight w:val="421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  <w:u w:val="single"/>
              </w:rPr>
              <w:t>Baseline quality</w:t>
            </w:r>
            <w:r w:rsidR="00D23606"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:</w:t>
            </w:r>
            <w:r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20"/>
                <w:szCs w:val="24"/>
              </w:rPr>
              <w:t>HIGH = m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ajority of article Level I/II. </w:t>
            </w:r>
            <w:r w:rsidRPr="008E0858">
              <w:rPr>
                <w:rFonts w:ascii="Times New Roman" w:eastAsia="Calibri" w:hAnsi="Times New Roman" w:cs="Times New Roman"/>
                <w:sz w:val="20"/>
                <w:szCs w:val="24"/>
              </w:rPr>
              <w:t>LOW = majority of articles Level III/IV.</w:t>
            </w:r>
          </w:p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  <w:u w:val="single"/>
              </w:rPr>
              <w:t>UPGRADE</w:t>
            </w:r>
            <w:r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:</w:t>
            </w:r>
            <w:r w:rsidR="00D23606"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20"/>
                <w:szCs w:val="24"/>
              </w:rPr>
              <w:t>Large magnitude of effect (1 or 2 levels); dose response gradient (1 level)</w:t>
            </w:r>
          </w:p>
          <w:p w:rsidR="00353F9A" w:rsidRPr="008E0858" w:rsidRDefault="00353F9A" w:rsidP="00353F9A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  <w:u w:val="single"/>
              </w:rPr>
              <w:t>DOWNGRADE</w:t>
            </w:r>
            <w:r w:rsidR="00D23606" w:rsidRPr="008E085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: </w:t>
            </w:r>
            <w:r w:rsidRPr="008E0858">
              <w:rPr>
                <w:rFonts w:ascii="Times New Roman" w:eastAsia="Calibri" w:hAnsi="Times New Roman" w:cs="Times New Roman"/>
                <w:sz w:val="20"/>
                <w:szCs w:val="24"/>
              </w:rPr>
              <w:t>Inconsistency of results (1 or 2 levels); indirectness of evidence (1 or 2 levels); imprecision of effect estimates (1 or 2 levels)</w:t>
            </w:r>
          </w:p>
        </w:tc>
      </w:tr>
      <w:tr w:rsidR="00353F9A" w:rsidRPr="008E0858" w:rsidTr="00761F54"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-119" w:right="-14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Strength of evidence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Conclusions/Comments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3F9A" w:rsidRPr="008E0858" w:rsidRDefault="00353F9A" w:rsidP="00761F54">
            <w:pPr>
              <w:spacing w:after="0" w:line="240" w:lineRule="auto"/>
              <w:ind w:left="30" w:right="-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3F9A" w:rsidRPr="008E0858" w:rsidRDefault="00353F9A" w:rsidP="00353F9A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UPGRADE (levels)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3F9A" w:rsidRPr="008E0858" w:rsidRDefault="00353F9A" w:rsidP="00353F9A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DOWN-GRADE</w:t>
            </w:r>
          </w:p>
          <w:p w:rsidR="00353F9A" w:rsidRPr="008E0858" w:rsidRDefault="00353F9A" w:rsidP="00353F9A">
            <w:pPr>
              <w:spacing w:after="0" w:line="240" w:lineRule="auto"/>
              <w:ind w:left="9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085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(levels)</w:t>
            </w:r>
          </w:p>
        </w:tc>
      </w:tr>
      <w:tr w:rsidR="00353F9A" w:rsidRPr="008E0858" w:rsidTr="00761F54">
        <w:trPr>
          <w:trHeight w:val="286"/>
        </w:trPr>
        <w:tc>
          <w:tcPr>
            <w:tcW w:w="10740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Question 1a</w:t>
            </w:r>
            <w:r w:rsidR="00245E23">
              <w:rPr>
                <w:rFonts w:ascii="Times New Roman" w:eastAsia="Calibri" w:hAnsi="Times New Roman" w:cs="Times New Roman"/>
                <w:sz w:val="20"/>
                <w:szCs w:val="20"/>
              </w:rPr>
              <w:t>. What is the reported risk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timing of PJK development?</w:t>
            </w:r>
          </w:p>
        </w:tc>
      </w:tr>
      <w:tr w:rsidR="00353F9A" w:rsidRPr="008E0858" w:rsidTr="00761F54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245E23" w:rsidP="00353F9A">
            <w:pPr>
              <w:numPr>
                <w:ilvl w:val="0"/>
                <w:numId w:val="5"/>
              </w:numPr>
              <w:spacing w:after="0" w:line="240" w:lineRule="auto"/>
              <w:ind w:left="216" w:hanging="1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Cumulative risk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Moderate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245E23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Cumulative risk </w:t>
            </w:r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ranged from 17%-39% across studies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but</w:t>
            </w:r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based on studies in which loss to follow-up could not be determined.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67" w:right="-58" w:hanging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Yes – 1 level; consistently high risks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</w:tr>
      <w:tr w:rsidR="00353F9A" w:rsidRPr="008E0858" w:rsidTr="00761F54">
        <w:trPr>
          <w:trHeight w:val="2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5"/>
              </w:numPr>
              <w:spacing w:after="0" w:line="240" w:lineRule="auto"/>
              <w:ind w:left="216" w:right="36" w:hanging="1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Timing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 (adults</w:t>
            </w:r>
            <w:r w:rsidR="00761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adolescents)</w:t>
            </w:r>
          </w:p>
          <w:p w:rsidR="00353F9A" w:rsidRPr="00761F54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Insufficient (Scheuermann’s)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Four L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="00245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III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studies, 2 in adults, 2 in adolescents suggest that the majority PJK development or greatest increases in PJ angle may occur relatively early in the postoperative period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Not reported in st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udies of Scheuermann’s kyphosis.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67" w:right="-58" w:hanging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(adults </w:t>
            </w:r>
            <w:r w:rsidR="00761F54">
              <w:rPr>
                <w:rFonts w:ascii="Times New Roman" w:eastAsia="Calibri" w:hAnsi="Times New Roman" w:cs="Times New Roman"/>
                <w:sz w:val="20"/>
                <w:szCs w:val="20"/>
              </w:rPr>
              <w:t>&amp;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adolescents)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YES – Scheuermann’s</w:t>
            </w:r>
          </w:p>
        </w:tc>
      </w:tr>
      <w:tr w:rsidR="00353F9A" w:rsidRPr="008E0858" w:rsidTr="00761F54">
        <w:trPr>
          <w:trHeight w:val="279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Question 1b. What factors are associated with PJK development </w:t>
            </w:r>
          </w:p>
        </w:tc>
      </w:tr>
      <w:tr w:rsidR="00353F9A" w:rsidRPr="008E0858" w:rsidTr="00761F54">
        <w:trPr>
          <w:trHeight w:val="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D23606">
            <w:pPr>
              <w:numPr>
                <w:ilvl w:val="0"/>
                <w:numId w:val="5"/>
              </w:numPr>
              <w:spacing w:after="0" w:line="240" w:lineRule="auto"/>
              <w:ind w:left="216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Patient factors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(age, sex, Risser sign)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 (adults</w:t>
            </w:r>
            <w:r w:rsidR="00761F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adolescents)</w:t>
            </w:r>
          </w:p>
          <w:p w:rsidR="00353F9A" w:rsidRPr="00761F54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3F9A" w:rsidRPr="008E0858" w:rsidRDefault="00353F9A" w:rsidP="00D23606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Insufficient (Scheuermann’s)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1F5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multivariate analysis (2 </w:t>
            </w:r>
            <w:proofErr w:type="gramStart"/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studies)</w:t>
            </w:r>
            <w:proofErr w:type="gramEnd"/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neither age nor sex were significant; 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lder age conferred higher risk of PJK based on crude estimates in one study.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Adolescents: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 association with age in two studies. No association with sex in multivariate analysis but increased risk in males based on unadjusted risk ratio. In the study using a multivariate model, Risser sign was associated with PJK but no association was found in a second study.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Scheuermann’s: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Not reported in studies of Scheuermann’s kyphosis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67" w:right="-58" w:hanging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(adults </w:t>
            </w:r>
            <w:r w:rsidR="00761F54">
              <w:rPr>
                <w:rFonts w:ascii="Times New Roman" w:eastAsia="Calibri" w:hAnsi="Times New Roman" w:cs="Times New Roman"/>
                <w:sz w:val="20"/>
                <w:szCs w:val="20"/>
              </w:rPr>
              <w:t>&amp;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adolescents)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YES – Scheuermann’s</w:t>
            </w:r>
          </w:p>
        </w:tc>
      </w:tr>
      <w:tr w:rsidR="00353F9A" w:rsidRPr="008E0858" w:rsidTr="00761F54">
        <w:trPr>
          <w:trHeight w:val="28"/>
        </w:trPr>
        <w:tc>
          <w:tcPr>
            <w:tcW w:w="18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5"/>
              </w:numPr>
              <w:spacing w:after="0" w:line="240" w:lineRule="auto"/>
              <w:ind w:left="216" w:hanging="1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Surgical Factors</w:t>
            </w:r>
          </w:p>
        </w:tc>
        <w:tc>
          <w:tcPr>
            <w:tcW w:w="18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Fusion to S1did not increase risk but combined anterior and posterior approach was associated with increased risk based on 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adjusted estimates (2 studies).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Adolescents: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Number of fused vertebrae did not increase PJK risk. Thoracoplasty associated with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increased PJK </w:t>
            </w:r>
            <w:r w:rsidR="008E0858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risk,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as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was use of screws vs. hooks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both studies. Wide confidence</w:t>
            </w:r>
            <w:r w:rsidR="002E16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intervals for some multivariate </w:t>
            </w:r>
            <w:r w:rsidR="008E0858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estimates suggest instability.</w:t>
            </w:r>
          </w:p>
          <w:p w:rsidR="00353F9A" w:rsidRPr="008E0858" w:rsidRDefault="00D23606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Scheuermann’s</w:t>
            </w:r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Two studies suggest increased risk of PJK with shorter fusions with results statistically significant in one. Wide confidence </w:t>
            </w:r>
            <w:proofErr w:type="gramStart"/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intervals suggest</w:t>
            </w:r>
            <w:r w:rsidR="002E160B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proofErr w:type="gramEnd"/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some instability in estimates and neither adjusted for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potential confounding factors.</w:t>
            </w:r>
          </w:p>
        </w:tc>
        <w:tc>
          <w:tcPr>
            <w:tcW w:w="8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F9A" w:rsidRPr="008E0858" w:rsidRDefault="00353F9A" w:rsidP="00D23606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67" w:right="-58" w:hanging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Low</w:t>
            </w:r>
          </w:p>
        </w:tc>
        <w:tc>
          <w:tcPr>
            <w:tcW w:w="13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 – although the effect sizes in one study were big, the wide CI suggests estimate instability</w:t>
            </w: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3F9A" w:rsidRPr="008E0858" w:rsidRDefault="00353F9A" w:rsidP="00D23606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</w:tr>
      <w:tr w:rsidR="00353F9A" w:rsidRPr="008E0858" w:rsidTr="00761F54">
        <w:trPr>
          <w:trHeight w:val="28"/>
        </w:trPr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D23606" w:rsidP="00353F9A">
            <w:pPr>
              <w:numPr>
                <w:ilvl w:val="0"/>
                <w:numId w:val="5"/>
              </w:numPr>
              <w:spacing w:after="0" w:line="240" w:lineRule="auto"/>
              <w:ind w:left="216" w:hanging="1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Radiographic findings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 (adults, adolescents)</w:t>
            </w:r>
          </w:p>
          <w:p w:rsidR="00353F9A" w:rsidRPr="00761F54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3F9A" w:rsidRPr="008E0858" w:rsidRDefault="00353F9A" w:rsidP="00D23606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Insufficient (Scheuermann’s)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Adults: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multivariate analyses in isolated studies none of the following were associated with PJK: sagittal sacral vertical line, sacral slope, ratio of C7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plumbline: sacral femoral distance, difference between magnitude of thoracic kyphosis and lumbar lordosis Cobb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angle me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asurement or pelvic incidence.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Mean proximal junctional angle was significantly different between those who did and did not develop PJK postoperatively in one study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Adolescents: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Preoperative thoracic Cobb angle and postural thoracic curvatur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e &gt;40° was associated with PJK.</w:t>
            </w:r>
          </w:p>
          <w:p w:rsidR="00353F9A" w:rsidRPr="008E0858" w:rsidRDefault="00D23606" w:rsidP="00D23606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Scheuermann’s</w:t>
            </w:r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: One study reported significant differences in kyphosis pre and postoperatively.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67" w:right="-58" w:hanging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(adults </w:t>
            </w:r>
            <w:r w:rsidR="002E160B">
              <w:rPr>
                <w:rFonts w:ascii="Times New Roman" w:eastAsia="Calibri" w:hAnsi="Times New Roman" w:cs="Times New Roman"/>
                <w:sz w:val="20"/>
                <w:szCs w:val="20"/>
              </w:rPr>
              <w:t>&amp;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adolescents)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YES 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Scheuermann’s</w:t>
            </w:r>
          </w:p>
        </w:tc>
      </w:tr>
      <w:tr w:rsidR="00353F9A" w:rsidRPr="008E0858" w:rsidTr="00761F54">
        <w:trPr>
          <w:trHeight w:val="2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Question 2. </w:t>
            </w:r>
            <w:r w:rsidR="00245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persons with PJK experience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decreased function or quality of life? </w:t>
            </w:r>
          </w:p>
        </w:tc>
      </w:tr>
      <w:tr w:rsidR="00353F9A" w:rsidRPr="008E0858" w:rsidTr="00761F54">
        <w:trPr>
          <w:trHeight w:val="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5"/>
              </w:numPr>
              <w:spacing w:after="0" w:line="240" w:lineRule="auto"/>
              <w:ind w:left="216" w:hanging="18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SRS scores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Low (adults, adolescents)</w:t>
            </w:r>
          </w:p>
          <w:p w:rsidR="00353F9A" w:rsidRPr="00761F54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3F9A" w:rsidRPr="008E0858" w:rsidRDefault="00353F9A" w:rsidP="00353F9A">
            <w:pPr>
              <w:spacing w:after="0" w:line="240" w:lineRule="auto"/>
              <w:ind w:left="36" w:right="2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Insufficient (</w:t>
            </w:r>
            <w:r w:rsidR="00D23606"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Scheuermann’s</w:t>
            </w:r>
            <w:r w:rsidRPr="008E08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Adults: Score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were similar between those who did and those who did not develop PJK in 2 studies.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Adolescents: Score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were similar between groups in 1 study</w:t>
            </w:r>
          </w:p>
          <w:p w:rsidR="00353F9A" w:rsidRPr="008E0858" w:rsidRDefault="00D23606" w:rsidP="00353F9A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9" w:right="-58" w:hanging="18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Scheuermann’s</w:t>
            </w:r>
            <w:r w:rsidR="00353F9A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: No studies were found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67" w:right="-58" w:hanging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 (adults </w:t>
            </w:r>
            <w:r w:rsidR="002E160B">
              <w:rPr>
                <w:rFonts w:ascii="Times New Roman" w:eastAsia="Calibri" w:hAnsi="Times New Roman" w:cs="Times New Roman"/>
                <w:sz w:val="20"/>
                <w:szCs w:val="20"/>
              </w:rPr>
              <w:t>&amp;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adolescents)</w:t>
            </w:r>
          </w:p>
          <w:p w:rsidR="00353F9A" w:rsidRPr="008E0858" w:rsidRDefault="00353F9A" w:rsidP="00353F9A">
            <w:pPr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ind w:left="270" w:hanging="1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YES </w:t>
            </w:r>
            <w:r w:rsidR="00D23606"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eastAsia="Calibri" w:hAnsi="Times New Roman" w:cs="Times New Roman"/>
                <w:sz w:val="20"/>
                <w:szCs w:val="20"/>
              </w:rPr>
              <w:t>Scheuermann’s</w:t>
            </w:r>
          </w:p>
        </w:tc>
      </w:tr>
    </w:tbl>
    <w:p w:rsidR="00245E23" w:rsidRPr="002E160B" w:rsidRDefault="00245E23">
      <w:pPr>
        <w:rPr>
          <w:rFonts w:ascii="Times New Roman" w:eastAsia="Calibri" w:hAnsi="Times New Roman" w:cs="Times New Roman"/>
          <w:sz w:val="20"/>
          <w:szCs w:val="20"/>
        </w:rPr>
      </w:pPr>
      <w:r w:rsidRPr="002E160B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E08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Summary of radiographic angle changes in degrees – Kim 2008 (Adults)</w:t>
      </w:r>
    </w:p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980"/>
        <w:gridCol w:w="90"/>
        <w:gridCol w:w="2520"/>
        <w:gridCol w:w="1260"/>
      </w:tblGrid>
      <w:tr w:rsidR="00353F9A" w:rsidRPr="008E0858" w:rsidTr="00103EDB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PJK (n = 62)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No PJK (n = 99)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P value†</w:t>
            </w:r>
          </w:p>
        </w:tc>
      </w:tr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Proximal junctional kyphosis angle changes</w:t>
            </w:r>
          </w:p>
        </w:tc>
      </w:tr>
      <w:tr w:rsidR="00353F9A" w:rsidRPr="008E0858" w:rsidTr="00103EDB">
        <w:tc>
          <w:tcPr>
            <w:tcW w:w="2718" w:type="dxa"/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 ± 7.7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4 ± 8.8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</w:tr>
      <w:tr w:rsidR="00353F9A" w:rsidRPr="008E0858" w:rsidTr="00103EDB">
        <w:tc>
          <w:tcPr>
            <w:tcW w:w="2718" w:type="dxa"/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(%)*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8 weeks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11 (367%)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 (75%)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353F9A" w:rsidRPr="008E0858" w:rsidTr="00103EDB">
        <w:tc>
          <w:tcPr>
            <w:tcW w:w="2718" w:type="dxa"/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Ultimate follow-up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98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17 (567%)</w:t>
            </w:r>
          </w:p>
        </w:tc>
        <w:tc>
          <w:tcPr>
            <w:tcW w:w="261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 (75%)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353F9A" w:rsidRPr="008E0858" w:rsidTr="00103EDB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Ultimate follow-up – 8 week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6 (43%)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Thoracic kyphosis (T5-T12) angle changes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28 ± 17.7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28 ± 18.1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8 weeks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7 (25%)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 (4%)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Ultimate follow-up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98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13 (46%)</w:t>
            </w:r>
          </w:p>
        </w:tc>
        <w:tc>
          <w:tcPr>
            <w:tcW w:w="261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4 (14%)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</w:tr>
      <w:tr w:rsidR="00353F9A" w:rsidRPr="008E0858" w:rsidTr="00103EDB">
        <w:tc>
          <w:tcPr>
            <w:tcW w:w="271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Ultimate follow-up – 8 week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6 (17%)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 (10%)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Lumbar lordosis (T12-S1) angle changes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35 ± 24.5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39 ± 25.4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8 weeks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17 (49%)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9 (23%)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Ultimate follow-up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207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12 (34%)</w:t>
            </w:r>
          </w:p>
        </w:tc>
        <w:tc>
          <w:tcPr>
            <w:tcW w:w="252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8 (21%)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</w:tr>
      <w:tr w:rsidR="00353F9A" w:rsidRPr="008E0858" w:rsidTr="00103EDB">
        <w:tc>
          <w:tcPr>
            <w:tcW w:w="271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Ultimate follow-up – 8 week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-5 (-10%)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-1 (-2%)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Sagittal vertical axis (cm) changes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5.1 ± 7.4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4.6 ± 7.5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8 weeks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-4.5 (-88%)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-3.3 (-72%)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271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Ultimate follow-up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207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-0.9 (-18%)</w:t>
            </w:r>
          </w:p>
        </w:tc>
        <w:tc>
          <w:tcPr>
            <w:tcW w:w="252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-2 (-43%)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</w:tr>
      <w:tr w:rsidR="00353F9A" w:rsidRPr="008E0858" w:rsidTr="00103EDB">
        <w:tc>
          <w:tcPr>
            <w:tcW w:w="271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Ultimate follow-up – 8 week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3.6 (600%)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1.3 (100%)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</w:tbl>
    <w:p w:rsidR="00353F9A" w:rsidRPr="008E0858" w:rsidRDefault="00353F9A" w:rsidP="00353F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E0858">
        <w:rPr>
          <w:rFonts w:ascii="Times New Roman" w:eastAsia="Calibri" w:hAnsi="Times New Roman" w:cs="Times New Roman"/>
          <w:sz w:val="16"/>
          <w:szCs w:val="16"/>
        </w:rPr>
        <w:t>*Difference in mean scores as lis</w:t>
      </w:r>
      <w:r w:rsidR="00D23606" w:rsidRPr="008E0858">
        <w:rPr>
          <w:rFonts w:ascii="Times New Roman" w:eastAsia="Calibri" w:hAnsi="Times New Roman" w:cs="Times New Roman"/>
          <w:sz w:val="16"/>
          <w:szCs w:val="16"/>
        </w:rPr>
        <w:t xml:space="preserve">ted and </w:t>
      </w:r>
      <w:proofErr w:type="gramStart"/>
      <w:r w:rsidR="00D23606" w:rsidRPr="008E0858">
        <w:rPr>
          <w:rFonts w:ascii="Times New Roman" w:eastAsia="Calibri" w:hAnsi="Times New Roman" w:cs="Times New Roman"/>
          <w:sz w:val="16"/>
          <w:szCs w:val="16"/>
        </w:rPr>
        <w:t>%</w:t>
      </w:r>
      <w:proofErr w:type="gramEnd"/>
      <w:r w:rsidR="00D23606" w:rsidRPr="008E0858">
        <w:rPr>
          <w:rFonts w:ascii="Times New Roman" w:eastAsia="Calibri" w:hAnsi="Times New Roman" w:cs="Times New Roman"/>
          <w:sz w:val="16"/>
          <w:szCs w:val="16"/>
        </w:rPr>
        <w:t xml:space="preserve"> change in mean score</w:t>
      </w:r>
    </w:p>
    <w:p w:rsidR="00353F9A" w:rsidRPr="008E0858" w:rsidRDefault="002E160B" w:rsidP="00353F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†As reported by authors</w:t>
      </w:r>
    </w:p>
    <w:p w:rsidR="00353F9A" w:rsidRPr="008E0858" w:rsidRDefault="00353F9A" w:rsidP="00353F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E0858">
        <w:rPr>
          <w:rFonts w:ascii="Times New Roman" w:eastAsia="Calibri" w:hAnsi="Times New Roman" w:cs="Times New Roman"/>
          <w:sz w:val="16"/>
          <w:szCs w:val="16"/>
        </w:rPr>
        <w:t>NS = not</w:t>
      </w:r>
      <w:r w:rsidR="002E160B">
        <w:rPr>
          <w:rFonts w:ascii="Times New Roman" w:eastAsia="Calibri" w:hAnsi="Times New Roman" w:cs="Times New Roman"/>
          <w:sz w:val="16"/>
          <w:szCs w:val="16"/>
        </w:rPr>
        <w:t xml:space="preserve"> significant; NR = not reported</w:t>
      </w:r>
      <w:r w:rsidRPr="008E0858">
        <w:rPr>
          <w:rFonts w:ascii="Times New Roman" w:eastAsia="Calibri" w:hAnsi="Times New Roman" w:cs="Times New Roman"/>
          <w:sz w:val="16"/>
          <w:szCs w:val="16"/>
        </w:rPr>
        <w:t xml:space="preserve"> or data not provided by the authors from which the change could be ca</w:t>
      </w:r>
      <w:r w:rsidR="002E160B">
        <w:rPr>
          <w:rFonts w:ascii="Times New Roman" w:eastAsia="Calibri" w:hAnsi="Times New Roman" w:cs="Times New Roman"/>
          <w:sz w:val="16"/>
          <w:szCs w:val="16"/>
        </w:rPr>
        <w:t>lculated</w:t>
      </w:r>
    </w:p>
    <w:p w:rsidR="006F50C2" w:rsidRPr="008E0858" w:rsidRDefault="006F50C2">
      <w:pPr>
        <w:rPr>
          <w:rFonts w:ascii="Times New Roman" w:eastAsia="Calibri" w:hAnsi="Times New Roman" w:cs="Times New Roman"/>
          <w:sz w:val="20"/>
          <w:szCs w:val="20"/>
        </w:rPr>
      </w:pPr>
      <w:r w:rsidRPr="008E0858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E085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Summary of radiographic angle changes in degrees – Kim 2007 (adolescents)</w:t>
      </w:r>
    </w:p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710"/>
        <w:gridCol w:w="180"/>
        <w:gridCol w:w="1980"/>
        <w:gridCol w:w="1260"/>
      </w:tblGrid>
      <w:tr w:rsidR="00353F9A" w:rsidRPr="008E0858" w:rsidTr="00103EDB">
        <w:tc>
          <w:tcPr>
            <w:tcW w:w="343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PJK (n = 111)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No PJK (n = 299)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 value†</w:t>
            </w:r>
          </w:p>
        </w:tc>
      </w:tr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Proximal junctional kyphosis angle changes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SD*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6 ± 5.7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6 ± 5.9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Immed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7 (117%)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 (33%)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2 years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71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16 (267%)</w:t>
            </w:r>
          </w:p>
        </w:tc>
        <w:tc>
          <w:tcPr>
            <w:tcW w:w="216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 (33%)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 years postop – immediately postop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9 (69%)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</w:tbl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710"/>
        <w:gridCol w:w="180"/>
        <w:gridCol w:w="1980"/>
        <w:gridCol w:w="1260"/>
      </w:tblGrid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0858">
              <w:rPr>
                <w:rFonts w:ascii="Times New Roman" w:hAnsi="Times New Roman"/>
                <w:b/>
                <w:sz w:val="20"/>
                <w:szCs w:val="20"/>
              </w:rPr>
              <w:t>Proximal thoracic Cobb angle changes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27.1 ± 8.2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25.6 ± 11.0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Immed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-9.4 (-35%)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-9.2 (-36%)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2 years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71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216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 years postop – immediately postop</w:t>
            </w:r>
          </w:p>
        </w:tc>
        <w:tc>
          <w:tcPr>
            <w:tcW w:w="171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216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710"/>
        <w:gridCol w:w="180"/>
        <w:gridCol w:w="1980"/>
        <w:gridCol w:w="1260"/>
      </w:tblGrid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main thoracic Cobb angle changes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60 ± 12.3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58 ± 12.1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Immed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(56%)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(55%)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 xml:space="preserve">2 years postop </w:t>
            </w:r>
            <w:r w:rsidR="00D23606" w:rsidRPr="008E085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  <w:szCs w:val="20"/>
              </w:rPr>
              <w:t>preop</w:t>
            </w:r>
          </w:p>
        </w:tc>
        <w:tc>
          <w:tcPr>
            <w:tcW w:w="171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216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F9A" w:rsidRPr="008E0858" w:rsidTr="00103EDB">
        <w:tc>
          <w:tcPr>
            <w:tcW w:w="343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2 years postop – immediately postop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858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710"/>
        <w:gridCol w:w="180"/>
        <w:gridCol w:w="1980"/>
        <w:gridCol w:w="1260"/>
      </w:tblGrid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 w:val="20"/>
              </w:rPr>
            </w:pPr>
            <w:r w:rsidRPr="008E0858">
              <w:rPr>
                <w:rFonts w:ascii="Times New Roman" w:hAnsi="Times New Roman"/>
                <w:b/>
                <w:sz w:val="20"/>
              </w:rPr>
              <w:t>T5-T12 sagittal Cobb angles changes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Preop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29 ± 14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22 ± 14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&lt; 0.0001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 xml:space="preserve">Immed postop </w:t>
            </w:r>
            <w:r w:rsidR="002E160B" w:rsidRPr="002E160B">
              <w:rPr>
                <w:rFonts w:ascii="Times New Roman" w:hAnsi="Times New Roman"/>
                <w:sz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</w:rPr>
              <w:t>preop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-9 (-31%)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-3 (-14%)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 xml:space="preserve">2 years postop </w:t>
            </w:r>
            <w:r w:rsidR="002E160B" w:rsidRPr="002E160B">
              <w:rPr>
                <w:rFonts w:ascii="Times New Roman" w:hAnsi="Times New Roman"/>
                <w:sz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</w:rPr>
              <w:t>preop</w:t>
            </w:r>
          </w:p>
        </w:tc>
        <w:tc>
          <w:tcPr>
            <w:tcW w:w="171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-6 (-21%)</w:t>
            </w:r>
          </w:p>
        </w:tc>
        <w:tc>
          <w:tcPr>
            <w:tcW w:w="216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0 (0%)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2 years postop – immediately postop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3 (15%)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3 (16%)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NR</w:t>
            </w:r>
          </w:p>
        </w:tc>
      </w:tr>
    </w:tbl>
    <w:tbl>
      <w:tblPr>
        <w:tblStyle w:val="TableGrid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1710"/>
        <w:gridCol w:w="180"/>
        <w:gridCol w:w="1980"/>
        <w:gridCol w:w="1260"/>
      </w:tblGrid>
      <w:tr w:rsidR="00353F9A" w:rsidRPr="008E0858" w:rsidTr="00103EDB">
        <w:tc>
          <w:tcPr>
            <w:tcW w:w="856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353F9A" w:rsidRPr="002E160B" w:rsidRDefault="00353F9A" w:rsidP="00353F9A">
            <w:pPr>
              <w:rPr>
                <w:rFonts w:ascii="Times New Roman" w:hAnsi="Times New Roman"/>
                <w:b/>
                <w:sz w:val="20"/>
              </w:rPr>
            </w:pPr>
            <w:r w:rsidRPr="002E160B">
              <w:rPr>
                <w:rFonts w:ascii="Times New Roman" w:hAnsi="Times New Roman"/>
                <w:b/>
                <w:sz w:val="20"/>
              </w:rPr>
              <w:t>C7 plumb</w:t>
            </w:r>
            <w:r w:rsidR="002E160B">
              <w:rPr>
                <w:rFonts w:ascii="Times New Roman" w:hAnsi="Times New Roman"/>
                <w:b/>
                <w:sz w:val="20"/>
              </w:rPr>
              <w:t>line</w:t>
            </w:r>
            <w:r w:rsidRPr="002E160B">
              <w:rPr>
                <w:rFonts w:ascii="Times New Roman" w:hAnsi="Times New Roman"/>
                <w:b/>
                <w:sz w:val="20"/>
              </w:rPr>
              <w:t xml:space="preserve"> to sacrum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Mean ± SD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Preop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-17 ± 34.2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-17 ± 34.2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0.51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Mean change score (%)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 xml:space="preserve">Immed postop </w:t>
            </w:r>
            <w:r w:rsidR="00D23606" w:rsidRPr="008E0858">
              <w:rPr>
                <w:rFonts w:ascii="Times New Roman" w:hAnsi="Times New Roman"/>
                <w:sz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</w:rPr>
              <w:t>preop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7 (41%)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11 (65%)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 xml:space="preserve">2 years postop </w:t>
            </w:r>
            <w:r w:rsidR="00D23606" w:rsidRPr="008E0858">
              <w:rPr>
                <w:rFonts w:ascii="Times New Roman" w:hAnsi="Times New Roman"/>
                <w:sz w:val="20"/>
              </w:rPr>
              <w:t xml:space="preserve">– </w:t>
            </w:r>
            <w:r w:rsidRPr="008E0858">
              <w:rPr>
                <w:rFonts w:ascii="Times New Roman" w:hAnsi="Times New Roman"/>
                <w:sz w:val="20"/>
              </w:rPr>
              <w:t>preop</w:t>
            </w:r>
          </w:p>
        </w:tc>
        <w:tc>
          <w:tcPr>
            <w:tcW w:w="171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19 (112%)</w:t>
            </w:r>
          </w:p>
        </w:tc>
        <w:tc>
          <w:tcPr>
            <w:tcW w:w="2160" w:type="dxa"/>
            <w:gridSpan w:val="2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21 (124%)</w:t>
            </w:r>
          </w:p>
        </w:tc>
        <w:tc>
          <w:tcPr>
            <w:tcW w:w="1260" w:type="dxa"/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NR</w:t>
            </w:r>
          </w:p>
        </w:tc>
      </w:tr>
      <w:tr w:rsidR="00353F9A" w:rsidRPr="008E0858" w:rsidTr="00103EDB">
        <w:tc>
          <w:tcPr>
            <w:tcW w:w="343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2 years postop – immediately postop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12 (120%)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10 (167%)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rFonts w:ascii="Times New Roman" w:hAnsi="Times New Roman"/>
                <w:sz w:val="20"/>
              </w:rPr>
            </w:pPr>
            <w:r w:rsidRPr="008E0858">
              <w:rPr>
                <w:rFonts w:ascii="Times New Roman" w:hAnsi="Times New Roman"/>
                <w:sz w:val="20"/>
              </w:rPr>
              <w:t>NR</w:t>
            </w:r>
          </w:p>
        </w:tc>
      </w:tr>
    </w:tbl>
    <w:p w:rsidR="00353F9A" w:rsidRPr="008E0858" w:rsidRDefault="00353F9A" w:rsidP="00353F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E0858">
        <w:rPr>
          <w:rFonts w:ascii="Times New Roman" w:eastAsia="Calibri" w:hAnsi="Times New Roman" w:cs="Times New Roman"/>
          <w:sz w:val="16"/>
          <w:szCs w:val="16"/>
        </w:rPr>
        <w:t>*Difference in mean scores as listed</w:t>
      </w:r>
      <w:r w:rsidR="002E160B">
        <w:rPr>
          <w:rFonts w:ascii="Times New Roman" w:eastAsia="Calibri" w:hAnsi="Times New Roman" w:cs="Times New Roman"/>
          <w:sz w:val="16"/>
          <w:szCs w:val="16"/>
        </w:rPr>
        <w:t xml:space="preserve"> and </w:t>
      </w:r>
      <w:proofErr w:type="gramStart"/>
      <w:r w:rsidR="002E160B">
        <w:rPr>
          <w:rFonts w:ascii="Times New Roman" w:eastAsia="Calibri" w:hAnsi="Times New Roman" w:cs="Times New Roman"/>
          <w:sz w:val="16"/>
          <w:szCs w:val="16"/>
        </w:rPr>
        <w:t>%</w:t>
      </w:r>
      <w:proofErr w:type="gramEnd"/>
      <w:r w:rsidR="002E160B">
        <w:rPr>
          <w:rFonts w:ascii="Times New Roman" w:eastAsia="Calibri" w:hAnsi="Times New Roman" w:cs="Times New Roman"/>
          <w:sz w:val="16"/>
          <w:szCs w:val="16"/>
        </w:rPr>
        <w:t xml:space="preserve"> change in mean score</w:t>
      </w:r>
    </w:p>
    <w:p w:rsidR="00353F9A" w:rsidRPr="008E0858" w:rsidRDefault="002E160B" w:rsidP="00353F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†As reported by authors</w:t>
      </w:r>
    </w:p>
    <w:p w:rsidR="00353F9A" w:rsidRPr="008E0858" w:rsidRDefault="002E160B" w:rsidP="00353F9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NS = not significant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;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NR = not r</w:t>
      </w:r>
      <w:r w:rsidR="00353F9A" w:rsidRPr="008E0858">
        <w:rPr>
          <w:rFonts w:ascii="Times New Roman" w:eastAsia="Calibri" w:hAnsi="Times New Roman" w:cs="Times New Roman"/>
          <w:sz w:val="16"/>
          <w:szCs w:val="16"/>
        </w:rPr>
        <w:t>eported or data not provided by the authors from which the change could be calculated.</w:t>
      </w: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0"/>
          <w:szCs w:val="20"/>
        </w:rPr>
        <w:sectPr w:rsidR="00353F9A" w:rsidRPr="008E0858" w:rsidSect="00103E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4"/>
        </w:rPr>
      </w:pPr>
      <w:r w:rsidRPr="008E0858">
        <w:rPr>
          <w:rFonts w:ascii="Times New Roman" w:eastAsia="Calibri" w:hAnsi="Times New Roman" w:cs="Times New Roman"/>
          <w:b/>
          <w:sz w:val="24"/>
        </w:rPr>
        <w:lastRenderedPageBreak/>
        <w:t>Char</w:t>
      </w:r>
      <w:r w:rsidR="007A210C" w:rsidRPr="008E0858">
        <w:rPr>
          <w:rFonts w:ascii="Times New Roman" w:eastAsia="Calibri" w:hAnsi="Times New Roman" w:cs="Times New Roman"/>
          <w:b/>
          <w:sz w:val="24"/>
        </w:rPr>
        <w:t>acteristics of included studies</w:t>
      </w:r>
    </w:p>
    <w:tbl>
      <w:tblPr>
        <w:tblStyle w:val="TableGrid8"/>
        <w:tblW w:w="13887" w:type="dxa"/>
        <w:tblInd w:w="-342" w:type="dxa"/>
        <w:tblLayout w:type="fixed"/>
        <w:tblLook w:val="04A0"/>
      </w:tblPr>
      <w:tblGrid>
        <w:gridCol w:w="1647"/>
        <w:gridCol w:w="2943"/>
        <w:gridCol w:w="1287"/>
        <w:gridCol w:w="1710"/>
        <w:gridCol w:w="2340"/>
        <w:gridCol w:w="3960"/>
      </w:tblGrid>
      <w:tr w:rsidR="00353F9A" w:rsidRPr="008E0858" w:rsidTr="004270DA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 xml:space="preserve">Author (year)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Population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3F9A" w:rsidRPr="008E0858" w:rsidRDefault="00353F9A" w:rsidP="004270DA">
            <w:pPr>
              <w:jc w:val="center"/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Follow-up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PJK Definition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jc w:val="center"/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Purpose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Inclusion/exclusion</w:t>
            </w:r>
          </w:p>
        </w:tc>
      </w:tr>
      <w:tr w:rsidR="00353F9A" w:rsidRPr="008E0858" w:rsidTr="004270DA">
        <w:tc>
          <w:tcPr>
            <w:tcW w:w="1647" w:type="dxa"/>
            <w:shd w:val="pct12" w:color="auto" w:fill="auto"/>
          </w:tcPr>
          <w:p w:rsidR="00353F9A" w:rsidRPr="008E0858" w:rsidRDefault="00353F9A" w:rsidP="00353F9A">
            <w:pPr>
              <w:tabs>
                <w:tab w:val="left" w:pos="1125"/>
              </w:tabs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Adults</w:t>
            </w:r>
          </w:p>
        </w:tc>
        <w:tc>
          <w:tcPr>
            <w:tcW w:w="2943" w:type="dxa"/>
            <w:shd w:val="pct12" w:color="auto" w:fill="auto"/>
          </w:tcPr>
          <w:p w:rsidR="00353F9A" w:rsidRPr="008E0858" w:rsidRDefault="00353F9A" w:rsidP="00353F9A">
            <w:pPr>
              <w:rPr>
                <w:sz w:val="20"/>
              </w:rPr>
            </w:pPr>
          </w:p>
        </w:tc>
        <w:tc>
          <w:tcPr>
            <w:tcW w:w="1287" w:type="dxa"/>
            <w:shd w:val="pct12" w:color="auto" w:fill="auto"/>
          </w:tcPr>
          <w:p w:rsidR="00353F9A" w:rsidRPr="008E0858" w:rsidRDefault="00353F9A" w:rsidP="00353F9A">
            <w:pPr>
              <w:ind w:left="282"/>
              <w:rPr>
                <w:b/>
                <w:sz w:val="20"/>
              </w:rPr>
            </w:pPr>
          </w:p>
        </w:tc>
        <w:tc>
          <w:tcPr>
            <w:tcW w:w="1710" w:type="dxa"/>
            <w:shd w:val="pct12" w:color="auto" w:fill="auto"/>
          </w:tcPr>
          <w:p w:rsidR="00353F9A" w:rsidRPr="008E0858" w:rsidRDefault="00353F9A" w:rsidP="00353F9A">
            <w:pPr>
              <w:ind w:left="282"/>
              <w:rPr>
                <w:b/>
                <w:sz w:val="20"/>
              </w:rPr>
            </w:pPr>
          </w:p>
        </w:tc>
        <w:tc>
          <w:tcPr>
            <w:tcW w:w="2340" w:type="dxa"/>
            <w:shd w:val="pct12" w:color="auto" w:fill="auto"/>
          </w:tcPr>
          <w:p w:rsidR="00353F9A" w:rsidRPr="008E0858" w:rsidRDefault="00353F9A" w:rsidP="00353F9A">
            <w:pPr>
              <w:ind w:left="282"/>
              <w:rPr>
                <w:b/>
                <w:sz w:val="20"/>
              </w:rPr>
            </w:pPr>
          </w:p>
        </w:tc>
        <w:tc>
          <w:tcPr>
            <w:tcW w:w="3960" w:type="dxa"/>
            <w:shd w:val="pct12" w:color="auto" w:fill="auto"/>
          </w:tcPr>
          <w:p w:rsidR="00353F9A" w:rsidRPr="008E0858" w:rsidRDefault="00353F9A" w:rsidP="00353F9A">
            <w:pPr>
              <w:ind w:left="282"/>
              <w:rPr>
                <w:sz w:val="20"/>
              </w:rPr>
            </w:pPr>
          </w:p>
        </w:tc>
      </w:tr>
      <w:tr w:rsidR="00353F9A" w:rsidRPr="008E0858" w:rsidTr="004270DA">
        <w:tc>
          <w:tcPr>
            <w:tcW w:w="1647" w:type="dxa"/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Kim YJ, Bridwell (2008)</w:t>
            </w:r>
          </w:p>
          <w:p w:rsidR="00353F9A" w:rsidRPr="002E160B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Retrospective prognostic study</w:t>
            </w:r>
          </w:p>
        </w:tc>
        <w:tc>
          <w:tcPr>
            <w:tcW w:w="2943" w:type="dxa"/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 = 161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87%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age: 45.2 yrs (18.1 – 73.0)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PJK (n = 62)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2: Non-PJK (n = 99)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Scoliosis: n = 106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Sagittal imbalance syndrome: n = 55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Previous surgery: n = 67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Patients all had fusion, minimum 5 segments</w:t>
            </w:r>
          </w:p>
        </w:tc>
        <w:tc>
          <w:tcPr>
            <w:tcW w:w="1287" w:type="dxa"/>
          </w:tcPr>
          <w:p w:rsidR="00353F9A" w:rsidRPr="008E0858" w:rsidRDefault="00353F9A" w:rsidP="004270DA">
            <w:pPr>
              <w:rPr>
                <w:sz w:val="20"/>
              </w:rPr>
            </w:pPr>
            <w:r w:rsidRPr="008E0858">
              <w:rPr>
                <w:sz w:val="20"/>
              </w:rPr>
              <w:t>Mean 94 months (60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t>238)</w:t>
            </w:r>
            <w:r w:rsidR="004270DA">
              <w:rPr>
                <w:sz w:val="20"/>
              </w:rPr>
              <w:t xml:space="preserve">; </w:t>
            </w:r>
            <w:r w:rsidRPr="008E0858">
              <w:rPr>
                <w:sz w:val="20"/>
              </w:rPr>
              <w:t>%</w:t>
            </w:r>
            <w:r w:rsidR="004270DA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NR</w:t>
            </w:r>
          </w:p>
        </w:tc>
        <w:tc>
          <w:tcPr>
            <w:tcW w:w="1710" w:type="dxa"/>
          </w:tcPr>
          <w:p w:rsidR="00353F9A" w:rsidRPr="008E0858" w:rsidRDefault="00353F9A" w:rsidP="004270DA">
            <w:pPr>
              <w:rPr>
                <w:sz w:val="20"/>
              </w:rPr>
            </w:pPr>
            <w:r w:rsidRPr="008E0858">
              <w:rPr>
                <w:sz w:val="20"/>
              </w:rPr>
              <w:t>“1. Proximal junction sagittal Cobb angle ≥10°</w:t>
            </w:r>
            <w:r w:rsidR="004270DA">
              <w:rPr>
                <w:sz w:val="20"/>
              </w:rPr>
              <w:t>.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2. Proximal junction sagittal Cobb angle at least 10°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greater than the preoperative measurement.”</w:t>
            </w:r>
          </w:p>
        </w:tc>
        <w:tc>
          <w:tcPr>
            <w:tcW w:w="2340" w:type="dxa"/>
          </w:tcPr>
          <w:p w:rsidR="00353F9A" w:rsidRPr="008E0858" w:rsidRDefault="00353F9A" w:rsidP="007A210C">
            <w:pPr>
              <w:rPr>
                <w:sz w:val="20"/>
              </w:rPr>
            </w:pPr>
            <w:r w:rsidRPr="008E0858">
              <w:rPr>
                <w:sz w:val="20"/>
              </w:rPr>
              <w:t>“To analyze time-dependent change of, prevalence of, and risk factors for proximal junctional kyphosis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(PJK) in adult spinal deformity after long (≥5 vertebrae) segmental posterior spinal instrumented fusion with a minimum 5-year postoperative follow-up.”</w:t>
            </w:r>
          </w:p>
        </w:tc>
        <w:tc>
          <w:tcPr>
            <w:tcW w:w="3960" w:type="dxa"/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“Age ≥18 years at the time of surgery, adult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spinal deformity treated with instrumented segmental posterior spinal fusion with a minimum 5-year follow-up, at least 5 vertebrae fused, and complete radiographic follow-up.”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“Ankylosing spondylitis, neuromuscular deformity, postoperative pseudarthrosis, postoperative infection, and connective tissue disorder.”</w:t>
            </w:r>
          </w:p>
        </w:tc>
      </w:tr>
      <w:tr w:rsidR="00353F9A" w:rsidRPr="008E0858" w:rsidTr="004270DA">
        <w:tc>
          <w:tcPr>
            <w:tcW w:w="1647" w:type="dxa"/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 xml:space="preserve">Kim HJ, </w:t>
            </w:r>
            <w:proofErr w:type="spellStart"/>
            <w:r w:rsidRPr="008E0858">
              <w:rPr>
                <w:b/>
                <w:sz w:val="20"/>
              </w:rPr>
              <w:t>Yagi</w:t>
            </w:r>
            <w:proofErr w:type="spellEnd"/>
            <w:r w:rsidRPr="008E0858">
              <w:rPr>
                <w:b/>
                <w:sz w:val="20"/>
              </w:rPr>
              <w:t xml:space="preserve"> (2011)</w:t>
            </w:r>
          </w:p>
          <w:p w:rsidR="00353F9A" w:rsidRPr="002E160B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Retrospective prognostic study</w:t>
            </w:r>
          </w:p>
        </w:tc>
        <w:tc>
          <w:tcPr>
            <w:tcW w:w="2943" w:type="dxa"/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 = 249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86%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age: 35 yrs (15 – 62)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Non-PJK (n = 207)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2: PJK (n = 42)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Normal bone quality: n = 156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Abnormal bone quality: n = 93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Osteopenia: n = 16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Osteoporosis: n = 77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levels fused: 10.64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Fusion to S1: n = 57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Thoracoplasty: n = 75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Anterior surgery: n = 14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Posterior surgery: n = 147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Anteroposterior surgery: n = 88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Hook/hybrid: n = 182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Pedicle screw: n = 40</w:t>
            </w:r>
          </w:p>
          <w:p w:rsidR="00353F9A" w:rsidRPr="008E0858" w:rsidRDefault="008E0858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Vertical</w:t>
            </w:r>
            <w:r w:rsidR="00353F9A" w:rsidRPr="008E0858">
              <w:rPr>
                <w:sz w:val="20"/>
              </w:rPr>
              <w:t xml:space="preserve"> body screws: n = 25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Wires: n = 2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UIV T1-T3: n = 83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UIV T4-T12: n = 163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UIV L1 or below: n = 3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Patients all had fusion, mean 10.64 ±3.64 segments</w:t>
            </w:r>
          </w:p>
        </w:tc>
        <w:tc>
          <w:tcPr>
            <w:tcW w:w="1287" w:type="dxa"/>
          </w:tcPr>
          <w:p w:rsidR="00353F9A" w:rsidRPr="008E0858" w:rsidRDefault="00353F9A" w:rsidP="002E160B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Mean 48 months (18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t>108); 74% (249/336)</w:t>
            </w:r>
          </w:p>
        </w:tc>
        <w:tc>
          <w:tcPr>
            <w:tcW w:w="1710" w:type="dxa"/>
          </w:tcPr>
          <w:p w:rsidR="00353F9A" w:rsidRPr="008E0858" w:rsidRDefault="00353F9A" w:rsidP="004270DA">
            <w:pPr>
              <w:rPr>
                <w:sz w:val="20"/>
              </w:rPr>
            </w:pPr>
            <w:r w:rsidRPr="008E0858">
              <w:rPr>
                <w:sz w:val="20"/>
              </w:rPr>
              <w:t>“1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Proximal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junction sagittal Cobb angle of 10</w:t>
            </w:r>
            <w:r w:rsidR="007A210C" w:rsidRPr="008E0858">
              <w:rPr>
                <w:sz w:val="20"/>
              </w:rPr>
              <w:t>°</w:t>
            </w:r>
            <w:r w:rsidRPr="008E0858">
              <w:rPr>
                <w:sz w:val="20"/>
              </w:rPr>
              <w:t xml:space="preserve"> or greater</w:t>
            </w:r>
            <w:r w:rsidR="004270DA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2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</w:t>
            </w:r>
            <w:r w:rsidR="002E160B">
              <w:rPr>
                <w:sz w:val="20"/>
              </w:rPr>
              <w:t>P</w:t>
            </w:r>
            <w:r w:rsidRPr="008E0858">
              <w:rPr>
                <w:sz w:val="20"/>
              </w:rPr>
              <w:t>roximal junction sagittal Cobb angle of at least 10</w:t>
            </w:r>
            <w:r w:rsidR="007A210C" w:rsidRPr="008E0858">
              <w:rPr>
                <w:sz w:val="20"/>
              </w:rPr>
              <w:t xml:space="preserve">° </w:t>
            </w:r>
            <w:r w:rsidRPr="008E0858">
              <w:rPr>
                <w:sz w:val="20"/>
              </w:rPr>
              <w:t>greater than the preoperative measurement.”</w:t>
            </w:r>
          </w:p>
        </w:tc>
        <w:tc>
          <w:tcPr>
            <w:tcW w:w="2340" w:type="dxa"/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“[To identify] risk factors for PJK in idiopathic scoliosis and determine their relative risks in a predictive model.”</w:t>
            </w:r>
          </w:p>
        </w:tc>
        <w:tc>
          <w:tcPr>
            <w:tcW w:w="3960" w:type="dxa"/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“All age groups with the diagnosis of idiopathic scoliosis”</w:t>
            </w:r>
            <w:r w:rsidR="007A210C" w:rsidRPr="008E0858">
              <w:rPr>
                <w:sz w:val="20"/>
              </w:rPr>
              <w:t>.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2E160B">
            <w:pPr>
              <w:rPr>
                <w:sz w:val="20"/>
              </w:rPr>
            </w:pPr>
            <w:r w:rsidRPr="008E0858">
              <w:rPr>
                <w:sz w:val="20"/>
              </w:rPr>
              <w:t>“Patients who did not have complete charts, including a preoperative dual-energy x-ray absorptiometry (DEXA), radiographs, and Scoliosis Research Society-22 (SRS-22) questionnaire scores [1] from the pre- and postoperative periods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>”</w:t>
            </w:r>
          </w:p>
        </w:tc>
      </w:tr>
      <w:tr w:rsidR="00353F9A" w:rsidRPr="008E0858" w:rsidTr="004270DA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lastRenderedPageBreak/>
              <w:t>Mendoza-Lattes (2011)</w:t>
            </w:r>
          </w:p>
          <w:p w:rsidR="00353F9A" w:rsidRPr="008E0858" w:rsidRDefault="00353F9A" w:rsidP="00353F9A">
            <w:pPr>
              <w:rPr>
                <w:b/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Retrospective prognostic study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 = 54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83%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age: 59.3 ± 10.3 yrs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Non-PJK (n = 35)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PJK (n = 19)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Patients all had fusion, number of segments NR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3F9A" w:rsidRPr="008E0858" w:rsidRDefault="00353F9A" w:rsidP="004270DA">
            <w:pPr>
              <w:rPr>
                <w:sz w:val="20"/>
              </w:rPr>
            </w:pPr>
            <w:r w:rsidRPr="008E0858">
              <w:rPr>
                <w:sz w:val="20"/>
              </w:rPr>
              <w:t>Mean 26.8 months (12</w:t>
            </w:r>
            <w:r w:rsidR="002E160B">
              <w:rPr>
                <w:sz w:val="20"/>
              </w:rPr>
              <w:t>-</w:t>
            </w:r>
            <w:r w:rsidR="004270DA">
              <w:rPr>
                <w:sz w:val="20"/>
              </w:rPr>
              <w:t xml:space="preserve">42); </w:t>
            </w:r>
            <w:r w:rsidRPr="008E0858">
              <w:rPr>
                <w:sz w:val="20"/>
              </w:rPr>
              <w:t>% NR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4270DA">
            <w:pPr>
              <w:rPr>
                <w:sz w:val="20"/>
              </w:rPr>
            </w:pPr>
            <w:r w:rsidRPr="008E0858">
              <w:rPr>
                <w:sz w:val="20"/>
              </w:rPr>
              <w:t>“1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Proximal junction sagittal Cobb angle ≥10</w:t>
            </w:r>
            <w:r w:rsidR="007A210C" w:rsidRPr="008E0858">
              <w:rPr>
                <w:sz w:val="20"/>
              </w:rPr>
              <w:t>°</w:t>
            </w:r>
            <w:r w:rsidR="004270DA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2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Proximal junction sagittal Cobb angle of at least 10</w:t>
            </w:r>
            <w:r w:rsidR="007A210C" w:rsidRPr="008E0858">
              <w:rPr>
                <w:sz w:val="20"/>
              </w:rPr>
              <w:t>°</w:t>
            </w:r>
            <w:r w:rsidRPr="008E0858">
              <w:rPr>
                <w:sz w:val="20"/>
              </w:rPr>
              <w:t xml:space="preserve"> greater than the preoperative measurement.”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“To identify predictors for this complication, [PJK] with particular emphasis on the contribution from spinal-pelvic alignment resulting after surgical reconstruction, as measured in standing films at four-to-six weeks postoperatively.”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“At least one of the following criteria: Coronal Cobb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angle measurement of &gt;30°, lumbar lordosis Cobb angle &lt;30°, thoracic kyphosis Cobb angle &gt;60°, sagittal imbalance (C7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plumbline &gt; 5cm from the sacral e</w:t>
            </w:r>
            <w:r w:rsidR="007A210C" w:rsidRPr="008E0858">
              <w:rPr>
                <w:sz w:val="20"/>
              </w:rPr>
              <w:t xml:space="preserve">ndplate), </w:t>
            </w:r>
            <w:proofErr w:type="gramStart"/>
            <w:r w:rsidR="007A210C" w:rsidRPr="008E0858">
              <w:rPr>
                <w:sz w:val="20"/>
              </w:rPr>
              <w:t>coronal</w:t>
            </w:r>
            <w:proofErr w:type="gramEnd"/>
            <w:r w:rsidR="007A210C" w:rsidRPr="008E0858">
              <w:rPr>
                <w:sz w:val="20"/>
              </w:rPr>
              <w:t xml:space="preserve"> imbalance (C7</w:t>
            </w:r>
            <w:r w:rsidRPr="008E0858">
              <w:rPr>
                <w:sz w:val="20"/>
              </w:rPr>
              <w:t>P</w:t>
            </w:r>
            <w:r w:rsidR="007A210C" w:rsidRPr="008E0858">
              <w:rPr>
                <w:sz w:val="20"/>
              </w:rPr>
              <w:t>L:</w:t>
            </w:r>
            <w:r w:rsidRPr="008E0858">
              <w:rPr>
                <w:sz w:val="20"/>
              </w:rPr>
              <w:t xml:space="preserve"> &gt;5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cm from the cent</w:t>
            </w:r>
            <w:r w:rsidR="007A210C" w:rsidRPr="008E0858">
              <w:rPr>
                <w:sz w:val="20"/>
              </w:rPr>
              <w:t>e</w:t>
            </w:r>
            <w:r w:rsidRPr="008E0858">
              <w:rPr>
                <w:sz w:val="20"/>
              </w:rPr>
              <w:t>r sacral vertical line).”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NR</w:t>
            </w:r>
          </w:p>
        </w:tc>
      </w:tr>
      <w:tr w:rsidR="00353F9A" w:rsidRPr="008E0858" w:rsidTr="006F50C2">
        <w:tc>
          <w:tcPr>
            <w:tcW w:w="13887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Scheuermann’s</w:t>
            </w:r>
          </w:p>
        </w:tc>
      </w:tr>
      <w:tr w:rsidR="00353F9A" w:rsidRPr="008E0858" w:rsidTr="004270DA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Denis (2009)</w:t>
            </w:r>
          </w:p>
          <w:p w:rsidR="00353F9A" w:rsidRPr="008E0858" w:rsidRDefault="00353F9A" w:rsidP="00353F9A">
            <w:pPr>
              <w:rPr>
                <w:b/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Retrospective prognostic study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 = 67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NR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 xml:space="preserve">Mean age: 37 </w:t>
            </w:r>
            <w:r w:rsidR="004270DA">
              <w:rPr>
                <w:sz w:val="20"/>
              </w:rPr>
              <w:t xml:space="preserve">yrs </w:t>
            </w:r>
            <w:r w:rsidRPr="008E0858">
              <w:rPr>
                <w:sz w:val="20"/>
              </w:rPr>
              <w:t>(16-51)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PIV = PEV (n = 40)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2: PIV = Short of PEV (n = 27)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Hyperextension &lt; 50º treated with posterior-only surgery: n = 15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Anterior/posterior surgery: n = 52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Scoliosis &gt; 20º: n = 11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Lumbosacral spondylolysis: n = 6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 xml:space="preserve">Thoracolumbar type </w:t>
            </w:r>
            <w:r w:rsidR="007A210C" w:rsidRPr="008E0858">
              <w:rPr>
                <w:sz w:val="20"/>
              </w:rPr>
              <w:t>Scheuermann’s</w:t>
            </w:r>
            <w:r w:rsidRPr="008E0858">
              <w:rPr>
                <w:sz w:val="20"/>
              </w:rPr>
              <w:t xml:space="preserve"> with apex at T10/T11: n = 6</w:t>
            </w:r>
          </w:p>
          <w:p w:rsidR="007A210C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T7/T9: n = 51</w:t>
            </w:r>
          </w:p>
          <w:p w:rsidR="002E160B" w:rsidRPr="008E0858" w:rsidRDefault="002E160B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Patients all had fusion, minimum 6 segments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3F9A" w:rsidRPr="008E0858" w:rsidRDefault="00353F9A" w:rsidP="002E160B">
            <w:pPr>
              <w:rPr>
                <w:sz w:val="20"/>
              </w:rPr>
            </w:pPr>
            <w:r w:rsidRPr="008E0858">
              <w:rPr>
                <w:sz w:val="20"/>
              </w:rPr>
              <w:t>Mean 73 months (60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t>164); 89% (67/75)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“Proximal junctional angle greater than 10° and at least 10° greater than the corresponding preoperative measurement.”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“To analyze the incidence and risk factors associated with proximal junctional kyphosis (PJK) and distal junctional kyphosis (DJK) in patients undergoing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proofErr w:type="gramStart"/>
            <w:r w:rsidRPr="008E0858">
              <w:rPr>
                <w:sz w:val="20"/>
              </w:rPr>
              <w:t>instrumented</w:t>
            </w:r>
            <w:proofErr w:type="gramEnd"/>
            <w:r w:rsidRPr="008E0858">
              <w:rPr>
                <w:sz w:val="20"/>
              </w:rPr>
              <w:t xml:space="preserve"> spinal fusion for Scheuermann kyphosis.”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“Patients who had undergone surgical treatment for Scheuermann kyphosis from 1986 to 1996</w:t>
            </w:r>
            <w:r w:rsidR="004270DA">
              <w:rPr>
                <w:sz w:val="20"/>
              </w:rPr>
              <w:t>.</w:t>
            </w:r>
            <w:r w:rsidRPr="008E0858">
              <w:rPr>
                <w:sz w:val="20"/>
              </w:rPr>
              <w:t>”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“Patients with a neuromuscular disorder, post-traumatic kyphosis, collagen vascular disease, tumor, or infection</w:t>
            </w:r>
            <w:r w:rsidR="004270DA">
              <w:rPr>
                <w:sz w:val="20"/>
              </w:rPr>
              <w:t>.</w:t>
            </w:r>
            <w:r w:rsidRPr="008E0858">
              <w:rPr>
                <w:sz w:val="20"/>
              </w:rPr>
              <w:t>”</w:t>
            </w:r>
          </w:p>
        </w:tc>
      </w:tr>
      <w:tr w:rsidR="00353F9A" w:rsidRPr="008E0858" w:rsidTr="004270DA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Lonner (2007)</w:t>
            </w:r>
          </w:p>
          <w:p w:rsidR="00353F9A" w:rsidRPr="008E0858" w:rsidRDefault="00353F9A" w:rsidP="00353F9A">
            <w:pPr>
              <w:rPr>
                <w:b/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Retrospective prognostic study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N = 78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32%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Mean age</w:t>
            </w:r>
            <w:r w:rsidR="002E160B">
              <w:rPr>
                <w:sz w:val="20"/>
              </w:rPr>
              <w:t>:</w:t>
            </w:r>
            <w:r w:rsidRPr="008E0858">
              <w:rPr>
                <w:sz w:val="20"/>
              </w:rPr>
              <w:t xml:space="preserve"> 16.7 yrs (9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t>27)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Anterior-posterior surgery (n = 42)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2: Posterior arthrodesis (n = 36)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All patients had fusion, minimum 5 segments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3F9A" w:rsidRPr="008E0858" w:rsidRDefault="00353F9A" w:rsidP="002E160B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Mean 35 months (24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lastRenderedPageBreak/>
              <w:t>72); %</w:t>
            </w:r>
            <w:r w:rsidR="002E160B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NR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 xml:space="preserve">“Kyphosis measured from 1 </w:t>
            </w:r>
            <w:r w:rsidRPr="008E0858">
              <w:rPr>
                <w:sz w:val="20"/>
              </w:rPr>
              <w:lastRenderedPageBreak/>
              <w:t>segment cephalad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to the upper instrumented vertebra (EIV) to the proximal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proofErr w:type="gramStart"/>
            <w:r w:rsidRPr="008E0858">
              <w:rPr>
                <w:sz w:val="20"/>
              </w:rPr>
              <w:t>instrumented</w:t>
            </w:r>
            <w:proofErr w:type="gramEnd"/>
            <w:r w:rsidRPr="008E0858">
              <w:rPr>
                <w:sz w:val="20"/>
              </w:rPr>
              <w:t xml:space="preserve"> vertebrae with an abnormal value defined as ≥10°.”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 xml:space="preserve">“To evaluate correction of sagittal alignment, </w:t>
            </w:r>
            <w:r w:rsidRPr="008E0858">
              <w:rPr>
                <w:sz w:val="20"/>
              </w:rPr>
              <w:lastRenderedPageBreak/>
              <w:t>maintenance of correction, and occurrence of, and etiologic factors associated with, junctional kyphosis in patients managed operatively for Scheuermann’s kyphosis.”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 xml:space="preserve">“1. Diagnosis of Scheuermann’s kyphosis </w:t>
            </w:r>
            <w:r w:rsidRPr="008E0858">
              <w:rPr>
                <w:sz w:val="20"/>
              </w:rPr>
              <w:lastRenderedPageBreak/>
              <w:t>(wedging of 5°</w:t>
            </w:r>
            <w:r w:rsidR="002E160B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of 3 successive vertebrae, with or without endplate irregularities</w:t>
            </w:r>
            <w:r w:rsidR="002E160B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and Schmorl’s nodes)</w:t>
            </w:r>
            <w:r w:rsidR="002E160B">
              <w:rPr>
                <w:sz w:val="20"/>
              </w:rPr>
              <w:t>.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proofErr w:type="gramStart"/>
            <w:r w:rsidRPr="008E0858">
              <w:rPr>
                <w:sz w:val="20"/>
              </w:rPr>
              <w:t>2. Surgical correction of kyphosis with current generation</w:t>
            </w:r>
            <w:r w:rsidR="002E160B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multisegmental instrumentation</w:t>
            </w:r>
            <w:r w:rsidR="002E160B">
              <w:rPr>
                <w:sz w:val="20"/>
              </w:rPr>
              <w:t>.</w:t>
            </w:r>
            <w:proofErr w:type="gramEnd"/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3. Minimum 2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t>year clinical and radiographic follow-up”</w:t>
            </w:r>
            <w:r w:rsidR="007A210C" w:rsidRPr="008E0858">
              <w:rPr>
                <w:sz w:val="20"/>
              </w:rPr>
              <w:t>.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NR</w:t>
            </w:r>
          </w:p>
        </w:tc>
      </w:tr>
      <w:tr w:rsidR="00353F9A" w:rsidRPr="008E0858" w:rsidTr="006F50C2">
        <w:tc>
          <w:tcPr>
            <w:tcW w:w="13887" w:type="dxa"/>
            <w:gridSpan w:val="6"/>
            <w:shd w:val="pct10" w:color="auto" w:fill="auto"/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lastRenderedPageBreak/>
              <w:t>Pediatric/Adolescent</w:t>
            </w:r>
          </w:p>
        </w:tc>
      </w:tr>
      <w:tr w:rsidR="00353F9A" w:rsidRPr="008E0858" w:rsidTr="004270DA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t>Kim YJ, Lenke (2007)</w:t>
            </w:r>
          </w:p>
          <w:p w:rsidR="00353F9A" w:rsidRPr="004270DA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Retrospective prognostic study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 = 410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70%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age: 14.6 yrs (10.6</w:t>
            </w:r>
            <w:r w:rsidR="004270DA">
              <w:rPr>
                <w:sz w:val="20"/>
              </w:rPr>
              <w:t>-</w:t>
            </w:r>
            <w:r w:rsidRPr="008E0858">
              <w:rPr>
                <w:sz w:val="20"/>
              </w:rPr>
              <w:t>20)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PJK (n = 111)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2: Non-PJK (n = 299)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levels fused: 11.7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Risser sign: 2.9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Main thoracic: n = 195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Double thoracic: n = 76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Double major: n = 51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Triple major: n = 13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Thoracolumbar/lumbar major: n = 31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Major thoracolumbar/lumbar and minor thoracic structural: n = 44</w:t>
            </w:r>
          </w:p>
          <w:p w:rsidR="00353F9A" w:rsidRPr="008E0858" w:rsidRDefault="004270DA" w:rsidP="00353F9A">
            <w:pPr>
              <w:rPr>
                <w:sz w:val="20"/>
              </w:rPr>
            </w:pPr>
            <w:r>
              <w:rPr>
                <w:sz w:val="20"/>
              </w:rPr>
              <w:t>Coronal l</w:t>
            </w:r>
            <w:r w:rsidR="00353F9A" w:rsidRPr="008E0858">
              <w:rPr>
                <w:sz w:val="20"/>
              </w:rPr>
              <w:t>umbar A modifier: n = 141</w:t>
            </w:r>
          </w:p>
          <w:p w:rsidR="00353F9A" w:rsidRPr="008E0858" w:rsidRDefault="004270DA" w:rsidP="00353F9A">
            <w:pPr>
              <w:rPr>
                <w:sz w:val="20"/>
              </w:rPr>
            </w:pPr>
            <w:r w:rsidRPr="004270DA">
              <w:rPr>
                <w:sz w:val="20"/>
              </w:rPr>
              <w:t xml:space="preserve">Coronal </w:t>
            </w:r>
            <w:r>
              <w:rPr>
                <w:sz w:val="20"/>
              </w:rPr>
              <w:t>l</w:t>
            </w:r>
            <w:r w:rsidR="00353F9A" w:rsidRPr="008E0858">
              <w:rPr>
                <w:sz w:val="20"/>
              </w:rPr>
              <w:t>umbar B modifier: n = 85</w:t>
            </w:r>
          </w:p>
          <w:p w:rsidR="00353F9A" w:rsidRPr="008E0858" w:rsidRDefault="004270DA" w:rsidP="00353F9A">
            <w:pPr>
              <w:rPr>
                <w:sz w:val="20"/>
              </w:rPr>
            </w:pPr>
            <w:r w:rsidRPr="004270DA">
              <w:rPr>
                <w:sz w:val="20"/>
              </w:rPr>
              <w:t xml:space="preserve">Coronal </w:t>
            </w:r>
            <w:r>
              <w:rPr>
                <w:sz w:val="20"/>
              </w:rPr>
              <w:t>l</w:t>
            </w:r>
            <w:r w:rsidR="00353F9A" w:rsidRPr="008E0858">
              <w:rPr>
                <w:sz w:val="20"/>
              </w:rPr>
              <w:t>umbar C modifier: n = 184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Normal thoracic kyphosis sagittal modifier: n = 285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Thoracic hyperkyphosis sagittal modifier: n = 54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Thoracic hypokyphosis sagittal modifier: n = 71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Thoracoplasty: n = 132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Posterior iliac crest graft: n = 278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Hooks: n = 210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Hybrid: n = 103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Pedicle screws: n = 97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All patients had fusion, minimum 6 segments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3F9A" w:rsidRPr="008E0858" w:rsidRDefault="00353F9A" w:rsidP="004270DA">
            <w:pPr>
              <w:rPr>
                <w:sz w:val="20"/>
              </w:rPr>
            </w:pPr>
            <w:r w:rsidRPr="008E0858">
              <w:rPr>
                <w:sz w:val="20"/>
              </w:rPr>
              <w:lastRenderedPageBreak/>
              <w:t>24 months</w:t>
            </w:r>
            <w:r w:rsidR="002E160B">
              <w:rPr>
                <w:sz w:val="20"/>
              </w:rPr>
              <w:t>;</w:t>
            </w:r>
            <w:r w:rsidR="004270DA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% NR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2E160B">
            <w:pPr>
              <w:rPr>
                <w:sz w:val="20"/>
              </w:rPr>
            </w:pPr>
            <w:r w:rsidRPr="008E0858">
              <w:rPr>
                <w:sz w:val="20"/>
              </w:rPr>
              <w:t>“Proximal junction sagittal Cobb angles between the lower endplate of the uppermost instrumented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vertebra and the upper endplate of 2 supra</w:t>
            </w:r>
            <w:r w:rsidR="007A210C" w:rsidRPr="008E0858">
              <w:rPr>
                <w:sz w:val="20"/>
              </w:rPr>
              <w:t>-ad</w:t>
            </w:r>
            <w:r w:rsidRPr="008E0858">
              <w:rPr>
                <w:sz w:val="20"/>
              </w:rPr>
              <w:t>jacent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vertebrae ≥10° and at least 10° greater than the preoperative</w:t>
            </w:r>
            <w:r w:rsidR="002E160B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measurement at 2 years postoperative.”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3F9A" w:rsidRPr="008E0858" w:rsidRDefault="00353F9A" w:rsidP="007A210C">
            <w:pPr>
              <w:rPr>
                <w:sz w:val="20"/>
              </w:rPr>
            </w:pPr>
            <w:r w:rsidRPr="008E0858">
              <w:rPr>
                <w:sz w:val="20"/>
              </w:rPr>
              <w:t>“[To] determine proximal junctional kyphosis (PJK) prevalence and analyze risk factors associated with PJK in adolescent idiopathic scoliosis (AIS) patients following 3 different posterior segmental spinal instrumentation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and fusion surgeries.”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“All AIS patients treated with instrumented segmental posterior spinal fusion and complete radiographic follow-up with distinct radiographic landmarks and an age range of 10 to 20 at the time of surgery.”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“Revision or anterior cases</w:t>
            </w:r>
            <w:r w:rsidR="004270DA">
              <w:rPr>
                <w:sz w:val="20"/>
              </w:rPr>
              <w:t>.</w:t>
            </w:r>
            <w:r w:rsidRPr="008E0858">
              <w:rPr>
                <w:sz w:val="20"/>
              </w:rPr>
              <w:t>”</w:t>
            </w:r>
          </w:p>
        </w:tc>
      </w:tr>
      <w:tr w:rsidR="00353F9A" w:rsidRPr="008E0858" w:rsidTr="004270DA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b/>
                <w:sz w:val="20"/>
              </w:rPr>
            </w:pPr>
            <w:r w:rsidRPr="008E0858">
              <w:rPr>
                <w:b/>
                <w:sz w:val="20"/>
              </w:rPr>
              <w:lastRenderedPageBreak/>
              <w:t>Wang (2010)</w:t>
            </w:r>
          </w:p>
          <w:p w:rsidR="00353F9A" w:rsidRPr="002E160B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Retrospective prognostic study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N = 123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Female: 81%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age</w:t>
            </w:r>
            <w:r w:rsidR="004270DA">
              <w:rPr>
                <w:sz w:val="20"/>
              </w:rPr>
              <w:t>:</w:t>
            </w:r>
            <w:r w:rsidRPr="008E0858">
              <w:rPr>
                <w:sz w:val="20"/>
              </w:rPr>
              <w:t xml:space="preserve"> 15.0 (13</w:t>
            </w:r>
            <w:r w:rsidR="002E160B">
              <w:rPr>
                <w:sz w:val="20"/>
              </w:rPr>
              <w:t>-</w:t>
            </w:r>
            <w:r w:rsidRPr="008E0858">
              <w:rPr>
                <w:sz w:val="20"/>
              </w:rPr>
              <w:t>16)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1: Control (n = 88)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Group 2: PJK (n = 35)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All patients had fusion, number of segments NR</w:t>
            </w:r>
            <w:r w:rsidR="004270DA">
              <w:rPr>
                <w:sz w:val="20"/>
              </w:rPr>
              <w:t>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Mean 42 months;</w:t>
            </w:r>
            <w:r w:rsidR="004270DA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% not calculable – do not indicate if the 150 were all eligible patients or if they were consecutive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82% were included in study (123/150)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53F9A" w:rsidRPr="008E0858" w:rsidRDefault="00353F9A" w:rsidP="002E160B">
            <w:pPr>
              <w:rPr>
                <w:sz w:val="20"/>
              </w:rPr>
            </w:pPr>
            <w:r w:rsidRPr="008E0858">
              <w:rPr>
                <w:sz w:val="20"/>
              </w:rPr>
              <w:t>“1</w:t>
            </w:r>
            <w:r w:rsidR="002E160B">
              <w:rPr>
                <w:sz w:val="20"/>
              </w:rPr>
              <w:t>. T</w:t>
            </w:r>
            <w:r w:rsidRPr="008E0858">
              <w:rPr>
                <w:sz w:val="20"/>
              </w:rPr>
              <w:t xml:space="preserve">he measured Cobb angle was </w:t>
            </w:r>
            <w:r w:rsidR="002E160B">
              <w:rPr>
                <w:sz w:val="20"/>
              </w:rPr>
              <w:t>&gt;</w:t>
            </w:r>
            <w:r w:rsidRPr="008E0858">
              <w:rPr>
                <w:sz w:val="20"/>
              </w:rPr>
              <w:t>10</w:t>
            </w:r>
            <w:r w:rsidR="002E160B">
              <w:rPr>
                <w:sz w:val="20"/>
              </w:rPr>
              <w:t>°.</w:t>
            </w:r>
            <w:r w:rsidRPr="008E0858">
              <w:rPr>
                <w:sz w:val="20"/>
              </w:rPr>
              <w:t xml:space="preserve"> 2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</w:t>
            </w:r>
            <w:r w:rsidR="002E160B">
              <w:rPr>
                <w:sz w:val="20"/>
              </w:rPr>
              <w:t>C</w:t>
            </w:r>
            <w:r w:rsidRPr="008E0858">
              <w:rPr>
                <w:sz w:val="20"/>
              </w:rPr>
              <w:t>ompared to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 xml:space="preserve">the preoperative angle of that region, the increase </w:t>
            </w:r>
            <w:r w:rsidR="002E160B">
              <w:rPr>
                <w:sz w:val="20"/>
              </w:rPr>
              <w:t>&gt;</w:t>
            </w:r>
            <w:r w:rsidRPr="008E0858">
              <w:rPr>
                <w:sz w:val="20"/>
              </w:rPr>
              <w:t>10°.”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3F9A" w:rsidRPr="008E0858" w:rsidRDefault="00353F9A" w:rsidP="007A210C">
            <w:pPr>
              <w:rPr>
                <w:sz w:val="20"/>
              </w:rPr>
            </w:pPr>
            <w:r w:rsidRPr="008E0858">
              <w:rPr>
                <w:sz w:val="20"/>
              </w:rPr>
              <w:t xml:space="preserve">“To </w:t>
            </w:r>
            <w:r w:rsidR="007A210C" w:rsidRPr="008E0858">
              <w:rPr>
                <w:sz w:val="20"/>
              </w:rPr>
              <w:t>analyze</w:t>
            </w:r>
            <w:r w:rsidRPr="008E0858">
              <w:rPr>
                <w:sz w:val="20"/>
              </w:rPr>
              <w:t xml:space="preserve"> the incidence of the postoperative proximal junctional kyphosis after posterior</w:t>
            </w:r>
            <w:r w:rsidR="007A210C" w:rsidRPr="008E0858">
              <w:rPr>
                <w:sz w:val="20"/>
              </w:rPr>
              <w:t xml:space="preserve"> </w:t>
            </w:r>
            <w:r w:rsidRPr="008E0858">
              <w:rPr>
                <w:sz w:val="20"/>
              </w:rPr>
              <w:t>fusion to the upper thoracic vertebra in adolescents with idiopathic scoliosis and to explore its risk factors.”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Inclusion: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“1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The type of scoliosis was adolescent idiopathic scoliosis.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2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The surgical approach was simple posterior surgery (including patients who received the thoracoplasty during the same period).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3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The top vertebra was in the upper thoracic region (T1</w:t>
            </w:r>
            <w:r w:rsidR="002E160B">
              <w:rPr>
                <w:sz w:val="20"/>
              </w:rPr>
              <w:t>-T</w:t>
            </w:r>
            <w:r w:rsidRPr="008E0858">
              <w:rPr>
                <w:sz w:val="20"/>
              </w:rPr>
              <w:t>7).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4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No intraoperative or postoperative internal fixation-related complications occurred.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5</w:t>
            </w:r>
            <w:r w:rsidR="002E160B">
              <w:rPr>
                <w:sz w:val="20"/>
              </w:rPr>
              <w:t>.</w:t>
            </w:r>
            <w:r w:rsidRPr="008E0858">
              <w:rPr>
                <w:sz w:val="20"/>
              </w:rPr>
              <w:t xml:space="preserve"> The proximal junctional vertebra could be identified on the lateral X-rays and the angle measurement was not affected.”</w:t>
            </w:r>
          </w:p>
          <w:p w:rsidR="00353F9A" w:rsidRPr="008E0858" w:rsidRDefault="00353F9A" w:rsidP="00353F9A">
            <w:pPr>
              <w:rPr>
                <w:sz w:val="20"/>
              </w:rPr>
            </w:pP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Exclusion:</w:t>
            </w:r>
          </w:p>
          <w:p w:rsidR="00353F9A" w:rsidRPr="008E0858" w:rsidRDefault="00353F9A" w:rsidP="00353F9A">
            <w:pPr>
              <w:rPr>
                <w:sz w:val="20"/>
              </w:rPr>
            </w:pPr>
            <w:r w:rsidRPr="008E0858">
              <w:rPr>
                <w:sz w:val="20"/>
              </w:rPr>
              <w:t>“Patients receiving revision surgery”</w:t>
            </w:r>
          </w:p>
        </w:tc>
      </w:tr>
    </w:tbl>
    <w:p w:rsidR="002E160B" w:rsidRPr="004270DA" w:rsidRDefault="004270DA" w:rsidP="00353F9A">
      <w:pPr>
        <w:rPr>
          <w:rFonts w:ascii="Times New Roman" w:eastAsia="Calibri" w:hAnsi="Times New Roman" w:cs="Times New Roman"/>
          <w:sz w:val="17"/>
          <w:szCs w:val="17"/>
        </w:rPr>
      </w:pPr>
      <w:r w:rsidRPr="004270DA">
        <w:rPr>
          <w:rFonts w:ascii="Times New Roman" w:eastAsia="Calibri" w:hAnsi="Times New Roman" w:cs="Times New Roman"/>
          <w:sz w:val="17"/>
          <w:szCs w:val="17"/>
        </w:rPr>
        <w:t>NR: not reported</w:t>
      </w:r>
    </w:p>
    <w:p w:rsidR="002E160B" w:rsidRDefault="002E160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53F9A" w:rsidRPr="008E0858" w:rsidRDefault="00353F9A" w:rsidP="00353F9A">
      <w:pPr>
        <w:rPr>
          <w:rFonts w:ascii="Times New Roman" w:eastAsia="Calibri" w:hAnsi="Times New Roman" w:cs="Times New Roman"/>
          <w:b/>
          <w:sz w:val="24"/>
        </w:rPr>
      </w:pPr>
      <w:r w:rsidRPr="008E0858">
        <w:rPr>
          <w:rFonts w:ascii="Times New Roman" w:eastAsia="Calibri" w:hAnsi="Times New Roman" w:cs="Times New Roman"/>
          <w:b/>
          <w:sz w:val="24"/>
        </w:rPr>
        <w:lastRenderedPageBreak/>
        <w:t>Re</w:t>
      </w:r>
      <w:r w:rsidR="004B5F7D">
        <w:rPr>
          <w:rFonts w:ascii="Times New Roman" w:eastAsia="Calibri" w:hAnsi="Times New Roman" w:cs="Times New Roman"/>
          <w:b/>
          <w:sz w:val="24"/>
        </w:rPr>
        <w:t>sults of risk factor evaluation</w:t>
      </w:r>
    </w:p>
    <w:tbl>
      <w:tblPr>
        <w:tblStyle w:val="TableGrid"/>
        <w:tblW w:w="13739" w:type="dxa"/>
        <w:tblInd w:w="-342" w:type="dxa"/>
        <w:tblLayout w:type="fixed"/>
        <w:tblLook w:val="04A0"/>
      </w:tblPr>
      <w:tblGrid>
        <w:gridCol w:w="1647"/>
        <w:gridCol w:w="1520"/>
        <w:gridCol w:w="2688"/>
        <w:gridCol w:w="2628"/>
        <w:gridCol w:w="2628"/>
        <w:gridCol w:w="2628"/>
      </w:tblGrid>
      <w:tr w:rsidR="00353F9A" w:rsidRPr="008E0858" w:rsidTr="006F50C2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Author (year)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53F9A" w:rsidRPr="008E0858" w:rsidRDefault="00353F9A" w:rsidP="00800164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Frequency of PJK (time)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Factors associated with PJK (significant results)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Factors not associated with PJK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Time-related changes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Other results</w:t>
            </w:r>
          </w:p>
        </w:tc>
      </w:tr>
      <w:tr w:rsidR="00353F9A" w:rsidRPr="008E0858" w:rsidTr="006F50C2">
        <w:tc>
          <w:tcPr>
            <w:tcW w:w="13739" w:type="dxa"/>
            <w:gridSpan w:val="6"/>
            <w:shd w:val="pct12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Adults</w:t>
            </w:r>
          </w:p>
        </w:tc>
      </w:tr>
      <w:tr w:rsidR="00353F9A" w:rsidRPr="008E0858" w:rsidTr="006F50C2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Kim YJ, Bridwell (2008)</w:t>
            </w:r>
          </w:p>
          <w:p w:rsidR="00353F9A" w:rsidRPr="004270DA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94 month f/u: 39% (62/161)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Age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0.007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&gt; 55 years: P &lt; 0.0001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Thoracic kyphosis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Combined anterior-posterior approach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0.032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Lowest instrumented vertebrae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S1/above: P = 0.009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L5/above: P = 0.059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Pedicle screw construct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0.041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Sagittal vertical axis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0.65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Lumbar lordosis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0.17 (to outcomes table)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Hybrid construct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0.33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Upper instrumented vertebra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0.17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Comorbidity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0.60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Osteotomies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0.63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Proximal junctional angle:</w:t>
            </w:r>
          </w:p>
          <w:p w:rsidR="00353F9A" w:rsidRPr="008E0858" w:rsidRDefault="007A210C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Preop: 3° ± 7.7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8 we</w:t>
            </w:r>
            <w:r w:rsidR="007A210C" w:rsidRPr="008E0858">
              <w:rPr>
                <w:rFonts w:ascii="Times New Roman" w:hAnsi="Times New Roman"/>
                <w:szCs w:val="20"/>
              </w:rPr>
              <w:t>ek postop: 14° ± 6.5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8E0858">
              <w:rPr>
                <w:rFonts w:ascii="Times New Roman" w:hAnsi="Times New Roman"/>
                <w:szCs w:val="20"/>
              </w:rPr>
              <w:t>8 wee</w:t>
            </w:r>
            <w:r w:rsidR="007A210C" w:rsidRPr="008E0858">
              <w:rPr>
                <w:rFonts w:ascii="Times New Roman" w:hAnsi="Times New Roman"/>
                <w:szCs w:val="20"/>
              </w:rPr>
              <w:t>k</w:t>
            </w:r>
            <w:proofErr w:type="gramEnd"/>
            <w:r w:rsidR="007A210C" w:rsidRPr="008E0858">
              <w:rPr>
                <w:rFonts w:ascii="Times New Roman" w:hAnsi="Times New Roman"/>
                <w:szCs w:val="20"/>
              </w:rPr>
              <w:t xml:space="preserve"> postop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="00800164" w:rsidRPr="00800164">
              <w:rPr>
                <w:rFonts w:ascii="Times New Roman" w:hAnsi="Times New Roman"/>
                <w:szCs w:val="20"/>
              </w:rPr>
              <w:t>–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="007A210C" w:rsidRPr="008E0858">
              <w:rPr>
                <w:rFonts w:ascii="Times New Roman" w:hAnsi="Times New Roman"/>
                <w:szCs w:val="20"/>
              </w:rPr>
              <w:t>preop change: 10° ± 5.</w:t>
            </w:r>
            <w:r w:rsidRPr="008E0858">
              <w:rPr>
                <w:rFonts w:ascii="Times New Roman" w:hAnsi="Times New Roman"/>
                <w:szCs w:val="20"/>
              </w:rPr>
              <w:t xml:space="preserve"> (59%)</w:t>
            </w:r>
          </w:p>
          <w:p w:rsidR="00353F9A" w:rsidRPr="008E0858" w:rsidRDefault="007A210C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 year postop: 15° ± 6.2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 year postop – 8 week postop</w:t>
            </w:r>
            <w:r w:rsidR="007A210C" w:rsidRPr="008E0858">
              <w:rPr>
                <w:rFonts w:ascii="Times New Roman" w:hAnsi="Times New Roman"/>
                <w:szCs w:val="20"/>
              </w:rPr>
              <w:t xml:space="preserve"> change: 1° ± 5.4</w:t>
            </w:r>
            <w:r w:rsidRPr="008E0858">
              <w:rPr>
                <w:rFonts w:ascii="Times New Roman" w:hAnsi="Times New Roman"/>
                <w:szCs w:val="20"/>
              </w:rPr>
              <w:t xml:space="preserve"> (6%)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 year</w:t>
            </w:r>
            <w:r w:rsidR="007A210C" w:rsidRPr="008E0858">
              <w:rPr>
                <w:rFonts w:ascii="Times New Roman" w:hAnsi="Times New Roman"/>
                <w:szCs w:val="20"/>
              </w:rPr>
              <w:t xml:space="preserve"> postop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="00800164" w:rsidRPr="00800164">
              <w:rPr>
                <w:rFonts w:ascii="Times New Roman" w:hAnsi="Times New Roman"/>
                <w:szCs w:val="20"/>
              </w:rPr>
              <w:t>–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="007A210C" w:rsidRPr="008E0858">
              <w:rPr>
                <w:rFonts w:ascii="Times New Roman" w:hAnsi="Times New Roman"/>
                <w:szCs w:val="20"/>
              </w:rPr>
              <w:t>preop change: 12° ± 6.2</w:t>
            </w:r>
            <w:r w:rsidRPr="008E0858">
              <w:rPr>
                <w:rFonts w:ascii="Times New Roman" w:hAnsi="Times New Roman"/>
                <w:szCs w:val="20"/>
              </w:rPr>
              <w:t xml:space="preserve"> (65%)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Ultimate postop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="00800164" w:rsidRPr="00800164">
              <w:rPr>
                <w:rFonts w:ascii="Times New Roman" w:hAnsi="Times New Roman"/>
                <w:szCs w:val="20"/>
              </w:rPr>
              <w:t>–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Pr="008E0858">
              <w:rPr>
                <w:rFonts w:ascii="Times New Roman" w:hAnsi="Times New Roman"/>
                <w:szCs w:val="20"/>
              </w:rPr>
              <w:t>preop change: 17° ± 6.5 (100%)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Ultimate postop – 8 week postop: 17° ± 5.8 (41%)</w:t>
            </w:r>
          </w:p>
          <w:p w:rsidR="00353F9A" w:rsidRPr="008E0858" w:rsidRDefault="00353F9A" w:rsidP="004B5F7D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Ultimate postop – 2</w:t>
            </w:r>
            <w:r w:rsidR="00800164">
              <w:rPr>
                <w:rFonts w:ascii="Times New Roman" w:hAnsi="Times New Roman"/>
                <w:szCs w:val="20"/>
              </w:rPr>
              <w:t xml:space="preserve"> </w:t>
            </w:r>
            <w:r w:rsidRPr="008E0858">
              <w:rPr>
                <w:rFonts w:ascii="Times New Roman" w:hAnsi="Times New Roman"/>
                <w:szCs w:val="20"/>
              </w:rPr>
              <w:t>year postop: 5° ± 5.8 (35%)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SRS-24, 29, 30 overall score: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PJK: 77 ±18.4 (52/62)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Non-PJK: 79 ± 19.3 (82/99)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4270DA" w:rsidP="004270D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 w:rsidRPr="004270DA">
              <w:rPr>
                <w:rFonts w:ascii="Times New Roman" w:hAnsi="Times New Roman"/>
                <w:szCs w:val="20"/>
              </w:rPr>
              <w:t>ollow-up</w:t>
            </w:r>
            <w:r w:rsidR="00353F9A" w:rsidRPr="008E0858">
              <w:rPr>
                <w:rFonts w:ascii="Times New Roman" w:hAnsi="Times New Roman"/>
                <w:szCs w:val="20"/>
              </w:rPr>
              <w:t>: 94 month (38%)</w:t>
            </w:r>
          </w:p>
        </w:tc>
      </w:tr>
      <w:tr w:rsidR="00353F9A" w:rsidRPr="008E0858" w:rsidTr="006F50C2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 xml:space="preserve">Kim HJ, </w:t>
            </w:r>
            <w:proofErr w:type="spellStart"/>
            <w:r w:rsidRPr="008E0858">
              <w:rPr>
                <w:rFonts w:ascii="Times New Roman" w:hAnsi="Times New Roman"/>
                <w:b/>
                <w:szCs w:val="20"/>
              </w:rPr>
              <w:t>Yagi</w:t>
            </w:r>
            <w:proofErr w:type="spellEnd"/>
            <w:r w:rsidRPr="008E0858">
              <w:rPr>
                <w:rFonts w:ascii="Times New Roman" w:hAnsi="Times New Roman"/>
                <w:b/>
                <w:szCs w:val="20"/>
              </w:rPr>
              <w:t xml:space="preserve"> (2011)</w:t>
            </w:r>
          </w:p>
          <w:p w:rsidR="00353F9A" w:rsidRPr="004270DA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48 month f/u: 17% (42/249)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Upper Instrumented Level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2.34 (1.07, 5.12), CI: 95%, P = 0.034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1.98 (1.05, 3.72), CI: 95%, P = 0.034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Anterior-Posterior Approach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3.13 (1.08, 9.05), CI: 95%, P = 0.034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3.04 (1.56, 5.93), CI: 95%, P = 0.001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SSVL Difference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0.99 (0.98, 1.00), CI: 95%, P = 0.004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0.99 (0.98, 1.00), CI: 95%, P = 0.001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Gender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2.53 (0.67, 9.65), CI: 95%, P = 0.173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2.36 (0.72, 7.81), CI: 95%, P = 0.159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Age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0.99 (0.95, 1.03), CI: 95%, P = 0.582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Osteopenia/Osteoporosis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1.75 (0.68, 4.46), CI: 95%, P = 0.244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1.86 (0.98, 3.55), CI: 95%, P = 0.058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Fusion to S1</w:t>
            </w:r>
          </w:p>
          <w:p w:rsidR="00353F9A" w:rsidRPr="008E0858" w:rsidRDefault="00353F9A" w:rsidP="00353F9A">
            <w:pPr>
              <w:ind w:left="282" w:hanging="8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1.52 (0.55, 4.16), CI: 95%, P = 0.419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HR: NR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SRS-22 overall score difference (pre v. postop):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PJK: 3.63 ± 0.54 (42/42)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Non-PJK: 3.75 ± 0.53 (207/207)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4270DA" w:rsidP="00353F9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 w:rsidRPr="004270DA">
              <w:rPr>
                <w:rFonts w:ascii="Times New Roman" w:hAnsi="Times New Roman"/>
                <w:szCs w:val="20"/>
              </w:rPr>
              <w:t>ollow-up</w:t>
            </w:r>
            <w:r w:rsidR="00353F9A" w:rsidRPr="008E0858">
              <w:rPr>
                <w:rFonts w:ascii="Times New Roman" w:hAnsi="Times New Roman"/>
                <w:szCs w:val="20"/>
              </w:rPr>
              <w:t>: 48 month (17%)</w:t>
            </w:r>
          </w:p>
        </w:tc>
      </w:tr>
      <w:tr w:rsidR="00353F9A" w:rsidRPr="008E0858" w:rsidTr="006F50C2">
        <w:tc>
          <w:tcPr>
            <w:tcW w:w="1647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lastRenderedPageBreak/>
              <w:t>Mendoza-Lattes (2011)</w:t>
            </w:r>
          </w:p>
          <w:p w:rsidR="00353F9A" w:rsidRPr="004270DA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27 month f/u: 35% (19/54)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Difference between lumbar lordosis and thoracic kyphosis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0.0121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C-7 Plumbline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0.0055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Age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BMI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Pelvic Incidence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Sacral Slope</w:t>
            </w:r>
          </w:p>
          <w:p w:rsidR="00353F9A" w:rsidRPr="008E0858" w:rsidRDefault="00353F9A" w:rsidP="007A210C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</w:tr>
      <w:tr w:rsidR="00353F9A" w:rsidRPr="008E0858" w:rsidTr="006F50C2">
        <w:tc>
          <w:tcPr>
            <w:tcW w:w="13739" w:type="dxa"/>
            <w:gridSpan w:val="6"/>
            <w:shd w:val="pct12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Scheuermann’s</w:t>
            </w:r>
          </w:p>
        </w:tc>
      </w:tr>
      <w:tr w:rsidR="00353F9A" w:rsidRPr="008E0858" w:rsidTr="006F50C2">
        <w:tc>
          <w:tcPr>
            <w:tcW w:w="1647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Denis (2009)</w:t>
            </w:r>
          </w:p>
          <w:p w:rsidR="00353F9A" w:rsidRPr="004270DA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73 month f/u: 30% (20/67)</w:t>
            </w:r>
          </w:p>
        </w:tc>
        <w:tc>
          <w:tcPr>
            <w:tcW w:w="268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Fusion short of the proximal end vertebra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&gt;50% correction</w:t>
            </w:r>
          </w:p>
          <w:p w:rsidR="00353F9A" w:rsidRPr="008E0858" w:rsidRDefault="00353F9A" w:rsidP="007A210C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&lt; 0.05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Magnitude of preoperative kyphosis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Amount of correction achieved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Sagittal balance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NR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</w:tr>
      <w:tr w:rsidR="00353F9A" w:rsidRPr="008E0858" w:rsidTr="006F50C2">
        <w:tc>
          <w:tcPr>
            <w:tcW w:w="1647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Lonner (2007)</w:t>
            </w:r>
          </w:p>
          <w:p w:rsidR="00353F9A" w:rsidRPr="004270DA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35 month f/u: 32.1% (25/78)</w:t>
            </w:r>
          </w:p>
        </w:tc>
        <w:tc>
          <w:tcPr>
            <w:tcW w:w="268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Kyphosis follow-up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&lt; 0.01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Kyphosis %change</w:t>
            </w:r>
          </w:p>
          <w:p w:rsidR="00353F9A" w:rsidRPr="008E0858" w:rsidRDefault="00353F9A" w:rsidP="007A210C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&lt; 0.01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Pelvic incidence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0.62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</w:tr>
      <w:tr w:rsidR="00353F9A" w:rsidRPr="008E0858" w:rsidTr="006F50C2">
        <w:tc>
          <w:tcPr>
            <w:tcW w:w="13739" w:type="dxa"/>
            <w:gridSpan w:val="6"/>
            <w:shd w:val="pct12" w:color="auto" w:fill="auto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Adolescent/ Pediatrics</w:t>
            </w:r>
          </w:p>
        </w:tc>
      </w:tr>
      <w:tr w:rsidR="00353F9A" w:rsidRPr="008E0858" w:rsidTr="006F50C2">
        <w:tc>
          <w:tcPr>
            <w:tcW w:w="1647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Kim YJ, Lenke (2007)</w:t>
            </w:r>
          </w:p>
          <w:p w:rsidR="00353F9A" w:rsidRPr="004270DA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24 month f/u: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27% (111/410)</w:t>
            </w:r>
          </w:p>
        </w:tc>
        <w:tc>
          <w:tcPr>
            <w:tcW w:w="268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Preop thoracic Cobb angle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&lt; 0.0001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Postop thoracic Cobb angle change (T5-T12)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&lt; 0.0001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Thoracoplasty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Gender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0.007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Instrumentation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0.058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Number of fused vertebrae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0.12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Pre-existing segmental kyphosis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0.17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UIV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 = 0.75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Proximal junctional angle: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Preop: 6° ± 5.7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 xml:space="preserve">Immediate </w:t>
            </w:r>
            <w:r w:rsidR="00800164">
              <w:rPr>
                <w:rFonts w:ascii="Times New Roman" w:hAnsi="Times New Roman"/>
                <w:szCs w:val="20"/>
              </w:rPr>
              <w:t>p</w:t>
            </w:r>
            <w:r w:rsidRPr="008E0858">
              <w:rPr>
                <w:rFonts w:ascii="Times New Roman" w:hAnsi="Times New Roman"/>
                <w:szCs w:val="20"/>
              </w:rPr>
              <w:t>ostop: 13° ± 6.2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 xml:space="preserve">2 year </w:t>
            </w:r>
            <w:r w:rsidR="004270DA">
              <w:rPr>
                <w:rFonts w:ascii="Times New Roman" w:hAnsi="Times New Roman"/>
                <w:szCs w:val="20"/>
              </w:rPr>
              <w:t>p</w:t>
            </w:r>
            <w:r w:rsidRPr="008E0858">
              <w:rPr>
                <w:rFonts w:ascii="Times New Roman" w:hAnsi="Times New Roman"/>
                <w:szCs w:val="20"/>
              </w:rPr>
              <w:t>ostop: 22° ± 6.9</w:t>
            </w:r>
          </w:p>
          <w:p w:rsidR="00353F9A" w:rsidRPr="008E0858" w:rsidRDefault="00353F9A" w:rsidP="004B5F7D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 xml:space="preserve">Preop – 2 year </w:t>
            </w:r>
            <w:r w:rsidR="004270DA">
              <w:rPr>
                <w:rFonts w:ascii="Times New Roman" w:hAnsi="Times New Roman"/>
                <w:szCs w:val="20"/>
              </w:rPr>
              <w:t>p</w:t>
            </w:r>
            <w:r w:rsidRPr="008E0858">
              <w:rPr>
                <w:rFonts w:ascii="Times New Roman" w:hAnsi="Times New Roman"/>
                <w:szCs w:val="20"/>
              </w:rPr>
              <w:t>ostop: 16.7° ± 6.2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SRS-24 overall score: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PJK: 97.0 ± 11.25 (90/111)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Non-PJK: 95.3 ± 12.1 (246/299)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4270DA" w:rsidP="004270D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</w:t>
            </w:r>
            <w:r w:rsidRPr="004270DA">
              <w:rPr>
                <w:rFonts w:ascii="Times New Roman" w:hAnsi="Times New Roman"/>
                <w:szCs w:val="20"/>
              </w:rPr>
              <w:t>ollow-up</w:t>
            </w:r>
            <w:r w:rsidR="00353F9A" w:rsidRPr="008E0858">
              <w:rPr>
                <w:rFonts w:ascii="Times New Roman" w:hAnsi="Times New Roman"/>
                <w:szCs w:val="20"/>
              </w:rPr>
              <w:t>: 24 month (100%)</w:t>
            </w:r>
          </w:p>
        </w:tc>
      </w:tr>
      <w:tr w:rsidR="00353F9A" w:rsidRPr="008E0858" w:rsidTr="006F50C2">
        <w:tc>
          <w:tcPr>
            <w:tcW w:w="1647" w:type="dxa"/>
          </w:tcPr>
          <w:p w:rsidR="00353F9A" w:rsidRPr="008E0858" w:rsidRDefault="00353F9A" w:rsidP="00353F9A">
            <w:pPr>
              <w:rPr>
                <w:rFonts w:ascii="Times New Roman" w:hAnsi="Times New Roman"/>
                <w:b/>
                <w:szCs w:val="20"/>
              </w:rPr>
            </w:pPr>
            <w:r w:rsidRPr="008E0858">
              <w:rPr>
                <w:rFonts w:ascii="Times New Roman" w:hAnsi="Times New Roman"/>
                <w:b/>
                <w:szCs w:val="20"/>
              </w:rPr>
              <w:t>Wang (2010)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Retrospective prognostic study</w:t>
            </w:r>
          </w:p>
        </w:tc>
        <w:tc>
          <w:tcPr>
            <w:tcW w:w="1520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42 month f/u:</w:t>
            </w:r>
          </w:p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28% (35/123)</w:t>
            </w:r>
          </w:p>
        </w:tc>
        <w:tc>
          <w:tcPr>
            <w:tcW w:w="268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Risser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1.73 (1.06, 2.81), CI: 05%, P = 0.028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Preoperative postural curvature angle of thoracic vertebrae &gt;40°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 xml:space="preserve">OR: 4.49 (1.06, 19.09), CI: </w:t>
            </w:r>
            <w:r w:rsidRPr="008E0858">
              <w:rPr>
                <w:rFonts w:ascii="Times New Roman" w:hAnsi="Times New Roman"/>
                <w:szCs w:val="20"/>
              </w:rPr>
              <w:lastRenderedPageBreak/>
              <w:t>95%, P = 0.042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Thoracoplasty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11.31 (2.48, 51, 5.8), CI: 95%, P = 0.002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Material of correction (distraction)</w:t>
            </w:r>
          </w:p>
          <w:p w:rsidR="00353F9A" w:rsidRPr="008E0858" w:rsidRDefault="00353F9A" w:rsidP="00353F9A">
            <w:pPr>
              <w:ind w:left="252"/>
              <w:rPr>
                <w:rFonts w:ascii="Times New Roman" w:eastAsia="SimSun" w:hAnsi="Times New Roman"/>
                <w:szCs w:val="20"/>
                <w:lang w:eastAsia="zh-CN"/>
              </w:rPr>
            </w:pPr>
            <w:r w:rsidRPr="008E0858">
              <w:rPr>
                <w:rFonts w:ascii="Times New Roman" w:eastAsia="SimSun" w:hAnsi="Times New Roman"/>
                <w:szCs w:val="20"/>
                <w:lang w:eastAsia="zh-CN"/>
              </w:rPr>
              <w:t>OR: 4.30 (1.22, 15.19), CI: 95%, P = 0.024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Grafting material (allogeneic bone)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0.04 (0.01, 0.27), CI: 95%, P = 0.001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Grafting material (biomaterials)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0.07 (0.01, 0.45), CI: 95%, P = 0.005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Material used in fixation of upper vertebra (screw)</w:t>
            </w:r>
          </w:p>
          <w:p w:rsidR="00353F9A" w:rsidRPr="008E0858" w:rsidRDefault="00353F9A" w:rsidP="004270D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19.99 (3.54, 112.98), CI: 95%, P = 0.001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lastRenderedPageBreak/>
              <w:t>Age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0.94 (0.79, 1.13), CI: 95%, P = 0.518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Gender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1.07 (0.24, 4.87), CI: 95%, P = 0.929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 xml:space="preserve">Preoperative postural </w:t>
            </w:r>
            <w:r w:rsidRPr="008E0858">
              <w:rPr>
                <w:rFonts w:ascii="Times New Roman" w:hAnsi="Times New Roman"/>
                <w:szCs w:val="20"/>
              </w:rPr>
              <w:lastRenderedPageBreak/>
              <w:t>curvature angle of thoracic vertebrae 30-40°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0.84 (0.16, 4.50), CI: 05%, P = 0.838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Fused lumbar vertebra below L2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1.88 (0.54, 6.50), CI: 95%, P = 0.320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Number of fused segments 6-8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0.56 (0.12, 2.50), CI: 95%, P = 0.444</w:t>
            </w:r>
          </w:p>
          <w:p w:rsidR="00353F9A" w:rsidRPr="008E0858" w:rsidRDefault="00353F9A" w:rsidP="00353F9A">
            <w:pPr>
              <w:numPr>
                <w:ilvl w:val="0"/>
                <w:numId w:val="12"/>
              </w:numPr>
              <w:ind w:left="282" w:hanging="180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Number of fused segments ≥8</w:t>
            </w:r>
          </w:p>
          <w:p w:rsidR="00353F9A" w:rsidRPr="008E0858" w:rsidRDefault="00353F9A" w:rsidP="00353F9A">
            <w:pPr>
              <w:ind w:left="282"/>
              <w:contextualSpacing/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OR: 0.95 (0.22, 4.07), CI: 95%, P = 0.946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lastRenderedPageBreak/>
              <w:t>NR</w:t>
            </w:r>
          </w:p>
        </w:tc>
        <w:tc>
          <w:tcPr>
            <w:tcW w:w="2628" w:type="dxa"/>
          </w:tcPr>
          <w:p w:rsidR="00353F9A" w:rsidRPr="008E0858" w:rsidRDefault="00353F9A" w:rsidP="00353F9A">
            <w:pPr>
              <w:rPr>
                <w:rFonts w:ascii="Times New Roman" w:hAnsi="Times New Roman"/>
                <w:szCs w:val="20"/>
              </w:rPr>
            </w:pPr>
            <w:r w:rsidRPr="008E0858">
              <w:rPr>
                <w:rFonts w:ascii="Times New Roman" w:hAnsi="Times New Roman"/>
                <w:szCs w:val="20"/>
              </w:rPr>
              <w:t>NR</w:t>
            </w:r>
          </w:p>
        </w:tc>
      </w:tr>
    </w:tbl>
    <w:p w:rsidR="00D72B95" w:rsidRPr="004270DA" w:rsidRDefault="00D72B95" w:rsidP="008E085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72B95" w:rsidRPr="004270DA" w:rsidSect="00103E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DA" w:rsidRDefault="004270DA" w:rsidP="00103EDB">
      <w:pPr>
        <w:spacing w:after="0" w:line="240" w:lineRule="auto"/>
      </w:pPr>
      <w:r>
        <w:separator/>
      </w:r>
    </w:p>
  </w:endnote>
  <w:endnote w:type="continuationSeparator" w:id="0">
    <w:p w:rsidR="004270DA" w:rsidRDefault="004270DA" w:rsidP="0010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55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70DA" w:rsidRPr="00103EDB" w:rsidRDefault="00576DDA" w:rsidP="002E160B">
        <w:pPr>
          <w:pStyle w:val="Footer"/>
          <w:jc w:val="right"/>
          <w:rPr>
            <w:rFonts w:ascii="Times New Roman" w:hAnsi="Times New Roman" w:cs="Times New Roman"/>
          </w:rPr>
        </w:pPr>
        <w:r w:rsidRPr="00103EDB">
          <w:rPr>
            <w:rFonts w:ascii="Times New Roman" w:hAnsi="Times New Roman" w:cs="Times New Roman"/>
          </w:rPr>
          <w:fldChar w:fldCharType="begin"/>
        </w:r>
        <w:r w:rsidR="004270DA" w:rsidRPr="00103EDB">
          <w:rPr>
            <w:rFonts w:ascii="Times New Roman" w:hAnsi="Times New Roman" w:cs="Times New Roman"/>
          </w:rPr>
          <w:instrText xml:space="preserve"> PAGE   \* MERGEFORMAT </w:instrText>
        </w:r>
        <w:r w:rsidRPr="00103EDB">
          <w:rPr>
            <w:rFonts w:ascii="Times New Roman" w:hAnsi="Times New Roman" w:cs="Times New Roman"/>
          </w:rPr>
          <w:fldChar w:fldCharType="separate"/>
        </w:r>
        <w:r w:rsidR="004B5F7D">
          <w:rPr>
            <w:rFonts w:ascii="Times New Roman" w:hAnsi="Times New Roman" w:cs="Times New Roman"/>
            <w:noProof/>
          </w:rPr>
          <w:t>15</w:t>
        </w:r>
        <w:r w:rsidRPr="00103ED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DA" w:rsidRDefault="004270DA" w:rsidP="00103EDB">
      <w:pPr>
        <w:spacing w:after="0" w:line="240" w:lineRule="auto"/>
      </w:pPr>
      <w:r>
        <w:separator/>
      </w:r>
    </w:p>
  </w:footnote>
  <w:footnote w:type="continuationSeparator" w:id="0">
    <w:p w:rsidR="004270DA" w:rsidRDefault="004270DA" w:rsidP="0010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6D"/>
    <w:multiLevelType w:val="hybridMultilevel"/>
    <w:tmpl w:val="16B2FE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66F70F0"/>
    <w:multiLevelType w:val="hybridMultilevel"/>
    <w:tmpl w:val="0570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588"/>
    <w:multiLevelType w:val="hybridMultilevel"/>
    <w:tmpl w:val="7226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B1DD6"/>
    <w:multiLevelType w:val="hybridMultilevel"/>
    <w:tmpl w:val="617666F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18E07B8B"/>
    <w:multiLevelType w:val="hybridMultilevel"/>
    <w:tmpl w:val="B4EAE2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9A04844"/>
    <w:multiLevelType w:val="hybridMultilevel"/>
    <w:tmpl w:val="C9A2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C1390"/>
    <w:multiLevelType w:val="hybridMultilevel"/>
    <w:tmpl w:val="71FA0DE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>
    <w:nsid w:val="20B755D9"/>
    <w:multiLevelType w:val="hybridMultilevel"/>
    <w:tmpl w:val="CED07D1E"/>
    <w:lvl w:ilvl="0" w:tplc="6FC43626"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34B1A4D"/>
    <w:multiLevelType w:val="hybridMultilevel"/>
    <w:tmpl w:val="4934B5C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2C142ADB"/>
    <w:multiLevelType w:val="hybridMultilevel"/>
    <w:tmpl w:val="B2C01FDE"/>
    <w:lvl w:ilvl="0" w:tplc="DF5E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2260D"/>
    <w:multiLevelType w:val="hybridMultilevel"/>
    <w:tmpl w:val="07F475F2"/>
    <w:lvl w:ilvl="0" w:tplc="C85E6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85E6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B47E20"/>
    <w:multiLevelType w:val="hybridMultilevel"/>
    <w:tmpl w:val="B6124C84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2">
    <w:nsid w:val="382E0B3D"/>
    <w:multiLevelType w:val="hybridMultilevel"/>
    <w:tmpl w:val="ABA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02281"/>
    <w:multiLevelType w:val="hybridMultilevel"/>
    <w:tmpl w:val="ACA4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B145D"/>
    <w:multiLevelType w:val="hybridMultilevel"/>
    <w:tmpl w:val="AEB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56AD"/>
    <w:multiLevelType w:val="hybridMultilevel"/>
    <w:tmpl w:val="EFE8265E"/>
    <w:lvl w:ilvl="0" w:tplc="2C181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26F06"/>
    <w:multiLevelType w:val="hybridMultilevel"/>
    <w:tmpl w:val="2862BDC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4C855ADB"/>
    <w:multiLevelType w:val="hybridMultilevel"/>
    <w:tmpl w:val="CF301090"/>
    <w:lvl w:ilvl="0" w:tplc="F4228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1B92"/>
    <w:multiLevelType w:val="hybridMultilevel"/>
    <w:tmpl w:val="16B2FE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65006FE3"/>
    <w:multiLevelType w:val="hybridMultilevel"/>
    <w:tmpl w:val="577220A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>
    <w:nsid w:val="66DB34D1"/>
    <w:multiLevelType w:val="hybridMultilevel"/>
    <w:tmpl w:val="16B2FE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67E920AF"/>
    <w:multiLevelType w:val="hybridMultilevel"/>
    <w:tmpl w:val="671E6B4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>
    <w:nsid w:val="69704B01"/>
    <w:multiLevelType w:val="hybridMultilevel"/>
    <w:tmpl w:val="4FE0DD5A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6D994405"/>
    <w:multiLevelType w:val="hybridMultilevel"/>
    <w:tmpl w:val="E3A49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E6C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572E86"/>
    <w:multiLevelType w:val="hybridMultilevel"/>
    <w:tmpl w:val="0ACA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22"/>
  </w:num>
  <w:num w:numId="6">
    <w:abstractNumId w:val="20"/>
  </w:num>
  <w:num w:numId="7">
    <w:abstractNumId w:val="23"/>
  </w:num>
  <w:num w:numId="8">
    <w:abstractNumId w:val="10"/>
  </w:num>
  <w:num w:numId="9">
    <w:abstractNumId w:val="21"/>
  </w:num>
  <w:num w:numId="10">
    <w:abstractNumId w:val="3"/>
  </w:num>
  <w:num w:numId="11">
    <w:abstractNumId w:val="18"/>
  </w:num>
  <w:num w:numId="12">
    <w:abstractNumId w:val="16"/>
  </w:num>
  <w:num w:numId="13">
    <w:abstractNumId w:val="13"/>
  </w:num>
  <w:num w:numId="14">
    <w:abstractNumId w:val="24"/>
  </w:num>
  <w:num w:numId="15">
    <w:abstractNumId w:val="4"/>
  </w:num>
  <w:num w:numId="16">
    <w:abstractNumId w:val="7"/>
  </w:num>
  <w:num w:numId="17">
    <w:abstractNumId w:val="17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 w:numId="22">
    <w:abstractNumId w:val="8"/>
  </w:num>
  <w:num w:numId="23">
    <w:abstractNumId w:val="19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F5"/>
    <w:rsid w:val="00092F8D"/>
    <w:rsid w:val="000B356D"/>
    <w:rsid w:val="00103EDB"/>
    <w:rsid w:val="00245E23"/>
    <w:rsid w:val="002C2A28"/>
    <w:rsid w:val="002E160B"/>
    <w:rsid w:val="00353F9A"/>
    <w:rsid w:val="004270DA"/>
    <w:rsid w:val="004B5F7D"/>
    <w:rsid w:val="00576DDA"/>
    <w:rsid w:val="005E48FE"/>
    <w:rsid w:val="00610D51"/>
    <w:rsid w:val="006F50C2"/>
    <w:rsid w:val="00720BE9"/>
    <w:rsid w:val="00761F54"/>
    <w:rsid w:val="007A210C"/>
    <w:rsid w:val="00800164"/>
    <w:rsid w:val="008E0858"/>
    <w:rsid w:val="00D23606"/>
    <w:rsid w:val="00D72B95"/>
    <w:rsid w:val="00FA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53F9A"/>
  </w:style>
  <w:style w:type="character" w:styleId="CommentReference">
    <w:name w:val="annotation reference"/>
    <w:basedOn w:val="DefaultParagraphFont"/>
    <w:uiPriority w:val="99"/>
    <w:semiHidden/>
    <w:rsid w:val="00353F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3F9A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9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9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3F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F9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53F9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3F9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uiPriority w:val="99"/>
    <w:rsid w:val="00353F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53F9A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rsid w:val="00353F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353F9A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53F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EDB"/>
  </w:style>
  <w:style w:type="paragraph" w:styleId="Footer">
    <w:name w:val="footer"/>
    <w:basedOn w:val="Normal"/>
    <w:link w:val="FooterChar"/>
    <w:uiPriority w:val="99"/>
    <w:unhideWhenUsed/>
    <w:rsid w:val="0010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53F9A"/>
  </w:style>
  <w:style w:type="character" w:styleId="CommentReference">
    <w:name w:val="annotation reference"/>
    <w:basedOn w:val="DefaultParagraphFont"/>
    <w:uiPriority w:val="99"/>
    <w:semiHidden/>
    <w:rsid w:val="00353F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3F9A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9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9A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3F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F9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53F9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3F9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uiPriority w:val="99"/>
    <w:rsid w:val="00353F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53F9A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rsid w:val="00353F9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53F9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353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353F9A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53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Jennifer L. Roth</cp:lastModifiedBy>
  <cp:revision>9</cp:revision>
  <dcterms:created xsi:type="dcterms:W3CDTF">2012-04-28T14:41:00Z</dcterms:created>
  <dcterms:modified xsi:type="dcterms:W3CDTF">2012-06-26T16:24:00Z</dcterms:modified>
</cp:coreProperties>
</file>