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D4" w:rsidRDefault="00C92FD4" w:rsidP="00C92FD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SUPPLEMENTAL DIGITAL CONTENT</w:t>
      </w:r>
    </w:p>
    <w:p w:rsidR="00C92FD4" w:rsidRDefault="00C92FD4" w:rsidP="00C92FD4">
      <w:pPr>
        <w:rPr>
          <w:b/>
        </w:rPr>
      </w:pPr>
    </w:p>
    <w:p w:rsidR="00C92FD4" w:rsidRDefault="00C92FD4" w:rsidP="00C92FD4">
      <w:pPr>
        <w:rPr>
          <w:b/>
        </w:rPr>
      </w:pPr>
    </w:p>
    <w:p w:rsidR="00C92FD4" w:rsidRPr="00177AFA" w:rsidRDefault="00C92FD4" w:rsidP="00C92FD4">
      <w:pPr>
        <w:rPr>
          <w:rFonts w:ascii="Times New Roman" w:eastAsiaTheme="minorHAnsi" w:hAnsi="Times New Roman" w:cs="Times New Roman"/>
          <w:sz w:val="24"/>
        </w:rPr>
      </w:pPr>
      <w:r w:rsidRPr="00177AFA">
        <w:rPr>
          <w:rFonts w:ascii="Times New Roman" w:eastAsiaTheme="minorHAnsi" w:hAnsi="Times New Roman" w:cs="Times New Roman"/>
          <w:sz w:val="24"/>
        </w:rPr>
        <w:t xml:space="preserve">PICO </w:t>
      </w:r>
      <w:r w:rsidR="00D20C7F">
        <w:rPr>
          <w:rFonts w:ascii="Times New Roman" w:eastAsiaTheme="minorHAnsi" w:hAnsi="Times New Roman" w:cs="Times New Roman"/>
          <w:sz w:val="24"/>
        </w:rPr>
        <w:t>TABLE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1997"/>
        <w:gridCol w:w="4411"/>
        <w:gridCol w:w="3419"/>
      </w:tblGrid>
      <w:tr w:rsidR="00C92FD4" w:rsidRPr="000851F4" w:rsidTr="00BF256B">
        <w:trPr>
          <w:trHeight w:val="178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C92FD4" w:rsidRPr="000851F4" w:rsidRDefault="00C92FD4" w:rsidP="00BF256B">
            <w:pPr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auto"/>
            <w:hideMark/>
          </w:tcPr>
          <w:p w:rsidR="00C92FD4" w:rsidRPr="000851F4" w:rsidRDefault="00C92FD4" w:rsidP="00BF256B">
            <w:pPr>
              <w:ind w:left="72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851F4">
              <w:rPr>
                <w:rFonts w:ascii="Times New Roman" w:eastAsia="Calibri" w:hAnsi="Times New Roman" w:cs="Times New Roman"/>
                <w:b/>
                <w:lang w:bidi="en-US"/>
              </w:rPr>
              <w:t>Inclusion</w:t>
            </w:r>
          </w:p>
        </w:tc>
        <w:tc>
          <w:tcPr>
            <w:tcW w:w="3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auto" w:fill="auto"/>
            <w:hideMark/>
          </w:tcPr>
          <w:p w:rsidR="00C92FD4" w:rsidRPr="000851F4" w:rsidRDefault="00C92FD4" w:rsidP="00BF256B">
            <w:pPr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851F4">
              <w:rPr>
                <w:rFonts w:ascii="Times New Roman" w:eastAsia="Calibri" w:hAnsi="Times New Roman" w:cs="Times New Roman"/>
                <w:b/>
                <w:lang w:bidi="en-US"/>
              </w:rPr>
              <w:t>Exclusions</w:t>
            </w:r>
          </w:p>
        </w:tc>
      </w:tr>
      <w:tr w:rsidR="00C92FD4" w:rsidRPr="000851F4" w:rsidTr="00BF256B">
        <w:trPr>
          <w:trHeight w:val="178"/>
        </w:trPr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2FD4" w:rsidRPr="000851F4" w:rsidRDefault="00C92FD4" w:rsidP="00BF256B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0851F4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Patient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2FD4" w:rsidRPr="000851F4" w:rsidRDefault="00C92FD4" w:rsidP="00BF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851F4">
              <w:rPr>
                <w:rFonts w:ascii="Times New Roman" w:eastAsia="Calibri" w:hAnsi="Times New Roman" w:cs="Times New Roman"/>
                <w:lang w:bidi="en-US"/>
              </w:rPr>
              <w:t>Symptomatic adult patients who presented with cervical myelopathy symptoms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2FD4" w:rsidRPr="000851F4" w:rsidRDefault="00C92FD4" w:rsidP="00C92FD4">
            <w:pPr>
              <w:numPr>
                <w:ilvl w:val="0"/>
                <w:numId w:val="1"/>
              </w:numPr>
              <w:spacing w:after="0" w:line="240" w:lineRule="auto"/>
              <w:ind w:left="252" w:hanging="162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851F4">
              <w:rPr>
                <w:rFonts w:ascii="Times New Roman" w:eastAsia="Calibri" w:hAnsi="Times New Roman" w:cs="Times New Roman"/>
                <w:lang w:bidi="en-US"/>
              </w:rPr>
              <w:t>Patients &lt; 18 years of age</w:t>
            </w:r>
          </w:p>
          <w:p w:rsidR="00C92FD4" w:rsidRPr="000851F4" w:rsidRDefault="00C92FD4" w:rsidP="00C92FD4">
            <w:pPr>
              <w:numPr>
                <w:ilvl w:val="0"/>
                <w:numId w:val="1"/>
              </w:numPr>
              <w:spacing w:after="0" w:line="240" w:lineRule="auto"/>
              <w:ind w:left="252" w:hanging="162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851F4">
              <w:rPr>
                <w:rFonts w:ascii="Times New Roman" w:eastAsia="Calibri" w:hAnsi="Times New Roman" w:cs="Times New Roman"/>
                <w:lang w:bidi="en-US"/>
              </w:rPr>
              <w:t>Non-ambulatory patients</w:t>
            </w:r>
          </w:p>
          <w:p w:rsidR="00C92FD4" w:rsidRPr="000851F4" w:rsidRDefault="00C92FD4" w:rsidP="00C92FD4">
            <w:pPr>
              <w:numPr>
                <w:ilvl w:val="0"/>
                <w:numId w:val="1"/>
              </w:numPr>
              <w:spacing w:after="0" w:line="240" w:lineRule="auto"/>
              <w:ind w:left="252" w:hanging="162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851F4">
              <w:rPr>
                <w:rFonts w:ascii="Times New Roman" w:eastAsia="Calibri" w:hAnsi="Times New Roman" w:cs="Times New Roman"/>
                <w:lang w:bidi="en-US"/>
              </w:rPr>
              <w:t>Post-surgical patients</w:t>
            </w:r>
          </w:p>
          <w:p w:rsidR="00C92FD4" w:rsidRPr="000851F4" w:rsidRDefault="00C92FD4" w:rsidP="00C92FD4">
            <w:pPr>
              <w:numPr>
                <w:ilvl w:val="0"/>
                <w:numId w:val="1"/>
              </w:numPr>
              <w:spacing w:after="0" w:line="240" w:lineRule="auto"/>
              <w:ind w:left="252" w:hanging="162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851F4">
              <w:rPr>
                <w:rFonts w:ascii="Times New Roman" w:eastAsia="Calibri" w:hAnsi="Times New Roman" w:cs="Times New Roman"/>
                <w:lang w:bidi="en-US"/>
              </w:rPr>
              <w:t>Trauma</w:t>
            </w:r>
          </w:p>
          <w:p w:rsidR="00C92FD4" w:rsidRDefault="00C92FD4" w:rsidP="00C92FD4">
            <w:pPr>
              <w:numPr>
                <w:ilvl w:val="0"/>
                <w:numId w:val="1"/>
              </w:numPr>
              <w:spacing w:after="0" w:line="240" w:lineRule="auto"/>
              <w:ind w:left="252" w:hanging="162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851F4">
              <w:rPr>
                <w:rFonts w:ascii="Times New Roman" w:eastAsia="Calibri" w:hAnsi="Times New Roman" w:cs="Times New Roman"/>
                <w:lang w:bidi="en-US"/>
              </w:rPr>
              <w:t>Acute conditions (e.g. acute disc prolapse)</w:t>
            </w:r>
          </w:p>
          <w:p w:rsidR="00C92FD4" w:rsidRPr="000851F4" w:rsidRDefault="00C92FD4" w:rsidP="00C92FD4">
            <w:pPr>
              <w:numPr>
                <w:ilvl w:val="0"/>
                <w:numId w:val="1"/>
              </w:numPr>
              <w:spacing w:after="0" w:line="240" w:lineRule="auto"/>
              <w:ind w:left="252" w:hanging="162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 xml:space="preserve">Patients with </w:t>
            </w:r>
            <w:r w:rsidRPr="00A744B9">
              <w:rPr>
                <w:rFonts w:ascii="Times New Roman" w:eastAsia="Calibri" w:hAnsi="Times New Roman" w:cs="Times New Roman"/>
                <w:lang w:bidi="en-US"/>
              </w:rPr>
              <w:t>concomitant CSM and another pathology</w:t>
            </w:r>
          </w:p>
        </w:tc>
      </w:tr>
      <w:tr w:rsidR="00C92FD4" w:rsidRPr="000851F4" w:rsidTr="00BF256B">
        <w:trPr>
          <w:trHeight w:val="194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2FD4" w:rsidRPr="000851F4" w:rsidRDefault="00C92FD4" w:rsidP="00BF256B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0851F4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Intervention</w:t>
            </w:r>
          </w:p>
        </w:tc>
        <w:tc>
          <w:tcPr>
            <w:tcW w:w="4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2FD4" w:rsidRPr="000851F4" w:rsidRDefault="00C92FD4" w:rsidP="00BF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Diagnostic work up including laboratory, radiographic and t</w:t>
            </w:r>
            <w:r w:rsidRPr="000851F4">
              <w:rPr>
                <w:rFonts w:ascii="Times New Roman" w:eastAsia="Calibri" w:hAnsi="Times New Roman" w:cs="Times New Roman"/>
                <w:lang w:bidi="en-US"/>
              </w:rPr>
              <w:t>issue</w:t>
            </w:r>
            <w:r>
              <w:rPr>
                <w:rFonts w:ascii="Times New Roman" w:eastAsia="Calibri" w:hAnsi="Times New Roman" w:cs="Times New Roman"/>
                <w:lang w:bidi="en-US"/>
              </w:rPr>
              <w:t xml:space="preserve"> evaluation, neurological and electrophysiological testing </w:t>
            </w:r>
          </w:p>
        </w:tc>
        <w:tc>
          <w:tcPr>
            <w:tcW w:w="3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2FD4" w:rsidRPr="000851F4" w:rsidRDefault="00C92FD4" w:rsidP="00BF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851F4">
              <w:rPr>
                <w:rFonts w:ascii="Times New Roman" w:eastAsia="Calibri" w:hAnsi="Times New Roman" w:cs="Times New Roman"/>
                <w:lang w:bidi="en-US"/>
              </w:rPr>
              <w:t>None</w:t>
            </w:r>
          </w:p>
        </w:tc>
      </w:tr>
      <w:tr w:rsidR="00C92FD4" w:rsidRPr="000851F4" w:rsidTr="00BF256B">
        <w:trPr>
          <w:trHeight w:val="194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2FD4" w:rsidRPr="000851F4" w:rsidRDefault="00C92FD4" w:rsidP="00BF256B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0851F4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Comparison</w:t>
            </w:r>
          </w:p>
        </w:tc>
        <w:tc>
          <w:tcPr>
            <w:tcW w:w="4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2FD4" w:rsidRPr="000851F4" w:rsidRDefault="00C92FD4" w:rsidP="00BF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851F4">
              <w:rPr>
                <w:rFonts w:ascii="Times New Roman" w:eastAsia="Calibri" w:hAnsi="Times New Roman" w:cs="Times New Roman"/>
                <w:lang w:bidi="en-US"/>
              </w:rPr>
              <w:t>Not applicable</w:t>
            </w:r>
          </w:p>
        </w:tc>
        <w:tc>
          <w:tcPr>
            <w:tcW w:w="3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92FD4" w:rsidRPr="000851F4" w:rsidRDefault="00C92FD4" w:rsidP="00BF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851F4">
              <w:rPr>
                <w:rFonts w:ascii="Times New Roman" w:eastAsia="Calibri" w:hAnsi="Times New Roman" w:cs="Times New Roman"/>
                <w:lang w:bidi="en-US"/>
              </w:rPr>
              <w:t>None</w:t>
            </w:r>
          </w:p>
          <w:p w:rsidR="00C92FD4" w:rsidRPr="000851F4" w:rsidRDefault="00C92FD4" w:rsidP="00BF256B">
            <w:pPr>
              <w:spacing w:after="0" w:line="240" w:lineRule="auto"/>
              <w:ind w:left="252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C92FD4" w:rsidRPr="000851F4" w:rsidTr="00BF256B">
        <w:trPr>
          <w:trHeight w:val="16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2FD4" w:rsidRPr="000851F4" w:rsidRDefault="00C92FD4" w:rsidP="00BF256B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0851F4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Outcomes</w:t>
            </w:r>
          </w:p>
        </w:tc>
        <w:tc>
          <w:tcPr>
            <w:tcW w:w="4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2FD4" w:rsidRPr="000851F4" w:rsidRDefault="00C92FD4" w:rsidP="00BF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Not a</w:t>
            </w:r>
            <w:r w:rsidRPr="000851F4">
              <w:rPr>
                <w:rFonts w:ascii="Times New Roman" w:eastAsia="Calibri" w:hAnsi="Times New Roman" w:cs="Times New Roman"/>
                <w:lang w:bidi="en-US"/>
              </w:rPr>
              <w:t>pplicable</w:t>
            </w:r>
          </w:p>
        </w:tc>
        <w:tc>
          <w:tcPr>
            <w:tcW w:w="3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92FD4" w:rsidRPr="000851F4" w:rsidRDefault="00C92FD4" w:rsidP="00BF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Not a</w:t>
            </w:r>
            <w:r w:rsidRPr="000851F4">
              <w:rPr>
                <w:rFonts w:ascii="Times New Roman" w:eastAsia="Calibri" w:hAnsi="Times New Roman" w:cs="Times New Roman"/>
                <w:lang w:bidi="en-US"/>
              </w:rPr>
              <w:t>pplicable</w:t>
            </w:r>
          </w:p>
        </w:tc>
      </w:tr>
      <w:tr w:rsidR="00C92FD4" w:rsidRPr="000851F4" w:rsidTr="00BF256B">
        <w:trPr>
          <w:trHeight w:val="16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2FD4" w:rsidRPr="000851F4" w:rsidRDefault="00C92FD4" w:rsidP="00BF256B">
            <w:pPr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0851F4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Study design</w:t>
            </w:r>
          </w:p>
        </w:tc>
        <w:tc>
          <w:tcPr>
            <w:tcW w:w="4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92FD4" w:rsidRPr="000851F4" w:rsidRDefault="00C92FD4" w:rsidP="00BF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Studies of differential diagnosis or r</w:t>
            </w:r>
            <w:r w:rsidRPr="000851F4">
              <w:rPr>
                <w:rFonts w:ascii="Times New Roman" w:eastAsia="Calibri" w:hAnsi="Times New Roman" w:cs="Times New Roman"/>
                <w:lang w:bidi="en-US"/>
              </w:rPr>
              <w:t>eports with diagnoses that have been confused with CSM</w:t>
            </w:r>
          </w:p>
          <w:p w:rsidR="00C92FD4" w:rsidRPr="000851F4" w:rsidRDefault="00C92FD4" w:rsidP="00BF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92FD4" w:rsidRPr="000851F4" w:rsidRDefault="00C92FD4" w:rsidP="00BF25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P</w:t>
            </w:r>
            <w:r w:rsidRPr="00A744B9">
              <w:rPr>
                <w:rFonts w:ascii="Times New Roman" w:eastAsia="Calibri" w:hAnsi="Times New Roman" w:cs="Times New Roman"/>
                <w:lang w:bidi="en-US"/>
              </w:rPr>
              <w:t xml:space="preserve">apers on differential diagnoses </w:t>
            </w:r>
            <w:r>
              <w:rPr>
                <w:rFonts w:ascii="Times New Roman" w:eastAsia="Calibri" w:hAnsi="Times New Roman" w:cs="Times New Roman"/>
                <w:lang w:bidi="en-US"/>
              </w:rPr>
              <w:t xml:space="preserve">of entities </w:t>
            </w:r>
            <w:r w:rsidRPr="00A744B9">
              <w:rPr>
                <w:rFonts w:ascii="Times New Roman" w:eastAsia="Calibri" w:hAnsi="Times New Roman" w:cs="Times New Roman"/>
                <w:lang w:bidi="en-US"/>
              </w:rPr>
              <w:t xml:space="preserve">commonly associated with myelopathy </w:t>
            </w:r>
            <w:r>
              <w:rPr>
                <w:rFonts w:ascii="Times New Roman" w:eastAsia="Calibri" w:hAnsi="Times New Roman" w:cs="Times New Roman"/>
                <w:lang w:bidi="en-US"/>
              </w:rPr>
              <w:t>(e.g. OPLL vs. disc herniation as cause of compression)</w:t>
            </w:r>
          </w:p>
        </w:tc>
      </w:tr>
    </w:tbl>
    <w:p w:rsidR="00C92FD4" w:rsidRDefault="00C92FD4" w:rsidP="00C92FD4"/>
    <w:p w:rsidR="000D49BD" w:rsidRDefault="000D49BD">
      <w:bookmarkStart w:id="0" w:name="_GoBack"/>
      <w:bookmarkEnd w:id="0"/>
    </w:p>
    <w:sectPr w:rsidR="000D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73FC"/>
    <w:multiLevelType w:val="hybridMultilevel"/>
    <w:tmpl w:val="A010FA4A"/>
    <w:lvl w:ilvl="0" w:tplc="230AABA2">
      <w:numFmt w:val="bullet"/>
      <w:lvlText w:val="•"/>
      <w:lvlJc w:val="left"/>
      <w:pPr>
        <w:ind w:left="32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D4"/>
    <w:rsid w:val="000D49BD"/>
    <w:rsid w:val="00C92FD4"/>
    <w:rsid w:val="00D2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Han Jo MD</dc:creator>
  <cp:lastModifiedBy>Kim, Han Jo MD</cp:lastModifiedBy>
  <cp:revision>2</cp:revision>
  <dcterms:created xsi:type="dcterms:W3CDTF">2013-03-05T14:34:00Z</dcterms:created>
  <dcterms:modified xsi:type="dcterms:W3CDTF">2013-06-04T19:12:00Z</dcterms:modified>
</cp:coreProperties>
</file>