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E24" w:rsidRDefault="00A7358D">
      <w:r>
        <w:t xml:space="preserve">Supplemental </w:t>
      </w:r>
      <w:r w:rsidR="004E5027">
        <w:t>Digital Material</w:t>
      </w:r>
    </w:p>
    <w:p w:rsidR="00A7358D" w:rsidRDefault="00A7358D"/>
    <w:p w:rsidR="00C20FA2" w:rsidRDefault="00C20FA2" w:rsidP="00C20FA2">
      <w:r>
        <w:t>Search Terms/strategies</w:t>
      </w:r>
    </w:p>
    <w:p w:rsidR="00C20FA2" w:rsidRDefault="00C20FA2" w:rsidP="00C20FA2"/>
    <w:p w:rsidR="00C20FA2" w:rsidRDefault="00C20FA2" w:rsidP="00C20FA2">
      <w:r>
        <w:t>Key Question 1:</w:t>
      </w:r>
    </w:p>
    <w:p w:rsidR="00C20FA2" w:rsidRDefault="00C20FA2" w:rsidP="00C20FA2">
      <w:r w:rsidRPr="006D05CF">
        <w:t>Search (</w:t>
      </w:r>
      <w:proofErr w:type="gramStart"/>
      <w:r w:rsidRPr="006D05CF">
        <w:t>spondylotic[</w:t>
      </w:r>
      <w:proofErr w:type="gramEnd"/>
      <w:r w:rsidRPr="006D05CF">
        <w:t>TIAB] OR MYELOPATHY[TIAB] OR “OSSIFICATION OF THE POSTERIOR LONGITUDINAL LIGAMENT”[TIAB] OR OPLL[TIAB]) AND (cervical[TIAB]) AND (MRI[TI] OR MAGNETIC RESONANCE IMAGING[TI] OR "Magnetic Resonance Imaging"[Mesh])</w:t>
      </w:r>
      <w:r>
        <w:t xml:space="preserve"> </w:t>
      </w:r>
      <w:r w:rsidRPr="009C2987">
        <w:t>Filters: Comparative Study; Randomized Controlled Trial; Clinical Trial</w:t>
      </w:r>
    </w:p>
    <w:p w:rsidR="00C20FA2" w:rsidRDefault="00C20FA2" w:rsidP="00C20FA2"/>
    <w:p w:rsidR="00C20FA2" w:rsidRDefault="00C20FA2" w:rsidP="00C20FA2">
      <w:r>
        <w:t>Key Questions 2 and 3:</w:t>
      </w:r>
    </w:p>
    <w:p w:rsidR="00C20FA2" w:rsidRDefault="00C20FA2" w:rsidP="00C20FA2">
      <w:r w:rsidRPr="006D05CF">
        <w:t>Search (spondylotic[TIAB] OR MYELOPATHY[TIAB] OR “OSSIFICATION OF THE POSTERIOR LONGITUDINAL LIGAMENT”[TIAB] OR OPLL[TIAB]) AND (cervical[TIAB]) AND (MRI[TI</w:t>
      </w:r>
      <w:r>
        <w:t>AB</w:t>
      </w:r>
      <w:r w:rsidRPr="006D05CF">
        <w:t>] OR MAGNETIC RESONANCE IMAGING[TI</w:t>
      </w:r>
      <w:r>
        <w:t>AB</w:t>
      </w:r>
      <w:r w:rsidRPr="006D05CF">
        <w:t>] OR "Magnetic Resonance Imaging"[Mesh]</w:t>
      </w:r>
      <w:r>
        <w:t xml:space="preserve"> OR “SIGNAL INTENSITY[TIAB] OR T2[TIAB]</w:t>
      </w:r>
      <w:r w:rsidRPr="006D05CF">
        <w:t>) AND (incidence[</w:t>
      </w:r>
      <w:proofErr w:type="spellStart"/>
      <w:r w:rsidRPr="006D05CF">
        <w:t>MeSH:noexp</w:t>
      </w:r>
      <w:proofErr w:type="spellEnd"/>
      <w:r w:rsidRPr="006D05CF">
        <w:t>] OR mortality[</w:t>
      </w:r>
      <w:proofErr w:type="spellStart"/>
      <w:r w:rsidRPr="006D05CF">
        <w:t>MeSH</w:t>
      </w:r>
      <w:proofErr w:type="spellEnd"/>
      <w:r w:rsidRPr="006D05CF">
        <w:t xml:space="preserve"> Terms] OR follow up studies[</w:t>
      </w:r>
      <w:proofErr w:type="spellStart"/>
      <w:r w:rsidRPr="006D05CF">
        <w:t>MeSH:noexp</w:t>
      </w:r>
      <w:proofErr w:type="spellEnd"/>
      <w:r w:rsidRPr="006D05CF">
        <w:t xml:space="preserve">] OR </w:t>
      </w:r>
      <w:proofErr w:type="spellStart"/>
      <w:r w:rsidRPr="006D05CF">
        <w:t>prognos</w:t>
      </w:r>
      <w:proofErr w:type="spellEnd"/>
      <w:r w:rsidRPr="006D05CF">
        <w:t>*[Text Word] OR predict*[Text Word] OR course*[Text Word])</w:t>
      </w:r>
      <w:r>
        <w:t xml:space="preserve"> NOT (HIRAYAMA[TIAB] OR CASE REPORT OR </w:t>
      </w:r>
      <w:r w:rsidRPr="006D05CF">
        <w:t>"Review" [Publication Type]</w:t>
      </w:r>
      <w:r>
        <w:t xml:space="preserve"> OR </w:t>
      </w:r>
      <w:r w:rsidRPr="006D05CF">
        <w:t>"Case Reports" [Publication Type]</w:t>
      </w:r>
      <w:r>
        <w:t>)</w:t>
      </w:r>
    </w:p>
    <w:p w:rsidR="004E5027" w:rsidRDefault="004E5027"/>
    <w:p w:rsidR="00A7358D" w:rsidRDefault="00B92FBD">
      <w:r>
        <w:t>Risk of Bias of included studies</w:t>
      </w:r>
    </w:p>
    <w:p w:rsidR="00B92FBD" w:rsidRDefault="00B92FBD"/>
    <w:p w:rsidR="00B92FBD" w:rsidRPr="00B92FBD" w:rsidRDefault="00B92FBD" w:rsidP="00B92FBD">
      <w:r w:rsidRPr="00B92FBD">
        <w:t>Table S1.  Methodological quality (risk of bias) of prognostic studies assessing MRI factors associated with outcome following surgical treatment.</w:t>
      </w:r>
    </w:p>
    <w:tbl>
      <w:tblPr>
        <w:tblW w:w="10008" w:type="dxa"/>
        <w:tblLayout w:type="fixed"/>
        <w:tblLook w:val="0000" w:firstRow="0" w:lastRow="0" w:firstColumn="0" w:lastColumn="0" w:noHBand="0" w:noVBand="0"/>
      </w:tblPr>
      <w:tblGrid>
        <w:gridCol w:w="2988"/>
        <w:gridCol w:w="630"/>
        <w:gridCol w:w="900"/>
        <w:gridCol w:w="720"/>
        <w:gridCol w:w="720"/>
        <w:gridCol w:w="1080"/>
        <w:gridCol w:w="630"/>
        <w:gridCol w:w="810"/>
        <w:gridCol w:w="810"/>
        <w:gridCol w:w="720"/>
      </w:tblGrid>
      <w:tr w:rsidR="00B92FBD" w:rsidRPr="00B92FBD" w:rsidTr="00C26909">
        <w:tc>
          <w:tcPr>
            <w:tcW w:w="2988" w:type="dxa"/>
            <w:tcBorders>
              <w:top w:val="single" w:sz="4" w:space="0" w:color="000000"/>
              <w:left w:val="single" w:sz="4" w:space="0" w:color="000000"/>
              <w:bottom w:val="single" w:sz="4" w:space="0" w:color="000000"/>
            </w:tcBorders>
            <w:shd w:val="clear" w:color="auto" w:fill="595959"/>
          </w:tcPr>
          <w:p w:rsidR="00B92FBD" w:rsidRPr="00B92FBD" w:rsidRDefault="00B92FBD" w:rsidP="00C26909">
            <w:pPr>
              <w:snapToGrid w:val="0"/>
              <w:rPr>
                <w:b/>
                <w:color w:val="FFFFFF"/>
                <w:sz w:val="20"/>
                <w:szCs w:val="20"/>
              </w:rPr>
            </w:pPr>
            <w:r w:rsidRPr="00B92FBD">
              <w:rPr>
                <w:b/>
                <w:color w:val="FFFFFF"/>
                <w:sz w:val="20"/>
                <w:szCs w:val="20"/>
              </w:rPr>
              <w:t>Methodological principle</w:t>
            </w:r>
          </w:p>
        </w:tc>
        <w:tc>
          <w:tcPr>
            <w:tcW w:w="630" w:type="dxa"/>
            <w:tcBorders>
              <w:top w:val="single" w:sz="4" w:space="0" w:color="000000"/>
              <w:left w:val="single" w:sz="4" w:space="0" w:color="000000"/>
              <w:bottom w:val="single" w:sz="4" w:space="0" w:color="000000"/>
              <w:right w:val="single" w:sz="4" w:space="0" w:color="000000"/>
            </w:tcBorders>
            <w:shd w:val="clear" w:color="auto" w:fill="595959"/>
          </w:tcPr>
          <w:p w:rsidR="00B92FBD" w:rsidRPr="00B92FBD" w:rsidRDefault="00B92FBD" w:rsidP="00C26909">
            <w:pPr>
              <w:snapToGrid w:val="0"/>
              <w:ind w:left="-108" w:right="-108"/>
              <w:jc w:val="center"/>
              <w:rPr>
                <w:b/>
                <w:bCs/>
                <w:color w:val="FFFFFF"/>
                <w:sz w:val="20"/>
                <w:szCs w:val="20"/>
              </w:rPr>
            </w:pPr>
            <w:r w:rsidRPr="00B92FBD">
              <w:rPr>
                <w:b/>
                <w:bCs/>
                <w:color w:val="FFFFFF"/>
                <w:sz w:val="20"/>
                <w:szCs w:val="20"/>
              </w:rPr>
              <w:t xml:space="preserve">Chen </w:t>
            </w:r>
          </w:p>
          <w:p w:rsidR="00B92FBD" w:rsidRPr="00B92FBD" w:rsidRDefault="00B92FBD" w:rsidP="00C26909">
            <w:pPr>
              <w:snapToGrid w:val="0"/>
              <w:ind w:left="-108" w:right="-108"/>
              <w:jc w:val="center"/>
              <w:rPr>
                <w:b/>
                <w:bCs/>
                <w:color w:val="FFFFFF"/>
                <w:sz w:val="20"/>
                <w:szCs w:val="20"/>
              </w:rPr>
            </w:pPr>
            <w:r w:rsidRPr="00B92FBD">
              <w:rPr>
                <w:b/>
                <w:bCs/>
                <w:color w:val="FFFFFF"/>
                <w:sz w:val="20"/>
                <w:szCs w:val="20"/>
              </w:rPr>
              <w:t>(2001)</w:t>
            </w:r>
          </w:p>
        </w:tc>
        <w:tc>
          <w:tcPr>
            <w:tcW w:w="900" w:type="dxa"/>
            <w:tcBorders>
              <w:top w:val="single" w:sz="4" w:space="0" w:color="000000"/>
              <w:left w:val="single" w:sz="4" w:space="0" w:color="000000"/>
              <w:bottom w:val="single" w:sz="4" w:space="0" w:color="000000"/>
            </w:tcBorders>
            <w:shd w:val="clear" w:color="auto" w:fill="595959"/>
          </w:tcPr>
          <w:p w:rsidR="00B92FBD" w:rsidRPr="00B92FBD" w:rsidRDefault="00B92FBD" w:rsidP="00C26909">
            <w:pPr>
              <w:snapToGrid w:val="0"/>
              <w:ind w:left="-90" w:right="-108"/>
              <w:jc w:val="center"/>
              <w:rPr>
                <w:b/>
                <w:bCs/>
                <w:color w:val="FFFFFF"/>
                <w:sz w:val="20"/>
                <w:szCs w:val="20"/>
              </w:rPr>
            </w:pPr>
            <w:r w:rsidRPr="00B92FBD">
              <w:rPr>
                <w:b/>
                <w:bCs/>
                <w:color w:val="FFFFFF"/>
                <w:sz w:val="20"/>
                <w:szCs w:val="20"/>
              </w:rPr>
              <w:t>Chibbaro</w:t>
            </w:r>
          </w:p>
          <w:p w:rsidR="00B92FBD" w:rsidRPr="00B92FBD" w:rsidRDefault="00B92FBD" w:rsidP="00C26909">
            <w:pPr>
              <w:snapToGrid w:val="0"/>
              <w:ind w:left="-90" w:right="-108"/>
              <w:jc w:val="center"/>
              <w:rPr>
                <w:b/>
                <w:bCs/>
                <w:color w:val="FFFFFF"/>
                <w:sz w:val="20"/>
                <w:szCs w:val="20"/>
              </w:rPr>
            </w:pPr>
            <w:r w:rsidRPr="00B92FBD">
              <w:rPr>
                <w:b/>
                <w:bCs/>
                <w:color w:val="FFFFFF"/>
                <w:sz w:val="20"/>
                <w:szCs w:val="20"/>
              </w:rPr>
              <w:t>(2006)</w:t>
            </w:r>
          </w:p>
        </w:tc>
        <w:tc>
          <w:tcPr>
            <w:tcW w:w="720" w:type="dxa"/>
            <w:tcBorders>
              <w:top w:val="single" w:sz="4" w:space="0" w:color="000000"/>
              <w:left w:val="single" w:sz="4" w:space="0" w:color="000000"/>
              <w:bottom w:val="single" w:sz="4" w:space="0" w:color="000000"/>
              <w:right w:val="single" w:sz="4" w:space="0" w:color="000000"/>
            </w:tcBorders>
            <w:shd w:val="clear" w:color="auto" w:fill="595959"/>
          </w:tcPr>
          <w:p w:rsidR="00B92FBD" w:rsidRPr="00B92FBD" w:rsidRDefault="00B92FBD" w:rsidP="00C26909">
            <w:pPr>
              <w:snapToGrid w:val="0"/>
              <w:ind w:left="-90" w:right="-108"/>
              <w:jc w:val="center"/>
              <w:rPr>
                <w:b/>
                <w:bCs/>
                <w:color w:val="FFFFFF"/>
                <w:sz w:val="20"/>
                <w:szCs w:val="20"/>
              </w:rPr>
            </w:pPr>
            <w:r w:rsidRPr="00B92FBD">
              <w:rPr>
                <w:b/>
                <w:bCs/>
                <w:color w:val="FFFFFF"/>
                <w:sz w:val="20"/>
                <w:szCs w:val="20"/>
              </w:rPr>
              <w:t>Kim</w:t>
            </w:r>
          </w:p>
          <w:p w:rsidR="00B92FBD" w:rsidRPr="00B92FBD" w:rsidRDefault="00B92FBD" w:rsidP="00C26909">
            <w:pPr>
              <w:snapToGrid w:val="0"/>
              <w:ind w:left="-90" w:right="-108"/>
              <w:jc w:val="center"/>
              <w:rPr>
                <w:b/>
                <w:bCs/>
                <w:color w:val="FFFFFF"/>
                <w:sz w:val="20"/>
                <w:szCs w:val="20"/>
              </w:rPr>
            </w:pPr>
            <w:r w:rsidRPr="00B92FBD">
              <w:rPr>
                <w:b/>
                <w:bCs/>
                <w:color w:val="FFFFFF"/>
                <w:sz w:val="20"/>
                <w:szCs w:val="20"/>
              </w:rPr>
              <w:t>(2008)</w:t>
            </w:r>
          </w:p>
        </w:tc>
        <w:tc>
          <w:tcPr>
            <w:tcW w:w="720" w:type="dxa"/>
            <w:tcBorders>
              <w:top w:val="single" w:sz="4" w:space="0" w:color="000000"/>
              <w:left w:val="single" w:sz="4" w:space="0" w:color="000000"/>
              <w:bottom w:val="single" w:sz="4" w:space="0" w:color="000000"/>
              <w:right w:val="single" w:sz="4" w:space="0" w:color="000000"/>
            </w:tcBorders>
            <w:shd w:val="clear" w:color="auto" w:fill="595959"/>
          </w:tcPr>
          <w:p w:rsidR="00B92FBD" w:rsidRPr="00B92FBD" w:rsidRDefault="00B92FBD" w:rsidP="00C26909">
            <w:pPr>
              <w:snapToGrid w:val="0"/>
              <w:ind w:left="-90" w:right="-108"/>
              <w:jc w:val="center"/>
              <w:rPr>
                <w:b/>
                <w:bCs/>
                <w:color w:val="FFFFFF"/>
                <w:sz w:val="20"/>
                <w:szCs w:val="20"/>
              </w:rPr>
            </w:pPr>
            <w:r w:rsidRPr="00B92FBD">
              <w:rPr>
                <w:b/>
                <w:bCs/>
                <w:color w:val="FFFFFF"/>
                <w:sz w:val="20"/>
                <w:szCs w:val="20"/>
              </w:rPr>
              <w:t xml:space="preserve">Okada </w:t>
            </w:r>
          </w:p>
          <w:p w:rsidR="00B92FBD" w:rsidRPr="00B92FBD" w:rsidRDefault="00B92FBD" w:rsidP="00C26909">
            <w:pPr>
              <w:snapToGrid w:val="0"/>
              <w:ind w:left="-90" w:right="-108"/>
              <w:jc w:val="center"/>
              <w:rPr>
                <w:b/>
                <w:bCs/>
                <w:color w:val="FFFFFF"/>
                <w:sz w:val="20"/>
                <w:szCs w:val="20"/>
              </w:rPr>
            </w:pPr>
            <w:r w:rsidRPr="00B92FBD">
              <w:rPr>
                <w:b/>
                <w:bCs/>
                <w:color w:val="FFFFFF"/>
                <w:sz w:val="20"/>
                <w:szCs w:val="20"/>
              </w:rPr>
              <w:t>(1993)</w:t>
            </w:r>
          </w:p>
        </w:tc>
        <w:tc>
          <w:tcPr>
            <w:tcW w:w="1080" w:type="dxa"/>
            <w:tcBorders>
              <w:top w:val="single" w:sz="4" w:space="0" w:color="000000"/>
              <w:left w:val="single" w:sz="4" w:space="0" w:color="000000"/>
              <w:bottom w:val="single" w:sz="4" w:space="0" w:color="000000"/>
              <w:right w:val="single" w:sz="4" w:space="0" w:color="000000"/>
            </w:tcBorders>
            <w:shd w:val="clear" w:color="auto" w:fill="595959"/>
          </w:tcPr>
          <w:p w:rsidR="00B92FBD" w:rsidRPr="00B92FBD" w:rsidRDefault="00B92FBD" w:rsidP="00C26909">
            <w:pPr>
              <w:snapToGrid w:val="0"/>
              <w:ind w:left="-90" w:right="-108"/>
              <w:jc w:val="center"/>
              <w:rPr>
                <w:b/>
                <w:bCs/>
                <w:color w:val="FFFFFF"/>
                <w:sz w:val="20"/>
                <w:szCs w:val="20"/>
              </w:rPr>
            </w:pPr>
            <w:r w:rsidRPr="00B92FBD">
              <w:rPr>
                <w:b/>
                <w:bCs/>
                <w:color w:val="FFFFFF"/>
                <w:sz w:val="20"/>
                <w:szCs w:val="20"/>
              </w:rPr>
              <w:t>Nakashima</w:t>
            </w:r>
          </w:p>
          <w:p w:rsidR="00B92FBD" w:rsidRPr="00B92FBD" w:rsidRDefault="00B92FBD" w:rsidP="00C26909">
            <w:pPr>
              <w:snapToGrid w:val="0"/>
              <w:ind w:left="-90" w:right="-108"/>
              <w:jc w:val="center"/>
              <w:rPr>
                <w:b/>
                <w:bCs/>
                <w:color w:val="FFFFFF"/>
                <w:sz w:val="20"/>
                <w:szCs w:val="20"/>
              </w:rPr>
            </w:pPr>
            <w:r w:rsidRPr="00B92FBD">
              <w:rPr>
                <w:b/>
                <w:bCs/>
                <w:color w:val="FFFFFF"/>
                <w:sz w:val="20"/>
                <w:szCs w:val="20"/>
              </w:rPr>
              <w:t>(2012)</w:t>
            </w:r>
          </w:p>
        </w:tc>
        <w:tc>
          <w:tcPr>
            <w:tcW w:w="630" w:type="dxa"/>
            <w:tcBorders>
              <w:top w:val="single" w:sz="4" w:space="0" w:color="000000"/>
              <w:left w:val="single" w:sz="4" w:space="0" w:color="000000"/>
              <w:bottom w:val="single" w:sz="4" w:space="0" w:color="000000"/>
              <w:right w:val="single" w:sz="4" w:space="0" w:color="000000"/>
            </w:tcBorders>
            <w:shd w:val="clear" w:color="auto" w:fill="595959"/>
          </w:tcPr>
          <w:p w:rsidR="00B92FBD" w:rsidRPr="00B92FBD" w:rsidRDefault="00B92FBD" w:rsidP="00C26909">
            <w:pPr>
              <w:snapToGrid w:val="0"/>
              <w:ind w:left="-90" w:right="-108"/>
              <w:jc w:val="center"/>
              <w:rPr>
                <w:b/>
                <w:bCs/>
                <w:color w:val="FFFFFF"/>
                <w:sz w:val="20"/>
                <w:szCs w:val="20"/>
              </w:rPr>
            </w:pPr>
            <w:r w:rsidRPr="00B92FBD">
              <w:rPr>
                <w:b/>
                <w:bCs/>
                <w:color w:val="FFFFFF"/>
                <w:sz w:val="20"/>
                <w:szCs w:val="20"/>
              </w:rPr>
              <w:t xml:space="preserve">Park </w:t>
            </w:r>
          </w:p>
          <w:p w:rsidR="00B92FBD" w:rsidRPr="00B92FBD" w:rsidRDefault="00B92FBD" w:rsidP="00C26909">
            <w:pPr>
              <w:snapToGrid w:val="0"/>
              <w:ind w:left="-90" w:right="-108"/>
              <w:jc w:val="center"/>
              <w:rPr>
                <w:b/>
                <w:bCs/>
                <w:color w:val="FFFFFF"/>
                <w:sz w:val="20"/>
                <w:szCs w:val="20"/>
              </w:rPr>
            </w:pPr>
            <w:r w:rsidRPr="00B92FBD">
              <w:rPr>
                <w:b/>
                <w:bCs/>
                <w:color w:val="FFFFFF"/>
                <w:sz w:val="20"/>
                <w:szCs w:val="20"/>
              </w:rPr>
              <w:t>(2006)</w:t>
            </w:r>
          </w:p>
        </w:tc>
        <w:tc>
          <w:tcPr>
            <w:tcW w:w="810" w:type="dxa"/>
            <w:tcBorders>
              <w:top w:val="single" w:sz="4" w:space="0" w:color="000000"/>
              <w:left w:val="single" w:sz="4" w:space="0" w:color="000000"/>
              <w:bottom w:val="single" w:sz="4" w:space="0" w:color="000000"/>
              <w:right w:val="single" w:sz="4" w:space="0" w:color="000000"/>
            </w:tcBorders>
            <w:shd w:val="clear" w:color="auto" w:fill="595959"/>
          </w:tcPr>
          <w:p w:rsidR="00B92FBD" w:rsidRPr="00B92FBD" w:rsidRDefault="00B92FBD" w:rsidP="00C26909">
            <w:pPr>
              <w:snapToGrid w:val="0"/>
              <w:ind w:left="-90" w:right="-108"/>
              <w:jc w:val="center"/>
              <w:rPr>
                <w:b/>
                <w:bCs/>
                <w:color w:val="FFFFFF"/>
                <w:sz w:val="20"/>
                <w:szCs w:val="20"/>
              </w:rPr>
            </w:pPr>
            <w:r w:rsidRPr="00B92FBD">
              <w:rPr>
                <w:b/>
                <w:bCs/>
                <w:color w:val="FFFFFF"/>
                <w:sz w:val="20"/>
                <w:szCs w:val="20"/>
              </w:rPr>
              <w:t>Setzer (2009)</w:t>
            </w:r>
          </w:p>
        </w:tc>
        <w:tc>
          <w:tcPr>
            <w:tcW w:w="810" w:type="dxa"/>
            <w:tcBorders>
              <w:top w:val="single" w:sz="4" w:space="0" w:color="000000"/>
              <w:left w:val="single" w:sz="4" w:space="0" w:color="000000"/>
              <w:bottom w:val="single" w:sz="4" w:space="0" w:color="000000"/>
              <w:right w:val="single" w:sz="4" w:space="0" w:color="000000"/>
            </w:tcBorders>
            <w:shd w:val="clear" w:color="auto" w:fill="595959"/>
          </w:tcPr>
          <w:p w:rsidR="00B92FBD" w:rsidRPr="00B92FBD" w:rsidRDefault="00B92FBD" w:rsidP="00C26909">
            <w:pPr>
              <w:snapToGrid w:val="0"/>
              <w:ind w:left="-90" w:right="-108"/>
              <w:jc w:val="center"/>
              <w:rPr>
                <w:b/>
                <w:bCs/>
                <w:color w:val="FFFFFF"/>
                <w:sz w:val="20"/>
                <w:szCs w:val="20"/>
              </w:rPr>
            </w:pPr>
            <w:r w:rsidRPr="00B92FBD">
              <w:rPr>
                <w:b/>
                <w:bCs/>
                <w:color w:val="FFFFFF"/>
                <w:sz w:val="20"/>
                <w:szCs w:val="20"/>
              </w:rPr>
              <w:t>Shin</w:t>
            </w:r>
          </w:p>
          <w:p w:rsidR="00B92FBD" w:rsidRPr="00B92FBD" w:rsidRDefault="00B92FBD" w:rsidP="00C26909">
            <w:pPr>
              <w:snapToGrid w:val="0"/>
              <w:ind w:left="-90" w:right="-108"/>
              <w:jc w:val="center"/>
              <w:rPr>
                <w:b/>
                <w:bCs/>
                <w:color w:val="FFFFFF"/>
                <w:sz w:val="20"/>
                <w:szCs w:val="20"/>
              </w:rPr>
            </w:pPr>
            <w:r w:rsidRPr="00B92FBD">
              <w:rPr>
                <w:b/>
                <w:bCs/>
                <w:color w:val="FFFFFF"/>
                <w:sz w:val="20"/>
                <w:szCs w:val="20"/>
              </w:rPr>
              <w:t>(2010)</w:t>
            </w:r>
          </w:p>
        </w:tc>
        <w:tc>
          <w:tcPr>
            <w:tcW w:w="720" w:type="dxa"/>
            <w:tcBorders>
              <w:top w:val="single" w:sz="4" w:space="0" w:color="000000"/>
              <w:left w:val="single" w:sz="4" w:space="0" w:color="000000"/>
              <w:bottom w:val="single" w:sz="4" w:space="0" w:color="000000"/>
              <w:right w:val="single" w:sz="4" w:space="0" w:color="000000"/>
            </w:tcBorders>
            <w:shd w:val="clear" w:color="auto" w:fill="595959"/>
          </w:tcPr>
          <w:p w:rsidR="00B92FBD" w:rsidRPr="00B92FBD" w:rsidRDefault="00B92FBD" w:rsidP="00C26909">
            <w:pPr>
              <w:snapToGrid w:val="0"/>
              <w:ind w:left="-90" w:right="-108"/>
              <w:jc w:val="center"/>
              <w:rPr>
                <w:b/>
                <w:bCs/>
                <w:color w:val="FFFFFF"/>
                <w:sz w:val="20"/>
                <w:szCs w:val="20"/>
              </w:rPr>
            </w:pPr>
            <w:r w:rsidRPr="00B92FBD">
              <w:rPr>
                <w:b/>
                <w:bCs/>
                <w:color w:val="FFFFFF"/>
                <w:sz w:val="20"/>
                <w:szCs w:val="20"/>
              </w:rPr>
              <w:t>Suda</w:t>
            </w:r>
          </w:p>
          <w:p w:rsidR="00B92FBD" w:rsidRPr="00B92FBD" w:rsidRDefault="00B92FBD" w:rsidP="00C26909">
            <w:pPr>
              <w:snapToGrid w:val="0"/>
              <w:ind w:left="-90" w:right="-108"/>
              <w:jc w:val="center"/>
              <w:rPr>
                <w:b/>
                <w:bCs/>
                <w:color w:val="FFFFFF"/>
                <w:sz w:val="20"/>
                <w:szCs w:val="20"/>
              </w:rPr>
            </w:pPr>
            <w:r w:rsidRPr="00B92FBD">
              <w:rPr>
                <w:b/>
                <w:bCs/>
                <w:color w:val="FFFFFF"/>
                <w:sz w:val="20"/>
                <w:szCs w:val="20"/>
              </w:rPr>
              <w:t>(2003)</w:t>
            </w:r>
          </w:p>
        </w:tc>
      </w:tr>
      <w:tr w:rsidR="00B92FBD" w:rsidRPr="00B92FBD" w:rsidTr="00C26909">
        <w:tc>
          <w:tcPr>
            <w:tcW w:w="2988" w:type="dxa"/>
            <w:tcBorders>
              <w:left w:val="single" w:sz="4" w:space="0" w:color="000000"/>
            </w:tcBorders>
          </w:tcPr>
          <w:p w:rsidR="00B92FBD" w:rsidRPr="00B92FBD" w:rsidRDefault="00B92FBD" w:rsidP="00C26909">
            <w:pPr>
              <w:snapToGrid w:val="0"/>
              <w:rPr>
                <w:sz w:val="20"/>
                <w:szCs w:val="20"/>
              </w:rPr>
            </w:pPr>
            <w:r w:rsidRPr="00B92FBD">
              <w:rPr>
                <w:sz w:val="20"/>
                <w:szCs w:val="20"/>
              </w:rPr>
              <w:t>Study design</w:t>
            </w:r>
          </w:p>
        </w:tc>
        <w:tc>
          <w:tcPr>
            <w:tcW w:w="630" w:type="dxa"/>
            <w:tcBorders>
              <w:left w:val="single" w:sz="4" w:space="0" w:color="000000"/>
              <w:right w:val="single" w:sz="4" w:space="0" w:color="000000"/>
            </w:tcBorders>
          </w:tcPr>
          <w:p w:rsidR="00B92FBD" w:rsidRPr="00B92FBD" w:rsidRDefault="00B92FBD" w:rsidP="00C26909">
            <w:pPr>
              <w:snapToGrid w:val="0"/>
              <w:ind w:left="90"/>
              <w:jc w:val="center"/>
              <w:rPr>
                <w:sz w:val="20"/>
                <w:szCs w:val="20"/>
              </w:rPr>
            </w:pPr>
          </w:p>
        </w:tc>
        <w:tc>
          <w:tcPr>
            <w:tcW w:w="900" w:type="dxa"/>
            <w:tcBorders>
              <w:left w:val="single" w:sz="4" w:space="0" w:color="000000"/>
            </w:tcBorders>
          </w:tcPr>
          <w:p w:rsidR="00B92FBD" w:rsidRPr="00B92FBD" w:rsidRDefault="00B92FBD" w:rsidP="00C26909">
            <w:pPr>
              <w:snapToGrid w:val="0"/>
              <w:jc w:val="center"/>
              <w:rPr>
                <w:sz w:val="20"/>
                <w:szCs w:val="20"/>
              </w:rPr>
            </w:pPr>
          </w:p>
        </w:tc>
        <w:tc>
          <w:tcPr>
            <w:tcW w:w="720" w:type="dxa"/>
            <w:tcBorders>
              <w:left w:val="single" w:sz="4" w:space="0" w:color="000000"/>
              <w:right w:val="single" w:sz="4" w:space="0" w:color="000000"/>
            </w:tcBorders>
          </w:tcPr>
          <w:p w:rsidR="00B92FBD" w:rsidRPr="00B92FBD" w:rsidRDefault="00B92FBD" w:rsidP="00C26909">
            <w:pPr>
              <w:snapToGrid w:val="0"/>
              <w:jc w:val="center"/>
              <w:rPr>
                <w:sz w:val="20"/>
                <w:szCs w:val="20"/>
              </w:rPr>
            </w:pPr>
          </w:p>
        </w:tc>
        <w:tc>
          <w:tcPr>
            <w:tcW w:w="720" w:type="dxa"/>
            <w:tcBorders>
              <w:left w:val="single" w:sz="4" w:space="0" w:color="000000"/>
              <w:right w:val="single" w:sz="4" w:space="0" w:color="000000"/>
            </w:tcBorders>
          </w:tcPr>
          <w:p w:rsidR="00B92FBD" w:rsidRPr="00B92FBD" w:rsidRDefault="00B92FBD" w:rsidP="00C26909">
            <w:pPr>
              <w:snapToGrid w:val="0"/>
              <w:jc w:val="center"/>
              <w:rPr>
                <w:sz w:val="20"/>
                <w:szCs w:val="20"/>
              </w:rPr>
            </w:pPr>
          </w:p>
        </w:tc>
        <w:tc>
          <w:tcPr>
            <w:tcW w:w="1080" w:type="dxa"/>
            <w:tcBorders>
              <w:left w:val="single" w:sz="4" w:space="0" w:color="000000"/>
              <w:right w:val="single" w:sz="4" w:space="0" w:color="000000"/>
            </w:tcBorders>
          </w:tcPr>
          <w:p w:rsidR="00B92FBD" w:rsidRPr="00B92FBD" w:rsidRDefault="00B92FBD" w:rsidP="00C26909">
            <w:pPr>
              <w:snapToGrid w:val="0"/>
              <w:jc w:val="center"/>
              <w:rPr>
                <w:sz w:val="20"/>
                <w:szCs w:val="20"/>
              </w:rPr>
            </w:pPr>
          </w:p>
        </w:tc>
        <w:tc>
          <w:tcPr>
            <w:tcW w:w="630" w:type="dxa"/>
            <w:tcBorders>
              <w:left w:val="single" w:sz="4" w:space="0" w:color="000000"/>
              <w:right w:val="single" w:sz="4" w:space="0" w:color="000000"/>
            </w:tcBorders>
          </w:tcPr>
          <w:p w:rsidR="00B92FBD" w:rsidRPr="00B92FBD" w:rsidRDefault="00B92FBD" w:rsidP="00C26909">
            <w:pPr>
              <w:snapToGrid w:val="0"/>
              <w:jc w:val="center"/>
              <w:rPr>
                <w:sz w:val="20"/>
                <w:szCs w:val="20"/>
              </w:rPr>
            </w:pPr>
          </w:p>
        </w:tc>
        <w:tc>
          <w:tcPr>
            <w:tcW w:w="810" w:type="dxa"/>
            <w:tcBorders>
              <w:left w:val="single" w:sz="4" w:space="0" w:color="000000"/>
              <w:right w:val="single" w:sz="4" w:space="0" w:color="000000"/>
            </w:tcBorders>
          </w:tcPr>
          <w:p w:rsidR="00B92FBD" w:rsidRPr="00B92FBD" w:rsidRDefault="00B92FBD" w:rsidP="00C26909">
            <w:pPr>
              <w:snapToGrid w:val="0"/>
              <w:jc w:val="center"/>
              <w:rPr>
                <w:sz w:val="20"/>
                <w:szCs w:val="20"/>
              </w:rPr>
            </w:pPr>
          </w:p>
        </w:tc>
        <w:tc>
          <w:tcPr>
            <w:tcW w:w="810" w:type="dxa"/>
            <w:tcBorders>
              <w:left w:val="single" w:sz="4" w:space="0" w:color="000000"/>
              <w:right w:val="single" w:sz="4" w:space="0" w:color="000000"/>
            </w:tcBorders>
          </w:tcPr>
          <w:p w:rsidR="00B92FBD" w:rsidRPr="00B92FBD" w:rsidRDefault="00B92FBD" w:rsidP="00C26909">
            <w:pPr>
              <w:snapToGrid w:val="0"/>
              <w:jc w:val="center"/>
              <w:rPr>
                <w:sz w:val="20"/>
                <w:szCs w:val="20"/>
              </w:rPr>
            </w:pPr>
          </w:p>
        </w:tc>
        <w:tc>
          <w:tcPr>
            <w:tcW w:w="720" w:type="dxa"/>
            <w:tcBorders>
              <w:left w:val="single" w:sz="4" w:space="0" w:color="000000"/>
              <w:right w:val="single" w:sz="4" w:space="0" w:color="000000"/>
            </w:tcBorders>
          </w:tcPr>
          <w:p w:rsidR="00B92FBD" w:rsidRPr="00B92FBD" w:rsidRDefault="00B92FBD" w:rsidP="00C26909">
            <w:pPr>
              <w:snapToGrid w:val="0"/>
              <w:jc w:val="center"/>
              <w:rPr>
                <w:sz w:val="20"/>
                <w:szCs w:val="20"/>
              </w:rPr>
            </w:pPr>
          </w:p>
        </w:tc>
      </w:tr>
      <w:tr w:rsidR="00B92FBD" w:rsidRPr="00B92FBD" w:rsidTr="00C26909">
        <w:tc>
          <w:tcPr>
            <w:tcW w:w="2988" w:type="dxa"/>
            <w:tcBorders>
              <w:left w:val="single" w:sz="4" w:space="0" w:color="000000"/>
            </w:tcBorders>
          </w:tcPr>
          <w:p w:rsidR="00B92FBD" w:rsidRPr="00B92FBD" w:rsidRDefault="00B92FBD" w:rsidP="00C26909">
            <w:pPr>
              <w:snapToGrid w:val="0"/>
              <w:ind w:left="180"/>
              <w:rPr>
                <w:sz w:val="20"/>
                <w:szCs w:val="20"/>
              </w:rPr>
            </w:pPr>
            <w:r w:rsidRPr="00B92FBD">
              <w:rPr>
                <w:sz w:val="20"/>
                <w:szCs w:val="20"/>
              </w:rPr>
              <w:t>Prospective cohort* study</w:t>
            </w:r>
          </w:p>
        </w:tc>
        <w:tc>
          <w:tcPr>
            <w:tcW w:w="630" w:type="dxa"/>
            <w:tcBorders>
              <w:left w:val="single" w:sz="4" w:space="0" w:color="000000"/>
              <w:right w:val="single" w:sz="4" w:space="0" w:color="000000"/>
            </w:tcBorders>
          </w:tcPr>
          <w:p w:rsidR="00B92FBD" w:rsidRPr="00B92FBD" w:rsidRDefault="00B92FBD" w:rsidP="00C26909">
            <w:pPr>
              <w:snapToGrid w:val="0"/>
              <w:ind w:left="90"/>
              <w:jc w:val="center"/>
              <w:rPr>
                <w:rFonts w:ascii="Webdings" w:hAnsi="Webdings"/>
                <w:sz w:val="20"/>
                <w:szCs w:val="20"/>
              </w:rPr>
            </w:pPr>
          </w:p>
        </w:tc>
        <w:tc>
          <w:tcPr>
            <w:tcW w:w="900" w:type="dxa"/>
            <w:tcBorders>
              <w:left w:val="single" w:sz="4" w:space="0" w:color="000000"/>
            </w:tcBorders>
          </w:tcPr>
          <w:p w:rsidR="00B92FBD" w:rsidRPr="00B92FBD" w:rsidRDefault="00B92FBD" w:rsidP="00C26909">
            <w:pPr>
              <w:snapToGrid w:val="0"/>
              <w:jc w:val="center"/>
              <w:rPr>
                <w:sz w:val="20"/>
                <w:szCs w:val="20"/>
              </w:rPr>
            </w:pPr>
          </w:p>
        </w:tc>
        <w:tc>
          <w:tcPr>
            <w:tcW w:w="720" w:type="dxa"/>
            <w:tcBorders>
              <w:left w:val="single" w:sz="4" w:space="0" w:color="000000"/>
              <w:right w:val="single" w:sz="4" w:space="0" w:color="000000"/>
            </w:tcBorders>
          </w:tcPr>
          <w:p w:rsidR="00B92FBD" w:rsidRPr="00B92FBD" w:rsidRDefault="00B92FBD" w:rsidP="00C26909">
            <w:pPr>
              <w:snapToGrid w:val="0"/>
              <w:jc w:val="center"/>
              <w:rPr>
                <w:sz w:val="20"/>
                <w:szCs w:val="20"/>
              </w:rPr>
            </w:pPr>
          </w:p>
        </w:tc>
        <w:tc>
          <w:tcPr>
            <w:tcW w:w="720" w:type="dxa"/>
            <w:tcBorders>
              <w:left w:val="single" w:sz="4" w:space="0" w:color="000000"/>
              <w:right w:val="single" w:sz="4" w:space="0" w:color="000000"/>
            </w:tcBorders>
          </w:tcPr>
          <w:p w:rsidR="00B92FBD" w:rsidRPr="00B92FBD" w:rsidRDefault="00B92FBD" w:rsidP="00C26909">
            <w:pPr>
              <w:snapToGrid w:val="0"/>
              <w:jc w:val="center"/>
              <w:rPr>
                <w:sz w:val="20"/>
                <w:szCs w:val="20"/>
              </w:rPr>
            </w:pPr>
          </w:p>
        </w:tc>
        <w:tc>
          <w:tcPr>
            <w:tcW w:w="1080" w:type="dxa"/>
            <w:tcBorders>
              <w:left w:val="single" w:sz="4" w:space="0" w:color="000000"/>
              <w:right w:val="single" w:sz="4" w:space="0" w:color="000000"/>
            </w:tcBorders>
          </w:tcPr>
          <w:p w:rsidR="00B92FBD" w:rsidRPr="00B92FBD" w:rsidRDefault="00B92FBD" w:rsidP="00C26909">
            <w:pPr>
              <w:snapToGrid w:val="0"/>
              <w:jc w:val="center"/>
              <w:rPr>
                <w:sz w:val="20"/>
                <w:szCs w:val="20"/>
              </w:rPr>
            </w:pPr>
            <w:r w:rsidRPr="00B92FBD">
              <w:rPr>
                <w:b/>
                <w:sz w:val="20"/>
                <w:szCs w:val="20"/>
              </w:rPr>
              <w:sym w:font="Wingdings 2" w:char="F050"/>
            </w:r>
          </w:p>
        </w:tc>
        <w:tc>
          <w:tcPr>
            <w:tcW w:w="630" w:type="dxa"/>
            <w:tcBorders>
              <w:left w:val="single" w:sz="4" w:space="0" w:color="000000"/>
              <w:right w:val="single" w:sz="4" w:space="0" w:color="000000"/>
            </w:tcBorders>
          </w:tcPr>
          <w:p w:rsidR="00B92FBD" w:rsidRPr="00B92FBD" w:rsidRDefault="00B92FBD" w:rsidP="00C26909">
            <w:pPr>
              <w:snapToGrid w:val="0"/>
              <w:jc w:val="center"/>
              <w:rPr>
                <w:sz w:val="20"/>
                <w:szCs w:val="20"/>
              </w:rPr>
            </w:pPr>
          </w:p>
        </w:tc>
        <w:tc>
          <w:tcPr>
            <w:tcW w:w="810" w:type="dxa"/>
            <w:tcBorders>
              <w:left w:val="single" w:sz="4" w:space="0" w:color="000000"/>
              <w:right w:val="single" w:sz="4" w:space="0" w:color="000000"/>
            </w:tcBorders>
          </w:tcPr>
          <w:p w:rsidR="00B92FBD" w:rsidRPr="00B92FBD" w:rsidRDefault="00B92FBD" w:rsidP="00C26909">
            <w:pPr>
              <w:snapToGrid w:val="0"/>
              <w:jc w:val="center"/>
              <w:rPr>
                <w:sz w:val="20"/>
                <w:szCs w:val="20"/>
              </w:rPr>
            </w:pPr>
            <w:r w:rsidRPr="00B92FBD">
              <w:rPr>
                <w:b/>
                <w:sz w:val="20"/>
                <w:szCs w:val="20"/>
              </w:rPr>
              <w:sym w:font="Wingdings 2" w:char="F050"/>
            </w:r>
          </w:p>
        </w:tc>
        <w:tc>
          <w:tcPr>
            <w:tcW w:w="810" w:type="dxa"/>
            <w:tcBorders>
              <w:left w:val="single" w:sz="4" w:space="0" w:color="000000"/>
              <w:right w:val="single" w:sz="4" w:space="0" w:color="000000"/>
            </w:tcBorders>
          </w:tcPr>
          <w:p w:rsidR="00B92FBD" w:rsidRPr="00B92FBD" w:rsidRDefault="00B92FBD" w:rsidP="00C26909">
            <w:pPr>
              <w:snapToGrid w:val="0"/>
              <w:jc w:val="center"/>
              <w:rPr>
                <w:sz w:val="20"/>
                <w:szCs w:val="20"/>
              </w:rPr>
            </w:pPr>
          </w:p>
        </w:tc>
        <w:tc>
          <w:tcPr>
            <w:tcW w:w="720" w:type="dxa"/>
            <w:tcBorders>
              <w:left w:val="single" w:sz="4" w:space="0" w:color="000000"/>
              <w:right w:val="single" w:sz="4" w:space="0" w:color="000000"/>
            </w:tcBorders>
          </w:tcPr>
          <w:p w:rsidR="00B92FBD" w:rsidRPr="00B92FBD" w:rsidRDefault="00B92FBD" w:rsidP="00C26909">
            <w:pPr>
              <w:snapToGrid w:val="0"/>
              <w:jc w:val="center"/>
              <w:rPr>
                <w:sz w:val="20"/>
                <w:szCs w:val="20"/>
              </w:rPr>
            </w:pPr>
          </w:p>
        </w:tc>
      </w:tr>
      <w:tr w:rsidR="00B92FBD" w:rsidRPr="00B92FBD" w:rsidTr="00C26909">
        <w:tc>
          <w:tcPr>
            <w:tcW w:w="2988" w:type="dxa"/>
            <w:tcBorders>
              <w:left w:val="single" w:sz="4" w:space="0" w:color="000000"/>
            </w:tcBorders>
          </w:tcPr>
          <w:p w:rsidR="00B92FBD" w:rsidRPr="00B92FBD" w:rsidRDefault="00B92FBD" w:rsidP="00C26909">
            <w:pPr>
              <w:snapToGrid w:val="0"/>
              <w:ind w:left="180"/>
              <w:rPr>
                <w:sz w:val="20"/>
                <w:szCs w:val="20"/>
              </w:rPr>
            </w:pPr>
            <w:r w:rsidRPr="00B92FBD">
              <w:rPr>
                <w:sz w:val="20"/>
                <w:szCs w:val="20"/>
              </w:rPr>
              <w:t>Retrospective cohort* study</w:t>
            </w:r>
          </w:p>
        </w:tc>
        <w:tc>
          <w:tcPr>
            <w:tcW w:w="630" w:type="dxa"/>
            <w:tcBorders>
              <w:left w:val="single" w:sz="4" w:space="0" w:color="000000"/>
              <w:right w:val="single" w:sz="4" w:space="0" w:color="000000"/>
            </w:tcBorders>
          </w:tcPr>
          <w:p w:rsidR="00B92FBD" w:rsidRPr="00B92FBD" w:rsidRDefault="00B92FBD" w:rsidP="00C26909">
            <w:pPr>
              <w:snapToGrid w:val="0"/>
              <w:jc w:val="center"/>
              <w:rPr>
                <w:sz w:val="20"/>
                <w:szCs w:val="20"/>
              </w:rPr>
            </w:pPr>
            <w:r w:rsidRPr="00B92FBD">
              <w:rPr>
                <w:b/>
                <w:sz w:val="20"/>
                <w:szCs w:val="20"/>
              </w:rPr>
              <w:sym w:font="Wingdings 2" w:char="F050"/>
            </w:r>
          </w:p>
        </w:tc>
        <w:tc>
          <w:tcPr>
            <w:tcW w:w="900" w:type="dxa"/>
            <w:tcBorders>
              <w:left w:val="single" w:sz="4" w:space="0" w:color="000000"/>
            </w:tcBorders>
          </w:tcPr>
          <w:p w:rsidR="00B92FBD" w:rsidRPr="00B92FBD" w:rsidRDefault="00B92FBD" w:rsidP="00C26909">
            <w:pPr>
              <w:snapToGrid w:val="0"/>
              <w:jc w:val="center"/>
              <w:rPr>
                <w:sz w:val="20"/>
                <w:szCs w:val="20"/>
              </w:rPr>
            </w:pPr>
            <w:r w:rsidRPr="00B92FBD">
              <w:rPr>
                <w:b/>
                <w:sz w:val="20"/>
                <w:szCs w:val="20"/>
              </w:rPr>
              <w:sym w:font="Wingdings 2" w:char="F050"/>
            </w:r>
          </w:p>
        </w:tc>
        <w:tc>
          <w:tcPr>
            <w:tcW w:w="720" w:type="dxa"/>
            <w:tcBorders>
              <w:left w:val="single" w:sz="4" w:space="0" w:color="000000"/>
              <w:right w:val="single" w:sz="4" w:space="0" w:color="000000"/>
            </w:tcBorders>
          </w:tcPr>
          <w:p w:rsidR="00B92FBD" w:rsidRPr="00B92FBD" w:rsidRDefault="00B92FBD" w:rsidP="00C26909">
            <w:pPr>
              <w:snapToGrid w:val="0"/>
              <w:jc w:val="center"/>
              <w:rPr>
                <w:sz w:val="20"/>
                <w:szCs w:val="20"/>
              </w:rPr>
            </w:pPr>
            <w:r w:rsidRPr="00B92FBD">
              <w:rPr>
                <w:b/>
                <w:sz w:val="20"/>
                <w:szCs w:val="20"/>
              </w:rPr>
              <w:sym w:font="Wingdings 2" w:char="F050"/>
            </w:r>
          </w:p>
        </w:tc>
        <w:tc>
          <w:tcPr>
            <w:tcW w:w="720" w:type="dxa"/>
            <w:tcBorders>
              <w:left w:val="single" w:sz="4" w:space="0" w:color="000000"/>
              <w:right w:val="single" w:sz="4" w:space="0" w:color="000000"/>
            </w:tcBorders>
          </w:tcPr>
          <w:p w:rsidR="00B92FBD" w:rsidRPr="00B92FBD" w:rsidRDefault="00B92FBD" w:rsidP="00C26909">
            <w:pPr>
              <w:snapToGrid w:val="0"/>
              <w:jc w:val="center"/>
              <w:rPr>
                <w:sz w:val="20"/>
                <w:szCs w:val="20"/>
              </w:rPr>
            </w:pPr>
            <w:r w:rsidRPr="00B92FBD">
              <w:rPr>
                <w:b/>
                <w:sz w:val="20"/>
                <w:szCs w:val="20"/>
              </w:rPr>
              <w:sym w:font="Wingdings 2" w:char="F050"/>
            </w:r>
          </w:p>
        </w:tc>
        <w:tc>
          <w:tcPr>
            <w:tcW w:w="1080" w:type="dxa"/>
            <w:tcBorders>
              <w:left w:val="single" w:sz="4" w:space="0" w:color="000000"/>
              <w:right w:val="single" w:sz="4" w:space="0" w:color="000000"/>
            </w:tcBorders>
          </w:tcPr>
          <w:p w:rsidR="00B92FBD" w:rsidRPr="00B92FBD" w:rsidRDefault="00B92FBD" w:rsidP="00C26909">
            <w:pPr>
              <w:snapToGrid w:val="0"/>
              <w:jc w:val="center"/>
              <w:rPr>
                <w:sz w:val="20"/>
                <w:szCs w:val="20"/>
              </w:rPr>
            </w:pPr>
          </w:p>
        </w:tc>
        <w:tc>
          <w:tcPr>
            <w:tcW w:w="630" w:type="dxa"/>
            <w:tcBorders>
              <w:left w:val="single" w:sz="4" w:space="0" w:color="000000"/>
              <w:right w:val="single" w:sz="4" w:space="0" w:color="000000"/>
            </w:tcBorders>
          </w:tcPr>
          <w:p w:rsidR="00B92FBD" w:rsidRPr="00B92FBD" w:rsidRDefault="00B92FBD" w:rsidP="00C26909">
            <w:pPr>
              <w:snapToGrid w:val="0"/>
              <w:jc w:val="center"/>
              <w:rPr>
                <w:sz w:val="20"/>
                <w:szCs w:val="20"/>
              </w:rPr>
            </w:pPr>
            <w:r w:rsidRPr="00B92FBD">
              <w:rPr>
                <w:b/>
                <w:sz w:val="20"/>
                <w:szCs w:val="20"/>
              </w:rPr>
              <w:sym w:font="Wingdings 2" w:char="F050"/>
            </w:r>
          </w:p>
        </w:tc>
        <w:tc>
          <w:tcPr>
            <w:tcW w:w="810" w:type="dxa"/>
            <w:tcBorders>
              <w:left w:val="single" w:sz="4" w:space="0" w:color="000000"/>
              <w:right w:val="single" w:sz="4" w:space="0" w:color="000000"/>
            </w:tcBorders>
          </w:tcPr>
          <w:p w:rsidR="00B92FBD" w:rsidRPr="00B92FBD" w:rsidRDefault="00B92FBD" w:rsidP="00C26909">
            <w:pPr>
              <w:snapToGrid w:val="0"/>
              <w:jc w:val="center"/>
              <w:rPr>
                <w:b/>
                <w:sz w:val="20"/>
                <w:szCs w:val="20"/>
              </w:rPr>
            </w:pPr>
          </w:p>
        </w:tc>
        <w:tc>
          <w:tcPr>
            <w:tcW w:w="810" w:type="dxa"/>
            <w:tcBorders>
              <w:left w:val="single" w:sz="4" w:space="0" w:color="000000"/>
              <w:right w:val="single" w:sz="4" w:space="0" w:color="000000"/>
            </w:tcBorders>
          </w:tcPr>
          <w:p w:rsidR="00B92FBD" w:rsidRPr="00B92FBD" w:rsidRDefault="00B92FBD" w:rsidP="00C26909">
            <w:pPr>
              <w:snapToGrid w:val="0"/>
              <w:jc w:val="center"/>
              <w:rPr>
                <w:sz w:val="20"/>
                <w:szCs w:val="20"/>
              </w:rPr>
            </w:pPr>
            <w:r w:rsidRPr="00B92FBD">
              <w:rPr>
                <w:b/>
                <w:sz w:val="20"/>
                <w:szCs w:val="20"/>
              </w:rPr>
              <w:sym w:font="Wingdings 2" w:char="F050"/>
            </w:r>
          </w:p>
        </w:tc>
        <w:tc>
          <w:tcPr>
            <w:tcW w:w="720" w:type="dxa"/>
            <w:tcBorders>
              <w:left w:val="single" w:sz="4" w:space="0" w:color="000000"/>
              <w:right w:val="single" w:sz="4" w:space="0" w:color="000000"/>
            </w:tcBorders>
          </w:tcPr>
          <w:p w:rsidR="00B92FBD" w:rsidRPr="00B92FBD" w:rsidRDefault="00B92FBD" w:rsidP="00C26909">
            <w:pPr>
              <w:snapToGrid w:val="0"/>
              <w:jc w:val="center"/>
              <w:rPr>
                <w:sz w:val="20"/>
                <w:szCs w:val="20"/>
              </w:rPr>
            </w:pPr>
            <w:r w:rsidRPr="00B92FBD">
              <w:rPr>
                <w:b/>
                <w:sz w:val="20"/>
                <w:szCs w:val="20"/>
              </w:rPr>
              <w:sym w:font="Wingdings 2" w:char="F050"/>
            </w:r>
          </w:p>
        </w:tc>
      </w:tr>
      <w:tr w:rsidR="00B92FBD" w:rsidRPr="00B92FBD" w:rsidTr="00C26909">
        <w:tc>
          <w:tcPr>
            <w:tcW w:w="2988" w:type="dxa"/>
            <w:tcBorders>
              <w:left w:val="single" w:sz="4" w:space="0" w:color="000000"/>
            </w:tcBorders>
          </w:tcPr>
          <w:p w:rsidR="00B92FBD" w:rsidRPr="00B92FBD" w:rsidRDefault="00B92FBD" w:rsidP="00C26909">
            <w:pPr>
              <w:snapToGrid w:val="0"/>
              <w:ind w:left="180"/>
              <w:rPr>
                <w:sz w:val="20"/>
                <w:szCs w:val="20"/>
              </w:rPr>
            </w:pPr>
            <w:r w:rsidRPr="00B92FBD">
              <w:rPr>
                <w:sz w:val="20"/>
                <w:szCs w:val="20"/>
              </w:rPr>
              <w:t>Case-control study</w:t>
            </w:r>
          </w:p>
        </w:tc>
        <w:tc>
          <w:tcPr>
            <w:tcW w:w="630" w:type="dxa"/>
            <w:tcBorders>
              <w:left w:val="single" w:sz="4" w:space="0" w:color="000000"/>
              <w:right w:val="single" w:sz="4" w:space="0" w:color="000000"/>
            </w:tcBorders>
          </w:tcPr>
          <w:p w:rsidR="00B92FBD" w:rsidRPr="00B92FBD" w:rsidRDefault="00B92FBD" w:rsidP="00C26909">
            <w:pPr>
              <w:snapToGrid w:val="0"/>
              <w:ind w:left="90"/>
              <w:jc w:val="center"/>
              <w:rPr>
                <w:sz w:val="20"/>
                <w:szCs w:val="20"/>
              </w:rPr>
            </w:pPr>
          </w:p>
        </w:tc>
        <w:tc>
          <w:tcPr>
            <w:tcW w:w="900" w:type="dxa"/>
            <w:tcBorders>
              <w:left w:val="single" w:sz="4" w:space="0" w:color="000000"/>
            </w:tcBorders>
          </w:tcPr>
          <w:p w:rsidR="00B92FBD" w:rsidRPr="00B92FBD" w:rsidRDefault="00B92FBD" w:rsidP="00C26909">
            <w:pPr>
              <w:snapToGrid w:val="0"/>
              <w:jc w:val="center"/>
              <w:rPr>
                <w:sz w:val="20"/>
                <w:szCs w:val="20"/>
              </w:rPr>
            </w:pPr>
          </w:p>
        </w:tc>
        <w:tc>
          <w:tcPr>
            <w:tcW w:w="720" w:type="dxa"/>
            <w:tcBorders>
              <w:left w:val="single" w:sz="4" w:space="0" w:color="000000"/>
              <w:right w:val="single" w:sz="4" w:space="0" w:color="000000"/>
            </w:tcBorders>
          </w:tcPr>
          <w:p w:rsidR="00B92FBD" w:rsidRPr="00B92FBD" w:rsidRDefault="00B92FBD" w:rsidP="00C26909">
            <w:pPr>
              <w:snapToGrid w:val="0"/>
              <w:jc w:val="center"/>
              <w:rPr>
                <w:sz w:val="20"/>
                <w:szCs w:val="20"/>
              </w:rPr>
            </w:pPr>
          </w:p>
        </w:tc>
        <w:tc>
          <w:tcPr>
            <w:tcW w:w="720" w:type="dxa"/>
            <w:tcBorders>
              <w:left w:val="single" w:sz="4" w:space="0" w:color="000000"/>
              <w:right w:val="single" w:sz="4" w:space="0" w:color="000000"/>
            </w:tcBorders>
          </w:tcPr>
          <w:p w:rsidR="00B92FBD" w:rsidRPr="00B92FBD" w:rsidRDefault="00B92FBD" w:rsidP="00C26909">
            <w:pPr>
              <w:snapToGrid w:val="0"/>
              <w:jc w:val="center"/>
              <w:rPr>
                <w:sz w:val="20"/>
                <w:szCs w:val="20"/>
              </w:rPr>
            </w:pPr>
          </w:p>
        </w:tc>
        <w:tc>
          <w:tcPr>
            <w:tcW w:w="1080" w:type="dxa"/>
            <w:tcBorders>
              <w:left w:val="single" w:sz="4" w:space="0" w:color="000000"/>
              <w:right w:val="single" w:sz="4" w:space="0" w:color="000000"/>
            </w:tcBorders>
          </w:tcPr>
          <w:p w:rsidR="00B92FBD" w:rsidRPr="00B92FBD" w:rsidRDefault="00B92FBD" w:rsidP="00C26909">
            <w:pPr>
              <w:snapToGrid w:val="0"/>
              <w:jc w:val="center"/>
              <w:rPr>
                <w:sz w:val="20"/>
                <w:szCs w:val="20"/>
              </w:rPr>
            </w:pPr>
          </w:p>
        </w:tc>
        <w:tc>
          <w:tcPr>
            <w:tcW w:w="630" w:type="dxa"/>
            <w:tcBorders>
              <w:left w:val="single" w:sz="4" w:space="0" w:color="000000"/>
              <w:right w:val="single" w:sz="4" w:space="0" w:color="000000"/>
            </w:tcBorders>
          </w:tcPr>
          <w:p w:rsidR="00B92FBD" w:rsidRPr="00B92FBD" w:rsidRDefault="00B92FBD" w:rsidP="00C26909">
            <w:pPr>
              <w:snapToGrid w:val="0"/>
              <w:jc w:val="center"/>
              <w:rPr>
                <w:sz w:val="20"/>
                <w:szCs w:val="20"/>
              </w:rPr>
            </w:pPr>
          </w:p>
        </w:tc>
        <w:tc>
          <w:tcPr>
            <w:tcW w:w="810" w:type="dxa"/>
            <w:tcBorders>
              <w:left w:val="single" w:sz="4" w:space="0" w:color="000000"/>
              <w:right w:val="single" w:sz="4" w:space="0" w:color="000000"/>
            </w:tcBorders>
          </w:tcPr>
          <w:p w:rsidR="00B92FBD" w:rsidRPr="00B92FBD" w:rsidRDefault="00B92FBD" w:rsidP="00C26909">
            <w:pPr>
              <w:snapToGrid w:val="0"/>
              <w:jc w:val="center"/>
              <w:rPr>
                <w:sz w:val="20"/>
                <w:szCs w:val="20"/>
              </w:rPr>
            </w:pPr>
          </w:p>
        </w:tc>
        <w:tc>
          <w:tcPr>
            <w:tcW w:w="810" w:type="dxa"/>
            <w:tcBorders>
              <w:left w:val="single" w:sz="4" w:space="0" w:color="000000"/>
              <w:right w:val="single" w:sz="4" w:space="0" w:color="000000"/>
            </w:tcBorders>
          </w:tcPr>
          <w:p w:rsidR="00B92FBD" w:rsidRPr="00B92FBD" w:rsidRDefault="00B92FBD" w:rsidP="00C26909">
            <w:pPr>
              <w:snapToGrid w:val="0"/>
              <w:jc w:val="center"/>
              <w:rPr>
                <w:sz w:val="20"/>
                <w:szCs w:val="20"/>
              </w:rPr>
            </w:pPr>
          </w:p>
        </w:tc>
        <w:tc>
          <w:tcPr>
            <w:tcW w:w="720" w:type="dxa"/>
            <w:tcBorders>
              <w:left w:val="single" w:sz="4" w:space="0" w:color="000000"/>
              <w:right w:val="single" w:sz="4" w:space="0" w:color="000000"/>
            </w:tcBorders>
          </w:tcPr>
          <w:p w:rsidR="00B92FBD" w:rsidRPr="00B92FBD" w:rsidRDefault="00B92FBD" w:rsidP="00C26909">
            <w:pPr>
              <w:snapToGrid w:val="0"/>
              <w:jc w:val="center"/>
              <w:rPr>
                <w:sz w:val="20"/>
                <w:szCs w:val="20"/>
              </w:rPr>
            </w:pPr>
          </w:p>
        </w:tc>
      </w:tr>
      <w:tr w:rsidR="00B92FBD" w:rsidRPr="00B92FBD" w:rsidTr="00C26909">
        <w:tc>
          <w:tcPr>
            <w:tcW w:w="2988" w:type="dxa"/>
            <w:tcBorders>
              <w:left w:val="single" w:sz="4" w:space="0" w:color="000000"/>
              <w:bottom w:val="single" w:sz="12" w:space="0" w:color="000000"/>
            </w:tcBorders>
          </w:tcPr>
          <w:p w:rsidR="00B92FBD" w:rsidRPr="00B92FBD" w:rsidRDefault="00B92FBD" w:rsidP="00C26909">
            <w:pPr>
              <w:snapToGrid w:val="0"/>
              <w:ind w:left="180"/>
              <w:rPr>
                <w:sz w:val="20"/>
                <w:szCs w:val="20"/>
              </w:rPr>
            </w:pPr>
            <w:r w:rsidRPr="00B92FBD">
              <w:rPr>
                <w:sz w:val="20"/>
                <w:szCs w:val="20"/>
              </w:rPr>
              <w:t xml:space="preserve">Case-series </w:t>
            </w:r>
          </w:p>
        </w:tc>
        <w:tc>
          <w:tcPr>
            <w:tcW w:w="630" w:type="dxa"/>
            <w:tcBorders>
              <w:left w:val="single" w:sz="4" w:space="0" w:color="000000"/>
              <w:bottom w:val="single" w:sz="12" w:space="0" w:color="000000"/>
              <w:right w:val="single" w:sz="4" w:space="0" w:color="000000"/>
            </w:tcBorders>
            <w:vAlign w:val="center"/>
          </w:tcPr>
          <w:p w:rsidR="00B92FBD" w:rsidRPr="00B92FBD" w:rsidRDefault="00B92FBD" w:rsidP="00C26909">
            <w:pPr>
              <w:snapToGrid w:val="0"/>
              <w:ind w:left="90"/>
              <w:jc w:val="center"/>
              <w:rPr>
                <w:sz w:val="20"/>
                <w:szCs w:val="20"/>
              </w:rPr>
            </w:pPr>
          </w:p>
        </w:tc>
        <w:tc>
          <w:tcPr>
            <w:tcW w:w="900" w:type="dxa"/>
            <w:tcBorders>
              <w:left w:val="single" w:sz="4" w:space="0" w:color="000000"/>
              <w:bottom w:val="single" w:sz="12" w:space="0" w:color="000000"/>
            </w:tcBorders>
          </w:tcPr>
          <w:p w:rsidR="00B92FBD" w:rsidRPr="00B92FBD" w:rsidRDefault="00B92FBD" w:rsidP="00C26909">
            <w:pPr>
              <w:snapToGrid w:val="0"/>
              <w:jc w:val="center"/>
              <w:rPr>
                <w:sz w:val="20"/>
                <w:szCs w:val="20"/>
              </w:rPr>
            </w:pPr>
          </w:p>
        </w:tc>
        <w:tc>
          <w:tcPr>
            <w:tcW w:w="720" w:type="dxa"/>
            <w:tcBorders>
              <w:left w:val="single" w:sz="4" w:space="0" w:color="000000"/>
              <w:bottom w:val="single" w:sz="12" w:space="0" w:color="000000"/>
              <w:right w:val="single" w:sz="4" w:space="0" w:color="000000"/>
            </w:tcBorders>
          </w:tcPr>
          <w:p w:rsidR="00B92FBD" w:rsidRPr="00B92FBD" w:rsidRDefault="00B92FBD" w:rsidP="00C26909">
            <w:pPr>
              <w:snapToGrid w:val="0"/>
              <w:jc w:val="center"/>
              <w:rPr>
                <w:sz w:val="20"/>
                <w:szCs w:val="20"/>
              </w:rPr>
            </w:pPr>
          </w:p>
        </w:tc>
        <w:tc>
          <w:tcPr>
            <w:tcW w:w="720" w:type="dxa"/>
            <w:tcBorders>
              <w:left w:val="single" w:sz="4" w:space="0" w:color="000000"/>
              <w:bottom w:val="single" w:sz="12" w:space="0" w:color="000000"/>
              <w:right w:val="single" w:sz="4" w:space="0" w:color="000000"/>
            </w:tcBorders>
          </w:tcPr>
          <w:p w:rsidR="00B92FBD" w:rsidRPr="00B92FBD" w:rsidRDefault="00B92FBD" w:rsidP="00C26909">
            <w:pPr>
              <w:snapToGrid w:val="0"/>
              <w:jc w:val="center"/>
              <w:rPr>
                <w:sz w:val="20"/>
                <w:szCs w:val="20"/>
              </w:rPr>
            </w:pPr>
          </w:p>
        </w:tc>
        <w:tc>
          <w:tcPr>
            <w:tcW w:w="1080" w:type="dxa"/>
            <w:tcBorders>
              <w:left w:val="single" w:sz="4" w:space="0" w:color="000000"/>
              <w:bottom w:val="single" w:sz="12" w:space="0" w:color="000000"/>
              <w:right w:val="single" w:sz="4" w:space="0" w:color="000000"/>
            </w:tcBorders>
          </w:tcPr>
          <w:p w:rsidR="00B92FBD" w:rsidRPr="00B92FBD" w:rsidRDefault="00B92FBD" w:rsidP="00C26909">
            <w:pPr>
              <w:snapToGrid w:val="0"/>
              <w:jc w:val="center"/>
              <w:rPr>
                <w:sz w:val="20"/>
                <w:szCs w:val="20"/>
              </w:rPr>
            </w:pPr>
          </w:p>
        </w:tc>
        <w:tc>
          <w:tcPr>
            <w:tcW w:w="630" w:type="dxa"/>
            <w:tcBorders>
              <w:left w:val="single" w:sz="4" w:space="0" w:color="000000"/>
              <w:bottom w:val="single" w:sz="12" w:space="0" w:color="000000"/>
              <w:right w:val="single" w:sz="4" w:space="0" w:color="000000"/>
            </w:tcBorders>
          </w:tcPr>
          <w:p w:rsidR="00B92FBD" w:rsidRPr="00B92FBD" w:rsidRDefault="00B92FBD" w:rsidP="00C26909">
            <w:pPr>
              <w:snapToGrid w:val="0"/>
              <w:jc w:val="center"/>
              <w:rPr>
                <w:sz w:val="20"/>
                <w:szCs w:val="20"/>
              </w:rPr>
            </w:pPr>
          </w:p>
        </w:tc>
        <w:tc>
          <w:tcPr>
            <w:tcW w:w="810" w:type="dxa"/>
            <w:tcBorders>
              <w:left w:val="single" w:sz="4" w:space="0" w:color="000000"/>
              <w:bottom w:val="single" w:sz="12" w:space="0" w:color="000000"/>
              <w:right w:val="single" w:sz="4" w:space="0" w:color="000000"/>
            </w:tcBorders>
          </w:tcPr>
          <w:p w:rsidR="00B92FBD" w:rsidRPr="00B92FBD" w:rsidRDefault="00B92FBD" w:rsidP="00C26909">
            <w:pPr>
              <w:snapToGrid w:val="0"/>
              <w:jc w:val="center"/>
              <w:rPr>
                <w:sz w:val="20"/>
                <w:szCs w:val="20"/>
              </w:rPr>
            </w:pPr>
          </w:p>
        </w:tc>
        <w:tc>
          <w:tcPr>
            <w:tcW w:w="810" w:type="dxa"/>
            <w:tcBorders>
              <w:left w:val="single" w:sz="4" w:space="0" w:color="000000"/>
              <w:bottom w:val="single" w:sz="12" w:space="0" w:color="000000"/>
              <w:right w:val="single" w:sz="4" w:space="0" w:color="000000"/>
            </w:tcBorders>
          </w:tcPr>
          <w:p w:rsidR="00B92FBD" w:rsidRPr="00B92FBD" w:rsidRDefault="00B92FBD" w:rsidP="00C26909">
            <w:pPr>
              <w:snapToGrid w:val="0"/>
              <w:jc w:val="center"/>
              <w:rPr>
                <w:sz w:val="20"/>
                <w:szCs w:val="20"/>
              </w:rPr>
            </w:pPr>
          </w:p>
        </w:tc>
        <w:tc>
          <w:tcPr>
            <w:tcW w:w="720" w:type="dxa"/>
            <w:tcBorders>
              <w:left w:val="single" w:sz="4" w:space="0" w:color="000000"/>
              <w:bottom w:val="single" w:sz="12" w:space="0" w:color="000000"/>
              <w:right w:val="single" w:sz="4" w:space="0" w:color="000000"/>
            </w:tcBorders>
          </w:tcPr>
          <w:p w:rsidR="00B92FBD" w:rsidRPr="00B92FBD" w:rsidRDefault="00B92FBD" w:rsidP="00C26909">
            <w:pPr>
              <w:snapToGrid w:val="0"/>
              <w:jc w:val="center"/>
              <w:rPr>
                <w:sz w:val="20"/>
                <w:szCs w:val="20"/>
              </w:rPr>
            </w:pPr>
          </w:p>
        </w:tc>
      </w:tr>
      <w:tr w:rsidR="00B92FBD" w:rsidRPr="00B92FBD" w:rsidTr="00C26909">
        <w:tc>
          <w:tcPr>
            <w:tcW w:w="2988" w:type="dxa"/>
            <w:tcBorders>
              <w:left w:val="single" w:sz="4" w:space="0" w:color="000000"/>
              <w:bottom w:val="single" w:sz="4" w:space="0" w:color="000000"/>
            </w:tcBorders>
          </w:tcPr>
          <w:p w:rsidR="00B92FBD" w:rsidRPr="00B92FBD" w:rsidRDefault="00B92FBD" w:rsidP="00C26909">
            <w:pPr>
              <w:rPr>
                <w:sz w:val="20"/>
                <w:szCs w:val="20"/>
              </w:rPr>
            </w:pPr>
            <w:r w:rsidRPr="00B92FBD">
              <w:rPr>
                <w:sz w:val="20"/>
                <w:szCs w:val="20"/>
                <w:u w:val="single"/>
              </w:rPr>
              <w:t>For cohort study:</w:t>
            </w:r>
            <w:r w:rsidRPr="00B92FBD">
              <w:rPr>
                <w:sz w:val="20"/>
                <w:szCs w:val="20"/>
              </w:rPr>
              <w:t xml:space="preserve">  Patients at similar point in the course of their disease or treatment for cohort study</w:t>
            </w:r>
          </w:p>
        </w:tc>
        <w:tc>
          <w:tcPr>
            <w:tcW w:w="630" w:type="dxa"/>
            <w:tcBorders>
              <w:left w:val="single" w:sz="4" w:space="0" w:color="000000"/>
              <w:bottom w:val="single" w:sz="4" w:space="0" w:color="000000"/>
              <w:right w:val="single" w:sz="4" w:space="0" w:color="000000"/>
            </w:tcBorders>
            <w:vAlign w:val="center"/>
          </w:tcPr>
          <w:p w:rsidR="00B92FBD" w:rsidRPr="00B92FBD" w:rsidRDefault="00B92FBD" w:rsidP="00C26909">
            <w:pPr>
              <w:snapToGrid w:val="0"/>
              <w:jc w:val="center"/>
              <w:rPr>
                <w:sz w:val="20"/>
                <w:szCs w:val="20"/>
              </w:rPr>
            </w:pPr>
            <w:r w:rsidRPr="00B92FBD">
              <w:rPr>
                <w:b/>
                <w:sz w:val="20"/>
                <w:szCs w:val="20"/>
              </w:rPr>
              <w:sym w:font="Wingdings 2" w:char="F050"/>
            </w:r>
          </w:p>
        </w:tc>
        <w:tc>
          <w:tcPr>
            <w:tcW w:w="900" w:type="dxa"/>
            <w:tcBorders>
              <w:left w:val="single" w:sz="4" w:space="0" w:color="000000"/>
              <w:bottom w:val="single" w:sz="4" w:space="0" w:color="000000"/>
            </w:tcBorders>
            <w:vAlign w:val="center"/>
          </w:tcPr>
          <w:p w:rsidR="00B92FBD" w:rsidRPr="00B92FBD" w:rsidRDefault="00B92FBD" w:rsidP="00C26909">
            <w:pPr>
              <w:snapToGrid w:val="0"/>
              <w:jc w:val="center"/>
              <w:rPr>
                <w:sz w:val="20"/>
                <w:szCs w:val="20"/>
              </w:rPr>
            </w:pPr>
            <w:r w:rsidRPr="00B92FBD">
              <w:rPr>
                <w:b/>
                <w:sz w:val="20"/>
                <w:szCs w:val="20"/>
              </w:rPr>
              <w:sym w:font="Wingdings 2" w:char="F050"/>
            </w:r>
          </w:p>
        </w:tc>
        <w:tc>
          <w:tcPr>
            <w:tcW w:w="720" w:type="dxa"/>
            <w:tcBorders>
              <w:left w:val="single" w:sz="4" w:space="0" w:color="000000"/>
              <w:bottom w:val="single" w:sz="4" w:space="0" w:color="000000"/>
              <w:right w:val="single" w:sz="4" w:space="0" w:color="000000"/>
            </w:tcBorders>
            <w:vAlign w:val="center"/>
          </w:tcPr>
          <w:p w:rsidR="00B92FBD" w:rsidRPr="00B92FBD" w:rsidRDefault="00B92FBD" w:rsidP="00C26909">
            <w:pPr>
              <w:snapToGrid w:val="0"/>
              <w:jc w:val="center"/>
              <w:rPr>
                <w:sz w:val="20"/>
                <w:szCs w:val="20"/>
              </w:rPr>
            </w:pPr>
            <w:r w:rsidRPr="00B92FBD">
              <w:rPr>
                <w:b/>
                <w:sz w:val="20"/>
                <w:szCs w:val="20"/>
              </w:rPr>
              <w:sym w:font="Wingdings 2" w:char="F050"/>
            </w:r>
          </w:p>
        </w:tc>
        <w:tc>
          <w:tcPr>
            <w:tcW w:w="720" w:type="dxa"/>
            <w:tcBorders>
              <w:left w:val="single" w:sz="4" w:space="0" w:color="000000"/>
              <w:bottom w:val="single" w:sz="4" w:space="0" w:color="000000"/>
              <w:right w:val="single" w:sz="4" w:space="0" w:color="000000"/>
            </w:tcBorders>
            <w:vAlign w:val="center"/>
          </w:tcPr>
          <w:p w:rsidR="00B92FBD" w:rsidRPr="00B92FBD" w:rsidRDefault="00B92FBD" w:rsidP="00C26909">
            <w:pPr>
              <w:snapToGrid w:val="0"/>
              <w:jc w:val="center"/>
              <w:rPr>
                <w:sz w:val="20"/>
                <w:szCs w:val="20"/>
              </w:rPr>
            </w:pPr>
            <w:r w:rsidRPr="00B92FBD">
              <w:rPr>
                <w:b/>
                <w:sz w:val="20"/>
                <w:szCs w:val="20"/>
              </w:rPr>
              <w:sym w:font="Wingdings 2" w:char="F050"/>
            </w:r>
          </w:p>
        </w:tc>
        <w:tc>
          <w:tcPr>
            <w:tcW w:w="1080" w:type="dxa"/>
            <w:tcBorders>
              <w:left w:val="single" w:sz="4" w:space="0" w:color="000000"/>
              <w:bottom w:val="single" w:sz="4" w:space="0" w:color="000000"/>
              <w:right w:val="single" w:sz="4" w:space="0" w:color="000000"/>
            </w:tcBorders>
            <w:vAlign w:val="center"/>
          </w:tcPr>
          <w:p w:rsidR="00B92FBD" w:rsidRPr="00B92FBD" w:rsidRDefault="00B92FBD" w:rsidP="00C26909">
            <w:pPr>
              <w:snapToGrid w:val="0"/>
              <w:jc w:val="center"/>
              <w:rPr>
                <w:sz w:val="20"/>
                <w:szCs w:val="20"/>
              </w:rPr>
            </w:pPr>
            <w:r w:rsidRPr="00B92FBD">
              <w:rPr>
                <w:b/>
                <w:sz w:val="20"/>
                <w:szCs w:val="20"/>
              </w:rPr>
              <w:sym w:font="Wingdings 2" w:char="F050"/>
            </w:r>
          </w:p>
        </w:tc>
        <w:tc>
          <w:tcPr>
            <w:tcW w:w="630" w:type="dxa"/>
            <w:tcBorders>
              <w:left w:val="single" w:sz="4" w:space="0" w:color="000000"/>
              <w:bottom w:val="single" w:sz="4" w:space="0" w:color="000000"/>
              <w:right w:val="single" w:sz="4" w:space="0" w:color="000000"/>
            </w:tcBorders>
            <w:vAlign w:val="center"/>
          </w:tcPr>
          <w:p w:rsidR="00B92FBD" w:rsidRPr="00B92FBD" w:rsidRDefault="00B92FBD" w:rsidP="00C26909">
            <w:pPr>
              <w:snapToGrid w:val="0"/>
              <w:jc w:val="center"/>
              <w:rPr>
                <w:sz w:val="20"/>
                <w:szCs w:val="20"/>
              </w:rPr>
            </w:pPr>
            <w:r w:rsidRPr="00B92FBD">
              <w:rPr>
                <w:b/>
                <w:sz w:val="20"/>
                <w:szCs w:val="20"/>
              </w:rPr>
              <w:sym w:font="Wingdings 2" w:char="F050"/>
            </w:r>
          </w:p>
        </w:tc>
        <w:tc>
          <w:tcPr>
            <w:tcW w:w="810" w:type="dxa"/>
            <w:tcBorders>
              <w:left w:val="single" w:sz="4" w:space="0" w:color="000000"/>
              <w:bottom w:val="single" w:sz="4" w:space="0" w:color="000000"/>
              <w:right w:val="single" w:sz="4" w:space="0" w:color="000000"/>
            </w:tcBorders>
            <w:vAlign w:val="center"/>
          </w:tcPr>
          <w:p w:rsidR="00B92FBD" w:rsidRPr="00B92FBD" w:rsidRDefault="00B92FBD" w:rsidP="00C26909">
            <w:pPr>
              <w:snapToGrid w:val="0"/>
              <w:jc w:val="center"/>
              <w:rPr>
                <w:sz w:val="20"/>
                <w:szCs w:val="20"/>
              </w:rPr>
            </w:pPr>
            <w:r w:rsidRPr="00B92FBD">
              <w:rPr>
                <w:b/>
                <w:sz w:val="20"/>
                <w:szCs w:val="20"/>
              </w:rPr>
              <w:sym w:font="Wingdings 2" w:char="F050"/>
            </w:r>
          </w:p>
        </w:tc>
        <w:tc>
          <w:tcPr>
            <w:tcW w:w="810" w:type="dxa"/>
            <w:tcBorders>
              <w:left w:val="single" w:sz="4" w:space="0" w:color="000000"/>
              <w:bottom w:val="single" w:sz="4" w:space="0" w:color="000000"/>
              <w:right w:val="single" w:sz="4" w:space="0" w:color="000000"/>
            </w:tcBorders>
            <w:vAlign w:val="center"/>
          </w:tcPr>
          <w:p w:rsidR="00B92FBD" w:rsidRPr="00B92FBD" w:rsidRDefault="00B92FBD" w:rsidP="00C26909">
            <w:pPr>
              <w:snapToGrid w:val="0"/>
              <w:jc w:val="center"/>
              <w:rPr>
                <w:sz w:val="20"/>
                <w:szCs w:val="20"/>
              </w:rPr>
            </w:pPr>
            <w:r w:rsidRPr="00B92FBD">
              <w:rPr>
                <w:b/>
                <w:sz w:val="20"/>
                <w:szCs w:val="20"/>
              </w:rPr>
              <w:sym w:font="Wingdings 2" w:char="F050"/>
            </w:r>
          </w:p>
        </w:tc>
        <w:tc>
          <w:tcPr>
            <w:tcW w:w="720" w:type="dxa"/>
            <w:tcBorders>
              <w:left w:val="single" w:sz="4" w:space="0" w:color="000000"/>
              <w:bottom w:val="single" w:sz="4" w:space="0" w:color="000000"/>
              <w:right w:val="single" w:sz="4" w:space="0" w:color="000000"/>
            </w:tcBorders>
            <w:vAlign w:val="center"/>
          </w:tcPr>
          <w:p w:rsidR="00B92FBD" w:rsidRPr="00B92FBD" w:rsidRDefault="00B92FBD" w:rsidP="00C26909">
            <w:pPr>
              <w:snapToGrid w:val="0"/>
              <w:jc w:val="center"/>
              <w:rPr>
                <w:sz w:val="20"/>
                <w:szCs w:val="20"/>
              </w:rPr>
            </w:pPr>
            <w:r w:rsidRPr="00B92FBD">
              <w:rPr>
                <w:b/>
                <w:sz w:val="20"/>
                <w:szCs w:val="20"/>
              </w:rPr>
              <w:sym w:font="Wingdings 2" w:char="F050"/>
            </w:r>
          </w:p>
        </w:tc>
      </w:tr>
      <w:tr w:rsidR="00B92FBD" w:rsidRPr="00B92FBD" w:rsidTr="00C26909">
        <w:tc>
          <w:tcPr>
            <w:tcW w:w="2988" w:type="dxa"/>
            <w:tcBorders>
              <w:left w:val="single" w:sz="4" w:space="0" w:color="000000"/>
              <w:bottom w:val="single" w:sz="4" w:space="0" w:color="000000"/>
            </w:tcBorders>
          </w:tcPr>
          <w:p w:rsidR="00B92FBD" w:rsidRPr="00B92FBD" w:rsidRDefault="00B92FBD" w:rsidP="00C26909">
            <w:pPr>
              <w:rPr>
                <w:sz w:val="20"/>
                <w:szCs w:val="20"/>
              </w:rPr>
            </w:pPr>
            <w:r w:rsidRPr="00B92FBD">
              <w:rPr>
                <w:sz w:val="20"/>
                <w:szCs w:val="20"/>
              </w:rPr>
              <w:t>Patients followed long enough for outcomes to occur</w:t>
            </w:r>
          </w:p>
        </w:tc>
        <w:tc>
          <w:tcPr>
            <w:tcW w:w="630" w:type="dxa"/>
            <w:tcBorders>
              <w:left w:val="single" w:sz="4" w:space="0" w:color="000000"/>
              <w:bottom w:val="single" w:sz="4" w:space="0" w:color="000000"/>
              <w:right w:val="single" w:sz="4" w:space="0" w:color="000000"/>
            </w:tcBorders>
            <w:vAlign w:val="center"/>
          </w:tcPr>
          <w:p w:rsidR="00B92FBD" w:rsidRPr="00B92FBD" w:rsidRDefault="00B92FBD" w:rsidP="00C26909">
            <w:pPr>
              <w:snapToGrid w:val="0"/>
              <w:jc w:val="center"/>
              <w:rPr>
                <w:sz w:val="20"/>
                <w:szCs w:val="20"/>
              </w:rPr>
            </w:pPr>
            <w:r w:rsidRPr="00B92FBD">
              <w:rPr>
                <w:b/>
                <w:sz w:val="20"/>
                <w:szCs w:val="20"/>
              </w:rPr>
              <w:sym w:font="Wingdings 2" w:char="F050"/>
            </w:r>
          </w:p>
        </w:tc>
        <w:tc>
          <w:tcPr>
            <w:tcW w:w="900" w:type="dxa"/>
            <w:tcBorders>
              <w:left w:val="single" w:sz="4" w:space="0" w:color="000000"/>
              <w:bottom w:val="single" w:sz="4" w:space="0" w:color="000000"/>
            </w:tcBorders>
            <w:vAlign w:val="center"/>
          </w:tcPr>
          <w:p w:rsidR="00B92FBD" w:rsidRPr="00B92FBD" w:rsidRDefault="00B92FBD" w:rsidP="00C26909">
            <w:pPr>
              <w:snapToGrid w:val="0"/>
              <w:jc w:val="center"/>
              <w:rPr>
                <w:sz w:val="20"/>
                <w:szCs w:val="20"/>
              </w:rPr>
            </w:pPr>
            <w:r w:rsidRPr="00B92FBD">
              <w:rPr>
                <w:b/>
                <w:sz w:val="20"/>
                <w:szCs w:val="20"/>
              </w:rPr>
              <w:sym w:font="Wingdings 2" w:char="F050"/>
            </w:r>
          </w:p>
        </w:tc>
        <w:tc>
          <w:tcPr>
            <w:tcW w:w="720" w:type="dxa"/>
            <w:tcBorders>
              <w:left w:val="single" w:sz="4" w:space="0" w:color="000000"/>
              <w:bottom w:val="single" w:sz="4" w:space="0" w:color="000000"/>
              <w:right w:val="single" w:sz="4" w:space="0" w:color="000000"/>
            </w:tcBorders>
            <w:vAlign w:val="center"/>
          </w:tcPr>
          <w:p w:rsidR="00B92FBD" w:rsidRPr="00B92FBD" w:rsidRDefault="00B92FBD" w:rsidP="00C26909">
            <w:pPr>
              <w:snapToGrid w:val="0"/>
              <w:jc w:val="center"/>
              <w:rPr>
                <w:sz w:val="20"/>
                <w:szCs w:val="20"/>
              </w:rPr>
            </w:pPr>
            <w:r w:rsidRPr="00B92FBD">
              <w:rPr>
                <w:b/>
                <w:sz w:val="20"/>
                <w:szCs w:val="20"/>
              </w:rPr>
              <w:sym w:font="Wingdings 2" w:char="F050"/>
            </w:r>
          </w:p>
        </w:tc>
        <w:tc>
          <w:tcPr>
            <w:tcW w:w="720" w:type="dxa"/>
            <w:tcBorders>
              <w:left w:val="single" w:sz="4" w:space="0" w:color="000000"/>
              <w:bottom w:val="single" w:sz="4" w:space="0" w:color="000000"/>
              <w:right w:val="single" w:sz="4" w:space="0" w:color="000000"/>
            </w:tcBorders>
            <w:vAlign w:val="center"/>
          </w:tcPr>
          <w:p w:rsidR="00B92FBD" w:rsidRPr="00B92FBD" w:rsidRDefault="00B92FBD" w:rsidP="00C26909">
            <w:pPr>
              <w:snapToGrid w:val="0"/>
              <w:jc w:val="center"/>
              <w:rPr>
                <w:sz w:val="20"/>
                <w:szCs w:val="20"/>
              </w:rPr>
            </w:pPr>
            <w:r w:rsidRPr="00B92FBD">
              <w:rPr>
                <w:b/>
                <w:sz w:val="20"/>
                <w:szCs w:val="20"/>
              </w:rPr>
              <w:sym w:font="Wingdings 2" w:char="F050"/>
            </w:r>
          </w:p>
        </w:tc>
        <w:tc>
          <w:tcPr>
            <w:tcW w:w="1080" w:type="dxa"/>
            <w:tcBorders>
              <w:left w:val="single" w:sz="4" w:space="0" w:color="000000"/>
              <w:bottom w:val="single" w:sz="4" w:space="0" w:color="000000"/>
              <w:right w:val="single" w:sz="4" w:space="0" w:color="000000"/>
            </w:tcBorders>
            <w:vAlign w:val="center"/>
          </w:tcPr>
          <w:p w:rsidR="00B92FBD" w:rsidRPr="00B92FBD" w:rsidRDefault="00B92FBD" w:rsidP="00C26909">
            <w:pPr>
              <w:snapToGrid w:val="0"/>
              <w:jc w:val="center"/>
              <w:rPr>
                <w:sz w:val="20"/>
                <w:szCs w:val="20"/>
              </w:rPr>
            </w:pPr>
            <w:r w:rsidRPr="00B92FBD">
              <w:rPr>
                <w:b/>
                <w:sz w:val="20"/>
                <w:szCs w:val="20"/>
              </w:rPr>
              <w:sym w:font="Wingdings 2" w:char="F050"/>
            </w:r>
          </w:p>
        </w:tc>
        <w:tc>
          <w:tcPr>
            <w:tcW w:w="630" w:type="dxa"/>
            <w:tcBorders>
              <w:left w:val="single" w:sz="4" w:space="0" w:color="000000"/>
              <w:bottom w:val="single" w:sz="4" w:space="0" w:color="000000"/>
              <w:right w:val="single" w:sz="4" w:space="0" w:color="000000"/>
            </w:tcBorders>
            <w:vAlign w:val="center"/>
          </w:tcPr>
          <w:p w:rsidR="00B92FBD" w:rsidRPr="00B92FBD" w:rsidRDefault="00B92FBD" w:rsidP="00C26909">
            <w:pPr>
              <w:snapToGrid w:val="0"/>
              <w:jc w:val="center"/>
              <w:rPr>
                <w:sz w:val="20"/>
                <w:szCs w:val="20"/>
              </w:rPr>
            </w:pPr>
            <w:r w:rsidRPr="00B92FBD">
              <w:rPr>
                <w:b/>
                <w:sz w:val="20"/>
                <w:szCs w:val="20"/>
              </w:rPr>
              <w:sym w:font="Wingdings 2" w:char="F050"/>
            </w:r>
          </w:p>
        </w:tc>
        <w:tc>
          <w:tcPr>
            <w:tcW w:w="810" w:type="dxa"/>
            <w:tcBorders>
              <w:left w:val="single" w:sz="4" w:space="0" w:color="000000"/>
              <w:bottom w:val="single" w:sz="4" w:space="0" w:color="000000"/>
              <w:right w:val="single" w:sz="4" w:space="0" w:color="000000"/>
            </w:tcBorders>
            <w:vAlign w:val="center"/>
          </w:tcPr>
          <w:p w:rsidR="00B92FBD" w:rsidRPr="00B92FBD" w:rsidRDefault="00B92FBD" w:rsidP="00C26909">
            <w:pPr>
              <w:snapToGrid w:val="0"/>
              <w:jc w:val="center"/>
              <w:rPr>
                <w:sz w:val="20"/>
                <w:szCs w:val="20"/>
              </w:rPr>
            </w:pPr>
            <w:r w:rsidRPr="00B92FBD">
              <w:rPr>
                <w:b/>
                <w:sz w:val="20"/>
                <w:szCs w:val="20"/>
              </w:rPr>
              <w:sym w:font="Wingdings 2" w:char="F050"/>
            </w:r>
          </w:p>
        </w:tc>
        <w:tc>
          <w:tcPr>
            <w:tcW w:w="810" w:type="dxa"/>
            <w:tcBorders>
              <w:left w:val="single" w:sz="4" w:space="0" w:color="000000"/>
              <w:bottom w:val="single" w:sz="4" w:space="0" w:color="000000"/>
              <w:right w:val="single" w:sz="4" w:space="0" w:color="000000"/>
            </w:tcBorders>
            <w:vAlign w:val="center"/>
          </w:tcPr>
          <w:p w:rsidR="00B92FBD" w:rsidRPr="00B92FBD" w:rsidRDefault="00B92FBD" w:rsidP="00C26909">
            <w:pPr>
              <w:snapToGrid w:val="0"/>
              <w:jc w:val="center"/>
              <w:rPr>
                <w:sz w:val="20"/>
                <w:szCs w:val="20"/>
              </w:rPr>
            </w:pPr>
            <w:r w:rsidRPr="00B92FBD">
              <w:rPr>
                <w:b/>
                <w:sz w:val="20"/>
                <w:szCs w:val="20"/>
              </w:rPr>
              <w:sym w:font="Wingdings 2" w:char="F050"/>
            </w:r>
          </w:p>
        </w:tc>
        <w:tc>
          <w:tcPr>
            <w:tcW w:w="720" w:type="dxa"/>
            <w:tcBorders>
              <w:left w:val="single" w:sz="4" w:space="0" w:color="000000"/>
              <w:bottom w:val="single" w:sz="4" w:space="0" w:color="000000"/>
              <w:right w:val="single" w:sz="4" w:space="0" w:color="000000"/>
            </w:tcBorders>
            <w:vAlign w:val="center"/>
          </w:tcPr>
          <w:p w:rsidR="00B92FBD" w:rsidRPr="00B92FBD" w:rsidRDefault="00B92FBD" w:rsidP="00C26909">
            <w:pPr>
              <w:snapToGrid w:val="0"/>
              <w:jc w:val="center"/>
              <w:rPr>
                <w:sz w:val="20"/>
                <w:szCs w:val="20"/>
              </w:rPr>
            </w:pPr>
            <w:r w:rsidRPr="00B92FBD">
              <w:rPr>
                <w:b/>
                <w:sz w:val="20"/>
                <w:szCs w:val="20"/>
              </w:rPr>
              <w:sym w:font="Wingdings 2" w:char="F050"/>
            </w:r>
          </w:p>
        </w:tc>
      </w:tr>
      <w:tr w:rsidR="00B92FBD" w:rsidRPr="00B92FBD" w:rsidTr="00C26909">
        <w:trPr>
          <w:trHeight w:val="332"/>
        </w:trPr>
        <w:tc>
          <w:tcPr>
            <w:tcW w:w="2988" w:type="dxa"/>
            <w:tcBorders>
              <w:left w:val="single" w:sz="4" w:space="0" w:color="000000"/>
              <w:bottom w:val="single" w:sz="4" w:space="0" w:color="000000"/>
            </w:tcBorders>
            <w:vAlign w:val="center"/>
          </w:tcPr>
          <w:p w:rsidR="00B92FBD" w:rsidRPr="00B92FBD" w:rsidRDefault="00B92FBD" w:rsidP="00C26909">
            <w:pPr>
              <w:snapToGrid w:val="0"/>
              <w:rPr>
                <w:sz w:val="20"/>
                <w:szCs w:val="20"/>
              </w:rPr>
            </w:pPr>
            <w:r w:rsidRPr="00B92FBD">
              <w:rPr>
                <w:sz w:val="20"/>
                <w:szCs w:val="20"/>
              </w:rPr>
              <w:t xml:space="preserve">Complete follow-up of  </w:t>
            </w:r>
            <w:r w:rsidRPr="00B92FBD">
              <w:rPr>
                <w:sz w:val="20"/>
                <w:szCs w:val="20"/>
                <w:u w:val="single"/>
              </w:rPr>
              <w:t>&gt;</w:t>
            </w:r>
            <w:r w:rsidRPr="00B92FBD">
              <w:rPr>
                <w:sz w:val="20"/>
                <w:szCs w:val="20"/>
              </w:rPr>
              <w:t xml:space="preserve"> 80%†</w:t>
            </w:r>
          </w:p>
        </w:tc>
        <w:tc>
          <w:tcPr>
            <w:tcW w:w="630" w:type="dxa"/>
            <w:tcBorders>
              <w:left w:val="single" w:sz="4" w:space="0" w:color="000000"/>
              <w:bottom w:val="single" w:sz="4" w:space="0" w:color="000000"/>
              <w:right w:val="single" w:sz="4" w:space="0" w:color="000000"/>
            </w:tcBorders>
          </w:tcPr>
          <w:p w:rsidR="00B92FBD" w:rsidRPr="00B92FBD" w:rsidRDefault="00B92FBD" w:rsidP="00C26909">
            <w:pPr>
              <w:snapToGrid w:val="0"/>
              <w:ind w:left="90"/>
              <w:jc w:val="center"/>
              <w:rPr>
                <w:rFonts w:ascii="Wingdings 2" w:hAnsi="Wingdings 2"/>
                <w:sz w:val="20"/>
                <w:szCs w:val="20"/>
              </w:rPr>
            </w:pPr>
          </w:p>
        </w:tc>
        <w:tc>
          <w:tcPr>
            <w:tcW w:w="900" w:type="dxa"/>
            <w:tcBorders>
              <w:left w:val="single" w:sz="4" w:space="0" w:color="000000"/>
              <w:bottom w:val="single" w:sz="4" w:space="0" w:color="000000"/>
            </w:tcBorders>
            <w:vAlign w:val="center"/>
          </w:tcPr>
          <w:p w:rsidR="00B92FBD" w:rsidRPr="00B92FBD" w:rsidRDefault="00B92FBD" w:rsidP="00C26909">
            <w:pPr>
              <w:snapToGrid w:val="0"/>
              <w:jc w:val="center"/>
              <w:rPr>
                <w:sz w:val="20"/>
                <w:szCs w:val="20"/>
              </w:rPr>
            </w:pPr>
            <w:r w:rsidRPr="00B92FBD">
              <w:rPr>
                <w:b/>
                <w:sz w:val="20"/>
                <w:szCs w:val="20"/>
              </w:rPr>
              <w:sym w:font="Wingdings 2" w:char="F050"/>
            </w:r>
          </w:p>
        </w:tc>
        <w:tc>
          <w:tcPr>
            <w:tcW w:w="720" w:type="dxa"/>
            <w:tcBorders>
              <w:left w:val="single" w:sz="4" w:space="0" w:color="000000"/>
              <w:bottom w:val="single" w:sz="4" w:space="0" w:color="000000"/>
              <w:right w:val="single" w:sz="4" w:space="0" w:color="000000"/>
            </w:tcBorders>
          </w:tcPr>
          <w:p w:rsidR="00B92FBD" w:rsidRPr="00B92FBD" w:rsidRDefault="00B92FBD" w:rsidP="00C26909">
            <w:pPr>
              <w:snapToGrid w:val="0"/>
              <w:jc w:val="center"/>
              <w:rPr>
                <w:sz w:val="20"/>
                <w:szCs w:val="20"/>
              </w:rPr>
            </w:pPr>
          </w:p>
        </w:tc>
        <w:tc>
          <w:tcPr>
            <w:tcW w:w="720" w:type="dxa"/>
            <w:tcBorders>
              <w:left w:val="single" w:sz="4" w:space="0" w:color="000000"/>
              <w:bottom w:val="single" w:sz="4" w:space="0" w:color="000000"/>
              <w:right w:val="single" w:sz="4" w:space="0" w:color="000000"/>
            </w:tcBorders>
          </w:tcPr>
          <w:p w:rsidR="00B92FBD" w:rsidRPr="00B92FBD" w:rsidRDefault="00B92FBD" w:rsidP="00C26909">
            <w:pPr>
              <w:snapToGrid w:val="0"/>
              <w:jc w:val="center"/>
              <w:rPr>
                <w:sz w:val="20"/>
                <w:szCs w:val="20"/>
              </w:rPr>
            </w:pPr>
          </w:p>
        </w:tc>
        <w:tc>
          <w:tcPr>
            <w:tcW w:w="1080" w:type="dxa"/>
            <w:tcBorders>
              <w:left w:val="single" w:sz="4" w:space="0" w:color="000000"/>
              <w:bottom w:val="single" w:sz="4" w:space="0" w:color="000000"/>
              <w:right w:val="single" w:sz="4" w:space="0" w:color="000000"/>
            </w:tcBorders>
          </w:tcPr>
          <w:p w:rsidR="00B92FBD" w:rsidRPr="00B92FBD" w:rsidRDefault="00B92FBD" w:rsidP="00C26909">
            <w:pPr>
              <w:snapToGrid w:val="0"/>
              <w:jc w:val="center"/>
              <w:rPr>
                <w:sz w:val="20"/>
                <w:szCs w:val="20"/>
              </w:rPr>
            </w:pPr>
          </w:p>
        </w:tc>
        <w:tc>
          <w:tcPr>
            <w:tcW w:w="630" w:type="dxa"/>
            <w:tcBorders>
              <w:left w:val="single" w:sz="4" w:space="0" w:color="000000"/>
              <w:bottom w:val="single" w:sz="4" w:space="0" w:color="000000"/>
              <w:right w:val="single" w:sz="4" w:space="0" w:color="000000"/>
            </w:tcBorders>
          </w:tcPr>
          <w:p w:rsidR="00B92FBD" w:rsidRPr="00B92FBD" w:rsidRDefault="00B92FBD" w:rsidP="00C26909">
            <w:pPr>
              <w:snapToGrid w:val="0"/>
              <w:jc w:val="center"/>
              <w:rPr>
                <w:sz w:val="20"/>
                <w:szCs w:val="20"/>
              </w:rPr>
            </w:pPr>
          </w:p>
        </w:tc>
        <w:tc>
          <w:tcPr>
            <w:tcW w:w="810" w:type="dxa"/>
            <w:tcBorders>
              <w:left w:val="single" w:sz="4" w:space="0" w:color="000000"/>
              <w:bottom w:val="single" w:sz="4" w:space="0" w:color="000000"/>
              <w:right w:val="single" w:sz="4" w:space="0" w:color="000000"/>
            </w:tcBorders>
          </w:tcPr>
          <w:p w:rsidR="00B92FBD" w:rsidRPr="00B92FBD" w:rsidRDefault="00B92FBD" w:rsidP="00C26909">
            <w:pPr>
              <w:snapToGrid w:val="0"/>
              <w:jc w:val="center"/>
              <w:rPr>
                <w:sz w:val="20"/>
                <w:szCs w:val="20"/>
              </w:rPr>
            </w:pPr>
          </w:p>
        </w:tc>
        <w:tc>
          <w:tcPr>
            <w:tcW w:w="810" w:type="dxa"/>
            <w:tcBorders>
              <w:left w:val="single" w:sz="4" w:space="0" w:color="000000"/>
              <w:bottom w:val="single" w:sz="4" w:space="0" w:color="000000"/>
              <w:right w:val="single" w:sz="4" w:space="0" w:color="000000"/>
            </w:tcBorders>
          </w:tcPr>
          <w:p w:rsidR="00B92FBD" w:rsidRPr="00B92FBD" w:rsidRDefault="00B92FBD" w:rsidP="00C26909">
            <w:pPr>
              <w:snapToGrid w:val="0"/>
              <w:jc w:val="center"/>
              <w:rPr>
                <w:sz w:val="20"/>
                <w:szCs w:val="20"/>
              </w:rPr>
            </w:pPr>
          </w:p>
        </w:tc>
        <w:tc>
          <w:tcPr>
            <w:tcW w:w="720" w:type="dxa"/>
            <w:tcBorders>
              <w:left w:val="single" w:sz="4" w:space="0" w:color="000000"/>
              <w:bottom w:val="single" w:sz="4" w:space="0" w:color="000000"/>
              <w:right w:val="single" w:sz="4" w:space="0" w:color="000000"/>
            </w:tcBorders>
          </w:tcPr>
          <w:p w:rsidR="00B92FBD" w:rsidRPr="00B92FBD" w:rsidRDefault="00B92FBD" w:rsidP="00C26909">
            <w:pPr>
              <w:snapToGrid w:val="0"/>
              <w:jc w:val="center"/>
              <w:rPr>
                <w:sz w:val="20"/>
                <w:szCs w:val="20"/>
              </w:rPr>
            </w:pPr>
          </w:p>
        </w:tc>
      </w:tr>
      <w:tr w:rsidR="00B92FBD" w:rsidRPr="00B92FBD" w:rsidTr="00C26909">
        <w:tc>
          <w:tcPr>
            <w:tcW w:w="2988" w:type="dxa"/>
            <w:tcBorders>
              <w:left w:val="single" w:sz="4" w:space="0" w:color="000000"/>
              <w:bottom w:val="single" w:sz="4" w:space="0" w:color="000000"/>
            </w:tcBorders>
          </w:tcPr>
          <w:p w:rsidR="00B92FBD" w:rsidRPr="00B92FBD" w:rsidRDefault="00B92FBD" w:rsidP="00C26909">
            <w:pPr>
              <w:snapToGrid w:val="0"/>
              <w:rPr>
                <w:sz w:val="20"/>
                <w:szCs w:val="20"/>
              </w:rPr>
            </w:pPr>
            <w:r w:rsidRPr="00B92FBD">
              <w:rPr>
                <w:sz w:val="20"/>
                <w:szCs w:val="20"/>
              </w:rPr>
              <w:t>Accounting for other prognostic factors‡</w:t>
            </w:r>
          </w:p>
        </w:tc>
        <w:tc>
          <w:tcPr>
            <w:tcW w:w="630" w:type="dxa"/>
            <w:tcBorders>
              <w:left w:val="single" w:sz="4" w:space="0" w:color="000000"/>
              <w:bottom w:val="single" w:sz="4" w:space="0" w:color="000000"/>
              <w:right w:val="single" w:sz="4" w:space="0" w:color="000000"/>
            </w:tcBorders>
            <w:vAlign w:val="center"/>
          </w:tcPr>
          <w:p w:rsidR="00B92FBD" w:rsidRPr="00B92FBD" w:rsidRDefault="00B92FBD" w:rsidP="00C26909">
            <w:pPr>
              <w:snapToGrid w:val="0"/>
              <w:jc w:val="center"/>
              <w:rPr>
                <w:sz w:val="20"/>
                <w:szCs w:val="20"/>
              </w:rPr>
            </w:pPr>
            <w:r w:rsidRPr="00B92FBD">
              <w:rPr>
                <w:b/>
                <w:sz w:val="20"/>
                <w:szCs w:val="20"/>
              </w:rPr>
              <w:sym w:font="Wingdings 2" w:char="F050"/>
            </w:r>
          </w:p>
        </w:tc>
        <w:tc>
          <w:tcPr>
            <w:tcW w:w="900" w:type="dxa"/>
            <w:tcBorders>
              <w:left w:val="single" w:sz="4" w:space="0" w:color="000000"/>
              <w:bottom w:val="single" w:sz="4" w:space="0" w:color="000000"/>
            </w:tcBorders>
            <w:vAlign w:val="center"/>
          </w:tcPr>
          <w:p w:rsidR="00B92FBD" w:rsidRPr="00B92FBD" w:rsidRDefault="00B92FBD" w:rsidP="00C26909">
            <w:pPr>
              <w:snapToGrid w:val="0"/>
              <w:jc w:val="center"/>
              <w:rPr>
                <w:sz w:val="20"/>
                <w:szCs w:val="20"/>
              </w:rPr>
            </w:pPr>
            <w:r w:rsidRPr="00B92FBD">
              <w:rPr>
                <w:b/>
                <w:sz w:val="20"/>
                <w:szCs w:val="20"/>
              </w:rPr>
              <w:sym w:font="Wingdings 2" w:char="F050"/>
            </w:r>
          </w:p>
        </w:tc>
        <w:tc>
          <w:tcPr>
            <w:tcW w:w="720" w:type="dxa"/>
            <w:tcBorders>
              <w:left w:val="single" w:sz="4" w:space="0" w:color="000000"/>
              <w:bottom w:val="single" w:sz="4" w:space="0" w:color="000000"/>
              <w:right w:val="single" w:sz="4" w:space="0" w:color="000000"/>
            </w:tcBorders>
            <w:vAlign w:val="center"/>
          </w:tcPr>
          <w:p w:rsidR="00B92FBD" w:rsidRPr="00B92FBD" w:rsidRDefault="00B92FBD" w:rsidP="00C26909">
            <w:pPr>
              <w:snapToGrid w:val="0"/>
              <w:jc w:val="center"/>
              <w:rPr>
                <w:sz w:val="20"/>
                <w:szCs w:val="20"/>
              </w:rPr>
            </w:pPr>
            <w:r w:rsidRPr="00B92FBD">
              <w:rPr>
                <w:b/>
                <w:sz w:val="20"/>
                <w:szCs w:val="20"/>
              </w:rPr>
              <w:sym w:font="Wingdings 2" w:char="F050"/>
            </w:r>
          </w:p>
        </w:tc>
        <w:tc>
          <w:tcPr>
            <w:tcW w:w="720" w:type="dxa"/>
            <w:tcBorders>
              <w:left w:val="single" w:sz="4" w:space="0" w:color="000000"/>
              <w:bottom w:val="single" w:sz="4" w:space="0" w:color="000000"/>
              <w:right w:val="single" w:sz="4" w:space="0" w:color="000000"/>
            </w:tcBorders>
            <w:vAlign w:val="center"/>
          </w:tcPr>
          <w:p w:rsidR="00B92FBD" w:rsidRPr="00B92FBD" w:rsidRDefault="00B92FBD" w:rsidP="00C26909">
            <w:pPr>
              <w:snapToGrid w:val="0"/>
              <w:jc w:val="center"/>
              <w:rPr>
                <w:sz w:val="20"/>
                <w:szCs w:val="20"/>
              </w:rPr>
            </w:pPr>
            <w:r w:rsidRPr="00B92FBD">
              <w:rPr>
                <w:b/>
                <w:sz w:val="20"/>
                <w:szCs w:val="20"/>
              </w:rPr>
              <w:sym w:font="Wingdings 2" w:char="F050"/>
            </w:r>
          </w:p>
        </w:tc>
        <w:tc>
          <w:tcPr>
            <w:tcW w:w="1080" w:type="dxa"/>
            <w:tcBorders>
              <w:left w:val="single" w:sz="4" w:space="0" w:color="000000"/>
              <w:bottom w:val="single" w:sz="4" w:space="0" w:color="000000"/>
              <w:right w:val="single" w:sz="4" w:space="0" w:color="000000"/>
            </w:tcBorders>
            <w:vAlign w:val="center"/>
          </w:tcPr>
          <w:p w:rsidR="00B92FBD" w:rsidRPr="00B92FBD" w:rsidRDefault="00B92FBD" w:rsidP="00C26909">
            <w:pPr>
              <w:snapToGrid w:val="0"/>
              <w:jc w:val="center"/>
              <w:rPr>
                <w:sz w:val="20"/>
                <w:szCs w:val="20"/>
              </w:rPr>
            </w:pPr>
            <w:r w:rsidRPr="00B92FBD">
              <w:rPr>
                <w:b/>
                <w:sz w:val="20"/>
                <w:szCs w:val="20"/>
              </w:rPr>
              <w:sym w:font="Wingdings 2" w:char="F050"/>
            </w:r>
          </w:p>
        </w:tc>
        <w:tc>
          <w:tcPr>
            <w:tcW w:w="630" w:type="dxa"/>
            <w:tcBorders>
              <w:left w:val="single" w:sz="4" w:space="0" w:color="000000"/>
              <w:bottom w:val="single" w:sz="4" w:space="0" w:color="000000"/>
              <w:right w:val="single" w:sz="4" w:space="0" w:color="000000"/>
            </w:tcBorders>
            <w:vAlign w:val="center"/>
          </w:tcPr>
          <w:p w:rsidR="00B92FBD" w:rsidRPr="00B92FBD" w:rsidRDefault="00B92FBD" w:rsidP="00C26909">
            <w:pPr>
              <w:snapToGrid w:val="0"/>
              <w:jc w:val="center"/>
              <w:rPr>
                <w:sz w:val="20"/>
                <w:szCs w:val="20"/>
              </w:rPr>
            </w:pPr>
            <w:r w:rsidRPr="00B92FBD">
              <w:rPr>
                <w:b/>
                <w:sz w:val="20"/>
                <w:szCs w:val="20"/>
              </w:rPr>
              <w:sym w:font="Wingdings 2" w:char="F050"/>
            </w:r>
          </w:p>
        </w:tc>
        <w:tc>
          <w:tcPr>
            <w:tcW w:w="810" w:type="dxa"/>
            <w:tcBorders>
              <w:left w:val="single" w:sz="4" w:space="0" w:color="000000"/>
              <w:bottom w:val="single" w:sz="4" w:space="0" w:color="000000"/>
              <w:right w:val="single" w:sz="4" w:space="0" w:color="000000"/>
            </w:tcBorders>
            <w:vAlign w:val="center"/>
          </w:tcPr>
          <w:p w:rsidR="00B92FBD" w:rsidRPr="00B92FBD" w:rsidRDefault="00B92FBD" w:rsidP="00C26909">
            <w:pPr>
              <w:snapToGrid w:val="0"/>
              <w:jc w:val="center"/>
              <w:rPr>
                <w:sz w:val="20"/>
                <w:szCs w:val="20"/>
              </w:rPr>
            </w:pPr>
            <w:r w:rsidRPr="00B92FBD">
              <w:rPr>
                <w:b/>
                <w:sz w:val="20"/>
                <w:szCs w:val="20"/>
              </w:rPr>
              <w:sym w:font="Wingdings 2" w:char="F050"/>
            </w:r>
          </w:p>
        </w:tc>
        <w:tc>
          <w:tcPr>
            <w:tcW w:w="810" w:type="dxa"/>
            <w:tcBorders>
              <w:left w:val="single" w:sz="4" w:space="0" w:color="000000"/>
              <w:bottom w:val="single" w:sz="4" w:space="0" w:color="000000"/>
              <w:right w:val="single" w:sz="4" w:space="0" w:color="000000"/>
            </w:tcBorders>
            <w:vAlign w:val="center"/>
          </w:tcPr>
          <w:p w:rsidR="00B92FBD" w:rsidRPr="00B92FBD" w:rsidRDefault="00B92FBD" w:rsidP="00C26909">
            <w:pPr>
              <w:snapToGrid w:val="0"/>
              <w:jc w:val="center"/>
              <w:rPr>
                <w:sz w:val="20"/>
                <w:szCs w:val="20"/>
              </w:rPr>
            </w:pPr>
            <w:r w:rsidRPr="00B92FBD">
              <w:rPr>
                <w:b/>
                <w:sz w:val="20"/>
                <w:szCs w:val="20"/>
              </w:rPr>
              <w:sym w:font="Wingdings 2" w:char="F050"/>
            </w:r>
          </w:p>
        </w:tc>
        <w:tc>
          <w:tcPr>
            <w:tcW w:w="720" w:type="dxa"/>
            <w:tcBorders>
              <w:left w:val="single" w:sz="4" w:space="0" w:color="000000"/>
              <w:bottom w:val="single" w:sz="4" w:space="0" w:color="000000"/>
              <w:right w:val="single" w:sz="4" w:space="0" w:color="000000"/>
            </w:tcBorders>
            <w:vAlign w:val="center"/>
          </w:tcPr>
          <w:p w:rsidR="00B92FBD" w:rsidRPr="00B92FBD" w:rsidRDefault="00B92FBD" w:rsidP="00C26909">
            <w:pPr>
              <w:snapToGrid w:val="0"/>
              <w:jc w:val="center"/>
              <w:rPr>
                <w:sz w:val="20"/>
                <w:szCs w:val="20"/>
              </w:rPr>
            </w:pPr>
            <w:r w:rsidRPr="00B92FBD">
              <w:rPr>
                <w:b/>
                <w:sz w:val="20"/>
                <w:szCs w:val="20"/>
              </w:rPr>
              <w:sym w:font="Wingdings 2" w:char="F050"/>
            </w:r>
          </w:p>
        </w:tc>
      </w:tr>
      <w:tr w:rsidR="00B92FBD" w:rsidRPr="00B92FBD" w:rsidTr="00C26909">
        <w:tc>
          <w:tcPr>
            <w:tcW w:w="2988" w:type="dxa"/>
            <w:tcBorders>
              <w:left w:val="single" w:sz="4" w:space="0" w:color="000000"/>
              <w:bottom w:val="single" w:sz="4" w:space="0" w:color="000000"/>
            </w:tcBorders>
            <w:shd w:val="clear" w:color="auto" w:fill="595959"/>
          </w:tcPr>
          <w:p w:rsidR="00B92FBD" w:rsidRPr="00B92FBD" w:rsidRDefault="00B92FBD" w:rsidP="00C26909">
            <w:pPr>
              <w:snapToGrid w:val="0"/>
              <w:rPr>
                <w:b/>
                <w:color w:val="FFFFFF"/>
                <w:sz w:val="20"/>
                <w:szCs w:val="20"/>
              </w:rPr>
            </w:pPr>
            <w:r w:rsidRPr="00B92FBD">
              <w:rPr>
                <w:b/>
                <w:color w:val="FFFFFF"/>
                <w:sz w:val="20"/>
                <w:szCs w:val="20"/>
              </w:rPr>
              <w:t>Evidence class</w:t>
            </w:r>
          </w:p>
        </w:tc>
        <w:tc>
          <w:tcPr>
            <w:tcW w:w="630" w:type="dxa"/>
            <w:tcBorders>
              <w:left w:val="single" w:sz="4" w:space="0" w:color="000000"/>
              <w:bottom w:val="single" w:sz="4" w:space="0" w:color="000000"/>
              <w:right w:val="single" w:sz="4" w:space="0" w:color="000000"/>
            </w:tcBorders>
            <w:shd w:val="clear" w:color="auto" w:fill="595959"/>
          </w:tcPr>
          <w:p w:rsidR="00B92FBD" w:rsidRPr="00B92FBD" w:rsidRDefault="00B92FBD" w:rsidP="00C26909">
            <w:pPr>
              <w:snapToGrid w:val="0"/>
              <w:jc w:val="center"/>
              <w:rPr>
                <w:b/>
                <w:bCs/>
                <w:color w:val="FFFFFF"/>
                <w:sz w:val="20"/>
                <w:szCs w:val="20"/>
              </w:rPr>
            </w:pPr>
            <w:r w:rsidRPr="00B92FBD">
              <w:rPr>
                <w:b/>
                <w:bCs/>
                <w:color w:val="FFFFFF"/>
                <w:sz w:val="20"/>
                <w:szCs w:val="20"/>
              </w:rPr>
              <w:t>III</w:t>
            </w:r>
          </w:p>
        </w:tc>
        <w:tc>
          <w:tcPr>
            <w:tcW w:w="900" w:type="dxa"/>
            <w:tcBorders>
              <w:left w:val="single" w:sz="4" w:space="0" w:color="000000"/>
              <w:bottom w:val="single" w:sz="4" w:space="0" w:color="000000"/>
            </w:tcBorders>
            <w:shd w:val="clear" w:color="auto" w:fill="595959"/>
          </w:tcPr>
          <w:p w:rsidR="00B92FBD" w:rsidRPr="00B92FBD" w:rsidRDefault="00B92FBD" w:rsidP="00C26909">
            <w:pPr>
              <w:snapToGrid w:val="0"/>
              <w:jc w:val="center"/>
              <w:rPr>
                <w:b/>
                <w:bCs/>
                <w:color w:val="FFFFFF"/>
                <w:sz w:val="20"/>
                <w:szCs w:val="20"/>
              </w:rPr>
            </w:pPr>
            <w:r w:rsidRPr="00B92FBD">
              <w:rPr>
                <w:b/>
                <w:bCs/>
                <w:color w:val="FFFFFF"/>
                <w:sz w:val="20"/>
                <w:szCs w:val="20"/>
              </w:rPr>
              <w:t>II</w:t>
            </w:r>
          </w:p>
        </w:tc>
        <w:tc>
          <w:tcPr>
            <w:tcW w:w="720" w:type="dxa"/>
            <w:tcBorders>
              <w:left w:val="single" w:sz="4" w:space="0" w:color="000000"/>
              <w:bottom w:val="single" w:sz="4" w:space="0" w:color="000000"/>
              <w:right w:val="single" w:sz="4" w:space="0" w:color="000000"/>
            </w:tcBorders>
            <w:shd w:val="clear" w:color="auto" w:fill="595959"/>
          </w:tcPr>
          <w:p w:rsidR="00B92FBD" w:rsidRPr="00B92FBD" w:rsidRDefault="00B92FBD" w:rsidP="00C26909">
            <w:pPr>
              <w:snapToGrid w:val="0"/>
              <w:jc w:val="center"/>
              <w:rPr>
                <w:b/>
                <w:bCs/>
                <w:color w:val="FFFFFF"/>
                <w:sz w:val="20"/>
                <w:szCs w:val="20"/>
              </w:rPr>
            </w:pPr>
            <w:r w:rsidRPr="00B92FBD">
              <w:rPr>
                <w:b/>
                <w:bCs/>
                <w:color w:val="FFFFFF"/>
                <w:sz w:val="20"/>
                <w:szCs w:val="20"/>
              </w:rPr>
              <w:t>III</w:t>
            </w:r>
          </w:p>
        </w:tc>
        <w:tc>
          <w:tcPr>
            <w:tcW w:w="720" w:type="dxa"/>
            <w:tcBorders>
              <w:left w:val="single" w:sz="4" w:space="0" w:color="000000"/>
              <w:bottom w:val="single" w:sz="4" w:space="0" w:color="000000"/>
              <w:right w:val="single" w:sz="4" w:space="0" w:color="000000"/>
            </w:tcBorders>
            <w:shd w:val="clear" w:color="auto" w:fill="595959"/>
          </w:tcPr>
          <w:p w:rsidR="00B92FBD" w:rsidRPr="00B92FBD" w:rsidRDefault="00B92FBD" w:rsidP="00C26909">
            <w:pPr>
              <w:snapToGrid w:val="0"/>
              <w:jc w:val="center"/>
              <w:rPr>
                <w:b/>
                <w:bCs/>
                <w:color w:val="FFFFFF"/>
                <w:sz w:val="20"/>
                <w:szCs w:val="20"/>
              </w:rPr>
            </w:pPr>
            <w:r w:rsidRPr="00B92FBD">
              <w:rPr>
                <w:b/>
                <w:bCs/>
                <w:color w:val="FFFFFF"/>
                <w:sz w:val="20"/>
                <w:szCs w:val="20"/>
              </w:rPr>
              <w:t>III</w:t>
            </w:r>
          </w:p>
        </w:tc>
        <w:tc>
          <w:tcPr>
            <w:tcW w:w="1080" w:type="dxa"/>
            <w:tcBorders>
              <w:left w:val="single" w:sz="4" w:space="0" w:color="000000"/>
              <w:bottom w:val="single" w:sz="4" w:space="0" w:color="000000"/>
              <w:right w:val="single" w:sz="4" w:space="0" w:color="000000"/>
            </w:tcBorders>
            <w:shd w:val="clear" w:color="auto" w:fill="595959"/>
          </w:tcPr>
          <w:p w:rsidR="00B92FBD" w:rsidRPr="00B92FBD" w:rsidRDefault="00B92FBD" w:rsidP="00C26909">
            <w:pPr>
              <w:snapToGrid w:val="0"/>
              <w:jc w:val="center"/>
              <w:rPr>
                <w:b/>
                <w:bCs/>
                <w:color w:val="FFFFFF"/>
                <w:sz w:val="20"/>
                <w:szCs w:val="20"/>
              </w:rPr>
            </w:pPr>
            <w:r w:rsidRPr="00B92FBD">
              <w:rPr>
                <w:b/>
                <w:bCs/>
                <w:color w:val="FFFFFF"/>
                <w:sz w:val="20"/>
                <w:szCs w:val="20"/>
              </w:rPr>
              <w:t>II</w:t>
            </w:r>
          </w:p>
        </w:tc>
        <w:tc>
          <w:tcPr>
            <w:tcW w:w="630" w:type="dxa"/>
            <w:tcBorders>
              <w:left w:val="single" w:sz="4" w:space="0" w:color="000000"/>
              <w:bottom w:val="single" w:sz="4" w:space="0" w:color="000000"/>
              <w:right w:val="single" w:sz="4" w:space="0" w:color="000000"/>
            </w:tcBorders>
            <w:shd w:val="clear" w:color="auto" w:fill="595959"/>
          </w:tcPr>
          <w:p w:rsidR="00B92FBD" w:rsidRPr="00B92FBD" w:rsidRDefault="00B92FBD" w:rsidP="00C26909">
            <w:pPr>
              <w:snapToGrid w:val="0"/>
              <w:jc w:val="center"/>
              <w:rPr>
                <w:b/>
                <w:bCs/>
                <w:color w:val="FFFFFF"/>
                <w:sz w:val="20"/>
                <w:szCs w:val="20"/>
              </w:rPr>
            </w:pPr>
            <w:r w:rsidRPr="00B92FBD">
              <w:rPr>
                <w:b/>
                <w:bCs/>
                <w:color w:val="FFFFFF"/>
                <w:sz w:val="20"/>
                <w:szCs w:val="20"/>
              </w:rPr>
              <w:t>III</w:t>
            </w:r>
          </w:p>
        </w:tc>
        <w:tc>
          <w:tcPr>
            <w:tcW w:w="810" w:type="dxa"/>
            <w:tcBorders>
              <w:left w:val="single" w:sz="4" w:space="0" w:color="000000"/>
              <w:bottom w:val="single" w:sz="4" w:space="0" w:color="000000"/>
              <w:right w:val="single" w:sz="4" w:space="0" w:color="000000"/>
            </w:tcBorders>
            <w:shd w:val="clear" w:color="auto" w:fill="595959"/>
          </w:tcPr>
          <w:p w:rsidR="00B92FBD" w:rsidRPr="00B92FBD" w:rsidRDefault="00B92FBD" w:rsidP="00C26909">
            <w:pPr>
              <w:snapToGrid w:val="0"/>
              <w:jc w:val="center"/>
              <w:rPr>
                <w:b/>
                <w:bCs/>
                <w:color w:val="FFFFFF"/>
                <w:sz w:val="20"/>
                <w:szCs w:val="20"/>
              </w:rPr>
            </w:pPr>
            <w:r w:rsidRPr="00B92FBD">
              <w:rPr>
                <w:b/>
                <w:bCs/>
                <w:color w:val="FFFFFF"/>
                <w:sz w:val="20"/>
                <w:szCs w:val="20"/>
              </w:rPr>
              <w:t>II</w:t>
            </w:r>
          </w:p>
        </w:tc>
        <w:tc>
          <w:tcPr>
            <w:tcW w:w="810" w:type="dxa"/>
            <w:tcBorders>
              <w:left w:val="single" w:sz="4" w:space="0" w:color="000000"/>
              <w:bottom w:val="single" w:sz="4" w:space="0" w:color="000000"/>
              <w:right w:val="single" w:sz="4" w:space="0" w:color="000000"/>
            </w:tcBorders>
            <w:shd w:val="clear" w:color="auto" w:fill="595959"/>
          </w:tcPr>
          <w:p w:rsidR="00B92FBD" w:rsidRPr="00B92FBD" w:rsidRDefault="00B92FBD" w:rsidP="00C26909">
            <w:pPr>
              <w:snapToGrid w:val="0"/>
              <w:jc w:val="center"/>
              <w:rPr>
                <w:b/>
                <w:bCs/>
                <w:color w:val="FFFFFF"/>
                <w:sz w:val="20"/>
                <w:szCs w:val="20"/>
              </w:rPr>
            </w:pPr>
            <w:r w:rsidRPr="00B92FBD">
              <w:rPr>
                <w:b/>
                <w:bCs/>
                <w:color w:val="FFFFFF"/>
                <w:sz w:val="20"/>
                <w:szCs w:val="20"/>
              </w:rPr>
              <w:t>III</w:t>
            </w:r>
          </w:p>
        </w:tc>
        <w:tc>
          <w:tcPr>
            <w:tcW w:w="720" w:type="dxa"/>
            <w:tcBorders>
              <w:left w:val="single" w:sz="4" w:space="0" w:color="000000"/>
              <w:bottom w:val="single" w:sz="4" w:space="0" w:color="000000"/>
              <w:right w:val="single" w:sz="4" w:space="0" w:color="000000"/>
            </w:tcBorders>
            <w:shd w:val="clear" w:color="auto" w:fill="595959"/>
          </w:tcPr>
          <w:p w:rsidR="00B92FBD" w:rsidRPr="00B92FBD" w:rsidRDefault="00B92FBD" w:rsidP="00C26909">
            <w:pPr>
              <w:snapToGrid w:val="0"/>
              <w:jc w:val="center"/>
              <w:rPr>
                <w:b/>
                <w:bCs/>
                <w:color w:val="FFFFFF"/>
                <w:sz w:val="20"/>
                <w:szCs w:val="20"/>
              </w:rPr>
            </w:pPr>
            <w:r w:rsidRPr="00B92FBD">
              <w:rPr>
                <w:b/>
                <w:bCs/>
                <w:color w:val="FFFFFF"/>
                <w:sz w:val="20"/>
                <w:szCs w:val="20"/>
              </w:rPr>
              <w:t>III</w:t>
            </w:r>
          </w:p>
        </w:tc>
      </w:tr>
    </w:tbl>
    <w:p w:rsidR="00B92FBD" w:rsidRPr="00B92FBD" w:rsidRDefault="00B92FBD" w:rsidP="00B92FBD">
      <w:pPr>
        <w:ind w:left="180" w:hanging="180"/>
        <w:rPr>
          <w:sz w:val="20"/>
          <w:szCs w:val="20"/>
        </w:rPr>
      </w:pPr>
    </w:p>
    <w:p w:rsidR="00B92FBD" w:rsidRPr="00B92FBD" w:rsidRDefault="00B92FBD" w:rsidP="00B92FBD">
      <w:pPr>
        <w:ind w:left="180" w:hanging="180"/>
        <w:rPr>
          <w:sz w:val="20"/>
          <w:szCs w:val="20"/>
        </w:rPr>
      </w:pPr>
    </w:p>
    <w:tbl>
      <w:tblPr>
        <w:tblW w:w="9378" w:type="dxa"/>
        <w:tblLayout w:type="fixed"/>
        <w:tblLook w:val="0000" w:firstRow="0" w:lastRow="0" w:firstColumn="0" w:lastColumn="0" w:noHBand="0" w:noVBand="0"/>
      </w:tblPr>
      <w:tblGrid>
        <w:gridCol w:w="2988"/>
        <w:gridCol w:w="630"/>
        <w:gridCol w:w="720"/>
        <w:gridCol w:w="990"/>
        <w:gridCol w:w="720"/>
        <w:gridCol w:w="810"/>
        <w:gridCol w:w="990"/>
        <w:gridCol w:w="720"/>
        <w:gridCol w:w="810"/>
      </w:tblGrid>
      <w:tr w:rsidR="00B92FBD" w:rsidRPr="00B92FBD" w:rsidTr="00C26909">
        <w:tc>
          <w:tcPr>
            <w:tcW w:w="2988" w:type="dxa"/>
            <w:tcBorders>
              <w:top w:val="single" w:sz="4" w:space="0" w:color="000000"/>
              <w:left w:val="single" w:sz="4" w:space="0" w:color="000000"/>
              <w:bottom w:val="single" w:sz="4" w:space="0" w:color="000000"/>
            </w:tcBorders>
            <w:shd w:val="clear" w:color="auto" w:fill="595959"/>
          </w:tcPr>
          <w:p w:rsidR="00B92FBD" w:rsidRPr="00B92FBD" w:rsidRDefault="00B92FBD" w:rsidP="00C26909">
            <w:pPr>
              <w:snapToGrid w:val="0"/>
              <w:rPr>
                <w:b/>
                <w:color w:val="FFFFFF"/>
                <w:sz w:val="20"/>
                <w:szCs w:val="20"/>
              </w:rPr>
            </w:pPr>
            <w:r w:rsidRPr="00B92FBD">
              <w:rPr>
                <w:b/>
                <w:color w:val="FFFFFF"/>
                <w:sz w:val="20"/>
                <w:szCs w:val="20"/>
              </w:rPr>
              <w:t>Methodological principle</w:t>
            </w:r>
          </w:p>
        </w:tc>
        <w:tc>
          <w:tcPr>
            <w:tcW w:w="630" w:type="dxa"/>
            <w:tcBorders>
              <w:top w:val="single" w:sz="4" w:space="0" w:color="000000"/>
              <w:left w:val="single" w:sz="4" w:space="0" w:color="000000"/>
              <w:bottom w:val="single" w:sz="4" w:space="0" w:color="000000"/>
            </w:tcBorders>
            <w:shd w:val="clear" w:color="auto" w:fill="595959"/>
          </w:tcPr>
          <w:p w:rsidR="00B92FBD" w:rsidRPr="00B92FBD" w:rsidRDefault="00B92FBD" w:rsidP="00C26909">
            <w:pPr>
              <w:snapToGrid w:val="0"/>
              <w:ind w:left="-90" w:right="-108"/>
              <w:jc w:val="center"/>
              <w:rPr>
                <w:b/>
                <w:bCs/>
                <w:color w:val="FFFFFF"/>
                <w:sz w:val="20"/>
                <w:szCs w:val="20"/>
              </w:rPr>
            </w:pPr>
            <w:r w:rsidRPr="00B92FBD">
              <w:rPr>
                <w:b/>
                <w:bCs/>
                <w:color w:val="FFFFFF"/>
                <w:sz w:val="20"/>
                <w:szCs w:val="20"/>
              </w:rPr>
              <w:t>Suri</w:t>
            </w:r>
          </w:p>
          <w:p w:rsidR="00B92FBD" w:rsidRPr="00B92FBD" w:rsidRDefault="00B92FBD" w:rsidP="00C26909">
            <w:pPr>
              <w:snapToGrid w:val="0"/>
              <w:ind w:left="-90" w:right="-108"/>
              <w:jc w:val="center"/>
              <w:rPr>
                <w:b/>
                <w:bCs/>
                <w:color w:val="FFFFFF"/>
                <w:sz w:val="20"/>
                <w:szCs w:val="20"/>
              </w:rPr>
            </w:pPr>
            <w:r w:rsidRPr="00B92FBD">
              <w:rPr>
                <w:b/>
                <w:bCs/>
                <w:color w:val="FFFFFF"/>
                <w:sz w:val="20"/>
                <w:szCs w:val="20"/>
              </w:rPr>
              <w:t>(2003)</w:t>
            </w:r>
          </w:p>
        </w:tc>
        <w:tc>
          <w:tcPr>
            <w:tcW w:w="720" w:type="dxa"/>
            <w:tcBorders>
              <w:top w:val="single" w:sz="4" w:space="0" w:color="000000"/>
              <w:left w:val="single" w:sz="4" w:space="0" w:color="000000"/>
              <w:bottom w:val="single" w:sz="4" w:space="0" w:color="000000"/>
            </w:tcBorders>
            <w:shd w:val="clear" w:color="auto" w:fill="595959"/>
          </w:tcPr>
          <w:p w:rsidR="00B92FBD" w:rsidRPr="00B92FBD" w:rsidRDefault="00B92FBD" w:rsidP="00C26909">
            <w:pPr>
              <w:snapToGrid w:val="0"/>
              <w:ind w:left="-90" w:right="-108"/>
              <w:jc w:val="center"/>
              <w:rPr>
                <w:b/>
                <w:bCs/>
                <w:color w:val="FFFFFF"/>
                <w:sz w:val="20"/>
                <w:szCs w:val="20"/>
              </w:rPr>
            </w:pPr>
            <w:r w:rsidRPr="00B92FBD">
              <w:rPr>
                <w:b/>
                <w:bCs/>
                <w:color w:val="FFFFFF"/>
                <w:sz w:val="20"/>
                <w:szCs w:val="20"/>
              </w:rPr>
              <w:t>Uchida</w:t>
            </w:r>
          </w:p>
          <w:p w:rsidR="00B92FBD" w:rsidRPr="00B92FBD" w:rsidRDefault="00B92FBD" w:rsidP="00C26909">
            <w:pPr>
              <w:snapToGrid w:val="0"/>
              <w:ind w:left="-90" w:right="-108"/>
              <w:jc w:val="center"/>
              <w:rPr>
                <w:b/>
                <w:bCs/>
                <w:color w:val="FFFFFF"/>
                <w:sz w:val="20"/>
                <w:szCs w:val="20"/>
              </w:rPr>
            </w:pPr>
            <w:r w:rsidRPr="00B92FBD">
              <w:rPr>
                <w:b/>
                <w:bCs/>
                <w:color w:val="FFFFFF"/>
                <w:sz w:val="20"/>
                <w:szCs w:val="20"/>
              </w:rPr>
              <w:t>(2005)</w:t>
            </w:r>
          </w:p>
        </w:tc>
        <w:tc>
          <w:tcPr>
            <w:tcW w:w="990" w:type="dxa"/>
            <w:tcBorders>
              <w:top w:val="single" w:sz="4" w:space="0" w:color="000000"/>
              <w:left w:val="single" w:sz="4" w:space="0" w:color="000000"/>
              <w:bottom w:val="single" w:sz="4" w:space="0" w:color="000000"/>
              <w:right w:val="single" w:sz="4" w:space="0" w:color="000000"/>
            </w:tcBorders>
            <w:shd w:val="clear" w:color="auto" w:fill="595959"/>
          </w:tcPr>
          <w:p w:rsidR="00B92FBD" w:rsidRPr="00B92FBD" w:rsidRDefault="00B92FBD" w:rsidP="00C26909">
            <w:pPr>
              <w:snapToGrid w:val="0"/>
              <w:ind w:left="-108" w:right="-108"/>
              <w:jc w:val="center"/>
              <w:rPr>
                <w:b/>
                <w:bCs/>
                <w:color w:val="FFFFFF"/>
                <w:sz w:val="20"/>
                <w:szCs w:val="20"/>
              </w:rPr>
            </w:pPr>
            <w:r w:rsidRPr="00B92FBD">
              <w:rPr>
                <w:b/>
                <w:bCs/>
                <w:color w:val="FFFFFF"/>
                <w:sz w:val="20"/>
                <w:szCs w:val="20"/>
              </w:rPr>
              <w:t>Vedantam</w:t>
            </w:r>
          </w:p>
          <w:p w:rsidR="00B92FBD" w:rsidRPr="00B92FBD" w:rsidRDefault="00B92FBD" w:rsidP="00C26909">
            <w:pPr>
              <w:snapToGrid w:val="0"/>
              <w:ind w:left="-108" w:right="-108"/>
              <w:jc w:val="center"/>
              <w:rPr>
                <w:b/>
                <w:bCs/>
                <w:color w:val="FFFFFF"/>
                <w:sz w:val="20"/>
                <w:szCs w:val="20"/>
              </w:rPr>
            </w:pPr>
            <w:r w:rsidRPr="00B92FBD">
              <w:rPr>
                <w:b/>
                <w:bCs/>
                <w:color w:val="FFFFFF"/>
                <w:sz w:val="20"/>
                <w:szCs w:val="20"/>
              </w:rPr>
              <w:t>(2011)</w:t>
            </w:r>
          </w:p>
        </w:tc>
        <w:tc>
          <w:tcPr>
            <w:tcW w:w="720" w:type="dxa"/>
            <w:tcBorders>
              <w:top w:val="single" w:sz="4" w:space="0" w:color="000000"/>
              <w:left w:val="single" w:sz="4" w:space="0" w:color="000000"/>
              <w:bottom w:val="single" w:sz="4" w:space="0" w:color="000000"/>
            </w:tcBorders>
            <w:shd w:val="clear" w:color="auto" w:fill="595959"/>
          </w:tcPr>
          <w:p w:rsidR="00B92FBD" w:rsidRPr="00B92FBD" w:rsidRDefault="00B92FBD" w:rsidP="00C26909">
            <w:pPr>
              <w:snapToGrid w:val="0"/>
              <w:ind w:left="-90" w:right="-108"/>
              <w:jc w:val="center"/>
              <w:rPr>
                <w:b/>
                <w:bCs/>
                <w:color w:val="FFFFFF"/>
                <w:sz w:val="20"/>
                <w:szCs w:val="20"/>
              </w:rPr>
            </w:pPr>
            <w:r w:rsidRPr="00B92FBD">
              <w:rPr>
                <w:b/>
                <w:bCs/>
                <w:color w:val="FFFFFF"/>
                <w:sz w:val="20"/>
                <w:szCs w:val="20"/>
              </w:rPr>
              <w:t>Wada</w:t>
            </w:r>
          </w:p>
          <w:p w:rsidR="00B92FBD" w:rsidRPr="00B92FBD" w:rsidRDefault="00B92FBD" w:rsidP="00C26909">
            <w:pPr>
              <w:snapToGrid w:val="0"/>
              <w:ind w:left="-90" w:right="-108"/>
              <w:jc w:val="center"/>
              <w:rPr>
                <w:b/>
                <w:bCs/>
                <w:color w:val="FFFFFF"/>
                <w:sz w:val="20"/>
                <w:szCs w:val="20"/>
              </w:rPr>
            </w:pPr>
            <w:r w:rsidRPr="00B92FBD">
              <w:rPr>
                <w:b/>
                <w:bCs/>
                <w:color w:val="FFFFFF"/>
                <w:sz w:val="20"/>
                <w:szCs w:val="20"/>
              </w:rPr>
              <w:t>(1999)</w:t>
            </w:r>
          </w:p>
        </w:tc>
        <w:tc>
          <w:tcPr>
            <w:tcW w:w="810" w:type="dxa"/>
            <w:tcBorders>
              <w:top w:val="single" w:sz="4" w:space="0" w:color="000000"/>
              <w:left w:val="single" w:sz="4" w:space="0" w:color="000000"/>
              <w:bottom w:val="single" w:sz="4" w:space="0" w:color="000000"/>
              <w:right w:val="single" w:sz="4" w:space="0" w:color="000000"/>
            </w:tcBorders>
            <w:shd w:val="clear" w:color="auto" w:fill="595959"/>
          </w:tcPr>
          <w:p w:rsidR="00B92FBD" w:rsidRPr="00B92FBD" w:rsidRDefault="00B92FBD" w:rsidP="00C26909">
            <w:pPr>
              <w:snapToGrid w:val="0"/>
              <w:ind w:left="-90" w:right="-108"/>
              <w:jc w:val="center"/>
              <w:rPr>
                <w:b/>
                <w:bCs/>
                <w:color w:val="FFFFFF"/>
                <w:sz w:val="20"/>
                <w:szCs w:val="20"/>
              </w:rPr>
            </w:pPr>
            <w:r w:rsidRPr="00B92FBD">
              <w:rPr>
                <w:b/>
                <w:bCs/>
                <w:color w:val="FFFFFF"/>
                <w:sz w:val="20"/>
                <w:szCs w:val="20"/>
              </w:rPr>
              <w:t>Wang</w:t>
            </w:r>
          </w:p>
          <w:p w:rsidR="00B92FBD" w:rsidRPr="00B92FBD" w:rsidRDefault="00B92FBD" w:rsidP="00C26909">
            <w:pPr>
              <w:snapToGrid w:val="0"/>
              <w:ind w:left="-90" w:right="-108"/>
              <w:jc w:val="center"/>
              <w:rPr>
                <w:b/>
                <w:bCs/>
                <w:color w:val="FFFFFF"/>
                <w:sz w:val="20"/>
                <w:szCs w:val="20"/>
              </w:rPr>
            </w:pPr>
            <w:r w:rsidRPr="00B92FBD">
              <w:rPr>
                <w:b/>
                <w:bCs/>
                <w:color w:val="FFFFFF"/>
                <w:sz w:val="20"/>
                <w:szCs w:val="20"/>
              </w:rPr>
              <w:t>(2010)</w:t>
            </w:r>
          </w:p>
        </w:tc>
        <w:tc>
          <w:tcPr>
            <w:tcW w:w="990" w:type="dxa"/>
            <w:tcBorders>
              <w:top w:val="single" w:sz="4" w:space="0" w:color="000000"/>
              <w:left w:val="single" w:sz="4" w:space="0" w:color="000000"/>
              <w:bottom w:val="single" w:sz="4" w:space="0" w:color="000000"/>
              <w:right w:val="single" w:sz="4" w:space="0" w:color="000000"/>
            </w:tcBorders>
            <w:shd w:val="clear" w:color="auto" w:fill="595959"/>
          </w:tcPr>
          <w:p w:rsidR="00B92FBD" w:rsidRPr="00B92FBD" w:rsidRDefault="00B92FBD" w:rsidP="00C26909">
            <w:pPr>
              <w:snapToGrid w:val="0"/>
              <w:ind w:left="-90" w:right="-108"/>
              <w:jc w:val="center"/>
              <w:rPr>
                <w:b/>
                <w:bCs/>
                <w:color w:val="FFFFFF"/>
                <w:sz w:val="20"/>
                <w:szCs w:val="20"/>
              </w:rPr>
            </w:pPr>
            <w:r w:rsidRPr="00B92FBD">
              <w:rPr>
                <w:b/>
                <w:bCs/>
                <w:color w:val="FFFFFF"/>
                <w:sz w:val="20"/>
                <w:szCs w:val="20"/>
              </w:rPr>
              <w:t>Yamazaki</w:t>
            </w:r>
          </w:p>
          <w:p w:rsidR="00B92FBD" w:rsidRPr="00B92FBD" w:rsidRDefault="00B92FBD" w:rsidP="00C26909">
            <w:pPr>
              <w:snapToGrid w:val="0"/>
              <w:ind w:left="-90" w:right="-108"/>
              <w:jc w:val="center"/>
              <w:rPr>
                <w:b/>
                <w:bCs/>
                <w:color w:val="FFFFFF"/>
                <w:sz w:val="20"/>
                <w:szCs w:val="20"/>
              </w:rPr>
            </w:pPr>
            <w:r w:rsidRPr="00B92FBD">
              <w:rPr>
                <w:b/>
                <w:bCs/>
                <w:color w:val="FFFFFF"/>
                <w:sz w:val="20"/>
                <w:szCs w:val="20"/>
              </w:rPr>
              <w:t>(2003)</w:t>
            </w:r>
          </w:p>
        </w:tc>
        <w:tc>
          <w:tcPr>
            <w:tcW w:w="720" w:type="dxa"/>
            <w:tcBorders>
              <w:top w:val="single" w:sz="4" w:space="0" w:color="000000"/>
              <w:left w:val="single" w:sz="4" w:space="0" w:color="000000"/>
              <w:bottom w:val="single" w:sz="4" w:space="0" w:color="000000"/>
              <w:right w:val="single" w:sz="4" w:space="0" w:color="000000"/>
            </w:tcBorders>
            <w:shd w:val="clear" w:color="auto" w:fill="595959"/>
          </w:tcPr>
          <w:p w:rsidR="00B92FBD" w:rsidRPr="00B92FBD" w:rsidRDefault="00B92FBD" w:rsidP="00C26909">
            <w:pPr>
              <w:snapToGrid w:val="0"/>
              <w:ind w:left="-90" w:right="-108"/>
              <w:jc w:val="center"/>
              <w:rPr>
                <w:b/>
                <w:bCs/>
                <w:color w:val="FFFFFF"/>
                <w:sz w:val="20"/>
                <w:szCs w:val="20"/>
              </w:rPr>
            </w:pPr>
            <w:r w:rsidRPr="00B92FBD">
              <w:rPr>
                <w:b/>
                <w:bCs/>
                <w:color w:val="FFFFFF"/>
                <w:sz w:val="20"/>
                <w:szCs w:val="20"/>
              </w:rPr>
              <w:t xml:space="preserve">Zhang </w:t>
            </w:r>
          </w:p>
          <w:p w:rsidR="00B92FBD" w:rsidRPr="00B92FBD" w:rsidRDefault="00B92FBD" w:rsidP="00C26909">
            <w:pPr>
              <w:snapToGrid w:val="0"/>
              <w:ind w:left="-90" w:right="-108"/>
              <w:jc w:val="center"/>
              <w:rPr>
                <w:b/>
                <w:bCs/>
                <w:color w:val="FFFFFF"/>
                <w:sz w:val="20"/>
                <w:szCs w:val="20"/>
              </w:rPr>
            </w:pPr>
            <w:r w:rsidRPr="00B92FBD">
              <w:rPr>
                <w:b/>
                <w:bCs/>
                <w:color w:val="FFFFFF"/>
                <w:sz w:val="20"/>
                <w:szCs w:val="20"/>
              </w:rPr>
              <w:t>(2011)</w:t>
            </w:r>
          </w:p>
        </w:tc>
        <w:tc>
          <w:tcPr>
            <w:tcW w:w="810" w:type="dxa"/>
            <w:tcBorders>
              <w:top w:val="single" w:sz="4" w:space="0" w:color="000000"/>
              <w:left w:val="single" w:sz="4" w:space="0" w:color="000000"/>
              <w:bottom w:val="single" w:sz="4" w:space="0" w:color="000000"/>
              <w:right w:val="single" w:sz="4" w:space="0" w:color="000000"/>
            </w:tcBorders>
            <w:shd w:val="clear" w:color="auto" w:fill="595959"/>
          </w:tcPr>
          <w:p w:rsidR="00B92FBD" w:rsidRPr="00B92FBD" w:rsidRDefault="00B92FBD" w:rsidP="00C26909">
            <w:pPr>
              <w:snapToGrid w:val="0"/>
              <w:ind w:left="-90" w:right="-108"/>
              <w:jc w:val="center"/>
              <w:rPr>
                <w:b/>
                <w:bCs/>
                <w:color w:val="FFFFFF"/>
                <w:sz w:val="20"/>
                <w:szCs w:val="20"/>
              </w:rPr>
            </w:pPr>
            <w:r w:rsidRPr="00B92FBD">
              <w:rPr>
                <w:b/>
                <w:bCs/>
                <w:color w:val="FFFFFF"/>
                <w:sz w:val="20"/>
                <w:szCs w:val="20"/>
              </w:rPr>
              <w:t>Zhang</w:t>
            </w:r>
          </w:p>
          <w:p w:rsidR="00B92FBD" w:rsidRPr="00B92FBD" w:rsidRDefault="00B92FBD" w:rsidP="00C26909">
            <w:pPr>
              <w:snapToGrid w:val="0"/>
              <w:ind w:left="-90" w:right="-108"/>
              <w:jc w:val="center"/>
              <w:rPr>
                <w:b/>
                <w:bCs/>
                <w:color w:val="FFFFFF"/>
                <w:sz w:val="20"/>
                <w:szCs w:val="20"/>
              </w:rPr>
            </w:pPr>
            <w:r w:rsidRPr="00B92FBD">
              <w:rPr>
                <w:b/>
                <w:bCs/>
                <w:color w:val="FFFFFF"/>
                <w:sz w:val="20"/>
                <w:szCs w:val="20"/>
              </w:rPr>
              <w:t>(2010)</w:t>
            </w:r>
          </w:p>
        </w:tc>
      </w:tr>
      <w:tr w:rsidR="00B92FBD" w:rsidRPr="00B92FBD" w:rsidTr="00C26909">
        <w:tc>
          <w:tcPr>
            <w:tcW w:w="2988" w:type="dxa"/>
            <w:tcBorders>
              <w:left w:val="single" w:sz="4" w:space="0" w:color="000000"/>
            </w:tcBorders>
          </w:tcPr>
          <w:p w:rsidR="00B92FBD" w:rsidRPr="00B92FBD" w:rsidRDefault="00B92FBD" w:rsidP="00C26909">
            <w:pPr>
              <w:snapToGrid w:val="0"/>
              <w:rPr>
                <w:sz w:val="20"/>
                <w:szCs w:val="20"/>
              </w:rPr>
            </w:pPr>
            <w:r w:rsidRPr="00B92FBD">
              <w:rPr>
                <w:sz w:val="20"/>
                <w:szCs w:val="20"/>
              </w:rPr>
              <w:t>Study design</w:t>
            </w:r>
          </w:p>
        </w:tc>
        <w:tc>
          <w:tcPr>
            <w:tcW w:w="630" w:type="dxa"/>
            <w:tcBorders>
              <w:left w:val="single" w:sz="4" w:space="0" w:color="000000"/>
            </w:tcBorders>
          </w:tcPr>
          <w:p w:rsidR="00B92FBD" w:rsidRPr="00B92FBD" w:rsidRDefault="00B92FBD" w:rsidP="00C26909">
            <w:pPr>
              <w:snapToGrid w:val="0"/>
              <w:jc w:val="center"/>
              <w:rPr>
                <w:sz w:val="20"/>
                <w:szCs w:val="20"/>
              </w:rPr>
            </w:pPr>
          </w:p>
        </w:tc>
        <w:tc>
          <w:tcPr>
            <w:tcW w:w="720" w:type="dxa"/>
            <w:tcBorders>
              <w:left w:val="single" w:sz="4" w:space="0" w:color="000000"/>
            </w:tcBorders>
          </w:tcPr>
          <w:p w:rsidR="00B92FBD" w:rsidRPr="00B92FBD" w:rsidRDefault="00B92FBD" w:rsidP="00C26909">
            <w:pPr>
              <w:snapToGrid w:val="0"/>
              <w:jc w:val="center"/>
              <w:rPr>
                <w:sz w:val="20"/>
                <w:szCs w:val="20"/>
              </w:rPr>
            </w:pPr>
          </w:p>
        </w:tc>
        <w:tc>
          <w:tcPr>
            <w:tcW w:w="990" w:type="dxa"/>
            <w:tcBorders>
              <w:left w:val="single" w:sz="4" w:space="0" w:color="000000"/>
              <w:right w:val="single" w:sz="4" w:space="0" w:color="000000"/>
            </w:tcBorders>
          </w:tcPr>
          <w:p w:rsidR="00B92FBD" w:rsidRPr="00B92FBD" w:rsidRDefault="00B92FBD" w:rsidP="00C26909">
            <w:pPr>
              <w:snapToGrid w:val="0"/>
              <w:ind w:left="90"/>
              <w:jc w:val="center"/>
              <w:rPr>
                <w:sz w:val="20"/>
                <w:szCs w:val="20"/>
              </w:rPr>
            </w:pPr>
          </w:p>
        </w:tc>
        <w:tc>
          <w:tcPr>
            <w:tcW w:w="720" w:type="dxa"/>
            <w:tcBorders>
              <w:left w:val="single" w:sz="4" w:space="0" w:color="000000"/>
            </w:tcBorders>
          </w:tcPr>
          <w:p w:rsidR="00B92FBD" w:rsidRPr="00B92FBD" w:rsidRDefault="00B92FBD" w:rsidP="00C26909">
            <w:pPr>
              <w:snapToGrid w:val="0"/>
              <w:jc w:val="center"/>
              <w:rPr>
                <w:sz w:val="20"/>
                <w:szCs w:val="20"/>
              </w:rPr>
            </w:pPr>
          </w:p>
        </w:tc>
        <w:tc>
          <w:tcPr>
            <w:tcW w:w="810" w:type="dxa"/>
            <w:tcBorders>
              <w:left w:val="single" w:sz="4" w:space="0" w:color="000000"/>
              <w:right w:val="single" w:sz="4" w:space="0" w:color="000000"/>
            </w:tcBorders>
          </w:tcPr>
          <w:p w:rsidR="00B92FBD" w:rsidRPr="00B92FBD" w:rsidRDefault="00B92FBD" w:rsidP="00C26909">
            <w:pPr>
              <w:snapToGrid w:val="0"/>
              <w:jc w:val="center"/>
              <w:rPr>
                <w:sz w:val="20"/>
                <w:szCs w:val="20"/>
              </w:rPr>
            </w:pPr>
          </w:p>
        </w:tc>
        <w:tc>
          <w:tcPr>
            <w:tcW w:w="990" w:type="dxa"/>
            <w:tcBorders>
              <w:left w:val="single" w:sz="4" w:space="0" w:color="000000"/>
              <w:right w:val="single" w:sz="4" w:space="0" w:color="000000"/>
            </w:tcBorders>
          </w:tcPr>
          <w:p w:rsidR="00B92FBD" w:rsidRPr="00B92FBD" w:rsidRDefault="00B92FBD" w:rsidP="00C26909">
            <w:pPr>
              <w:snapToGrid w:val="0"/>
              <w:jc w:val="center"/>
              <w:rPr>
                <w:sz w:val="20"/>
                <w:szCs w:val="20"/>
              </w:rPr>
            </w:pPr>
          </w:p>
        </w:tc>
        <w:tc>
          <w:tcPr>
            <w:tcW w:w="720" w:type="dxa"/>
            <w:tcBorders>
              <w:left w:val="single" w:sz="4" w:space="0" w:color="000000"/>
              <w:right w:val="single" w:sz="4" w:space="0" w:color="000000"/>
            </w:tcBorders>
          </w:tcPr>
          <w:p w:rsidR="00B92FBD" w:rsidRPr="00B92FBD" w:rsidRDefault="00B92FBD" w:rsidP="00C26909">
            <w:pPr>
              <w:snapToGrid w:val="0"/>
              <w:jc w:val="center"/>
              <w:rPr>
                <w:sz w:val="20"/>
                <w:szCs w:val="20"/>
              </w:rPr>
            </w:pPr>
          </w:p>
        </w:tc>
        <w:tc>
          <w:tcPr>
            <w:tcW w:w="810" w:type="dxa"/>
            <w:tcBorders>
              <w:left w:val="single" w:sz="4" w:space="0" w:color="000000"/>
              <w:right w:val="single" w:sz="4" w:space="0" w:color="000000"/>
            </w:tcBorders>
          </w:tcPr>
          <w:p w:rsidR="00B92FBD" w:rsidRPr="00B92FBD" w:rsidRDefault="00B92FBD" w:rsidP="00C26909">
            <w:pPr>
              <w:snapToGrid w:val="0"/>
              <w:jc w:val="center"/>
              <w:rPr>
                <w:sz w:val="20"/>
                <w:szCs w:val="20"/>
              </w:rPr>
            </w:pPr>
          </w:p>
        </w:tc>
      </w:tr>
      <w:tr w:rsidR="00B92FBD" w:rsidRPr="00B92FBD" w:rsidTr="00C26909">
        <w:tc>
          <w:tcPr>
            <w:tcW w:w="2988" w:type="dxa"/>
            <w:tcBorders>
              <w:left w:val="single" w:sz="4" w:space="0" w:color="000000"/>
            </w:tcBorders>
          </w:tcPr>
          <w:p w:rsidR="00B92FBD" w:rsidRPr="00B92FBD" w:rsidRDefault="00B92FBD" w:rsidP="00C26909">
            <w:pPr>
              <w:snapToGrid w:val="0"/>
              <w:ind w:left="180"/>
              <w:rPr>
                <w:sz w:val="20"/>
                <w:szCs w:val="20"/>
              </w:rPr>
            </w:pPr>
            <w:r w:rsidRPr="00B92FBD">
              <w:rPr>
                <w:sz w:val="20"/>
                <w:szCs w:val="20"/>
              </w:rPr>
              <w:t>Prospective cohort* study</w:t>
            </w:r>
          </w:p>
        </w:tc>
        <w:tc>
          <w:tcPr>
            <w:tcW w:w="630" w:type="dxa"/>
            <w:tcBorders>
              <w:left w:val="single" w:sz="4" w:space="0" w:color="000000"/>
            </w:tcBorders>
          </w:tcPr>
          <w:p w:rsidR="00B92FBD" w:rsidRPr="00B92FBD" w:rsidRDefault="00B92FBD" w:rsidP="00C26909">
            <w:pPr>
              <w:snapToGrid w:val="0"/>
              <w:jc w:val="center"/>
              <w:rPr>
                <w:sz w:val="20"/>
                <w:szCs w:val="20"/>
              </w:rPr>
            </w:pPr>
          </w:p>
        </w:tc>
        <w:tc>
          <w:tcPr>
            <w:tcW w:w="720" w:type="dxa"/>
            <w:tcBorders>
              <w:left w:val="single" w:sz="4" w:space="0" w:color="000000"/>
            </w:tcBorders>
          </w:tcPr>
          <w:p w:rsidR="00B92FBD" w:rsidRPr="00B92FBD" w:rsidRDefault="00B92FBD" w:rsidP="00C26909">
            <w:pPr>
              <w:snapToGrid w:val="0"/>
              <w:jc w:val="center"/>
              <w:rPr>
                <w:sz w:val="20"/>
                <w:szCs w:val="20"/>
              </w:rPr>
            </w:pPr>
          </w:p>
        </w:tc>
        <w:tc>
          <w:tcPr>
            <w:tcW w:w="990" w:type="dxa"/>
            <w:tcBorders>
              <w:left w:val="single" w:sz="4" w:space="0" w:color="000000"/>
              <w:right w:val="single" w:sz="4" w:space="0" w:color="000000"/>
            </w:tcBorders>
          </w:tcPr>
          <w:p w:rsidR="00B92FBD" w:rsidRPr="00B92FBD" w:rsidRDefault="00B92FBD" w:rsidP="00C26909">
            <w:pPr>
              <w:snapToGrid w:val="0"/>
              <w:ind w:left="90"/>
              <w:jc w:val="center"/>
              <w:rPr>
                <w:rFonts w:ascii="Webdings" w:hAnsi="Webdings"/>
                <w:sz w:val="20"/>
                <w:szCs w:val="20"/>
              </w:rPr>
            </w:pPr>
          </w:p>
        </w:tc>
        <w:tc>
          <w:tcPr>
            <w:tcW w:w="720" w:type="dxa"/>
            <w:tcBorders>
              <w:left w:val="single" w:sz="4" w:space="0" w:color="000000"/>
            </w:tcBorders>
          </w:tcPr>
          <w:p w:rsidR="00B92FBD" w:rsidRPr="00B92FBD" w:rsidRDefault="00B92FBD" w:rsidP="00C26909">
            <w:pPr>
              <w:snapToGrid w:val="0"/>
              <w:jc w:val="center"/>
              <w:rPr>
                <w:sz w:val="20"/>
                <w:szCs w:val="20"/>
              </w:rPr>
            </w:pPr>
          </w:p>
        </w:tc>
        <w:tc>
          <w:tcPr>
            <w:tcW w:w="810" w:type="dxa"/>
            <w:tcBorders>
              <w:left w:val="single" w:sz="4" w:space="0" w:color="000000"/>
              <w:right w:val="single" w:sz="4" w:space="0" w:color="000000"/>
            </w:tcBorders>
          </w:tcPr>
          <w:p w:rsidR="00B92FBD" w:rsidRPr="00B92FBD" w:rsidRDefault="00B92FBD" w:rsidP="00C26909">
            <w:pPr>
              <w:snapToGrid w:val="0"/>
              <w:jc w:val="center"/>
              <w:rPr>
                <w:sz w:val="20"/>
                <w:szCs w:val="20"/>
              </w:rPr>
            </w:pPr>
          </w:p>
        </w:tc>
        <w:tc>
          <w:tcPr>
            <w:tcW w:w="990" w:type="dxa"/>
            <w:tcBorders>
              <w:left w:val="single" w:sz="4" w:space="0" w:color="000000"/>
              <w:right w:val="single" w:sz="4" w:space="0" w:color="000000"/>
            </w:tcBorders>
          </w:tcPr>
          <w:p w:rsidR="00B92FBD" w:rsidRPr="00B92FBD" w:rsidRDefault="00B92FBD" w:rsidP="00C26909">
            <w:pPr>
              <w:snapToGrid w:val="0"/>
              <w:jc w:val="center"/>
              <w:rPr>
                <w:sz w:val="20"/>
                <w:szCs w:val="20"/>
              </w:rPr>
            </w:pPr>
          </w:p>
        </w:tc>
        <w:tc>
          <w:tcPr>
            <w:tcW w:w="720" w:type="dxa"/>
            <w:tcBorders>
              <w:left w:val="single" w:sz="4" w:space="0" w:color="000000"/>
              <w:right w:val="single" w:sz="4" w:space="0" w:color="000000"/>
            </w:tcBorders>
          </w:tcPr>
          <w:p w:rsidR="00B92FBD" w:rsidRPr="00B92FBD" w:rsidRDefault="00B92FBD" w:rsidP="00C26909">
            <w:pPr>
              <w:snapToGrid w:val="0"/>
              <w:jc w:val="center"/>
              <w:rPr>
                <w:sz w:val="20"/>
                <w:szCs w:val="20"/>
              </w:rPr>
            </w:pPr>
          </w:p>
        </w:tc>
        <w:tc>
          <w:tcPr>
            <w:tcW w:w="810" w:type="dxa"/>
            <w:tcBorders>
              <w:left w:val="single" w:sz="4" w:space="0" w:color="000000"/>
              <w:right w:val="single" w:sz="4" w:space="0" w:color="000000"/>
            </w:tcBorders>
          </w:tcPr>
          <w:p w:rsidR="00B92FBD" w:rsidRPr="00B92FBD" w:rsidRDefault="00B92FBD" w:rsidP="00C26909">
            <w:pPr>
              <w:snapToGrid w:val="0"/>
              <w:jc w:val="center"/>
              <w:rPr>
                <w:sz w:val="20"/>
                <w:szCs w:val="20"/>
              </w:rPr>
            </w:pPr>
          </w:p>
        </w:tc>
      </w:tr>
      <w:tr w:rsidR="00B92FBD" w:rsidRPr="00B92FBD" w:rsidTr="00C26909">
        <w:tc>
          <w:tcPr>
            <w:tcW w:w="2988" w:type="dxa"/>
            <w:tcBorders>
              <w:left w:val="single" w:sz="4" w:space="0" w:color="000000"/>
            </w:tcBorders>
          </w:tcPr>
          <w:p w:rsidR="00B92FBD" w:rsidRPr="00B92FBD" w:rsidRDefault="00B92FBD" w:rsidP="00C26909">
            <w:pPr>
              <w:snapToGrid w:val="0"/>
              <w:ind w:left="180"/>
              <w:rPr>
                <w:sz w:val="20"/>
                <w:szCs w:val="20"/>
              </w:rPr>
            </w:pPr>
            <w:r w:rsidRPr="00B92FBD">
              <w:rPr>
                <w:sz w:val="20"/>
                <w:szCs w:val="20"/>
              </w:rPr>
              <w:t>Retrospective cohort* study</w:t>
            </w:r>
          </w:p>
        </w:tc>
        <w:tc>
          <w:tcPr>
            <w:tcW w:w="630" w:type="dxa"/>
            <w:tcBorders>
              <w:left w:val="single" w:sz="4" w:space="0" w:color="000000"/>
            </w:tcBorders>
          </w:tcPr>
          <w:p w:rsidR="00B92FBD" w:rsidRPr="00B92FBD" w:rsidRDefault="00B92FBD" w:rsidP="00C26909">
            <w:pPr>
              <w:snapToGrid w:val="0"/>
              <w:jc w:val="center"/>
              <w:rPr>
                <w:sz w:val="20"/>
                <w:szCs w:val="20"/>
              </w:rPr>
            </w:pPr>
            <w:r w:rsidRPr="00B92FBD">
              <w:rPr>
                <w:b/>
                <w:sz w:val="20"/>
                <w:szCs w:val="20"/>
              </w:rPr>
              <w:sym w:font="Wingdings 2" w:char="F050"/>
            </w:r>
          </w:p>
        </w:tc>
        <w:tc>
          <w:tcPr>
            <w:tcW w:w="720" w:type="dxa"/>
            <w:tcBorders>
              <w:left w:val="single" w:sz="4" w:space="0" w:color="000000"/>
            </w:tcBorders>
          </w:tcPr>
          <w:p w:rsidR="00B92FBD" w:rsidRPr="00B92FBD" w:rsidRDefault="00B92FBD" w:rsidP="00C26909">
            <w:pPr>
              <w:snapToGrid w:val="0"/>
              <w:jc w:val="center"/>
              <w:rPr>
                <w:sz w:val="20"/>
                <w:szCs w:val="20"/>
              </w:rPr>
            </w:pPr>
            <w:r w:rsidRPr="00B92FBD">
              <w:rPr>
                <w:b/>
                <w:sz w:val="20"/>
                <w:szCs w:val="20"/>
              </w:rPr>
              <w:sym w:font="Wingdings 2" w:char="F050"/>
            </w:r>
          </w:p>
        </w:tc>
        <w:tc>
          <w:tcPr>
            <w:tcW w:w="990" w:type="dxa"/>
            <w:tcBorders>
              <w:left w:val="single" w:sz="4" w:space="0" w:color="000000"/>
              <w:right w:val="single" w:sz="4" w:space="0" w:color="000000"/>
            </w:tcBorders>
          </w:tcPr>
          <w:p w:rsidR="00B92FBD" w:rsidRPr="00B92FBD" w:rsidRDefault="00B92FBD" w:rsidP="00C26909">
            <w:pPr>
              <w:snapToGrid w:val="0"/>
              <w:jc w:val="center"/>
              <w:rPr>
                <w:sz w:val="20"/>
                <w:szCs w:val="20"/>
              </w:rPr>
            </w:pPr>
            <w:r w:rsidRPr="00B92FBD">
              <w:rPr>
                <w:b/>
                <w:sz w:val="20"/>
                <w:szCs w:val="20"/>
              </w:rPr>
              <w:sym w:font="Wingdings 2" w:char="F050"/>
            </w:r>
          </w:p>
        </w:tc>
        <w:tc>
          <w:tcPr>
            <w:tcW w:w="720" w:type="dxa"/>
            <w:tcBorders>
              <w:left w:val="single" w:sz="4" w:space="0" w:color="000000"/>
            </w:tcBorders>
          </w:tcPr>
          <w:p w:rsidR="00B92FBD" w:rsidRPr="00B92FBD" w:rsidRDefault="00B92FBD" w:rsidP="00C26909">
            <w:pPr>
              <w:snapToGrid w:val="0"/>
              <w:jc w:val="center"/>
              <w:rPr>
                <w:sz w:val="20"/>
                <w:szCs w:val="20"/>
              </w:rPr>
            </w:pPr>
            <w:r w:rsidRPr="00B92FBD">
              <w:rPr>
                <w:b/>
                <w:sz w:val="20"/>
                <w:szCs w:val="20"/>
              </w:rPr>
              <w:sym w:font="Wingdings 2" w:char="F050"/>
            </w:r>
          </w:p>
        </w:tc>
        <w:tc>
          <w:tcPr>
            <w:tcW w:w="810" w:type="dxa"/>
            <w:tcBorders>
              <w:left w:val="single" w:sz="4" w:space="0" w:color="000000"/>
              <w:right w:val="single" w:sz="4" w:space="0" w:color="000000"/>
            </w:tcBorders>
          </w:tcPr>
          <w:p w:rsidR="00B92FBD" w:rsidRPr="00B92FBD" w:rsidRDefault="00B92FBD" w:rsidP="00C26909">
            <w:pPr>
              <w:snapToGrid w:val="0"/>
              <w:jc w:val="center"/>
              <w:rPr>
                <w:sz w:val="20"/>
                <w:szCs w:val="20"/>
              </w:rPr>
            </w:pPr>
            <w:r w:rsidRPr="00B92FBD">
              <w:rPr>
                <w:b/>
                <w:sz w:val="20"/>
                <w:szCs w:val="20"/>
              </w:rPr>
              <w:sym w:font="Wingdings 2" w:char="F050"/>
            </w:r>
          </w:p>
        </w:tc>
        <w:tc>
          <w:tcPr>
            <w:tcW w:w="990" w:type="dxa"/>
            <w:tcBorders>
              <w:left w:val="single" w:sz="4" w:space="0" w:color="000000"/>
              <w:right w:val="single" w:sz="4" w:space="0" w:color="000000"/>
            </w:tcBorders>
          </w:tcPr>
          <w:p w:rsidR="00B92FBD" w:rsidRPr="00B92FBD" w:rsidRDefault="00B92FBD" w:rsidP="00C26909">
            <w:pPr>
              <w:snapToGrid w:val="0"/>
              <w:jc w:val="center"/>
              <w:rPr>
                <w:sz w:val="20"/>
                <w:szCs w:val="20"/>
              </w:rPr>
            </w:pPr>
            <w:r w:rsidRPr="00B92FBD">
              <w:rPr>
                <w:b/>
                <w:sz w:val="20"/>
                <w:szCs w:val="20"/>
              </w:rPr>
              <w:sym w:font="Wingdings 2" w:char="F050"/>
            </w:r>
          </w:p>
        </w:tc>
        <w:tc>
          <w:tcPr>
            <w:tcW w:w="720" w:type="dxa"/>
            <w:tcBorders>
              <w:left w:val="single" w:sz="4" w:space="0" w:color="000000"/>
              <w:right w:val="single" w:sz="4" w:space="0" w:color="000000"/>
            </w:tcBorders>
          </w:tcPr>
          <w:p w:rsidR="00B92FBD" w:rsidRPr="00B92FBD" w:rsidRDefault="00B92FBD" w:rsidP="00C26909">
            <w:pPr>
              <w:snapToGrid w:val="0"/>
              <w:jc w:val="center"/>
              <w:rPr>
                <w:sz w:val="20"/>
                <w:szCs w:val="20"/>
              </w:rPr>
            </w:pPr>
            <w:r w:rsidRPr="00B92FBD">
              <w:rPr>
                <w:b/>
                <w:sz w:val="20"/>
                <w:szCs w:val="20"/>
              </w:rPr>
              <w:sym w:font="Wingdings 2" w:char="F050"/>
            </w:r>
          </w:p>
        </w:tc>
        <w:tc>
          <w:tcPr>
            <w:tcW w:w="810" w:type="dxa"/>
            <w:tcBorders>
              <w:left w:val="single" w:sz="4" w:space="0" w:color="000000"/>
              <w:right w:val="single" w:sz="4" w:space="0" w:color="000000"/>
            </w:tcBorders>
          </w:tcPr>
          <w:p w:rsidR="00B92FBD" w:rsidRPr="00B92FBD" w:rsidRDefault="00B92FBD" w:rsidP="00C26909">
            <w:pPr>
              <w:snapToGrid w:val="0"/>
              <w:jc w:val="center"/>
              <w:rPr>
                <w:sz w:val="20"/>
                <w:szCs w:val="20"/>
              </w:rPr>
            </w:pPr>
            <w:r w:rsidRPr="00B92FBD">
              <w:rPr>
                <w:b/>
                <w:sz w:val="20"/>
                <w:szCs w:val="20"/>
              </w:rPr>
              <w:sym w:font="Wingdings 2" w:char="F050"/>
            </w:r>
          </w:p>
        </w:tc>
      </w:tr>
      <w:tr w:rsidR="00B92FBD" w:rsidRPr="00B92FBD" w:rsidTr="00C26909">
        <w:tc>
          <w:tcPr>
            <w:tcW w:w="2988" w:type="dxa"/>
            <w:tcBorders>
              <w:left w:val="single" w:sz="4" w:space="0" w:color="000000"/>
            </w:tcBorders>
          </w:tcPr>
          <w:p w:rsidR="00B92FBD" w:rsidRPr="00B92FBD" w:rsidRDefault="00B92FBD" w:rsidP="00C26909">
            <w:pPr>
              <w:snapToGrid w:val="0"/>
              <w:ind w:left="180"/>
              <w:rPr>
                <w:sz w:val="20"/>
                <w:szCs w:val="20"/>
              </w:rPr>
            </w:pPr>
            <w:r w:rsidRPr="00B92FBD">
              <w:rPr>
                <w:sz w:val="20"/>
                <w:szCs w:val="20"/>
              </w:rPr>
              <w:t>Case-control study</w:t>
            </w:r>
          </w:p>
        </w:tc>
        <w:tc>
          <w:tcPr>
            <w:tcW w:w="630" w:type="dxa"/>
            <w:tcBorders>
              <w:left w:val="single" w:sz="4" w:space="0" w:color="000000"/>
            </w:tcBorders>
          </w:tcPr>
          <w:p w:rsidR="00B92FBD" w:rsidRPr="00B92FBD" w:rsidRDefault="00B92FBD" w:rsidP="00C26909">
            <w:pPr>
              <w:snapToGrid w:val="0"/>
              <w:jc w:val="center"/>
              <w:rPr>
                <w:sz w:val="20"/>
                <w:szCs w:val="20"/>
              </w:rPr>
            </w:pPr>
          </w:p>
        </w:tc>
        <w:tc>
          <w:tcPr>
            <w:tcW w:w="720" w:type="dxa"/>
            <w:tcBorders>
              <w:left w:val="single" w:sz="4" w:space="0" w:color="000000"/>
            </w:tcBorders>
          </w:tcPr>
          <w:p w:rsidR="00B92FBD" w:rsidRPr="00B92FBD" w:rsidRDefault="00B92FBD" w:rsidP="00C26909">
            <w:pPr>
              <w:snapToGrid w:val="0"/>
              <w:jc w:val="center"/>
              <w:rPr>
                <w:sz w:val="20"/>
                <w:szCs w:val="20"/>
              </w:rPr>
            </w:pPr>
          </w:p>
        </w:tc>
        <w:tc>
          <w:tcPr>
            <w:tcW w:w="990" w:type="dxa"/>
            <w:tcBorders>
              <w:left w:val="single" w:sz="4" w:space="0" w:color="000000"/>
              <w:right w:val="single" w:sz="4" w:space="0" w:color="000000"/>
            </w:tcBorders>
          </w:tcPr>
          <w:p w:rsidR="00B92FBD" w:rsidRPr="00B92FBD" w:rsidRDefault="00B92FBD" w:rsidP="00C26909">
            <w:pPr>
              <w:snapToGrid w:val="0"/>
              <w:ind w:left="90"/>
              <w:jc w:val="center"/>
              <w:rPr>
                <w:sz w:val="20"/>
                <w:szCs w:val="20"/>
              </w:rPr>
            </w:pPr>
          </w:p>
        </w:tc>
        <w:tc>
          <w:tcPr>
            <w:tcW w:w="720" w:type="dxa"/>
            <w:tcBorders>
              <w:left w:val="single" w:sz="4" w:space="0" w:color="000000"/>
            </w:tcBorders>
          </w:tcPr>
          <w:p w:rsidR="00B92FBD" w:rsidRPr="00B92FBD" w:rsidRDefault="00B92FBD" w:rsidP="00C26909">
            <w:pPr>
              <w:snapToGrid w:val="0"/>
              <w:jc w:val="center"/>
              <w:rPr>
                <w:sz w:val="20"/>
                <w:szCs w:val="20"/>
              </w:rPr>
            </w:pPr>
          </w:p>
        </w:tc>
        <w:tc>
          <w:tcPr>
            <w:tcW w:w="810" w:type="dxa"/>
            <w:tcBorders>
              <w:left w:val="single" w:sz="4" w:space="0" w:color="000000"/>
              <w:right w:val="single" w:sz="4" w:space="0" w:color="000000"/>
            </w:tcBorders>
          </w:tcPr>
          <w:p w:rsidR="00B92FBD" w:rsidRPr="00B92FBD" w:rsidRDefault="00B92FBD" w:rsidP="00C26909">
            <w:pPr>
              <w:snapToGrid w:val="0"/>
              <w:jc w:val="center"/>
              <w:rPr>
                <w:sz w:val="20"/>
                <w:szCs w:val="20"/>
              </w:rPr>
            </w:pPr>
          </w:p>
        </w:tc>
        <w:tc>
          <w:tcPr>
            <w:tcW w:w="990" w:type="dxa"/>
            <w:tcBorders>
              <w:left w:val="single" w:sz="4" w:space="0" w:color="000000"/>
              <w:right w:val="single" w:sz="4" w:space="0" w:color="000000"/>
            </w:tcBorders>
          </w:tcPr>
          <w:p w:rsidR="00B92FBD" w:rsidRPr="00B92FBD" w:rsidRDefault="00B92FBD" w:rsidP="00C26909">
            <w:pPr>
              <w:snapToGrid w:val="0"/>
              <w:jc w:val="center"/>
              <w:rPr>
                <w:sz w:val="20"/>
                <w:szCs w:val="20"/>
              </w:rPr>
            </w:pPr>
          </w:p>
        </w:tc>
        <w:tc>
          <w:tcPr>
            <w:tcW w:w="720" w:type="dxa"/>
            <w:tcBorders>
              <w:left w:val="single" w:sz="4" w:space="0" w:color="000000"/>
              <w:right w:val="single" w:sz="4" w:space="0" w:color="000000"/>
            </w:tcBorders>
          </w:tcPr>
          <w:p w:rsidR="00B92FBD" w:rsidRPr="00B92FBD" w:rsidRDefault="00B92FBD" w:rsidP="00C26909">
            <w:pPr>
              <w:snapToGrid w:val="0"/>
              <w:jc w:val="center"/>
              <w:rPr>
                <w:sz w:val="20"/>
                <w:szCs w:val="20"/>
              </w:rPr>
            </w:pPr>
          </w:p>
        </w:tc>
        <w:tc>
          <w:tcPr>
            <w:tcW w:w="810" w:type="dxa"/>
            <w:tcBorders>
              <w:left w:val="single" w:sz="4" w:space="0" w:color="000000"/>
              <w:right w:val="single" w:sz="4" w:space="0" w:color="000000"/>
            </w:tcBorders>
          </w:tcPr>
          <w:p w:rsidR="00B92FBD" w:rsidRPr="00B92FBD" w:rsidRDefault="00B92FBD" w:rsidP="00C26909">
            <w:pPr>
              <w:snapToGrid w:val="0"/>
              <w:jc w:val="center"/>
              <w:rPr>
                <w:sz w:val="20"/>
                <w:szCs w:val="20"/>
              </w:rPr>
            </w:pPr>
          </w:p>
        </w:tc>
      </w:tr>
      <w:tr w:rsidR="00B92FBD" w:rsidRPr="00B92FBD" w:rsidTr="00C26909">
        <w:tc>
          <w:tcPr>
            <w:tcW w:w="2988" w:type="dxa"/>
            <w:tcBorders>
              <w:left w:val="single" w:sz="4" w:space="0" w:color="000000"/>
              <w:bottom w:val="single" w:sz="12" w:space="0" w:color="000000"/>
            </w:tcBorders>
          </w:tcPr>
          <w:p w:rsidR="00B92FBD" w:rsidRPr="00B92FBD" w:rsidRDefault="00B92FBD" w:rsidP="00C26909">
            <w:pPr>
              <w:snapToGrid w:val="0"/>
              <w:ind w:left="180"/>
              <w:rPr>
                <w:sz w:val="20"/>
                <w:szCs w:val="20"/>
              </w:rPr>
            </w:pPr>
            <w:r w:rsidRPr="00B92FBD">
              <w:rPr>
                <w:sz w:val="20"/>
                <w:szCs w:val="20"/>
              </w:rPr>
              <w:lastRenderedPageBreak/>
              <w:t xml:space="preserve">Case-series </w:t>
            </w:r>
          </w:p>
        </w:tc>
        <w:tc>
          <w:tcPr>
            <w:tcW w:w="630" w:type="dxa"/>
            <w:tcBorders>
              <w:left w:val="single" w:sz="4" w:space="0" w:color="000000"/>
              <w:bottom w:val="single" w:sz="12" w:space="0" w:color="000000"/>
            </w:tcBorders>
          </w:tcPr>
          <w:p w:rsidR="00B92FBD" w:rsidRPr="00B92FBD" w:rsidRDefault="00B92FBD" w:rsidP="00C26909">
            <w:pPr>
              <w:snapToGrid w:val="0"/>
              <w:jc w:val="center"/>
              <w:rPr>
                <w:sz w:val="20"/>
                <w:szCs w:val="20"/>
              </w:rPr>
            </w:pPr>
          </w:p>
        </w:tc>
        <w:tc>
          <w:tcPr>
            <w:tcW w:w="720" w:type="dxa"/>
            <w:tcBorders>
              <w:left w:val="single" w:sz="4" w:space="0" w:color="000000"/>
              <w:bottom w:val="single" w:sz="12" w:space="0" w:color="000000"/>
            </w:tcBorders>
          </w:tcPr>
          <w:p w:rsidR="00B92FBD" w:rsidRPr="00B92FBD" w:rsidRDefault="00B92FBD" w:rsidP="00C26909">
            <w:pPr>
              <w:snapToGrid w:val="0"/>
              <w:jc w:val="center"/>
              <w:rPr>
                <w:sz w:val="20"/>
                <w:szCs w:val="20"/>
              </w:rPr>
            </w:pPr>
          </w:p>
        </w:tc>
        <w:tc>
          <w:tcPr>
            <w:tcW w:w="990" w:type="dxa"/>
            <w:tcBorders>
              <w:left w:val="single" w:sz="4" w:space="0" w:color="000000"/>
              <w:bottom w:val="single" w:sz="12" w:space="0" w:color="000000"/>
              <w:right w:val="single" w:sz="4" w:space="0" w:color="000000"/>
            </w:tcBorders>
            <w:vAlign w:val="center"/>
          </w:tcPr>
          <w:p w:rsidR="00B92FBD" w:rsidRPr="00B92FBD" w:rsidRDefault="00B92FBD" w:rsidP="00C26909">
            <w:pPr>
              <w:snapToGrid w:val="0"/>
              <w:ind w:left="90"/>
              <w:jc w:val="center"/>
              <w:rPr>
                <w:sz w:val="20"/>
                <w:szCs w:val="20"/>
              </w:rPr>
            </w:pPr>
          </w:p>
        </w:tc>
        <w:tc>
          <w:tcPr>
            <w:tcW w:w="720" w:type="dxa"/>
            <w:tcBorders>
              <w:left w:val="single" w:sz="4" w:space="0" w:color="000000"/>
              <w:bottom w:val="single" w:sz="12" w:space="0" w:color="000000"/>
            </w:tcBorders>
          </w:tcPr>
          <w:p w:rsidR="00B92FBD" w:rsidRPr="00B92FBD" w:rsidRDefault="00B92FBD" w:rsidP="00C26909">
            <w:pPr>
              <w:snapToGrid w:val="0"/>
              <w:jc w:val="center"/>
              <w:rPr>
                <w:sz w:val="20"/>
                <w:szCs w:val="20"/>
              </w:rPr>
            </w:pPr>
          </w:p>
        </w:tc>
        <w:tc>
          <w:tcPr>
            <w:tcW w:w="810" w:type="dxa"/>
            <w:tcBorders>
              <w:left w:val="single" w:sz="4" w:space="0" w:color="000000"/>
              <w:bottom w:val="single" w:sz="12" w:space="0" w:color="000000"/>
              <w:right w:val="single" w:sz="4" w:space="0" w:color="000000"/>
            </w:tcBorders>
          </w:tcPr>
          <w:p w:rsidR="00B92FBD" w:rsidRPr="00B92FBD" w:rsidRDefault="00B92FBD" w:rsidP="00C26909">
            <w:pPr>
              <w:snapToGrid w:val="0"/>
              <w:jc w:val="center"/>
              <w:rPr>
                <w:sz w:val="20"/>
                <w:szCs w:val="20"/>
              </w:rPr>
            </w:pPr>
          </w:p>
        </w:tc>
        <w:tc>
          <w:tcPr>
            <w:tcW w:w="990" w:type="dxa"/>
            <w:tcBorders>
              <w:left w:val="single" w:sz="4" w:space="0" w:color="000000"/>
              <w:bottom w:val="single" w:sz="12" w:space="0" w:color="000000"/>
              <w:right w:val="single" w:sz="4" w:space="0" w:color="000000"/>
            </w:tcBorders>
          </w:tcPr>
          <w:p w:rsidR="00B92FBD" w:rsidRPr="00B92FBD" w:rsidRDefault="00B92FBD" w:rsidP="00C26909">
            <w:pPr>
              <w:snapToGrid w:val="0"/>
              <w:jc w:val="center"/>
              <w:rPr>
                <w:sz w:val="20"/>
                <w:szCs w:val="20"/>
              </w:rPr>
            </w:pPr>
          </w:p>
        </w:tc>
        <w:tc>
          <w:tcPr>
            <w:tcW w:w="720" w:type="dxa"/>
            <w:tcBorders>
              <w:left w:val="single" w:sz="4" w:space="0" w:color="000000"/>
              <w:bottom w:val="single" w:sz="12" w:space="0" w:color="000000"/>
              <w:right w:val="single" w:sz="4" w:space="0" w:color="000000"/>
            </w:tcBorders>
          </w:tcPr>
          <w:p w:rsidR="00B92FBD" w:rsidRPr="00B92FBD" w:rsidRDefault="00B92FBD" w:rsidP="00C26909">
            <w:pPr>
              <w:snapToGrid w:val="0"/>
              <w:jc w:val="center"/>
              <w:rPr>
                <w:sz w:val="20"/>
                <w:szCs w:val="20"/>
              </w:rPr>
            </w:pPr>
          </w:p>
        </w:tc>
        <w:tc>
          <w:tcPr>
            <w:tcW w:w="810" w:type="dxa"/>
            <w:tcBorders>
              <w:left w:val="single" w:sz="4" w:space="0" w:color="000000"/>
              <w:bottom w:val="single" w:sz="12" w:space="0" w:color="000000"/>
              <w:right w:val="single" w:sz="4" w:space="0" w:color="000000"/>
            </w:tcBorders>
          </w:tcPr>
          <w:p w:rsidR="00B92FBD" w:rsidRPr="00B92FBD" w:rsidRDefault="00B92FBD" w:rsidP="00C26909">
            <w:pPr>
              <w:snapToGrid w:val="0"/>
              <w:jc w:val="center"/>
              <w:rPr>
                <w:sz w:val="20"/>
                <w:szCs w:val="20"/>
              </w:rPr>
            </w:pPr>
          </w:p>
        </w:tc>
      </w:tr>
      <w:tr w:rsidR="00B92FBD" w:rsidRPr="00B92FBD" w:rsidTr="00C26909">
        <w:tc>
          <w:tcPr>
            <w:tcW w:w="2988" w:type="dxa"/>
            <w:tcBorders>
              <w:left w:val="single" w:sz="4" w:space="0" w:color="000000"/>
              <w:bottom w:val="single" w:sz="4" w:space="0" w:color="000000"/>
            </w:tcBorders>
          </w:tcPr>
          <w:p w:rsidR="00B92FBD" w:rsidRPr="00B92FBD" w:rsidRDefault="00B92FBD" w:rsidP="00C26909">
            <w:pPr>
              <w:rPr>
                <w:sz w:val="20"/>
                <w:szCs w:val="20"/>
              </w:rPr>
            </w:pPr>
            <w:r w:rsidRPr="00B92FBD">
              <w:rPr>
                <w:sz w:val="20"/>
                <w:szCs w:val="20"/>
                <w:u w:val="single"/>
              </w:rPr>
              <w:t>For cohort study:</w:t>
            </w:r>
            <w:r w:rsidRPr="00B92FBD">
              <w:rPr>
                <w:sz w:val="20"/>
                <w:szCs w:val="20"/>
              </w:rPr>
              <w:t xml:space="preserve">  Patients at similar point in the course of their disease or treatment for cohort study</w:t>
            </w:r>
          </w:p>
        </w:tc>
        <w:tc>
          <w:tcPr>
            <w:tcW w:w="630" w:type="dxa"/>
            <w:tcBorders>
              <w:left w:val="single" w:sz="4" w:space="0" w:color="000000"/>
              <w:bottom w:val="single" w:sz="4" w:space="0" w:color="000000"/>
            </w:tcBorders>
            <w:vAlign w:val="center"/>
          </w:tcPr>
          <w:p w:rsidR="00B92FBD" w:rsidRPr="00B92FBD" w:rsidRDefault="00B92FBD" w:rsidP="00C26909">
            <w:pPr>
              <w:snapToGrid w:val="0"/>
              <w:jc w:val="center"/>
              <w:rPr>
                <w:sz w:val="20"/>
                <w:szCs w:val="20"/>
              </w:rPr>
            </w:pPr>
            <w:r w:rsidRPr="00B92FBD">
              <w:rPr>
                <w:b/>
                <w:sz w:val="20"/>
                <w:szCs w:val="20"/>
              </w:rPr>
              <w:sym w:font="Wingdings 2" w:char="F050"/>
            </w:r>
          </w:p>
        </w:tc>
        <w:tc>
          <w:tcPr>
            <w:tcW w:w="720" w:type="dxa"/>
            <w:tcBorders>
              <w:left w:val="single" w:sz="4" w:space="0" w:color="000000"/>
              <w:bottom w:val="single" w:sz="4" w:space="0" w:color="000000"/>
            </w:tcBorders>
            <w:vAlign w:val="center"/>
          </w:tcPr>
          <w:p w:rsidR="00B92FBD" w:rsidRPr="00B92FBD" w:rsidRDefault="00B92FBD" w:rsidP="00C26909">
            <w:pPr>
              <w:snapToGrid w:val="0"/>
              <w:jc w:val="center"/>
              <w:rPr>
                <w:sz w:val="20"/>
                <w:szCs w:val="20"/>
              </w:rPr>
            </w:pPr>
            <w:r w:rsidRPr="00B92FBD">
              <w:rPr>
                <w:b/>
                <w:sz w:val="20"/>
                <w:szCs w:val="20"/>
              </w:rPr>
              <w:sym w:font="Wingdings 2" w:char="F050"/>
            </w:r>
          </w:p>
        </w:tc>
        <w:tc>
          <w:tcPr>
            <w:tcW w:w="990" w:type="dxa"/>
            <w:tcBorders>
              <w:left w:val="single" w:sz="4" w:space="0" w:color="000000"/>
              <w:bottom w:val="single" w:sz="4" w:space="0" w:color="000000"/>
              <w:right w:val="single" w:sz="4" w:space="0" w:color="000000"/>
            </w:tcBorders>
            <w:vAlign w:val="center"/>
          </w:tcPr>
          <w:p w:rsidR="00B92FBD" w:rsidRPr="00B92FBD" w:rsidRDefault="00B92FBD" w:rsidP="00C26909">
            <w:pPr>
              <w:snapToGrid w:val="0"/>
              <w:jc w:val="center"/>
              <w:rPr>
                <w:sz w:val="20"/>
                <w:szCs w:val="20"/>
              </w:rPr>
            </w:pPr>
            <w:r w:rsidRPr="00B92FBD">
              <w:rPr>
                <w:b/>
                <w:sz w:val="20"/>
                <w:szCs w:val="20"/>
              </w:rPr>
              <w:sym w:font="Wingdings 2" w:char="F050"/>
            </w:r>
          </w:p>
        </w:tc>
        <w:tc>
          <w:tcPr>
            <w:tcW w:w="720" w:type="dxa"/>
            <w:tcBorders>
              <w:left w:val="single" w:sz="4" w:space="0" w:color="000000"/>
              <w:bottom w:val="single" w:sz="4" w:space="0" w:color="000000"/>
            </w:tcBorders>
            <w:vAlign w:val="center"/>
          </w:tcPr>
          <w:p w:rsidR="00B92FBD" w:rsidRPr="00B92FBD" w:rsidRDefault="00B92FBD" w:rsidP="00C26909">
            <w:pPr>
              <w:snapToGrid w:val="0"/>
              <w:jc w:val="center"/>
              <w:rPr>
                <w:sz w:val="20"/>
                <w:szCs w:val="20"/>
              </w:rPr>
            </w:pPr>
            <w:r w:rsidRPr="00B92FBD">
              <w:rPr>
                <w:b/>
                <w:sz w:val="20"/>
                <w:szCs w:val="20"/>
              </w:rPr>
              <w:sym w:font="Wingdings 2" w:char="F050"/>
            </w:r>
          </w:p>
        </w:tc>
        <w:tc>
          <w:tcPr>
            <w:tcW w:w="810" w:type="dxa"/>
            <w:tcBorders>
              <w:left w:val="single" w:sz="4" w:space="0" w:color="000000"/>
              <w:bottom w:val="single" w:sz="4" w:space="0" w:color="000000"/>
              <w:right w:val="single" w:sz="4" w:space="0" w:color="000000"/>
            </w:tcBorders>
            <w:vAlign w:val="center"/>
          </w:tcPr>
          <w:p w:rsidR="00B92FBD" w:rsidRPr="00B92FBD" w:rsidRDefault="00B92FBD" w:rsidP="00C26909">
            <w:pPr>
              <w:snapToGrid w:val="0"/>
              <w:jc w:val="center"/>
              <w:rPr>
                <w:sz w:val="20"/>
                <w:szCs w:val="20"/>
              </w:rPr>
            </w:pPr>
            <w:r w:rsidRPr="00B92FBD">
              <w:rPr>
                <w:b/>
                <w:sz w:val="20"/>
                <w:szCs w:val="20"/>
              </w:rPr>
              <w:sym w:font="Wingdings 2" w:char="F050"/>
            </w:r>
          </w:p>
        </w:tc>
        <w:tc>
          <w:tcPr>
            <w:tcW w:w="990" w:type="dxa"/>
            <w:tcBorders>
              <w:left w:val="single" w:sz="4" w:space="0" w:color="000000"/>
              <w:bottom w:val="single" w:sz="4" w:space="0" w:color="000000"/>
              <w:right w:val="single" w:sz="4" w:space="0" w:color="000000"/>
            </w:tcBorders>
            <w:vAlign w:val="center"/>
          </w:tcPr>
          <w:p w:rsidR="00B92FBD" w:rsidRPr="00B92FBD" w:rsidRDefault="00B92FBD" w:rsidP="00C26909">
            <w:pPr>
              <w:snapToGrid w:val="0"/>
              <w:jc w:val="center"/>
              <w:rPr>
                <w:sz w:val="20"/>
                <w:szCs w:val="20"/>
              </w:rPr>
            </w:pPr>
            <w:r w:rsidRPr="00B92FBD">
              <w:rPr>
                <w:b/>
                <w:sz w:val="20"/>
                <w:szCs w:val="20"/>
              </w:rPr>
              <w:sym w:font="Wingdings 2" w:char="F050"/>
            </w:r>
          </w:p>
        </w:tc>
        <w:tc>
          <w:tcPr>
            <w:tcW w:w="720" w:type="dxa"/>
            <w:tcBorders>
              <w:left w:val="single" w:sz="4" w:space="0" w:color="000000"/>
              <w:bottom w:val="single" w:sz="4" w:space="0" w:color="000000"/>
              <w:right w:val="single" w:sz="4" w:space="0" w:color="000000"/>
            </w:tcBorders>
            <w:vAlign w:val="center"/>
          </w:tcPr>
          <w:p w:rsidR="00B92FBD" w:rsidRPr="00B92FBD" w:rsidRDefault="00B92FBD" w:rsidP="00C26909">
            <w:pPr>
              <w:snapToGrid w:val="0"/>
              <w:jc w:val="center"/>
              <w:rPr>
                <w:sz w:val="20"/>
                <w:szCs w:val="20"/>
              </w:rPr>
            </w:pPr>
            <w:r w:rsidRPr="00B92FBD">
              <w:rPr>
                <w:b/>
                <w:sz w:val="20"/>
                <w:szCs w:val="20"/>
              </w:rPr>
              <w:sym w:font="Wingdings 2" w:char="F050"/>
            </w:r>
          </w:p>
        </w:tc>
        <w:tc>
          <w:tcPr>
            <w:tcW w:w="810" w:type="dxa"/>
            <w:tcBorders>
              <w:left w:val="single" w:sz="4" w:space="0" w:color="000000"/>
              <w:bottom w:val="single" w:sz="4" w:space="0" w:color="000000"/>
              <w:right w:val="single" w:sz="4" w:space="0" w:color="000000"/>
            </w:tcBorders>
            <w:vAlign w:val="center"/>
          </w:tcPr>
          <w:p w:rsidR="00B92FBD" w:rsidRPr="00B92FBD" w:rsidRDefault="00B92FBD" w:rsidP="00C26909">
            <w:pPr>
              <w:snapToGrid w:val="0"/>
              <w:jc w:val="center"/>
              <w:rPr>
                <w:sz w:val="20"/>
                <w:szCs w:val="20"/>
              </w:rPr>
            </w:pPr>
            <w:r w:rsidRPr="00B92FBD">
              <w:rPr>
                <w:b/>
                <w:sz w:val="20"/>
                <w:szCs w:val="20"/>
              </w:rPr>
              <w:sym w:font="Wingdings 2" w:char="F050"/>
            </w:r>
          </w:p>
        </w:tc>
      </w:tr>
      <w:tr w:rsidR="00B92FBD" w:rsidRPr="00B92FBD" w:rsidTr="00C26909">
        <w:tc>
          <w:tcPr>
            <w:tcW w:w="2988" w:type="dxa"/>
            <w:tcBorders>
              <w:left w:val="single" w:sz="4" w:space="0" w:color="000000"/>
              <w:bottom w:val="single" w:sz="4" w:space="0" w:color="000000"/>
            </w:tcBorders>
          </w:tcPr>
          <w:p w:rsidR="00B92FBD" w:rsidRPr="00B92FBD" w:rsidRDefault="00B92FBD" w:rsidP="00C26909">
            <w:pPr>
              <w:rPr>
                <w:sz w:val="20"/>
                <w:szCs w:val="20"/>
              </w:rPr>
            </w:pPr>
            <w:r w:rsidRPr="00B92FBD">
              <w:rPr>
                <w:sz w:val="20"/>
                <w:szCs w:val="20"/>
              </w:rPr>
              <w:t>Patients followed long enough for outcomes to occur</w:t>
            </w:r>
          </w:p>
        </w:tc>
        <w:tc>
          <w:tcPr>
            <w:tcW w:w="630" w:type="dxa"/>
            <w:tcBorders>
              <w:left w:val="single" w:sz="4" w:space="0" w:color="000000"/>
              <w:bottom w:val="single" w:sz="4" w:space="0" w:color="000000"/>
            </w:tcBorders>
            <w:vAlign w:val="center"/>
          </w:tcPr>
          <w:p w:rsidR="00B92FBD" w:rsidRPr="00B92FBD" w:rsidRDefault="00B92FBD" w:rsidP="00C26909">
            <w:pPr>
              <w:snapToGrid w:val="0"/>
              <w:jc w:val="center"/>
              <w:rPr>
                <w:sz w:val="20"/>
                <w:szCs w:val="20"/>
              </w:rPr>
            </w:pPr>
            <w:r w:rsidRPr="00B92FBD">
              <w:rPr>
                <w:b/>
                <w:sz w:val="20"/>
                <w:szCs w:val="20"/>
              </w:rPr>
              <w:sym w:font="Wingdings 2" w:char="F050"/>
            </w:r>
          </w:p>
        </w:tc>
        <w:tc>
          <w:tcPr>
            <w:tcW w:w="720" w:type="dxa"/>
            <w:tcBorders>
              <w:left w:val="single" w:sz="4" w:space="0" w:color="000000"/>
              <w:bottom w:val="single" w:sz="4" w:space="0" w:color="000000"/>
            </w:tcBorders>
            <w:vAlign w:val="center"/>
          </w:tcPr>
          <w:p w:rsidR="00B92FBD" w:rsidRPr="00B92FBD" w:rsidRDefault="00B92FBD" w:rsidP="00C26909">
            <w:pPr>
              <w:snapToGrid w:val="0"/>
              <w:jc w:val="center"/>
              <w:rPr>
                <w:sz w:val="20"/>
                <w:szCs w:val="20"/>
              </w:rPr>
            </w:pPr>
            <w:r w:rsidRPr="00B92FBD">
              <w:rPr>
                <w:b/>
                <w:sz w:val="20"/>
                <w:szCs w:val="20"/>
              </w:rPr>
              <w:sym w:font="Wingdings 2" w:char="F050"/>
            </w:r>
          </w:p>
        </w:tc>
        <w:tc>
          <w:tcPr>
            <w:tcW w:w="990" w:type="dxa"/>
            <w:tcBorders>
              <w:left w:val="single" w:sz="4" w:space="0" w:color="000000"/>
              <w:bottom w:val="single" w:sz="4" w:space="0" w:color="000000"/>
              <w:right w:val="single" w:sz="4" w:space="0" w:color="000000"/>
            </w:tcBorders>
            <w:vAlign w:val="center"/>
          </w:tcPr>
          <w:p w:rsidR="00B92FBD" w:rsidRPr="00B92FBD" w:rsidRDefault="00B92FBD" w:rsidP="00C26909">
            <w:pPr>
              <w:snapToGrid w:val="0"/>
              <w:jc w:val="center"/>
              <w:rPr>
                <w:sz w:val="20"/>
                <w:szCs w:val="20"/>
              </w:rPr>
            </w:pPr>
            <w:r w:rsidRPr="00B92FBD">
              <w:rPr>
                <w:b/>
                <w:sz w:val="20"/>
                <w:szCs w:val="20"/>
              </w:rPr>
              <w:sym w:font="Wingdings 2" w:char="F050"/>
            </w:r>
          </w:p>
        </w:tc>
        <w:tc>
          <w:tcPr>
            <w:tcW w:w="720" w:type="dxa"/>
            <w:tcBorders>
              <w:left w:val="single" w:sz="4" w:space="0" w:color="000000"/>
              <w:bottom w:val="single" w:sz="4" w:space="0" w:color="000000"/>
            </w:tcBorders>
            <w:vAlign w:val="center"/>
          </w:tcPr>
          <w:p w:rsidR="00B92FBD" w:rsidRPr="00B92FBD" w:rsidRDefault="00B92FBD" w:rsidP="00C26909">
            <w:pPr>
              <w:snapToGrid w:val="0"/>
              <w:jc w:val="center"/>
              <w:rPr>
                <w:sz w:val="20"/>
                <w:szCs w:val="20"/>
              </w:rPr>
            </w:pPr>
            <w:r w:rsidRPr="00B92FBD">
              <w:rPr>
                <w:b/>
                <w:sz w:val="20"/>
                <w:szCs w:val="20"/>
              </w:rPr>
              <w:sym w:font="Wingdings 2" w:char="F050"/>
            </w:r>
          </w:p>
        </w:tc>
        <w:tc>
          <w:tcPr>
            <w:tcW w:w="810" w:type="dxa"/>
            <w:tcBorders>
              <w:left w:val="single" w:sz="4" w:space="0" w:color="000000"/>
              <w:bottom w:val="single" w:sz="4" w:space="0" w:color="000000"/>
              <w:right w:val="single" w:sz="4" w:space="0" w:color="000000"/>
            </w:tcBorders>
            <w:vAlign w:val="center"/>
          </w:tcPr>
          <w:p w:rsidR="00B92FBD" w:rsidRPr="00B92FBD" w:rsidRDefault="00B92FBD" w:rsidP="00C26909">
            <w:pPr>
              <w:snapToGrid w:val="0"/>
              <w:jc w:val="center"/>
              <w:rPr>
                <w:sz w:val="20"/>
                <w:szCs w:val="20"/>
              </w:rPr>
            </w:pPr>
            <w:r w:rsidRPr="00B92FBD">
              <w:rPr>
                <w:b/>
                <w:sz w:val="20"/>
                <w:szCs w:val="20"/>
              </w:rPr>
              <w:sym w:font="Wingdings 2" w:char="F050"/>
            </w:r>
          </w:p>
        </w:tc>
        <w:tc>
          <w:tcPr>
            <w:tcW w:w="990" w:type="dxa"/>
            <w:tcBorders>
              <w:left w:val="single" w:sz="4" w:space="0" w:color="000000"/>
              <w:bottom w:val="single" w:sz="4" w:space="0" w:color="000000"/>
              <w:right w:val="single" w:sz="4" w:space="0" w:color="000000"/>
            </w:tcBorders>
            <w:vAlign w:val="center"/>
          </w:tcPr>
          <w:p w:rsidR="00B92FBD" w:rsidRPr="00B92FBD" w:rsidRDefault="00B92FBD" w:rsidP="00C26909">
            <w:pPr>
              <w:snapToGrid w:val="0"/>
              <w:jc w:val="center"/>
              <w:rPr>
                <w:sz w:val="20"/>
                <w:szCs w:val="20"/>
              </w:rPr>
            </w:pPr>
            <w:r w:rsidRPr="00B92FBD">
              <w:rPr>
                <w:b/>
                <w:sz w:val="20"/>
                <w:szCs w:val="20"/>
              </w:rPr>
              <w:sym w:font="Wingdings 2" w:char="F050"/>
            </w:r>
          </w:p>
        </w:tc>
        <w:tc>
          <w:tcPr>
            <w:tcW w:w="720" w:type="dxa"/>
            <w:tcBorders>
              <w:left w:val="single" w:sz="4" w:space="0" w:color="000000"/>
              <w:bottom w:val="single" w:sz="4" w:space="0" w:color="000000"/>
              <w:right w:val="single" w:sz="4" w:space="0" w:color="000000"/>
            </w:tcBorders>
            <w:vAlign w:val="center"/>
          </w:tcPr>
          <w:p w:rsidR="00B92FBD" w:rsidRPr="00B92FBD" w:rsidRDefault="00B92FBD" w:rsidP="00C26909">
            <w:pPr>
              <w:snapToGrid w:val="0"/>
              <w:jc w:val="center"/>
              <w:rPr>
                <w:sz w:val="20"/>
                <w:szCs w:val="20"/>
              </w:rPr>
            </w:pPr>
            <w:r w:rsidRPr="00B92FBD">
              <w:rPr>
                <w:b/>
                <w:sz w:val="20"/>
                <w:szCs w:val="20"/>
              </w:rPr>
              <w:sym w:font="Wingdings 2" w:char="F050"/>
            </w:r>
          </w:p>
        </w:tc>
        <w:tc>
          <w:tcPr>
            <w:tcW w:w="810" w:type="dxa"/>
            <w:tcBorders>
              <w:left w:val="single" w:sz="4" w:space="0" w:color="000000"/>
              <w:bottom w:val="single" w:sz="4" w:space="0" w:color="000000"/>
              <w:right w:val="single" w:sz="4" w:space="0" w:color="000000"/>
            </w:tcBorders>
            <w:vAlign w:val="center"/>
          </w:tcPr>
          <w:p w:rsidR="00B92FBD" w:rsidRPr="00B92FBD" w:rsidRDefault="00B92FBD" w:rsidP="00C26909">
            <w:pPr>
              <w:snapToGrid w:val="0"/>
              <w:jc w:val="center"/>
              <w:rPr>
                <w:sz w:val="20"/>
                <w:szCs w:val="20"/>
              </w:rPr>
            </w:pPr>
            <w:r w:rsidRPr="00B92FBD">
              <w:rPr>
                <w:b/>
                <w:sz w:val="20"/>
                <w:szCs w:val="20"/>
              </w:rPr>
              <w:sym w:font="Wingdings 2" w:char="F050"/>
            </w:r>
          </w:p>
        </w:tc>
      </w:tr>
      <w:tr w:rsidR="00B92FBD" w:rsidRPr="00B92FBD" w:rsidTr="00C26909">
        <w:trPr>
          <w:trHeight w:val="350"/>
        </w:trPr>
        <w:tc>
          <w:tcPr>
            <w:tcW w:w="2988" w:type="dxa"/>
            <w:tcBorders>
              <w:left w:val="single" w:sz="4" w:space="0" w:color="000000"/>
              <w:bottom w:val="single" w:sz="4" w:space="0" w:color="000000"/>
            </w:tcBorders>
            <w:vAlign w:val="center"/>
          </w:tcPr>
          <w:p w:rsidR="00B92FBD" w:rsidRPr="00B92FBD" w:rsidRDefault="00B92FBD" w:rsidP="00C26909">
            <w:pPr>
              <w:snapToGrid w:val="0"/>
              <w:rPr>
                <w:sz w:val="20"/>
                <w:szCs w:val="20"/>
              </w:rPr>
            </w:pPr>
            <w:r w:rsidRPr="00B92FBD">
              <w:rPr>
                <w:sz w:val="20"/>
                <w:szCs w:val="20"/>
              </w:rPr>
              <w:t xml:space="preserve">Complete follow-up of  </w:t>
            </w:r>
            <w:r w:rsidRPr="00B92FBD">
              <w:rPr>
                <w:sz w:val="20"/>
                <w:szCs w:val="20"/>
                <w:u w:val="single"/>
              </w:rPr>
              <w:t>&gt;</w:t>
            </w:r>
            <w:r w:rsidRPr="00B92FBD">
              <w:rPr>
                <w:sz w:val="20"/>
                <w:szCs w:val="20"/>
              </w:rPr>
              <w:t xml:space="preserve"> 80%†</w:t>
            </w:r>
          </w:p>
        </w:tc>
        <w:tc>
          <w:tcPr>
            <w:tcW w:w="630" w:type="dxa"/>
            <w:tcBorders>
              <w:left w:val="single" w:sz="4" w:space="0" w:color="000000"/>
              <w:bottom w:val="single" w:sz="4" w:space="0" w:color="000000"/>
            </w:tcBorders>
          </w:tcPr>
          <w:p w:rsidR="00B92FBD" w:rsidRPr="00B92FBD" w:rsidRDefault="00B92FBD" w:rsidP="00C26909">
            <w:pPr>
              <w:snapToGrid w:val="0"/>
              <w:jc w:val="center"/>
              <w:rPr>
                <w:sz w:val="20"/>
                <w:szCs w:val="20"/>
              </w:rPr>
            </w:pPr>
          </w:p>
        </w:tc>
        <w:tc>
          <w:tcPr>
            <w:tcW w:w="720" w:type="dxa"/>
            <w:tcBorders>
              <w:left w:val="single" w:sz="4" w:space="0" w:color="000000"/>
              <w:bottom w:val="single" w:sz="4" w:space="0" w:color="000000"/>
            </w:tcBorders>
            <w:vAlign w:val="center"/>
          </w:tcPr>
          <w:p w:rsidR="00B92FBD" w:rsidRPr="00B92FBD" w:rsidRDefault="00B92FBD" w:rsidP="00C26909">
            <w:pPr>
              <w:snapToGrid w:val="0"/>
              <w:jc w:val="center"/>
              <w:rPr>
                <w:color w:val="943634"/>
                <w:sz w:val="20"/>
                <w:szCs w:val="20"/>
              </w:rPr>
            </w:pPr>
          </w:p>
        </w:tc>
        <w:tc>
          <w:tcPr>
            <w:tcW w:w="990" w:type="dxa"/>
            <w:tcBorders>
              <w:left w:val="single" w:sz="4" w:space="0" w:color="000000"/>
              <w:bottom w:val="single" w:sz="4" w:space="0" w:color="000000"/>
              <w:right w:val="single" w:sz="4" w:space="0" w:color="000000"/>
            </w:tcBorders>
          </w:tcPr>
          <w:p w:rsidR="00B92FBD" w:rsidRPr="00B92FBD" w:rsidRDefault="00B92FBD" w:rsidP="00C26909">
            <w:pPr>
              <w:snapToGrid w:val="0"/>
              <w:ind w:left="90"/>
              <w:jc w:val="center"/>
              <w:rPr>
                <w:rFonts w:ascii="Wingdings 2" w:hAnsi="Wingdings 2"/>
                <w:sz w:val="20"/>
                <w:szCs w:val="20"/>
              </w:rPr>
            </w:pPr>
          </w:p>
        </w:tc>
        <w:tc>
          <w:tcPr>
            <w:tcW w:w="720" w:type="dxa"/>
            <w:tcBorders>
              <w:left w:val="single" w:sz="4" w:space="0" w:color="000000"/>
              <w:bottom w:val="single" w:sz="4" w:space="0" w:color="000000"/>
            </w:tcBorders>
            <w:vAlign w:val="center"/>
          </w:tcPr>
          <w:p w:rsidR="00B92FBD" w:rsidRPr="00B92FBD" w:rsidRDefault="00B92FBD" w:rsidP="00C26909">
            <w:pPr>
              <w:snapToGrid w:val="0"/>
              <w:jc w:val="center"/>
              <w:rPr>
                <w:color w:val="943634"/>
                <w:sz w:val="20"/>
                <w:szCs w:val="20"/>
              </w:rPr>
            </w:pPr>
          </w:p>
        </w:tc>
        <w:tc>
          <w:tcPr>
            <w:tcW w:w="810" w:type="dxa"/>
            <w:tcBorders>
              <w:left w:val="single" w:sz="4" w:space="0" w:color="000000"/>
              <w:bottom w:val="single" w:sz="4" w:space="0" w:color="000000"/>
              <w:right w:val="single" w:sz="4" w:space="0" w:color="000000"/>
            </w:tcBorders>
          </w:tcPr>
          <w:p w:rsidR="00B92FBD" w:rsidRPr="00B92FBD" w:rsidRDefault="00B92FBD" w:rsidP="00C26909">
            <w:pPr>
              <w:snapToGrid w:val="0"/>
              <w:jc w:val="center"/>
              <w:rPr>
                <w:sz w:val="20"/>
                <w:szCs w:val="20"/>
              </w:rPr>
            </w:pPr>
          </w:p>
        </w:tc>
        <w:tc>
          <w:tcPr>
            <w:tcW w:w="990" w:type="dxa"/>
            <w:tcBorders>
              <w:left w:val="single" w:sz="4" w:space="0" w:color="000000"/>
              <w:bottom w:val="single" w:sz="4" w:space="0" w:color="000000"/>
              <w:right w:val="single" w:sz="4" w:space="0" w:color="000000"/>
            </w:tcBorders>
          </w:tcPr>
          <w:p w:rsidR="00B92FBD" w:rsidRPr="00B92FBD" w:rsidRDefault="00B92FBD" w:rsidP="00C26909">
            <w:pPr>
              <w:snapToGrid w:val="0"/>
              <w:jc w:val="center"/>
              <w:rPr>
                <w:sz w:val="20"/>
                <w:szCs w:val="20"/>
              </w:rPr>
            </w:pPr>
          </w:p>
        </w:tc>
        <w:tc>
          <w:tcPr>
            <w:tcW w:w="720" w:type="dxa"/>
            <w:tcBorders>
              <w:left w:val="single" w:sz="4" w:space="0" w:color="000000"/>
              <w:bottom w:val="single" w:sz="4" w:space="0" w:color="000000"/>
              <w:right w:val="single" w:sz="4" w:space="0" w:color="000000"/>
            </w:tcBorders>
          </w:tcPr>
          <w:p w:rsidR="00B92FBD" w:rsidRPr="00B92FBD" w:rsidRDefault="00B92FBD" w:rsidP="00C26909">
            <w:pPr>
              <w:snapToGrid w:val="0"/>
              <w:jc w:val="center"/>
              <w:rPr>
                <w:sz w:val="20"/>
                <w:szCs w:val="20"/>
              </w:rPr>
            </w:pPr>
          </w:p>
        </w:tc>
        <w:tc>
          <w:tcPr>
            <w:tcW w:w="810" w:type="dxa"/>
            <w:tcBorders>
              <w:left w:val="single" w:sz="4" w:space="0" w:color="000000"/>
              <w:bottom w:val="single" w:sz="4" w:space="0" w:color="000000"/>
              <w:right w:val="single" w:sz="4" w:space="0" w:color="000000"/>
            </w:tcBorders>
          </w:tcPr>
          <w:p w:rsidR="00B92FBD" w:rsidRPr="00B92FBD" w:rsidRDefault="00B92FBD" w:rsidP="00C26909">
            <w:pPr>
              <w:snapToGrid w:val="0"/>
              <w:jc w:val="center"/>
              <w:rPr>
                <w:sz w:val="20"/>
                <w:szCs w:val="20"/>
              </w:rPr>
            </w:pPr>
          </w:p>
        </w:tc>
      </w:tr>
      <w:tr w:rsidR="00B92FBD" w:rsidRPr="00B92FBD" w:rsidTr="00C26909">
        <w:tc>
          <w:tcPr>
            <w:tcW w:w="2988" w:type="dxa"/>
            <w:tcBorders>
              <w:left w:val="single" w:sz="4" w:space="0" w:color="000000"/>
              <w:bottom w:val="single" w:sz="4" w:space="0" w:color="000000"/>
            </w:tcBorders>
          </w:tcPr>
          <w:p w:rsidR="00B92FBD" w:rsidRPr="00B92FBD" w:rsidRDefault="00B92FBD" w:rsidP="00C26909">
            <w:pPr>
              <w:snapToGrid w:val="0"/>
              <w:rPr>
                <w:sz w:val="20"/>
                <w:szCs w:val="20"/>
              </w:rPr>
            </w:pPr>
            <w:r w:rsidRPr="00B92FBD">
              <w:rPr>
                <w:sz w:val="20"/>
                <w:szCs w:val="20"/>
              </w:rPr>
              <w:t>Accounting for other prognostic factors‡</w:t>
            </w:r>
          </w:p>
        </w:tc>
        <w:tc>
          <w:tcPr>
            <w:tcW w:w="630" w:type="dxa"/>
            <w:tcBorders>
              <w:left w:val="single" w:sz="4" w:space="0" w:color="000000"/>
              <w:bottom w:val="single" w:sz="4" w:space="0" w:color="000000"/>
            </w:tcBorders>
            <w:vAlign w:val="center"/>
          </w:tcPr>
          <w:p w:rsidR="00B92FBD" w:rsidRPr="00B92FBD" w:rsidRDefault="00B92FBD" w:rsidP="00C26909">
            <w:pPr>
              <w:snapToGrid w:val="0"/>
              <w:jc w:val="center"/>
              <w:rPr>
                <w:sz w:val="20"/>
                <w:szCs w:val="20"/>
              </w:rPr>
            </w:pPr>
            <w:r w:rsidRPr="00B92FBD">
              <w:rPr>
                <w:b/>
                <w:sz w:val="20"/>
                <w:szCs w:val="20"/>
              </w:rPr>
              <w:sym w:font="Wingdings 2" w:char="F050"/>
            </w:r>
          </w:p>
        </w:tc>
        <w:tc>
          <w:tcPr>
            <w:tcW w:w="720" w:type="dxa"/>
            <w:tcBorders>
              <w:left w:val="single" w:sz="4" w:space="0" w:color="000000"/>
              <w:bottom w:val="single" w:sz="4" w:space="0" w:color="000000"/>
            </w:tcBorders>
            <w:vAlign w:val="center"/>
          </w:tcPr>
          <w:p w:rsidR="00B92FBD" w:rsidRPr="00B92FBD" w:rsidRDefault="00B92FBD" w:rsidP="00C26909">
            <w:pPr>
              <w:snapToGrid w:val="0"/>
              <w:jc w:val="center"/>
              <w:rPr>
                <w:sz w:val="20"/>
                <w:szCs w:val="20"/>
              </w:rPr>
            </w:pPr>
            <w:r w:rsidRPr="00B92FBD">
              <w:rPr>
                <w:b/>
                <w:sz w:val="20"/>
                <w:szCs w:val="20"/>
              </w:rPr>
              <w:sym w:font="Wingdings 2" w:char="F050"/>
            </w:r>
          </w:p>
        </w:tc>
        <w:tc>
          <w:tcPr>
            <w:tcW w:w="990" w:type="dxa"/>
            <w:tcBorders>
              <w:left w:val="single" w:sz="4" w:space="0" w:color="000000"/>
              <w:bottom w:val="single" w:sz="4" w:space="0" w:color="000000"/>
              <w:right w:val="single" w:sz="4" w:space="0" w:color="000000"/>
            </w:tcBorders>
            <w:vAlign w:val="center"/>
          </w:tcPr>
          <w:p w:rsidR="00B92FBD" w:rsidRPr="00B92FBD" w:rsidRDefault="00B92FBD" w:rsidP="00C26909">
            <w:pPr>
              <w:snapToGrid w:val="0"/>
              <w:jc w:val="center"/>
              <w:rPr>
                <w:sz w:val="20"/>
                <w:szCs w:val="20"/>
              </w:rPr>
            </w:pPr>
            <w:r w:rsidRPr="00B92FBD">
              <w:rPr>
                <w:b/>
                <w:sz w:val="20"/>
                <w:szCs w:val="20"/>
              </w:rPr>
              <w:sym w:font="Wingdings 2" w:char="F050"/>
            </w:r>
          </w:p>
        </w:tc>
        <w:tc>
          <w:tcPr>
            <w:tcW w:w="720" w:type="dxa"/>
            <w:tcBorders>
              <w:left w:val="single" w:sz="4" w:space="0" w:color="000000"/>
              <w:bottom w:val="single" w:sz="4" w:space="0" w:color="000000"/>
            </w:tcBorders>
            <w:vAlign w:val="center"/>
          </w:tcPr>
          <w:p w:rsidR="00B92FBD" w:rsidRPr="00B92FBD" w:rsidRDefault="00B92FBD" w:rsidP="00C26909">
            <w:pPr>
              <w:snapToGrid w:val="0"/>
              <w:jc w:val="center"/>
              <w:rPr>
                <w:sz w:val="20"/>
                <w:szCs w:val="20"/>
              </w:rPr>
            </w:pPr>
            <w:r w:rsidRPr="00B92FBD">
              <w:rPr>
                <w:b/>
                <w:sz w:val="20"/>
                <w:szCs w:val="20"/>
              </w:rPr>
              <w:sym w:font="Wingdings 2" w:char="F050"/>
            </w:r>
          </w:p>
        </w:tc>
        <w:tc>
          <w:tcPr>
            <w:tcW w:w="810" w:type="dxa"/>
            <w:tcBorders>
              <w:left w:val="single" w:sz="4" w:space="0" w:color="000000"/>
              <w:bottom w:val="single" w:sz="4" w:space="0" w:color="000000"/>
              <w:right w:val="single" w:sz="4" w:space="0" w:color="000000"/>
            </w:tcBorders>
            <w:vAlign w:val="center"/>
          </w:tcPr>
          <w:p w:rsidR="00B92FBD" w:rsidRPr="00B92FBD" w:rsidRDefault="00B92FBD" w:rsidP="00C26909">
            <w:pPr>
              <w:snapToGrid w:val="0"/>
              <w:jc w:val="center"/>
              <w:rPr>
                <w:sz w:val="20"/>
                <w:szCs w:val="20"/>
              </w:rPr>
            </w:pPr>
            <w:r w:rsidRPr="00B92FBD">
              <w:rPr>
                <w:b/>
                <w:sz w:val="20"/>
                <w:szCs w:val="20"/>
              </w:rPr>
              <w:sym w:font="Wingdings 2" w:char="F050"/>
            </w:r>
          </w:p>
        </w:tc>
        <w:tc>
          <w:tcPr>
            <w:tcW w:w="990" w:type="dxa"/>
            <w:tcBorders>
              <w:left w:val="single" w:sz="4" w:space="0" w:color="000000"/>
              <w:bottom w:val="single" w:sz="4" w:space="0" w:color="000000"/>
              <w:right w:val="single" w:sz="4" w:space="0" w:color="000000"/>
            </w:tcBorders>
            <w:vAlign w:val="center"/>
          </w:tcPr>
          <w:p w:rsidR="00B92FBD" w:rsidRPr="00B92FBD" w:rsidRDefault="00B92FBD" w:rsidP="00C26909">
            <w:pPr>
              <w:snapToGrid w:val="0"/>
              <w:jc w:val="center"/>
              <w:rPr>
                <w:sz w:val="20"/>
                <w:szCs w:val="20"/>
              </w:rPr>
            </w:pPr>
            <w:r w:rsidRPr="00B92FBD">
              <w:rPr>
                <w:b/>
                <w:sz w:val="20"/>
                <w:szCs w:val="20"/>
              </w:rPr>
              <w:sym w:font="Wingdings 2" w:char="F050"/>
            </w:r>
          </w:p>
        </w:tc>
        <w:tc>
          <w:tcPr>
            <w:tcW w:w="720" w:type="dxa"/>
            <w:tcBorders>
              <w:left w:val="single" w:sz="4" w:space="0" w:color="000000"/>
              <w:bottom w:val="single" w:sz="4" w:space="0" w:color="000000"/>
              <w:right w:val="single" w:sz="4" w:space="0" w:color="000000"/>
            </w:tcBorders>
            <w:vAlign w:val="center"/>
          </w:tcPr>
          <w:p w:rsidR="00B92FBD" w:rsidRPr="00B92FBD" w:rsidRDefault="00B92FBD" w:rsidP="00C26909">
            <w:pPr>
              <w:snapToGrid w:val="0"/>
              <w:jc w:val="center"/>
              <w:rPr>
                <w:sz w:val="20"/>
                <w:szCs w:val="20"/>
              </w:rPr>
            </w:pPr>
            <w:r w:rsidRPr="00B92FBD">
              <w:rPr>
                <w:b/>
                <w:sz w:val="20"/>
                <w:szCs w:val="20"/>
              </w:rPr>
              <w:sym w:font="Wingdings 2" w:char="F050"/>
            </w:r>
          </w:p>
        </w:tc>
        <w:tc>
          <w:tcPr>
            <w:tcW w:w="810" w:type="dxa"/>
            <w:tcBorders>
              <w:left w:val="single" w:sz="4" w:space="0" w:color="000000"/>
              <w:bottom w:val="single" w:sz="4" w:space="0" w:color="000000"/>
              <w:right w:val="single" w:sz="4" w:space="0" w:color="000000"/>
            </w:tcBorders>
            <w:vAlign w:val="center"/>
          </w:tcPr>
          <w:p w:rsidR="00B92FBD" w:rsidRPr="00B92FBD" w:rsidRDefault="00B92FBD" w:rsidP="00C26909">
            <w:pPr>
              <w:snapToGrid w:val="0"/>
              <w:jc w:val="center"/>
              <w:rPr>
                <w:sz w:val="20"/>
                <w:szCs w:val="20"/>
              </w:rPr>
            </w:pPr>
            <w:r w:rsidRPr="00B92FBD">
              <w:rPr>
                <w:b/>
                <w:sz w:val="20"/>
                <w:szCs w:val="20"/>
              </w:rPr>
              <w:sym w:font="Wingdings 2" w:char="F050"/>
            </w:r>
          </w:p>
        </w:tc>
      </w:tr>
      <w:tr w:rsidR="00B92FBD" w:rsidRPr="00B92FBD" w:rsidTr="00C26909">
        <w:tc>
          <w:tcPr>
            <w:tcW w:w="2988" w:type="dxa"/>
            <w:tcBorders>
              <w:left w:val="single" w:sz="4" w:space="0" w:color="000000"/>
              <w:bottom w:val="single" w:sz="4" w:space="0" w:color="000000"/>
            </w:tcBorders>
            <w:shd w:val="clear" w:color="auto" w:fill="595959"/>
          </w:tcPr>
          <w:p w:rsidR="00B92FBD" w:rsidRPr="00B92FBD" w:rsidRDefault="00B92FBD" w:rsidP="00C26909">
            <w:pPr>
              <w:snapToGrid w:val="0"/>
              <w:rPr>
                <w:b/>
                <w:color w:val="FFFFFF"/>
                <w:sz w:val="20"/>
                <w:szCs w:val="20"/>
              </w:rPr>
            </w:pPr>
            <w:r w:rsidRPr="00B92FBD">
              <w:rPr>
                <w:b/>
                <w:color w:val="FFFFFF"/>
                <w:sz w:val="20"/>
                <w:szCs w:val="20"/>
              </w:rPr>
              <w:t>Evidence class</w:t>
            </w:r>
          </w:p>
        </w:tc>
        <w:tc>
          <w:tcPr>
            <w:tcW w:w="630" w:type="dxa"/>
            <w:tcBorders>
              <w:left w:val="single" w:sz="4" w:space="0" w:color="000000"/>
              <w:bottom w:val="single" w:sz="4" w:space="0" w:color="000000"/>
            </w:tcBorders>
            <w:shd w:val="clear" w:color="auto" w:fill="595959"/>
          </w:tcPr>
          <w:p w:rsidR="00B92FBD" w:rsidRPr="00B92FBD" w:rsidRDefault="00B92FBD" w:rsidP="00C26909">
            <w:pPr>
              <w:snapToGrid w:val="0"/>
              <w:jc w:val="center"/>
              <w:rPr>
                <w:b/>
                <w:bCs/>
                <w:color w:val="FFFFFF"/>
                <w:sz w:val="20"/>
                <w:szCs w:val="20"/>
              </w:rPr>
            </w:pPr>
            <w:r w:rsidRPr="00B92FBD">
              <w:rPr>
                <w:b/>
                <w:bCs/>
                <w:color w:val="FFFFFF"/>
                <w:sz w:val="20"/>
                <w:szCs w:val="20"/>
              </w:rPr>
              <w:t>III</w:t>
            </w:r>
          </w:p>
        </w:tc>
        <w:tc>
          <w:tcPr>
            <w:tcW w:w="720" w:type="dxa"/>
            <w:tcBorders>
              <w:left w:val="single" w:sz="4" w:space="0" w:color="000000"/>
              <w:bottom w:val="single" w:sz="4" w:space="0" w:color="000000"/>
            </w:tcBorders>
            <w:shd w:val="clear" w:color="auto" w:fill="595959"/>
            <w:vAlign w:val="center"/>
          </w:tcPr>
          <w:p w:rsidR="00B92FBD" w:rsidRPr="00B92FBD" w:rsidRDefault="00B92FBD" w:rsidP="00C26909">
            <w:pPr>
              <w:snapToGrid w:val="0"/>
              <w:jc w:val="center"/>
              <w:rPr>
                <w:color w:val="FFFFFF"/>
                <w:sz w:val="20"/>
                <w:szCs w:val="20"/>
              </w:rPr>
            </w:pPr>
            <w:r w:rsidRPr="00B92FBD">
              <w:rPr>
                <w:b/>
                <w:bCs/>
                <w:color w:val="FFFFFF"/>
                <w:sz w:val="20"/>
                <w:szCs w:val="20"/>
              </w:rPr>
              <w:t>III</w:t>
            </w:r>
          </w:p>
        </w:tc>
        <w:tc>
          <w:tcPr>
            <w:tcW w:w="990" w:type="dxa"/>
            <w:tcBorders>
              <w:left w:val="single" w:sz="4" w:space="0" w:color="000000"/>
              <w:bottom w:val="single" w:sz="4" w:space="0" w:color="000000"/>
              <w:right w:val="single" w:sz="4" w:space="0" w:color="000000"/>
            </w:tcBorders>
            <w:shd w:val="clear" w:color="auto" w:fill="595959"/>
          </w:tcPr>
          <w:p w:rsidR="00B92FBD" w:rsidRPr="00B92FBD" w:rsidRDefault="00B92FBD" w:rsidP="00C26909">
            <w:pPr>
              <w:snapToGrid w:val="0"/>
              <w:jc w:val="center"/>
              <w:rPr>
                <w:b/>
                <w:bCs/>
                <w:color w:val="FFFFFF"/>
                <w:sz w:val="20"/>
                <w:szCs w:val="20"/>
              </w:rPr>
            </w:pPr>
            <w:r w:rsidRPr="00B92FBD">
              <w:rPr>
                <w:b/>
                <w:bCs/>
                <w:color w:val="FFFFFF"/>
                <w:sz w:val="20"/>
                <w:szCs w:val="20"/>
              </w:rPr>
              <w:t>III</w:t>
            </w:r>
          </w:p>
        </w:tc>
        <w:tc>
          <w:tcPr>
            <w:tcW w:w="720" w:type="dxa"/>
            <w:tcBorders>
              <w:left w:val="single" w:sz="4" w:space="0" w:color="000000"/>
              <w:bottom w:val="single" w:sz="4" w:space="0" w:color="000000"/>
            </w:tcBorders>
            <w:shd w:val="clear" w:color="auto" w:fill="595959"/>
          </w:tcPr>
          <w:p w:rsidR="00B92FBD" w:rsidRPr="00B92FBD" w:rsidRDefault="00B92FBD" w:rsidP="00C26909">
            <w:pPr>
              <w:snapToGrid w:val="0"/>
              <w:jc w:val="center"/>
              <w:rPr>
                <w:b/>
                <w:bCs/>
                <w:color w:val="FFFFFF"/>
                <w:sz w:val="20"/>
                <w:szCs w:val="20"/>
              </w:rPr>
            </w:pPr>
            <w:r w:rsidRPr="00B92FBD">
              <w:rPr>
                <w:b/>
                <w:bCs/>
                <w:color w:val="FFFFFF"/>
                <w:sz w:val="20"/>
                <w:szCs w:val="20"/>
              </w:rPr>
              <w:t>III</w:t>
            </w:r>
          </w:p>
        </w:tc>
        <w:tc>
          <w:tcPr>
            <w:tcW w:w="810" w:type="dxa"/>
            <w:tcBorders>
              <w:left w:val="single" w:sz="4" w:space="0" w:color="000000"/>
              <w:bottom w:val="single" w:sz="4" w:space="0" w:color="000000"/>
              <w:right w:val="single" w:sz="4" w:space="0" w:color="000000"/>
            </w:tcBorders>
            <w:shd w:val="clear" w:color="auto" w:fill="595959"/>
          </w:tcPr>
          <w:p w:rsidR="00B92FBD" w:rsidRPr="00B92FBD" w:rsidRDefault="00B92FBD" w:rsidP="00C26909">
            <w:pPr>
              <w:snapToGrid w:val="0"/>
              <w:jc w:val="center"/>
              <w:rPr>
                <w:b/>
                <w:bCs/>
                <w:color w:val="FFFFFF"/>
                <w:sz w:val="20"/>
                <w:szCs w:val="20"/>
              </w:rPr>
            </w:pPr>
            <w:r w:rsidRPr="00B92FBD">
              <w:rPr>
                <w:b/>
                <w:bCs/>
                <w:color w:val="FFFFFF"/>
                <w:sz w:val="20"/>
                <w:szCs w:val="20"/>
              </w:rPr>
              <w:t>III</w:t>
            </w:r>
          </w:p>
        </w:tc>
        <w:tc>
          <w:tcPr>
            <w:tcW w:w="990" w:type="dxa"/>
            <w:tcBorders>
              <w:left w:val="single" w:sz="4" w:space="0" w:color="000000"/>
              <w:bottom w:val="single" w:sz="4" w:space="0" w:color="000000"/>
              <w:right w:val="single" w:sz="4" w:space="0" w:color="000000"/>
            </w:tcBorders>
            <w:shd w:val="clear" w:color="auto" w:fill="595959"/>
          </w:tcPr>
          <w:p w:rsidR="00B92FBD" w:rsidRPr="00B92FBD" w:rsidRDefault="00B92FBD" w:rsidP="00C26909">
            <w:pPr>
              <w:snapToGrid w:val="0"/>
              <w:jc w:val="center"/>
              <w:rPr>
                <w:b/>
                <w:bCs/>
                <w:color w:val="FFFFFF"/>
                <w:sz w:val="20"/>
                <w:szCs w:val="20"/>
              </w:rPr>
            </w:pPr>
            <w:r w:rsidRPr="00B92FBD">
              <w:rPr>
                <w:b/>
                <w:bCs/>
                <w:color w:val="FFFFFF"/>
                <w:sz w:val="20"/>
                <w:szCs w:val="20"/>
              </w:rPr>
              <w:t>III</w:t>
            </w:r>
          </w:p>
        </w:tc>
        <w:tc>
          <w:tcPr>
            <w:tcW w:w="720" w:type="dxa"/>
            <w:tcBorders>
              <w:left w:val="single" w:sz="4" w:space="0" w:color="000000"/>
              <w:bottom w:val="single" w:sz="4" w:space="0" w:color="000000"/>
              <w:right w:val="single" w:sz="4" w:space="0" w:color="000000"/>
            </w:tcBorders>
            <w:shd w:val="clear" w:color="auto" w:fill="595959"/>
          </w:tcPr>
          <w:p w:rsidR="00B92FBD" w:rsidRPr="00B92FBD" w:rsidRDefault="00B92FBD" w:rsidP="00C26909">
            <w:pPr>
              <w:snapToGrid w:val="0"/>
              <w:jc w:val="center"/>
              <w:rPr>
                <w:b/>
                <w:bCs/>
                <w:color w:val="FFFFFF"/>
                <w:sz w:val="20"/>
                <w:szCs w:val="20"/>
              </w:rPr>
            </w:pPr>
            <w:r w:rsidRPr="00B92FBD">
              <w:rPr>
                <w:b/>
                <w:bCs/>
                <w:color w:val="FFFFFF"/>
                <w:sz w:val="20"/>
                <w:szCs w:val="20"/>
              </w:rPr>
              <w:t>III</w:t>
            </w:r>
          </w:p>
        </w:tc>
        <w:tc>
          <w:tcPr>
            <w:tcW w:w="810" w:type="dxa"/>
            <w:tcBorders>
              <w:left w:val="single" w:sz="4" w:space="0" w:color="000000"/>
              <w:bottom w:val="single" w:sz="4" w:space="0" w:color="000000"/>
              <w:right w:val="single" w:sz="4" w:space="0" w:color="000000"/>
            </w:tcBorders>
            <w:shd w:val="clear" w:color="auto" w:fill="595959"/>
          </w:tcPr>
          <w:p w:rsidR="00B92FBD" w:rsidRPr="00B92FBD" w:rsidRDefault="00B92FBD" w:rsidP="00C26909">
            <w:pPr>
              <w:snapToGrid w:val="0"/>
              <w:jc w:val="center"/>
              <w:rPr>
                <w:b/>
                <w:bCs/>
                <w:color w:val="FFFFFF"/>
                <w:sz w:val="20"/>
                <w:szCs w:val="20"/>
              </w:rPr>
            </w:pPr>
            <w:r w:rsidRPr="00B92FBD">
              <w:rPr>
                <w:b/>
                <w:bCs/>
                <w:color w:val="FFFFFF"/>
                <w:sz w:val="20"/>
                <w:szCs w:val="20"/>
              </w:rPr>
              <w:t>III</w:t>
            </w:r>
          </w:p>
        </w:tc>
      </w:tr>
    </w:tbl>
    <w:p w:rsidR="00B92FBD" w:rsidRPr="009A6835" w:rsidRDefault="00B92FBD" w:rsidP="00B92FBD">
      <w:pPr>
        <w:rPr>
          <w:sz w:val="18"/>
          <w:szCs w:val="18"/>
        </w:rPr>
      </w:pPr>
      <w:r w:rsidRPr="009A6835">
        <w:rPr>
          <w:sz w:val="18"/>
          <w:szCs w:val="18"/>
        </w:rPr>
        <w:t>*Cohort studies follow individuals with the exposure of interest over time and monitor for occurrence of the outcome of interest.</w:t>
      </w:r>
    </w:p>
    <w:p w:rsidR="00B92FBD" w:rsidRPr="009A6835" w:rsidRDefault="00B92FBD" w:rsidP="00B92FBD">
      <w:pPr>
        <w:ind w:left="180" w:hanging="180"/>
        <w:rPr>
          <w:sz w:val="18"/>
          <w:szCs w:val="18"/>
        </w:rPr>
      </w:pPr>
      <w:r w:rsidRPr="009A6835">
        <w:rPr>
          <w:sz w:val="18"/>
          <w:szCs w:val="18"/>
        </w:rPr>
        <w:t>†Applies to cohort studies only.</w:t>
      </w:r>
    </w:p>
    <w:p w:rsidR="00B92FBD" w:rsidRPr="009A6835" w:rsidRDefault="00B92FBD" w:rsidP="00B92FBD">
      <w:pPr>
        <w:ind w:left="180" w:hanging="180"/>
        <w:rPr>
          <w:sz w:val="18"/>
          <w:szCs w:val="18"/>
        </w:rPr>
      </w:pPr>
      <w:r w:rsidRPr="009A6835">
        <w:rPr>
          <w:sz w:val="18"/>
          <w:szCs w:val="18"/>
        </w:rPr>
        <w:t>‡Authors must consider other factors that might influence patient outcomes.</w:t>
      </w:r>
    </w:p>
    <w:p w:rsidR="00B92FBD" w:rsidRDefault="00B92FBD" w:rsidP="00B92FBD">
      <w:pPr>
        <w:sectPr w:rsidR="00B92FBD">
          <w:pgSz w:w="12240" w:h="15840"/>
          <w:pgMar w:top="1440" w:right="1440" w:bottom="1440" w:left="1440" w:header="720" w:footer="720" w:gutter="0"/>
          <w:cols w:space="720"/>
          <w:docGrid w:linePitch="360"/>
        </w:sectPr>
      </w:pPr>
    </w:p>
    <w:p w:rsidR="00B92FBD" w:rsidRPr="00B92FBD" w:rsidRDefault="00B92FBD" w:rsidP="00B92FBD">
      <w:r w:rsidRPr="00B92FBD">
        <w:lastRenderedPageBreak/>
        <w:t>Table S</w:t>
      </w:r>
      <w:r>
        <w:t>2</w:t>
      </w:r>
      <w:r w:rsidRPr="00B92FBD">
        <w:t>.  Methodological quality (risk of bias) of prognostic studies assessing MRI factors associated with outcome following nonsurgical treatment.</w:t>
      </w:r>
    </w:p>
    <w:tbl>
      <w:tblPr>
        <w:tblW w:w="9378" w:type="dxa"/>
        <w:tblLayout w:type="fixed"/>
        <w:tblLook w:val="0000" w:firstRow="0" w:lastRow="0" w:firstColumn="0" w:lastColumn="0" w:noHBand="0" w:noVBand="0"/>
      </w:tblPr>
      <w:tblGrid>
        <w:gridCol w:w="5259"/>
        <w:gridCol w:w="1109"/>
        <w:gridCol w:w="1267"/>
        <w:gridCol w:w="1743"/>
      </w:tblGrid>
      <w:tr w:rsidR="00B92FBD" w:rsidRPr="00B92FBD" w:rsidTr="00C26909">
        <w:tc>
          <w:tcPr>
            <w:tcW w:w="5259" w:type="dxa"/>
            <w:tcBorders>
              <w:top w:val="single" w:sz="4" w:space="0" w:color="000000"/>
              <w:left w:val="single" w:sz="4" w:space="0" w:color="000000"/>
              <w:bottom w:val="single" w:sz="4" w:space="0" w:color="000000"/>
            </w:tcBorders>
            <w:shd w:val="clear" w:color="auto" w:fill="595959"/>
          </w:tcPr>
          <w:p w:rsidR="00B92FBD" w:rsidRPr="00B92FBD" w:rsidRDefault="00B92FBD" w:rsidP="00C26909">
            <w:pPr>
              <w:snapToGrid w:val="0"/>
              <w:rPr>
                <w:b/>
                <w:color w:val="FFFFFF"/>
                <w:sz w:val="20"/>
                <w:szCs w:val="20"/>
              </w:rPr>
            </w:pPr>
            <w:r w:rsidRPr="00B92FBD">
              <w:rPr>
                <w:b/>
                <w:color w:val="FFFFFF"/>
                <w:sz w:val="20"/>
                <w:szCs w:val="20"/>
              </w:rPr>
              <w:t>Methodological principle</w:t>
            </w:r>
          </w:p>
        </w:tc>
        <w:tc>
          <w:tcPr>
            <w:tcW w:w="1109" w:type="dxa"/>
            <w:tcBorders>
              <w:top w:val="single" w:sz="4" w:space="0" w:color="000000"/>
              <w:left w:val="single" w:sz="4" w:space="0" w:color="000000"/>
              <w:bottom w:val="single" w:sz="4" w:space="0" w:color="000000"/>
            </w:tcBorders>
            <w:shd w:val="clear" w:color="auto" w:fill="595959"/>
          </w:tcPr>
          <w:p w:rsidR="00B92FBD" w:rsidRPr="00B92FBD" w:rsidRDefault="00B92FBD" w:rsidP="00C26909">
            <w:pPr>
              <w:snapToGrid w:val="0"/>
              <w:ind w:left="-90" w:right="-108"/>
              <w:jc w:val="center"/>
              <w:rPr>
                <w:b/>
                <w:bCs/>
                <w:color w:val="FFFFFF"/>
                <w:sz w:val="20"/>
                <w:szCs w:val="20"/>
              </w:rPr>
            </w:pPr>
            <w:r w:rsidRPr="00B92FBD">
              <w:rPr>
                <w:b/>
                <w:bCs/>
                <w:color w:val="FFFFFF"/>
                <w:sz w:val="20"/>
                <w:szCs w:val="20"/>
              </w:rPr>
              <w:t>Oshima</w:t>
            </w:r>
          </w:p>
          <w:p w:rsidR="00B92FBD" w:rsidRPr="00B92FBD" w:rsidRDefault="00B92FBD" w:rsidP="00C26909">
            <w:pPr>
              <w:snapToGrid w:val="0"/>
              <w:ind w:left="-90" w:right="-108"/>
              <w:jc w:val="center"/>
              <w:rPr>
                <w:b/>
                <w:bCs/>
                <w:color w:val="FFFFFF"/>
                <w:sz w:val="20"/>
                <w:szCs w:val="20"/>
              </w:rPr>
            </w:pPr>
            <w:r w:rsidRPr="00B92FBD">
              <w:rPr>
                <w:b/>
                <w:bCs/>
                <w:color w:val="FFFFFF"/>
                <w:sz w:val="20"/>
                <w:szCs w:val="20"/>
              </w:rPr>
              <w:t>(2012)</w:t>
            </w:r>
          </w:p>
        </w:tc>
        <w:tc>
          <w:tcPr>
            <w:tcW w:w="1267" w:type="dxa"/>
            <w:tcBorders>
              <w:top w:val="single" w:sz="4" w:space="0" w:color="000000"/>
              <w:left w:val="single" w:sz="4" w:space="0" w:color="000000"/>
              <w:bottom w:val="single" w:sz="4" w:space="0" w:color="000000"/>
            </w:tcBorders>
            <w:shd w:val="clear" w:color="auto" w:fill="595959"/>
          </w:tcPr>
          <w:p w:rsidR="00B92FBD" w:rsidRPr="00B92FBD" w:rsidRDefault="00B92FBD" w:rsidP="00C26909">
            <w:pPr>
              <w:snapToGrid w:val="0"/>
              <w:ind w:left="-90" w:right="-108"/>
              <w:jc w:val="center"/>
              <w:rPr>
                <w:b/>
                <w:bCs/>
                <w:color w:val="FFFFFF"/>
                <w:sz w:val="20"/>
                <w:szCs w:val="20"/>
              </w:rPr>
            </w:pPr>
            <w:r w:rsidRPr="00B92FBD">
              <w:rPr>
                <w:b/>
                <w:bCs/>
                <w:color w:val="FFFFFF"/>
                <w:sz w:val="20"/>
                <w:szCs w:val="20"/>
              </w:rPr>
              <w:t>Shimomura</w:t>
            </w:r>
          </w:p>
          <w:p w:rsidR="00B92FBD" w:rsidRPr="00B92FBD" w:rsidRDefault="00B92FBD" w:rsidP="00C26909">
            <w:pPr>
              <w:snapToGrid w:val="0"/>
              <w:ind w:left="-90" w:right="-108"/>
              <w:jc w:val="center"/>
              <w:rPr>
                <w:b/>
                <w:bCs/>
                <w:color w:val="FFFFFF"/>
                <w:sz w:val="20"/>
                <w:szCs w:val="20"/>
              </w:rPr>
            </w:pPr>
            <w:r w:rsidRPr="00B92FBD">
              <w:rPr>
                <w:b/>
                <w:bCs/>
                <w:color w:val="FFFFFF"/>
                <w:sz w:val="20"/>
                <w:szCs w:val="20"/>
              </w:rPr>
              <w:t>(2007)</w:t>
            </w:r>
          </w:p>
        </w:tc>
        <w:tc>
          <w:tcPr>
            <w:tcW w:w="1743" w:type="dxa"/>
            <w:tcBorders>
              <w:top w:val="single" w:sz="4" w:space="0" w:color="000000"/>
              <w:left w:val="single" w:sz="4" w:space="0" w:color="000000"/>
              <w:bottom w:val="single" w:sz="4" w:space="0" w:color="000000"/>
              <w:right w:val="single" w:sz="4" w:space="0" w:color="000000"/>
            </w:tcBorders>
            <w:shd w:val="clear" w:color="auto" w:fill="595959"/>
          </w:tcPr>
          <w:p w:rsidR="00B92FBD" w:rsidRPr="00B92FBD" w:rsidRDefault="00B92FBD" w:rsidP="00C26909">
            <w:pPr>
              <w:snapToGrid w:val="0"/>
              <w:ind w:left="-108" w:right="-108"/>
              <w:jc w:val="center"/>
              <w:rPr>
                <w:b/>
                <w:bCs/>
                <w:color w:val="FFFFFF"/>
                <w:sz w:val="20"/>
                <w:szCs w:val="20"/>
              </w:rPr>
            </w:pPr>
            <w:r w:rsidRPr="00B92FBD">
              <w:rPr>
                <w:b/>
                <w:bCs/>
                <w:color w:val="FFFFFF"/>
                <w:sz w:val="20"/>
                <w:szCs w:val="20"/>
              </w:rPr>
              <w:t>Yoshimatsu</w:t>
            </w:r>
          </w:p>
          <w:p w:rsidR="00B92FBD" w:rsidRPr="00B92FBD" w:rsidRDefault="00B92FBD" w:rsidP="00C26909">
            <w:pPr>
              <w:snapToGrid w:val="0"/>
              <w:ind w:left="-108" w:right="-108"/>
              <w:jc w:val="center"/>
              <w:rPr>
                <w:b/>
                <w:bCs/>
                <w:color w:val="FFFFFF"/>
                <w:sz w:val="20"/>
                <w:szCs w:val="20"/>
              </w:rPr>
            </w:pPr>
            <w:r w:rsidRPr="00B92FBD">
              <w:rPr>
                <w:b/>
                <w:bCs/>
                <w:color w:val="FFFFFF"/>
                <w:sz w:val="20"/>
                <w:szCs w:val="20"/>
              </w:rPr>
              <w:t>(2001)</w:t>
            </w:r>
          </w:p>
        </w:tc>
      </w:tr>
      <w:tr w:rsidR="00B92FBD" w:rsidRPr="00B92FBD" w:rsidTr="00C26909">
        <w:tc>
          <w:tcPr>
            <w:tcW w:w="5259" w:type="dxa"/>
            <w:tcBorders>
              <w:left w:val="single" w:sz="4" w:space="0" w:color="000000"/>
            </w:tcBorders>
          </w:tcPr>
          <w:p w:rsidR="00B92FBD" w:rsidRPr="00B92FBD" w:rsidRDefault="00B92FBD" w:rsidP="00C26909">
            <w:pPr>
              <w:snapToGrid w:val="0"/>
              <w:rPr>
                <w:sz w:val="20"/>
                <w:szCs w:val="20"/>
              </w:rPr>
            </w:pPr>
            <w:r w:rsidRPr="00B92FBD">
              <w:rPr>
                <w:sz w:val="20"/>
                <w:szCs w:val="20"/>
              </w:rPr>
              <w:t>Study design</w:t>
            </w:r>
          </w:p>
        </w:tc>
        <w:tc>
          <w:tcPr>
            <w:tcW w:w="1109" w:type="dxa"/>
            <w:tcBorders>
              <w:left w:val="single" w:sz="4" w:space="0" w:color="000000"/>
            </w:tcBorders>
          </w:tcPr>
          <w:p w:rsidR="00B92FBD" w:rsidRPr="00B92FBD" w:rsidRDefault="00B92FBD" w:rsidP="00C26909">
            <w:pPr>
              <w:snapToGrid w:val="0"/>
              <w:jc w:val="center"/>
              <w:rPr>
                <w:sz w:val="20"/>
                <w:szCs w:val="20"/>
              </w:rPr>
            </w:pPr>
          </w:p>
        </w:tc>
        <w:tc>
          <w:tcPr>
            <w:tcW w:w="1267" w:type="dxa"/>
            <w:tcBorders>
              <w:left w:val="single" w:sz="4" w:space="0" w:color="000000"/>
            </w:tcBorders>
          </w:tcPr>
          <w:p w:rsidR="00B92FBD" w:rsidRPr="00B92FBD" w:rsidRDefault="00B92FBD" w:rsidP="00C26909">
            <w:pPr>
              <w:snapToGrid w:val="0"/>
              <w:jc w:val="center"/>
              <w:rPr>
                <w:sz w:val="20"/>
                <w:szCs w:val="20"/>
              </w:rPr>
            </w:pPr>
          </w:p>
        </w:tc>
        <w:tc>
          <w:tcPr>
            <w:tcW w:w="1743" w:type="dxa"/>
            <w:tcBorders>
              <w:left w:val="single" w:sz="4" w:space="0" w:color="000000"/>
              <w:right w:val="single" w:sz="4" w:space="0" w:color="000000"/>
            </w:tcBorders>
          </w:tcPr>
          <w:p w:rsidR="00B92FBD" w:rsidRPr="00B92FBD" w:rsidRDefault="00B92FBD" w:rsidP="00C26909">
            <w:pPr>
              <w:snapToGrid w:val="0"/>
              <w:ind w:left="90"/>
              <w:jc w:val="center"/>
              <w:rPr>
                <w:sz w:val="20"/>
                <w:szCs w:val="20"/>
              </w:rPr>
            </w:pPr>
          </w:p>
        </w:tc>
      </w:tr>
      <w:tr w:rsidR="00B92FBD" w:rsidRPr="00B92FBD" w:rsidTr="00C26909">
        <w:tc>
          <w:tcPr>
            <w:tcW w:w="5259" w:type="dxa"/>
            <w:tcBorders>
              <w:left w:val="single" w:sz="4" w:space="0" w:color="000000"/>
            </w:tcBorders>
          </w:tcPr>
          <w:p w:rsidR="00B92FBD" w:rsidRPr="00B92FBD" w:rsidRDefault="00B92FBD" w:rsidP="00C26909">
            <w:pPr>
              <w:snapToGrid w:val="0"/>
              <w:ind w:left="180"/>
              <w:rPr>
                <w:sz w:val="20"/>
                <w:szCs w:val="20"/>
              </w:rPr>
            </w:pPr>
            <w:r w:rsidRPr="00B92FBD">
              <w:rPr>
                <w:sz w:val="20"/>
                <w:szCs w:val="20"/>
              </w:rPr>
              <w:t>Prospective cohort* study</w:t>
            </w:r>
          </w:p>
        </w:tc>
        <w:tc>
          <w:tcPr>
            <w:tcW w:w="1109" w:type="dxa"/>
            <w:tcBorders>
              <w:left w:val="single" w:sz="4" w:space="0" w:color="000000"/>
            </w:tcBorders>
          </w:tcPr>
          <w:p w:rsidR="00B92FBD" w:rsidRPr="00B92FBD" w:rsidRDefault="00B92FBD" w:rsidP="00C26909">
            <w:pPr>
              <w:snapToGrid w:val="0"/>
              <w:jc w:val="center"/>
              <w:rPr>
                <w:sz w:val="20"/>
                <w:szCs w:val="20"/>
              </w:rPr>
            </w:pPr>
          </w:p>
        </w:tc>
        <w:tc>
          <w:tcPr>
            <w:tcW w:w="1267" w:type="dxa"/>
            <w:tcBorders>
              <w:left w:val="single" w:sz="4" w:space="0" w:color="000000"/>
            </w:tcBorders>
          </w:tcPr>
          <w:p w:rsidR="00B92FBD" w:rsidRPr="00B92FBD" w:rsidRDefault="00B92FBD" w:rsidP="00C26909">
            <w:pPr>
              <w:snapToGrid w:val="0"/>
              <w:jc w:val="center"/>
              <w:rPr>
                <w:sz w:val="20"/>
                <w:szCs w:val="20"/>
              </w:rPr>
            </w:pPr>
            <w:r w:rsidRPr="00B92FBD">
              <w:rPr>
                <w:b/>
                <w:sz w:val="20"/>
                <w:szCs w:val="20"/>
              </w:rPr>
              <w:sym w:font="Wingdings 2" w:char="F050"/>
            </w:r>
          </w:p>
        </w:tc>
        <w:tc>
          <w:tcPr>
            <w:tcW w:w="1743" w:type="dxa"/>
            <w:tcBorders>
              <w:left w:val="single" w:sz="4" w:space="0" w:color="000000"/>
              <w:right w:val="single" w:sz="4" w:space="0" w:color="000000"/>
            </w:tcBorders>
          </w:tcPr>
          <w:p w:rsidR="00B92FBD" w:rsidRPr="00B92FBD" w:rsidRDefault="00B92FBD" w:rsidP="00C26909">
            <w:pPr>
              <w:snapToGrid w:val="0"/>
              <w:ind w:left="90"/>
              <w:jc w:val="center"/>
              <w:rPr>
                <w:rFonts w:ascii="Webdings" w:hAnsi="Webdings"/>
                <w:sz w:val="20"/>
                <w:szCs w:val="20"/>
              </w:rPr>
            </w:pPr>
          </w:p>
        </w:tc>
      </w:tr>
      <w:tr w:rsidR="00B92FBD" w:rsidRPr="00B92FBD" w:rsidTr="00C26909">
        <w:tc>
          <w:tcPr>
            <w:tcW w:w="5259" w:type="dxa"/>
            <w:tcBorders>
              <w:left w:val="single" w:sz="4" w:space="0" w:color="000000"/>
            </w:tcBorders>
          </w:tcPr>
          <w:p w:rsidR="00B92FBD" w:rsidRPr="00B92FBD" w:rsidRDefault="00B92FBD" w:rsidP="00C26909">
            <w:pPr>
              <w:snapToGrid w:val="0"/>
              <w:ind w:left="180"/>
              <w:rPr>
                <w:sz w:val="20"/>
                <w:szCs w:val="20"/>
              </w:rPr>
            </w:pPr>
            <w:r w:rsidRPr="00B92FBD">
              <w:rPr>
                <w:sz w:val="20"/>
                <w:szCs w:val="20"/>
              </w:rPr>
              <w:t>Retrospective cohort* study</w:t>
            </w:r>
          </w:p>
        </w:tc>
        <w:tc>
          <w:tcPr>
            <w:tcW w:w="1109" w:type="dxa"/>
            <w:tcBorders>
              <w:left w:val="single" w:sz="4" w:space="0" w:color="000000"/>
            </w:tcBorders>
          </w:tcPr>
          <w:p w:rsidR="00B92FBD" w:rsidRPr="00B92FBD" w:rsidRDefault="00B92FBD" w:rsidP="00C26909">
            <w:pPr>
              <w:snapToGrid w:val="0"/>
              <w:jc w:val="center"/>
              <w:rPr>
                <w:sz w:val="20"/>
                <w:szCs w:val="20"/>
              </w:rPr>
            </w:pPr>
            <w:r w:rsidRPr="00B92FBD">
              <w:rPr>
                <w:b/>
                <w:sz w:val="20"/>
                <w:szCs w:val="20"/>
              </w:rPr>
              <w:sym w:font="Wingdings 2" w:char="F050"/>
            </w:r>
          </w:p>
        </w:tc>
        <w:tc>
          <w:tcPr>
            <w:tcW w:w="1267" w:type="dxa"/>
            <w:tcBorders>
              <w:left w:val="single" w:sz="4" w:space="0" w:color="000000"/>
            </w:tcBorders>
          </w:tcPr>
          <w:p w:rsidR="00B92FBD" w:rsidRPr="00B92FBD" w:rsidRDefault="00B92FBD" w:rsidP="00C26909">
            <w:pPr>
              <w:snapToGrid w:val="0"/>
              <w:jc w:val="center"/>
              <w:rPr>
                <w:sz w:val="20"/>
                <w:szCs w:val="20"/>
              </w:rPr>
            </w:pPr>
          </w:p>
        </w:tc>
        <w:tc>
          <w:tcPr>
            <w:tcW w:w="1743" w:type="dxa"/>
            <w:tcBorders>
              <w:left w:val="single" w:sz="4" w:space="0" w:color="000000"/>
              <w:right w:val="single" w:sz="4" w:space="0" w:color="000000"/>
            </w:tcBorders>
          </w:tcPr>
          <w:p w:rsidR="00B92FBD" w:rsidRPr="00B92FBD" w:rsidRDefault="00B92FBD" w:rsidP="00C26909">
            <w:pPr>
              <w:snapToGrid w:val="0"/>
              <w:jc w:val="center"/>
              <w:rPr>
                <w:sz w:val="20"/>
                <w:szCs w:val="20"/>
              </w:rPr>
            </w:pPr>
            <w:r w:rsidRPr="00B92FBD">
              <w:rPr>
                <w:b/>
                <w:sz w:val="20"/>
                <w:szCs w:val="20"/>
              </w:rPr>
              <w:sym w:font="Wingdings 2" w:char="F050"/>
            </w:r>
          </w:p>
        </w:tc>
      </w:tr>
      <w:tr w:rsidR="00B92FBD" w:rsidRPr="00B92FBD" w:rsidTr="00C26909">
        <w:tc>
          <w:tcPr>
            <w:tcW w:w="5259" w:type="dxa"/>
            <w:tcBorders>
              <w:left w:val="single" w:sz="4" w:space="0" w:color="000000"/>
            </w:tcBorders>
          </w:tcPr>
          <w:p w:rsidR="00B92FBD" w:rsidRPr="00B92FBD" w:rsidRDefault="00B92FBD" w:rsidP="00C26909">
            <w:pPr>
              <w:snapToGrid w:val="0"/>
              <w:ind w:left="180"/>
              <w:rPr>
                <w:sz w:val="20"/>
                <w:szCs w:val="20"/>
              </w:rPr>
            </w:pPr>
            <w:r w:rsidRPr="00B92FBD">
              <w:rPr>
                <w:sz w:val="20"/>
                <w:szCs w:val="20"/>
              </w:rPr>
              <w:t>Case-control study</w:t>
            </w:r>
          </w:p>
        </w:tc>
        <w:tc>
          <w:tcPr>
            <w:tcW w:w="1109" w:type="dxa"/>
            <w:tcBorders>
              <w:left w:val="single" w:sz="4" w:space="0" w:color="000000"/>
            </w:tcBorders>
          </w:tcPr>
          <w:p w:rsidR="00B92FBD" w:rsidRPr="00B92FBD" w:rsidRDefault="00B92FBD" w:rsidP="00C26909">
            <w:pPr>
              <w:snapToGrid w:val="0"/>
              <w:jc w:val="center"/>
              <w:rPr>
                <w:sz w:val="20"/>
                <w:szCs w:val="20"/>
              </w:rPr>
            </w:pPr>
          </w:p>
        </w:tc>
        <w:tc>
          <w:tcPr>
            <w:tcW w:w="1267" w:type="dxa"/>
            <w:tcBorders>
              <w:left w:val="single" w:sz="4" w:space="0" w:color="000000"/>
            </w:tcBorders>
          </w:tcPr>
          <w:p w:rsidR="00B92FBD" w:rsidRPr="00B92FBD" w:rsidRDefault="00B92FBD" w:rsidP="00C26909">
            <w:pPr>
              <w:snapToGrid w:val="0"/>
              <w:jc w:val="center"/>
              <w:rPr>
                <w:sz w:val="20"/>
                <w:szCs w:val="20"/>
              </w:rPr>
            </w:pPr>
          </w:p>
        </w:tc>
        <w:tc>
          <w:tcPr>
            <w:tcW w:w="1743" w:type="dxa"/>
            <w:tcBorders>
              <w:left w:val="single" w:sz="4" w:space="0" w:color="000000"/>
              <w:right w:val="single" w:sz="4" w:space="0" w:color="000000"/>
            </w:tcBorders>
          </w:tcPr>
          <w:p w:rsidR="00B92FBD" w:rsidRPr="00B92FBD" w:rsidRDefault="00B92FBD" w:rsidP="00C26909">
            <w:pPr>
              <w:snapToGrid w:val="0"/>
              <w:ind w:left="90"/>
              <w:jc w:val="center"/>
              <w:rPr>
                <w:sz w:val="20"/>
                <w:szCs w:val="20"/>
              </w:rPr>
            </w:pPr>
          </w:p>
        </w:tc>
      </w:tr>
      <w:tr w:rsidR="00B92FBD" w:rsidRPr="00B92FBD" w:rsidTr="00C26909">
        <w:tc>
          <w:tcPr>
            <w:tcW w:w="5259" w:type="dxa"/>
            <w:tcBorders>
              <w:left w:val="single" w:sz="4" w:space="0" w:color="000000"/>
              <w:bottom w:val="single" w:sz="12" w:space="0" w:color="000000"/>
            </w:tcBorders>
          </w:tcPr>
          <w:p w:rsidR="00B92FBD" w:rsidRPr="00B92FBD" w:rsidRDefault="00B92FBD" w:rsidP="00C26909">
            <w:pPr>
              <w:snapToGrid w:val="0"/>
              <w:ind w:left="180"/>
              <w:rPr>
                <w:sz w:val="20"/>
                <w:szCs w:val="20"/>
              </w:rPr>
            </w:pPr>
            <w:r w:rsidRPr="00B92FBD">
              <w:rPr>
                <w:sz w:val="20"/>
                <w:szCs w:val="20"/>
              </w:rPr>
              <w:t xml:space="preserve">Case-series </w:t>
            </w:r>
          </w:p>
        </w:tc>
        <w:tc>
          <w:tcPr>
            <w:tcW w:w="1109" w:type="dxa"/>
            <w:tcBorders>
              <w:left w:val="single" w:sz="4" w:space="0" w:color="000000"/>
              <w:bottom w:val="single" w:sz="12" w:space="0" w:color="000000"/>
            </w:tcBorders>
          </w:tcPr>
          <w:p w:rsidR="00B92FBD" w:rsidRPr="00B92FBD" w:rsidRDefault="00B92FBD" w:rsidP="00C26909">
            <w:pPr>
              <w:snapToGrid w:val="0"/>
              <w:jc w:val="center"/>
              <w:rPr>
                <w:sz w:val="20"/>
                <w:szCs w:val="20"/>
              </w:rPr>
            </w:pPr>
          </w:p>
        </w:tc>
        <w:tc>
          <w:tcPr>
            <w:tcW w:w="1267" w:type="dxa"/>
            <w:tcBorders>
              <w:left w:val="single" w:sz="4" w:space="0" w:color="000000"/>
              <w:bottom w:val="single" w:sz="12" w:space="0" w:color="000000"/>
            </w:tcBorders>
          </w:tcPr>
          <w:p w:rsidR="00B92FBD" w:rsidRPr="00B92FBD" w:rsidRDefault="00B92FBD" w:rsidP="00C26909">
            <w:pPr>
              <w:snapToGrid w:val="0"/>
              <w:jc w:val="center"/>
              <w:rPr>
                <w:sz w:val="20"/>
                <w:szCs w:val="20"/>
              </w:rPr>
            </w:pPr>
          </w:p>
        </w:tc>
        <w:tc>
          <w:tcPr>
            <w:tcW w:w="1743" w:type="dxa"/>
            <w:tcBorders>
              <w:left w:val="single" w:sz="4" w:space="0" w:color="000000"/>
              <w:bottom w:val="single" w:sz="12" w:space="0" w:color="000000"/>
              <w:right w:val="single" w:sz="4" w:space="0" w:color="000000"/>
            </w:tcBorders>
            <w:vAlign w:val="center"/>
          </w:tcPr>
          <w:p w:rsidR="00B92FBD" w:rsidRPr="00B92FBD" w:rsidRDefault="00B92FBD" w:rsidP="00C26909">
            <w:pPr>
              <w:snapToGrid w:val="0"/>
              <w:ind w:left="90"/>
              <w:jc w:val="center"/>
              <w:rPr>
                <w:sz w:val="20"/>
                <w:szCs w:val="20"/>
              </w:rPr>
            </w:pPr>
          </w:p>
        </w:tc>
      </w:tr>
      <w:tr w:rsidR="00B92FBD" w:rsidRPr="00B92FBD" w:rsidTr="00C26909">
        <w:tc>
          <w:tcPr>
            <w:tcW w:w="5259" w:type="dxa"/>
            <w:tcBorders>
              <w:left w:val="single" w:sz="4" w:space="0" w:color="000000"/>
              <w:bottom w:val="single" w:sz="4" w:space="0" w:color="000000"/>
            </w:tcBorders>
          </w:tcPr>
          <w:p w:rsidR="00B92FBD" w:rsidRPr="00B92FBD" w:rsidRDefault="00B92FBD" w:rsidP="00C26909">
            <w:pPr>
              <w:rPr>
                <w:sz w:val="20"/>
                <w:szCs w:val="20"/>
              </w:rPr>
            </w:pPr>
            <w:r w:rsidRPr="00B92FBD">
              <w:rPr>
                <w:sz w:val="20"/>
                <w:szCs w:val="20"/>
                <w:u w:val="single"/>
              </w:rPr>
              <w:t>For cohort study:</w:t>
            </w:r>
            <w:r w:rsidRPr="00B92FBD">
              <w:rPr>
                <w:sz w:val="20"/>
                <w:szCs w:val="20"/>
              </w:rPr>
              <w:t xml:space="preserve">  Patients at similar point in the course of their disease or treatment for cohort study</w:t>
            </w:r>
          </w:p>
        </w:tc>
        <w:tc>
          <w:tcPr>
            <w:tcW w:w="1109" w:type="dxa"/>
            <w:tcBorders>
              <w:left w:val="single" w:sz="4" w:space="0" w:color="000000"/>
              <w:bottom w:val="single" w:sz="4" w:space="0" w:color="000000"/>
            </w:tcBorders>
            <w:vAlign w:val="center"/>
          </w:tcPr>
          <w:p w:rsidR="00B92FBD" w:rsidRPr="00B92FBD" w:rsidRDefault="00B92FBD" w:rsidP="00C26909">
            <w:pPr>
              <w:snapToGrid w:val="0"/>
              <w:jc w:val="center"/>
              <w:rPr>
                <w:sz w:val="20"/>
                <w:szCs w:val="20"/>
              </w:rPr>
            </w:pPr>
            <w:r w:rsidRPr="00B92FBD">
              <w:rPr>
                <w:b/>
                <w:sz w:val="20"/>
                <w:szCs w:val="20"/>
              </w:rPr>
              <w:sym w:font="Wingdings 2" w:char="F050"/>
            </w:r>
          </w:p>
        </w:tc>
        <w:tc>
          <w:tcPr>
            <w:tcW w:w="1267" w:type="dxa"/>
            <w:tcBorders>
              <w:left w:val="single" w:sz="4" w:space="0" w:color="000000"/>
              <w:bottom w:val="single" w:sz="4" w:space="0" w:color="000000"/>
            </w:tcBorders>
            <w:vAlign w:val="center"/>
          </w:tcPr>
          <w:p w:rsidR="00B92FBD" w:rsidRPr="00B92FBD" w:rsidRDefault="00B92FBD" w:rsidP="00C26909">
            <w:pPr>
              <w:snapToGrid w:val="0"/>
              <w:jc w:val="center"/>
              <w:rPr>
                <w:sz w:val="20"/>
                <w:szCs w:val="20"/>
              </w:rPr>
            </w:pPr>
          </w:p>
        </w:tc>
        <w:tc>
          <w:tcPr>
            <w:tcW w:w="1743" w:type="dxa"/>
            <w:tcBorders>
              <w:left w:val="single" w:sz="4" w:space="0" w:color="000000"/>
              <w:bottom w:val="single" w:sz="4" w:space="0" w:color="000000"/>
              <w:right w:val="single" w:sz="4" w:space="0" w:color="000000"/>
            </w:tcBorders>
            <w:vAlign w:val="center"/>
          </w:tcPr>
          <w:p w:rsidR="00B92FBD" w:rsidRPr="00B92FBD" w:rsidRDefault="00B92FBD" w:rsidP="00C26909">
            <w:pPr>
              <w:snapToGrid w:val="0"/>
              <w:jc w:val="center"/>
              <w:rPr>
                <w:sz w:val="20"/>
                <w:szCs w:val="20"/>
              </w:rPr>
            </w:pPr>
            <w:r w:rsidRPr="00B92FBD">
              <w:rPr>
                <w:b/>
                <w:sz w:val="20"/>
                <w:szCs w:val="20"/>
              </w:rPr>
              <w:sym w:font="Wingdings 2" w:char="F050"/>
            </w:r>
          </w:p>
        </w:tc>
      </w:tr>
      <w:tr w:rsidR="00B92FBD" w:rsidRPr="00B92FBD" w:rsidTr="00C26909">
        <w:tc>
          <w:tcPr>
            <w:tcW w:w="5259" w:type="dxa"/>
            <w:tcBorders>
              <w:left w:val="single" w:sz="4" w:space="0" w:color="000000"/>
              <w:bottom w:val="single" w:sz="4" w:space="0" w:color="000000"/>
            </w:tcBorders>
          </w:tcPr>
          <w:p w:rsidR="00B92FBD" w:rsidRPr="00B92FBD" w:rsidRDefault="00B92FBD" w:rsidP="00C26909">
            <w:pPr>
              <w:rPr>
                <w:sz w:val="20"/>
                <w:szCs w:val="20"/>
              </w:rPr>
            </w:pPr>
            <w:r w:rsidRPr="00B92FBD">
              <w:rPr>
                <w:sz w:val="20"/>
                <w:szCs w:val="20"/>
              </w:rPr>
              <w:t>Patients followed long enough for outcomes to occur</w:t>
            </w:r>
          </w:p>
        </w:tc>
        <w:tc>
          <w:tcPr>
            <w:tcW w:w="1109" w:type="dxa"/>
            <w:tcBorders>
              <w:left w:val="single" w:sz="4" w:space="0" w:color="000000"/>
              <w:bottom w:val="single" w:sz="4" w:space="0" w:color="000000"/>
            </w:tcBorders>
            <w:vAlign w:val="center"/>
          </w:tcPr>
          <w:p w:rsidR="00B92FBD" w:rsidRPr="00B92FBD" w:rsidRDefault="00B92FBD" w:rsidP="00C26909">
            <w:pPr>
              <w:snapToGrid w:val="0"/>
              <w:jc w:val="center"/>
              <w:rPr>
                <w:sz w:val="20"/>
                <w:szCs w:val="20"/>
              </w:rPr>
            </w:pPr>
            <w:r w:rsidRPr="00B92FBD">
              <w:rPr>
                <w:b/>
                <w:sz w:val="20"/>
                <w:szCs w:val="20"/>
              </w:rPr>
              <w:sym w:font="Wingdings 2" w:char="F050"/>
            </w:r>
          </w:p>
        </w:tc>
        <w:tc>
          <w:tcPr>
            <w:tcW w:w="1267" w:type="dxa"/>
            <w:tcBorders>
              <w:left w:val="single" w:sz="4" w:space="0" w:color="000000"/>
              <w:bottom w:val="single" w:sz="4" w:space="0" w:color="000000"/>
            </w:tcBorders>
            <w:vAlign w:val="center"/>
          </w:tcPr>
          <w:p w:rsidR="00B92FBD" w:rsidRPr="00B92FBD" w:rsidRDefault="00B92FBD" w:rsidP="00C26909">
            <w:pPr>
              <w:snapToGrid w:val="0"/>
              <w:jc w:val="center"/>
              <w:rPr>
                <w:sz w:val="20"/>
                <w:szCs w:val="20"/>
              </w:rPr>
            </w:pPr>
            <w:r w:rsidRPr="00B92FBD">
              <w:rPr>
                <w:b/>
                <w:sz w:val="20"/>
                <w:szCs w:val="20"/>
              </w:rPr>
              <w:sym w:font="Wingdings 2" w:char="F050"/>
            </w:r>
          </w:p>
        </w:tc>
        <w:tc>
          <w:tcPr>
            <w:tcW w:w="1743" w:type="dxa"/>
            <w:tcBorders>
              <w:left w:val="single" w:sz="4" w:space="0" w:color="000000"/>
              <w:bottom w:val="single" w:sz="4" w:space="0" w:color="000000"/>
              <w:right w:val="single" w:sz="4" w:space="0" w:color="000000"/>
            </w:tcBorders>
            <w:vAlign w:val="center"/>
          </w:tcPr>
          <w:p w:rsidR="00B92FBD" w:rsidRPr="00B92FBD" w:rsidRDefault="00B92FBD" w:rsidP="00C26909">
            <w:pPr>
              <w:snapToGrid w:val="0"/>
              <w:jc w:val="center"/>
              <w:rPr>
                <w:sz w:val="20"/>
                <w:szCs w:val="20"/>
              </w:rPr>
            </w:pPr>
            <w:r w:rsidRPr="00B92FBD">
              <w:rPr>
                <w:b/>
                <w:sz w:val="20"/>
                <w:szCs w:val="20"/>
              </w:rPr>
              <w:sym w:font="Wingdings 2" w:char="F050"/>
            </w:r>
          </w:p>
        </w:tc>
      </w:tr>
      <w:tr w:rsidR="00B92FBD" w:rsidRPr="00B92FBD" w:rsidTr="00C26909">
        <w:trPr>
          <w:trHeight w:val="350"/>
        </w:trPr>
        <w:tc>
          <w:tcPr>
            <w:tcW w:w="5259" w:type="dxa"/>
            <w:tcBorders>
              <w:left w:val="single" w:sz="4" w:space="0" w:color="000000"/>
              <w:bottom w:val="single" w:sz="4" w:space="0" w:color="000000"/>
            </w:tcBorders>
            <w:vAlign w:val="center"/>
          </w:tcPr>
          <w:p w:rsidR="00B92FBD" w:rsidRPr="00B92FBD" w:rsidRDefault="00B92FBD" w:rsidP="00C26909">
            <w:pPr>
              <w:snapToGrid w:val="0"/>
              <w:rPr>
                <w:sz w:val="20"/>
                <w:szCs w:val="20"/>
              </w:rPr>
            </w:pPr>
            <w:r w:rsidRPr="00B92FBD">
              <w:rPr>
                <w:sz w:val="20"/>
                <w:szCs w:val="20"/>
              </w:rPr>
              <w:t xml:space="preserve">Complete follow-up of  </w:t>
            </w:r>
            <w:r w:rsidRPr="00B92FBD">
              <w:rPr>
                <w:sz w:val="20"/>
                <w:szCs w:val="20"/>
                <w:u w:val="single"/>
              </w:rPr>
              <w:t>&gt;</w:t>
            </w:r>
            <w:r w:rsidRPr="00B92FBD">
              <w:rPr>
                <w:sz w:val="20"/>
                <w:szCs w:val="20"/>
              </w:rPr>
              <w:t xml:space="preserve"> 80%†</w:t>
            </w:r>
          </w:p>
        </w:tc>
        <w:tc>
          <w:tcPr>
            <w:tcW w:w="1109" w:type="dxa"/>
            <w:tcBorders>
              <w:left w:val="single" w:sz="4" w:space="0" w:color="000000"/>
              <w:bottom w:val="single" w:sz="4" w:space="0" w:color="000000"/>
            </w:tcBorders>
            <w:vAlign w:val="center"/>
          </w:tcPr>
          <w:p w:rsidR="00B92FBD" w:rsidRPr="00B92FBD" w:rsidRDefault="00B92FBD" w:rsidP="00C26909">
            <w:pPr>
              <w:snapToGrid w:val="0"/>
              <w:jc w:val="center"/>
              <w:rPr>
                <w:sz w:val="20"/>
                <w:szCs w:val="20"/>
              </w:rPr>
            </w:pPr>
            <w:r w:rsidRPr="00B92FBD">
              <w:rPr>
                <w:b/>
                <w:sz w:val="20"/>
                <w:szCs w:val="20"/>
              </w:rPr>
              <w:sym w:font="Wingdings 2" w:char="F050"/>
            </w:r>
          </w:p>
        </w:tc>
        <w:tc>
          <w:tcPr>
            <w:tcW w:w="1267" w:type="dxa"/>
            <w:tcBorders>
              <w:left w:val="single" w:sz="4" w:space="0" w:color="000000"/>
              <w:bottom w:val="single" w:sz="4" w:space="0" w:color="000000"/>
            </w:tcBorders>
            <w:vAlign w:val="center"/>
          </w:tcPr>
          <w:p w:rsidR="00B92FBD" w:rsidRPr="00B92FBD" w:rsidRDefault="00B92FBD" w:rsidP="00C26909">
            <w:pPr>
              <w:snapToGrid w:val="0"/>
              <w:jc w:val="center"/>
              <w:rPr>
                <w:sz w:val="20"/>
                <w:szCs w:val="20"/>
              </w:rPr>
            </w:pPr>
            <w:r w:rsidRPr="00B92FBD">
              <w:rPr>
                <w:b/>
                <w:sz w:val="20"/>
                <w:szCs w:val="20"/>
              </w:rPr>
              <w:sym w:font="Wingdings 2" w:char="F050"/>
            </w:r>
          </w:p>
        </w:tc>
        <w:tc>
          <w:tcPr>
            <w:tcW w:w="1743" w:type="dxa"/>
            <w:tcBorders>
              <w:left w:val="single" w:sz="4" w:space="0" w:color="000000"/>
              <w:bottom w:val="single" w:sz="4" w:space="0" w:color="000000"/>
              <w:right w:val="single" w:sz="4" w:space="0" w:color="000000"/>
            </w:tcBorders>
            <w:vAlign w:val="center"/>
          </w:tcPr>
          <w:p w:rsidR="00B92FBD" w:rsidRPr="00B92FBD" w:rsidRDefault="00B92FBD" w:rsidP="00C26909">
            <w:pPr>
              <w:snapToGrid w:val="0"/>
              <w:jc w:val="center"/>
              <w:rPr>
                <w:sz w:val="20"/>
                <w:szCs w:val="20"/>
              </w:rPr>
            </w:pPr>
          </w:p>
        </w:tc>
      </w:tr>
      <w:tr w:rsidR="00B92FBD" w:rsidRPr="00B92FBD" w:rsidTr="00C26909">
        <w:tc>
          <w:tcPr>
            <w:tcW w:w="5259" w:type="dxa"/>
            <w:tcBorders>
              <w:left w:val="single" w:sz="4" w:space="0" w:color="000000"/>
              <w:bottom w:val="single" w:sz="4" w:space="0" w:color="000000"/>
            </w:tcBorders>
          </w:tcPr>
          <w:p w:rsidR="00B92FBD" w:rsidRPr="00B92FBD" w:rsidRDefault="00B92FBD" w:rsidP="00C26909">
            <w:pPr>
              <w:snapToGrid w:val="0"/>
              <w:rPr>
                <w:sz w:val="20"/>
                <w:szCs w:val="20"/>
              </w:rPr>
            </w:pPr>
            <w:r w:rsidRPr="00B92FBD">
              <w:rPr>
                <w:sz w:val="20"/>
                <w:szCs w:val="20"/>
              </w:rPr>
              <w:t>Accounting for other prognostic factors‡</w:t>
            </w:r>
          </w:p>
        </w:tc>
        <w:tc>
          <w:tcPr>
            <w:tcW w:w="1109" w:type="dxa"/>
            <w:tcBorders>
              <w:left w:val="single" w:sz="4" w:space="0" w:color="000000"/>
              <w:bottom w:val="single" w:sz="4" w:space="0" w:color="000000"/>
            </w:tcBorders>
            <w:vAlign w:val="center"/>
          </w:tcPr>
          <w:p w:rsidR="00B92FBD" w:rsidRPr="00B92FBD" w:rsidRDefault="00B92FBD" w:rsidP="00C26909">
            <w:pPr>
              <w:snapToGrid w:val="0"/>
              <w:jc w:val="center"/>
              <w:rPr>
                <w:sz w:val="20"/>
                <w:szCs w:val="20"/>
              </w:rPr>
            </w:pPr>
            <w:r w:rsidRPr="00B92FBD">
              <w:rPr>
                <w:b/>
                <w:sz w:val="20"/>
                <w:szCs w:val="20"/>
              </w:rPr>
              <w:sym w:font="Wingdings 2" w:char="F050"/>
            </w:r>
          </w:p>
        </w:tc>
        <w:tc>
          <w:tcPr>
            <w:tcW w:w="1267" w:type="dxa"/>
            <w:tcBorders>
              <w:left w:val="single" w:sz="4" w:space="0" w:color="000000"/>
              <w:bottom w:val="single" w:sz="4" w:space="0" w:color="000000"/>
            </w:tcBorders>
            <w:vAlign w:val="center"/>
          </w:tcPr>
          <w:p w:rsidR="00B92FBD" w:rsidRPr="00B92FBD" w:rsidRDefault="00B92FBD" w:rsidP="00C26909">
            <w:pPr>
              <w:snapToGrid w:val="0"/>
              <w:jc w:val="center"/>
              <w:rPr>
                <w:sz w:val="20"/>
                <w:szCs w:val="20"/>
              </w:rPr>
            </w:pPr>
            <w:r w:rsidRPr="00B92FBD">
              <w:rPr>
                <w:b/>
                <w:sz w:val="20"/>
                <w:szCs w:val="20"/>
              </w:rPr>
              <w:sym w:font="Wingdings 2" w:char="F050"/>
            </w:r>
          </w:p>
        </w:tc>
        <w:tc>
          <w:tcPr>
            <w:tcW w:w="1743" w:type="dxa"/>
            <w:tcBorders>
              <w:left w:val="single" w:sz="4" w:space="0" w:color="000000"/>
              <w:bottom w:val="single" w:sz="4" w:space="0" w:color="000000"/>
              <w:right w:val="single" w:sz="4" w:space="0" w:color="000000"/>
            </w:tcBorders>
            <w:vAlign w:val="center"/>
          </w:tcPr>
          <w:p w:rsidR="00B92FBD" w:rsidRPr="00B92FBD" w:rsidRDefault="00B92FBD" w:rsidP="00C26909">
            <w:pPr>
              <w:snapToGrid w:val="0"/>
              <w:jc w:val="center"/>
              <w:rPr>
                <w:sz w:val="20"/>
                <w:szCs w:val="20"/>
              </w:rPr>
            </w:pPr>
          </w:p>
        </w:tc>
      </w:tr>
      <w:tr w:rsidR="00B92FBD" w:rsidRPr="00B92FBD" w:rsidTr="00C26909">
        <w:tc>
          <w:tcPr>
            <w:tcW w:w="5259" w:type="dxa"/>
            <w:tcBorders>
              <w:left w:val="single" w:sz="4" w:space="0" w:color="000000"/>
              <w:bottom w:val="single" w:sz="4" w:space="0" w:color="000000"/>
            </w:tcBorders>
            <w:shd w:val="clear" w:color="auto" w:fill="595959"/>
          </w:tcPr>
          <w:p w:rsidR="00B92FBD" w:rsidRPr="00B92FBD" w:rsidRDefault="00B92FBD" w:rsidP="00C26909">
            <w:pPr>
              <w:snapToGrid w:val="0"/>
              <w:rPr>
                <w:b/>
                <w:color w:val="FFFFFF"/>
                <w:sz w:val="20"/>
                <w:szCs w:val="20"/>
              </w:rPr>
            </w:pPr>
            <w:r w:rsidRPr="00B92FBD">
              <w:rPr>
                <w:b/>
                <w:color w:val="FFFFFF"/>
                <w:sz w:val="20"/>
                <w:szCs w:val="20"/>
              </w:rPr>
              <w:t>Evidence class</w:t>
            </w:r>
          </w:p>
        </w:tc>
        <w:tc>
          <w:tcPr>
            <w:tcW w:w="1109" w:type="dxa"/>
            <w:tcBorders>
              <w:left w:val="single" w:sz="4" w:space="0" w:color="000000"/>
              <w:bottom w:val="single" w:sz="4" w:space="0" w:color="000000"/>
            </w:tcBorders>
            <w:shd w:val="clear" w:color="auto" w:fill="595959"/>
          </w:tcPr>
          <w:p w:rsidR="00B92FBD" w:rsidRPr="00B92FBD" w:rsidRDefault="00B92FBD" w:rsidP="00C26909">
            <w:pPr>
              <w:snapToGrid w:val="0"/>
              <w:jc w:val="center"/>
              <w:rPr>
                <w:b/>
                <w:bCs/>
                <w:color w:val="FFFFFF"/>
                <w:sz w:val="20"/>
                <w:szCs w:val="20"/>
              </w:rPr>
            </w:pPr>
            <w:r w:rsidRPr="00B92FBD">
              <w:rPr>
                <w:b/>
                <w:bCs/>
                <w:color w:val="FFFFFF"/>
                <w:sz w:val="20"/>
                <w:szCs w:val="20"/>
              </w:rPr>
              <w:t>II</w:t>
            </w:r>
          </w:p>
        </w:tc>
        <w:tc>
          <w:tcPr>
            <w:tcW w:w="1267" w:type="dxa"/>
            <w:tcBorders>
              <w:left w:val="single" w:sz="4" w:space="0" w:color="000000"/>
              <w:bottom w:val="single" w:sz="4" w:space="0" w:color="000000"/>
            </w:tcBorders>
            <w:shd w:val="clear" w:color="auto" w:fill="595959"/>
            <w:vAlign w:val="center"/>
          </w:tcPr>
          <w:p w:rsidR="00B92FBD" w:rsidRPr="00B92FBD" w:rsidRDefault="00B92FBD" w:rsidP="00C26909">
            <w:pPr>
              <w:snapToGrid w:val="0"/>
              <w:jc w:val="center"/>
              <w:rPr>
                <w:color w:val="FFFFFF"/>
                <w:sz w:val="20"/>
                <w:szCs w:val="20"/>
              </w:rPr>
            </w:pPr>
            <w:r w:rsidRPr="00B92FBD">
              <w:rPr>
                <w:b/>
                <w:bCs/>
                <w:color w:val="FFFFFF"/>
                <w:sz w:val="20"/>
                <w:szCs w:val="20"/>
              </w:rPr>
              <w:t>II</w:t>
            </w:r>
          </w:p>
        </w:tc>
        <w:tc>
          <w:tcPr>
            <w:tcW w:w="1743" w:type="dxa"/>
            <w:tcBorders>
              <w:left w:val="single" w:sz="4" w:space="0" w:color="000000"/>
              <w:bottom w:val="single" w:sz="4" w:space="0" w:color="000000"/>
              <w:right w:val="single" w:sz="4" w:space="0" w:color="000000"/>
            </w:tcBorders>
            <w:shd w:val="clear" w:color="auto" w:fill="595959"/>
          </w:tcPr>
          <w:p w:rsidR="00B92FBD" w:rsidRPr="00B92FBD" w:rsidRDefault="00B92FBD" w:rsidP="00C26909">
            <w:pPr>
              <w:snapToGrid w:val="0"/>
              <w:jc w:val="center"/>
              <w:rPr>
                <w:b/>
                <w:bCs/>
                <w:color w:val="FFFFFF"/>
                <w:sz w:val="20"/>
                <w:szCs w:val="20"/>
              </w:rPr>
            </w:pPr>
            <w:r w:rsidRPr="00B92FBD">
              <w:rPr>
                <w:b/>
                <w:bCs/>
                <w:color w:val="FFFFFF"/>
                <w:sz w:val="20"/>
                <w:szCs w:val="20"/>
              </w:rPr>
              <w:t>III</w:t>
            </w:r>
          </w:p>
        </w:tc>
      </w:tr>
    </w:tbl>
    <w:p w:rsidR="00B92FBD" w:rsidRPr="009A6835" w:rsidRDefault="00B92FBD" w:rsidP="00B92FBD">
      <w:pPr>
        <w:ind w:left="180" w:hanging="180"/>
        <w:rPr>
          <w:sz w:val="18"/>
          <w:szCs w:val="18"/>
        </w:rPr>
      </w:pPr>
      <w:r w:rsidRPr="009A6835">
        <w:rPr>
          <w:sz w:val="18"/>
          <w:szCs w:val="18"/>
        </w:rPr>
        <w:t>*Cohort studies follow individuals with the exposure of interest over time and monitor for occurrence of the outcome of interest.</w:t>
      </w:r>
    </w:p>
    <w:p w:rsidR="00B92FBD" w:rsidRPr="009A6835" w:rsidRDefault="00B92FBD" w:rsidP="00B92FBD">
      <w:pPr>
        <w:ind w:left="180" w:hanging="180"/>
        <w:rPr>
          <w:sz w:val="18"/>
          <w:szCs w:val="18"/>
        </w:rPr>
      </w:pPr>
      <w:r w:rsidRPr="009A6835">
        <w:rPr>
          <w:sz w:val="18"/>
          <w:szCs w:val="18"/>
        </w:rPr>
        <w:t>†Applies to cohort studies only.</w:t>
      </w:r>
    </w:p>
    <w:p w:rsidR="00B92FBD" w:rsidRPr="009A6835" w:rsidRDefault="00B92FBD" w:rsidP="00B92FBD">
      <w:pPr>
        <w:ind w:left="180" w:hanging="180"/>
        <w:rPr>
          <w:sz w:val="18"/>
          <w:szCs w:val="18"/>
        </w:rPr>
      </w:pPr>
      <w:r w:rsidRPr="009A6835">
        <w:rPr>
          <w:sz w:val="18"/>
          <w:szCs w:val="18"/>
        </w:rPr>
        <w:t>‡Authors must consider other factors that might influence patient outcomes.</w:t>
      </w:r>
    </w:p>
    <w:p w:rsidR="00B92FBD" w:rsidRDefault="00B92FBD"/>
    <w:p w:rsidR="00B92FBD" w:rsidRDefault="00B92FBD"/>
    <w:p w:rsidR="00B92FBD" w:rsidRDefault="00B92FBD" w:rsidP="00B92FBD">
      <w:pPr>
        <w:rPr>
          <w:b/>
        </w:rPr>
        <w:sectPr w:rsidR="00B92FBD">
          <w:pgSz w:w="12240" w:h="15840"/>
          <w:pgMar w:top="1440" w:right="1440" w:bottom="1440" w:left="1440" w:header="720" w:footer="720" w:gutter="0"/>
          <w:cols w:space="720"/>
          <w:docGrid w:linePitch="360"/>
        </w:sectPr>
      </w:pPr>
    </w:p>
    <w:p w:rsidR="00B92FBD" w:rsidRPr="00205D66" w:rsidRDefault="00B92FBD" w:rsidP="00B92FBD">
      <w:pPr>
        <w:rPr>
          <w:b/>
        </w:rPr>
      </w:pPr>
      <w:r>
        <w:rPr>
          <w:b/>
        </w:rPr>
        <w:lastRenderedPageBreak/>
        <w:t xml:space="preserve">Table S3.  </w:t>
      </w:r>
      <w:proofErr w:type="gramStart"/>
      <w:r w:rsidRPr="00205D66">
        <w:rPr>
          <w:b/>
        </w:rPr>
        <w:t>Excluded articles</w:t>
      </w:r>
      <w:r>
        <w:rPr>
          <w:b/>
        </w:rPr>
        <w:t xml:space="preserve"> and reasons for exclusion.</w:t>
      </w:r>
      <w:proofErr w:type="gramEnd"/>
    </w:p>
    <w:p w:rsidR="00B92FBD" w:rsidRDefault="00B92FBD" w:rsidP="00B92FBD"/>
    <w:tbl>
      <w:tblPr>
        <w:tblW w:w="8328" w:type="dxa"/>
        <w:tblInd w:w="93" w:type="dxa"/>
        <w:tblLook w:val="04A0" w:firstRow="1" w:lastRow="0" w:firstColumn="1" w:lastColumn="0" w:noHBand="0" w:noVBand="1"/>
      </w:tblPr>
      <w:tblGrid>
        <w:gridCol w:w="2895"/>
        <w:gridCol w:w="696"/>
        <w:gridCol w:w="4737"/>
      </w:tblGrid>
      <w:tr w:rsidR="00B92FBD" w:rsidRPr="007A74D5" w:rsidTr="00C26909">
        <w:trPr>
          <w:trHeight w:val="288"/>
        </w:trPr>
        <w:tc>
          <w:tcPr>
            <w:tcW w:w="2895" w:type="dxa"/>
            <w:tcBorders>
              <w:top w:val="single" w:sz="4" w:space="0" w:color="auto"/>
              <w:left w:val="nil"/>
              <w:bottom w:val="single" w:sz="4" w:space="0" w:color="auto"/>
              <w:right w:val="nil"/>
            </w:tcBorders>
            <w:shd w:val="clear" w:color="auto" w:fill="auto"/>
            <w:vAlign w:val="center"/>
          </w:tcPr>
          <w:p w:rsidR="00B92FBD" w:rsidRPr="007A74D5" w:rsidRDefault="00B92FBD" w:rsidP="00C26909">
            <w:pPr>
              <w:rPr>
                <w:rFonts w:eastAsia="Times New Roman" w:cs="Times New Roman"/>
                <w:b/>
                <w:kern w:val="0"/>
              </w:rPr>
            </w:pPr>
            <w:r w:rsidRPr="007A74D5">
              <w:rPr>
                <w:rFonts w:eastAsia="Times New Roman" w:cs="Times New Roman"/>
                <w:b/>
                <w:kern w:val="0"/>
              </w:rPr>
              <w:t>Author</w:t>
            </w:r>
          </w:p>
        </w:tc>
        <w:tc>
          <w:tcPr>
            <w:tcW w:w="696" w:type="dxa"/>
            <w:tcBorders>
              <w:top w:val="single" w:sz="4" w:space="0" w:color="auto"/>
              <w:left w:val="nil"/>
              <w:bottom w:val="single" w:sz="4" w:space="0" w:color="auto"/>
              <w:right w:val="nil"/>
            </w:tcBorders>
            <w:shd w:val="clear" w:color="auto" w:fill="auto"/>
            <w:vAlign w:val="center"/>
          </w:tcPr>
          <w:p w:rsidR="00B92FBD" w:rsidRPr="007A74D5" w:rsidRDefault="00B92FBD" w:rsidP="00C26909">
            <w:pPr>
              <w:jc w:val="right"/>
              <w:rPr>
                <w:rFonts w:eastAsia="Times New Roman" w:cs="Times New Roman"/>
                <w:b/>
                <w:kern w:val="0"/>
              </w:rPr>
            </w:pPr>
            <w:r w:rsidRPr="007A74D5">
              <w:rPr>
                <w:rFonts w:eastAsia="Times New Roman" w:cs="Times New Roman"/>
                <w:b/>
                <w:kern w:val="0"/>
              </w:rPr>
              <w:t>year</w:t>
            </w:r>
          </w:p>
        </w:tc>
        <w:tc>
          <w:tcPr>
            <w:tcW w:w="4737" w:type="dxa"/>
            <w:tcBorders>
              <w:top w:val="single" w:sz="4" w:space="0" w:color="auto"/>
              <w:left w:val="nil"/>
              <w:bottom w:val="single" w:sz="4" w:space="0" w:color="auto"/>
              <w:right w:val="nil"/>
            </w:tcBorders>
            <w:shd w:val="clear" w:color="auto" w:fill="auto"/>
            <w:noWrap/>
            <w:vAlign w:val="bottom"/>
          </w:tcPr>
          <w:p w:rsidR="00B92FBD" w:rsidRPr="007A74D5" w:rsidRDefault="00B92FBD" w:rsidP="00C26909">
            <w:pPr>
              <w:rPr>
                <w:rFonts w:eastAsia="Times New Roman" w:cs="Times New Roman"/>
                <w:b/>
                <w:kern w:val="0"/>
              </w:rPr>
            </w:pPr>
            <w:r w:rsidRPr="007A74D5">
              <w:rPr>
                <w:rFonts w:eastAsia="Times New Roman" w:cs="Times New Roman"/>
                <w:b/>
                <w:kern w:val="0"/>
              </w:rPr>
              <w:t>Reason for exclusion</w:t>
            </w:r>
          </w:p>
        </w:tc>
      </w:tr>
      <w:tr w:rsidR="005735CE" w:rsidRPr="007A74D5" w:rsidTr="00C26909">
        <w:trPr>
          <w:trHeight w:val="288"/>
        </w:trPr>
        <w:tc>
          <w:tcPr>
            <w:tcW w:w="3591" w:type="dxa"/>
            <w:gridSpan w:val="2"/>
            <w:tcBorders>
              <w:top w:val="single" w:sz="4" w:space="0" w:color="auto"/>
              <w:left w:val="nil"/>
              <w:bottom w:val="nil"/>
              <w:right w:val="nil"/>
            </w:tcBorders>
            <w:shd w:val="clear" w:color="auto" w:fill="auto"/>
            <w:vAlign w:val="center"/>
          </w:tcPr>
          <w:p w:rsidR="005735CE" w:rsidRPr="007A74D5" w:rsidRDefault="005735CE" w:rsidP="005735CE">
            <w:pPr>
              <w:rPr>
                <w:rFonts w:eastAsia="Times New Roman" w:cs="Times New Roman"/>
                <w:kern w:val="0"/>
              </w:rPr>
            </w:pPr>
            <w:r>
              <w:rPr>
                <w:rFonts w:eastAsia="Times New Roman" w:cs="Times New Roman"/>
                <w:b/>
                <w:kern w:val="0"/>
              </w:rPr>
              <w:t>NONOPERATIVE STUDIES</w:t>
            </w:r>
          </w:p>
        </w:tc>
        <w:tc>
          <w:tcPr>
            <w:tcW w:w="4737" w:type="dxa"/>
            <w:tcBorders>
              <w:top w:val="single" w:sz="4" w:space="0" w:color="auto"/>
              <w:left w:val="nil"/>
              <w:bottom w:val="nil"/>
              <w:right w:val="nil"/>
            </w:tcBorders>
            <w:shd w:val="clear" w:color="auto" w:fill="auto"/>
            <w:noWrap/>
            <w:vAlign w:val="bottom"/>
          </w:tcPr>
          <w:p w:rsidR="005735CE" w:rsidRPr="007A74D5" w:rsidRDefault="005735CE" w:rsidP="00C26909">
            <w:pPr>
              <w:rPr>
                <w:rFonts w:eastAsia="Times New Roman" w:cs="Times New Roman"/>
                <w:kern w:val="0"/>
              </w:rPr>
            </w:pPr>
          </w:p>
        </w:tc>
      </w:tr>
      <w:tr w:rsidR="005735CE" w:rsidRPr="007A74D5" w:rsidTr="00C26909">
        <w:trPr>
          <w:trHeight w:val="288"/>
        </w:trPr>
        <w:tc>
          <w:tcPr>
            <w:tcW w:w="2895" w:type="dxa"/>
            <w:tcBorders>
              <w:top w:val="nil"/>
              <w:left w:val="nil"/>
              <w:bottom w:val="nil"/>
              <w:right w:val="nil"/>
            </w:tcBorders>
            <w:shd w:val="clear" w:color="auto" w:fill="auto"/>
            <w:vAlign w:val="bottom"/>
          </w:tcPr>
          <w:p w:rsidR="005735CE" w:rsidRPr="005735CE" w:rsidRDefault="005735CE" w:rsidP="005735CE">
            <w:pPr>
              <w:ind w:left="177"/>
              <w:rPr>
                <w:rFonts w:cs="Times New Roman"/>
              </w:rPr>
            </w:pPr>
            <w:proofErr w:type="spellStart"/>
            <w:r w:rsidRPr="005735CE">
              <w:rPr>
                <w:rFonts w:cs="Times New Roman"/>
              </w:rPr>
              <w:t>Bednarik</w:t>
            </w:r>
            <w:proofErr w:type="spellEnd"/>
          </w:p>
        </w:tc>
        <w:tc>
          <w:tcPr>
            <w:tcW w:w="696" w:type="dxa"/>
            <w:tcBorders>
              <w:top w:val="nil"/>
              <w:left w:val="nil"/>
              <w:bottom w:val="nil"/>
              <w:right w:val="nil"/>
            </w:tcBorders>
            <w:shd w:val="clear" w:color="auto" w:fill="auto"/>
            <w:vAlign w:val="bottom"/>
          </w:tcPr>
          <w:p w:rsidR="005735CE" w:rsidRPr="005735CE" w:rsidRDefault="005735CE">
            <w:pPr>
              <w:jc w:val="center"/>
              <w:rPr>
                <w:rFonts w:cs="Times New Roman"/>
              </w:rPr>
            </w:pPr>
            <w:r w:rsidRPr="005735CE">
              <w:rPr>
                <w:rFonts w:cs="Times New Roman"/>
              </w:rPr>
              <w:t>2004</w:t>
            </w:r>
          </w:p>
        </w:tc>
        <w:tc>
          <w:tcPr>
            <w:tcW w:w="4737" w:type="dxa"/>
            <w:tcBorders>
              <w:top w:val="nil"/>
              <w:left w:val="nil"/>
              <w:bottom w:val="nil"/>
              <w:right w:val="nil"/>
            </w:tcBorders>
            <w:shd w:val="clear" w:color="auto" w:fill="auto"/>
            <w:noWrap/>
            <w:vAlign w:val="bottom"/>
          </w:tcPr>
          <w:p w:rsidR="005735CE" w:rsidRPr="005735CE" w:rsidRDefault="005735CE">
            <w:pPr>
              <w:rPr>
                <w:rFonts w:cs="Times New Roman"/>
              </w:rPr>
            </w:pPr>
            <w:proofErr w:type="spellStart"/>
            <w:r w:rsidRPr="005735CE">
              <w:rPr>
                <w:rFonts w:cs="Times New Roman"/>
              </w:rPr>
              <w:t>Presymptomatic</w:t>
            </w:r>
            <w:proofErr w:type="spellEnd"/>
            <w:r w:rsidRPr="005735CE">
              <w:rPr>
                <w:rFonts w:cs="Times New Roman"/>
              </w:rPr>
              <w:t xml:space="preserve"> CSM</w:t>
            </w:r>
          </w:p>
        </w:tc>
      </w:tr>
      <w:tr w:rsidR="005735CE" w:rsidRPr="007A74D5" w:rsidTr="00C26909">
        <w:trPr>
          <w:trHeight w:val="288"/>
        </w:trPr>
        <w:tc>
          <w:tcPr>
            <w:tcW w:w="2895" w:type="dxa"/>
            <w:tcBorders>
              <w:top w:val="nil"/>
              <w:left w:val="nil"/>
              <w:bottom w:val="nil"/>
              <w:right w:val="nil"/>
            </w:tcBorders>
            <w:shd w:val="clear" w:color="auto" w:fill="auto"/>
            <w:vAlign w:val="bottom"/>
          </w:tcPr>
          <w:p w:rsidR="005735CE" w:rsidRPr="005735CE" w:rsidRDefault="005735CE" w:rsidP="005735CE">
            <w:pPr>
              <w:ind w:left="177"/>
              <w:rPr>
                <w:rFonts w:cs="Times New Roman"/>
              </w:rPr>
            </w:pPr>
            <w:proofErr w:type="spellStart"/>
            <w:r w:rsidRPr="005735CE">
              <w:rPr>
                <w:rFonts w:cs="Times New Roman"/>
              </w:rPr>
              <w:t>Bednarik</w:t>
            </w:r>
            <w:proofErr w:type="spellEnd"/>
          </w:p>
        </w:tc>
        <w:tc>
          <w:tcPr>
            <w:tcW w:w="696" w:type="dxa"/>
            <w:tcBorders>
              <w:top w:val="nil"/>
              <w:left w:val="nil"/>
              <w:bottom w:val="nil"/>
              <w:right w:val="nil"/>
            </w:tcBorders>
            <w:shd w:val="clear" w:color="auto" w:fill="auto"/>
            <w:vAlign w:val="bottom"/>
          </w:tcPr>
          <w:p w:rsidR="005735CE" w:rsidRPr="005735CE" w:rsidRDefault="005735CE">
            <w:pPr>
              <w:jc w:val="center"/>
              <w:rPr>
                <w:rFonts w:cs="Times New Roman"/>
              </w:rPr>
            </w:pPr>
            <w:r w:rsidRPr="005735CE">
              <w:rPr>
                <w:rFonts w:cs="Times New Roman"/>
              </w:rPr>
              <w:t>2008</w:t>
            </w:r>
          </w:p>
        </w:tc>
        <w:tc>
          <w:tcPr>
            <w:tcW w:w="4737" w:type="dxa"/>
            <w:tcBorders>
              <w:top w:val="nil"/>
              <w:left w:val="nil"/>
              <w:bottom w:val="nil"/>
              <w:right w:val="nil"/>
            </w:tcBorders>
            <w:shd w:val="clear" w:color="auto" w:fill="auto"/>
            <w:noWrap/>
            <w:vAlign w:val="bottom"/>
          </w:tcPr>
          <w:p w:rsidR="005735CE" w:rsidRPr="005735CE" w:rsidRDefault="005735CE">
            <w:pPr>
              <w:rPr>
                <w:rFonts w:cs="Times New Roman"/>
              </w:rPr>
            </w:pPr>
            <w:proofErr w:type="spellStart"/>
            <w:r w:rsidRPr="005735CE">
              <w:rPr>
                <w:rFonts w:cs="Times New Roman"/>
              </w:rPr>
              <w:t>Presymptomatic</w:t>
            </w:r>
            <w:proofErr w:type="spellEnd"/>
            <w:r w:rsidRPr="005735CE">
              <w:rPr>
                <w:rFonts w:cs="Times New Roman"/>
              </w:rPr>
              <w:t xml:space="preserve"> CSM</w:t>
            </w:r>
          </w:p>
        </w:tc>
      </w:tr>
      <w:tr w:rsidR="005735CE" w:rsidRPr="007A74D5" w:rsidTr="00C26909">
        <w:trPr>
          <w:trHeight w:val="288"/>
        </w:trPr>
        <w:tc>
          <w:tcPr>
            <w:tcW w:w="2895" w:type="dxa"/>
            <w:tcBorders>
              <w:top w:val="nil"/>
              <w:left w:val="nil"/>
              <w:bottom w:val="nil"/>
              <w:right w:val="nil"/>
            </w:tcBorders>
            <w:shd w:val="clear" w:color="auto" w:fill="auto"/>
            <w:vAlign w:val="bottom"/>
          </w:tcPr>
          <w:p w:rsidR="005735CE" w:rsidRPr="005735CE" w:rsidRDefault="005735CE" w:rsidP="005735CE">
            <w:pPr>
              <w:ind w:left="177"/>
              <w:rPr>
                <w:rFonts w:cs="Times New Roman"/>
              </w:rPr>
            </w:pPr>
            <w:proofErr w:type="spellStart"/>
            <w:r w:rsidRPr="005735CE">
              <w:rPr>
                <w:rFonts w:cs="Times New Roman"/>
              </w:rPr>
              <w:t>Bednarik</w:t>
            </w:r>
            <w:proofErr w:type="spellEnd"/>
          </w:p>
        </w:tc>
        <w:tc>
          <w:tcPr>
            <w:tcW w:w="696" w:type="dxa"/>
            <w:tcBorders>
              <w:top w:val="nil"/>
              <w:left w:val="nil"/>
              <w:bottom w:val="nil"/>
              <w:right w:val="nil"/>
            </w:tcBorders>
            <w:shd w:val="clear" w:color="auto" w:fill="auto"/>
            <w:vAlign w:val="bottom"/>
          </w:tcPr>
          <w:p w:rsidR="005735CE" w:rsidRPr="005735CE" w:rsidRDefault="005735CE">
            <w:pPr>
              <w:jc w:val="center"/>
              <w:rPr>
                <w:rFonts w:cs="Times New Roman"/>
              </w:rPr>
            </w:pPr>
            <w:r w:rsidRPr="005735CE">
              <w:rPr>
                <w:rFonts w:cs="Times New Roman"/>
              </w:rPr>
              <w:t>1999</w:t>
            </w:r>
          </w:p>
        </w:tc>
        <w:tc>
          <w:tcPr>
            <w:tcW w:w="4737" w:type="dxa"/>
            <w:tcBorders>
              <w:top w:val="nil"/>
              <w:left w:val="nil"/>
              <w:bottom w:val="nil"/>
              <w:right w:val="nil"/>
            </w:tcBorders>
            <w:shd w:val="clear" w:color="auto" w:fill="auto"/>
            <w:noWrap/>
            <w:vAlign w:val="bottom"/>
          </w:tcPr>
          <w:p w:rsidR="005735CE" w:rsidRPr="005735CE" w:rsidRDefault="005735CE">
            <w:pPr>
              <w:rPr>
                <w:rFonts w:cs="Times New Roman"/>
              </w:rPr>
            </w:pPr>
            <w:r w:rsidRPr="005735CE">
              <w:rPr>
                <w:rFonts w:cs="Times New Roman"/>
              </w:rPr>
              <w:t>No MRI</w:t>
            </w:r>
          </w:p>
        </w:tc>
      </w:tr>
      <w:tr w:rsidR="005735CE" w:rsidRPr="007A74D5" w:rsidTr="00C26909">
        <w:trPr>
          <w:trHeight w:val="288"/>
        </w:trPr>
        <w:tc>
          <w:tcPr>
            <w:tcW w:w="2895" w:type="dxa"/>
            <w:tcBorders>
              <w:top w:val="nil"/>
              <w:left w:val="nil"/>
              <w:bottom w:val="nil"/>
              <w:right w:val="nil"/>
            </w:tcBorders>
            <w:shd w:val="clear" w:color="auto" w:fill="auto"/>
            <w:vAlign w:val="bottom"/>
          </w:tcPr>
          <w:p w:rsidR="005735CE" w:rsidRPr="005735CE" w:rsidRDefault="005735CE" w:rsidP="005735CE">
            <w:pPr>
              <w:ind w:left="177"/>
              <w:rPr>
                <w:rFonts w:cs="Times New Roman"/>
              </w:rPr>
            </w:pPr>
            <w:r w:rsidRPr="005735CE">
              <w:rPr>
                <w:rFonts w:cs="Times New Roman"/>
              </w:rPr>
              <w:t>Barnes</w:t>
            </w:r>
          </w:p>
        </w:tc>
        <w:tc>
          <w:tcPr>
            <w:tcW w:w="696" w:type="dxa"/>
            <w:tcBorders>
              <w:top w:val="nil"/>
              <w:left w:val="nil"/>
              <w:bottom w:val="nil"/>
              <w:right w:val="nil"/>
            </w:tcBorders>
            <w:shd w:val="clear" w:color="auto" w:fill="auto"/>
            <w:vAlign w:val="bottom"/>
          </w:tcPr>
          <w:p w:rsidR="005735CE" w:rsidRPr="005735CE" w:rsidRDefault="005735CE">
            <w:pPr>
              <w:jc w:val="center"/>
              <w:rPr>
                <w:rFonts w:cs="Times New Roman"/>
              </w:rPr>
            </w:pPr>
            <w:r w:rsidRPr="005735CE">
              <w:rPr>
                <w:rFonts w:cs="Times New Roman"/>
              </w:rPr>
              <w:t>1984</w:t>
            </w:r>
          </w:p>
        </w:tc>
        <w:tc>
          <w:tcPr>
            <w:tcW w:w="4737" w:type="dxa"/>
            <w:tcBorders>
              <w:top w:val="nil"/>
              <w:left w:val="nil"/>
              <w:bottom w:val="nil"/>
              <w:right w:val="nil"/>
            </w:tcBorders>
            <w:shd w:val="clear" w:color="auto" w:fill="auto"/>
            <w:noWrap/>
            <w:vAlign w:val="bottom"/>
          </w:tcPr>
          <w:p w:rsidR="005735CE" w:rsidRPr="005735CE" w:rsidRDefault="005735CE">
            <w:pPr>
              <w:rPr>
                <w:rFonts w:cs="Times New Roman"/>
              </w:rPr>
            </w:pPr>
            <w:r w:rsidRPr="005735CE">
              <w:rPr>
                <w:rFonts w:cs="Times New Roman"/>
              </w:rPr>
              <w:t>No MRI</w:t>
            </w:r>
          </w:p>
        </w:tc>
      </w:tr>
      <w:tr w:rsidR="005735CE" w:rsidRPr="007A74D5" w:rsidTr="00C26909">
        <w:trPr>
          <w:trHeight w:val="288"/>
        </w:trPr>
        <w:tc>
          <w:tcPr>
            <w:tcW w:w="2895" w:type="dxa"/>
            <w:tcBorders>
              <w:top w:val="nil"/>
              <w:left w:val="nil"/>
              <w:bottom w:val="nil"/>
              <w:right w:val="nil"/>
            </w:tcBorders>
            <w:shd w:val="clear" w:color="auto" w:fill="auto"/>
            <w:vAlign w:val="bottom"/>
          </w:tcPr>
          <w:p w:rsidR="005735CE" w:rsidRPr="005735CE" w:rsidRDefault="005735CE" w:rsidP="005735CE">
            <w:pPr>
              <w:ind w:left="177"/>
              <w:rPr>
                <w:rFonts w:cs="Times New Roman"/>
              </w:rPr>
            </w:pPr>
            <w:r w:rsidRPr="005735CE">
              <w:rPr>
                <w:rFonts w:cs="Times New Roman"/>
              </w:rPr>
              <w:t>Nakamura</w:t>
            </w:r>
          </w:p>
        </w:tc>
        <w:tc>
          <w:tcPr>
            <w:tcW w:w="696" w:type="dxa"/>
            <w:tcBorders>
              <w:top w:val="nil"/>
              <w:left w:val="nil"/>
              <w:bottom w:val="nil"/>
              <w:right w:val="nil"/>
            </w:tcBorders>
            <w:shd w:val="clear" w:color="auto" w:fill="auto"/>
            <w:vAlign w:val="bottom"/>
          </w:tcPr>
          <w:p w:rsidR="005735CE" w:rsidRPr="005735CE" w:rsidRDefault="005735CE">
            <w:pPr>
              <w:jc w:val="center"/>
              <w:rPr>
                <w:rFonts w:cs="Times New Roman"/>
              </w:rPr>
            </w:pPr>
            <w:r w:rsidRPr="005735CE">
              <w:rPr>
                <w:rFonts w:cs="Times New Roman"/>
              </w:rPr>
              <w:t>1998</w:t>
            </w:r>
          </w:p>
        </w:tc>
        <w:tc>
          <w:tcPr>
            <w:tcW w:w="4737" w:type="dxa"/>
            <w:tcBorders>
              <w:top w:val="nil"/>
              <w:left w:val="nil"/>
              <w:bottom w:val="nil"/>
              <w:right w:val="nil"/>
            </w:tcBorders>
            <w:shd w:val="clear" w:color="auto" w:fill="auto"/>
            <w:noWrap/>
            <w:vAlign w:val="bottom"/>
          </w:tcPr>
          <w:p w:rsidR="005735CE" w:rsidRPr="005735CE" w:rsidRDefault="005735CE">
            <w:pPr>
              <w:rPr>
                <w:rFonts w:cs="Times New Roman"/>
              </w:rPr>
            </w:pPr>
            <w:r w:rsidRPr="005735CE">
              <w:rPr>
                <w:rFonts w:cs="Times New Roman"/>
              </w:rPr>
              <w:t>No MRI</w:t>
            </w:r>
          </w:p>
        </w:tc>
      </w:tr>
      <w:tr w:rsidR="005735CE" w:rsidRPr="007A74D5" w:rsidTr="00C26909">
        <w:trPr>
          <w:trHeight w:val="288"/>
        </w:trPr>
        <w:tc>
          <w:tcPr>
            <w:tcW w:w="2895" w:type="dxa"/>
            <w:tcBorders>
              <w:top w:val="nil"/>
              <w:left w:val="nil"/>
              <w:bottom w:val="nil"/>
              <w:right w:val="nil"/>
            </w:tcBorders>
            <w:shd w:val="clear" w:color="auto" w:fill="auto"/>
            <w:vAlign w:val="bottom"/>
          </w:tcPr>
          <w:p w:rsidR="005735CE" w:rsidRPr="005735CE" w:rsidRDefault="005735CE" w:rsidP="005735CE">
            <w:pPr>
              <w:ind w:left="177"/>
              <w:rPr>
                <w:rFonts w:cs="Times New Roman"/>
              </w:rPr>
            </w:pPr>
            <w:proofErr w:type="spellStart"/>
            <w:r w:rsidRPr="005735CE">
              <w:rPr>
                <w:rFonts w:cs="Times New Roman"/>
              </w:rPr>
              <w:t>Kadanka</w:t>
            </w:r>
            <w:proofErr w:type="spellEnd"/>
            <w:r w:rsidRPr="005735CE">
              <w:rPr>
                <w:rFonts w:cs="Times New Roman"/>
              </w:rPr>
              <w:t xml:space="preserve"> </w:t>
            </w:r>
          </w:p>
        </w:tc>
        <w:tc>
          <w:tcPr>
            <w:tcW w:w="696" w:type="dxa"/>
            <w:tcBorders>
              <w:top w:val="nil"/>
              <w:left w:val="nil"/>
              <w:bottom w:val="nil"/>
              <w:right w:val="nil"/>
            </w:tcBorders>
            <w:shd w:val="clear" w:color="auto" w:fill="auto"/>
            <w:vAlign w:val="bottom"/>
          </w:tcPr>
          <w:p w:rsidR="005735CE" w:rsidRPr="005735CE" w:rsidRDefault="005735CE">
            <w:pPr>
              <w:jc w:val="center"/>
              <w:rPr>
                <w:rFonts w:cs="Times New Roman"/>
              </w:rPr>
            </w:pPr>
            <w:r w:rsidRPr="005735CE">
              <w:rPr>
                <w:rFonts w:cs="Times New Roman"/>
              </w:rPr>
              <w:t>2000</w:t>
            </w:r>
          </w:p>
        </w:tc>
        <w:tc>
          <w:tcPr>
            <w:tcW w:w="4737" w:type="dxa"/>
            <w:tcBorders>
              <w:top w:val="nil"/>
              <w:left w:val="nil"/>
              <w:bottom w:val="nil"/>
              <w:right w:val="nil"/>
            </w:tcBorders>
            <w:shd w:val="clear" w:color="auto" w:fill="auto"/>
            <w:noWrap/>
            <w:vAlign w:val="bottom"/>
          </w:tcPr>
          <w:p w:rsidR="005735CE" w:rsidRPr="005735CE" w:rsidRDefault="005735CE">
            <w:pPr>
              <w:rPr>
                <w:rFonts w:cs="Times New Roman"/>
              </w:rPr>
            </w:pPr>
            <w:r w:rsidRPr="005735CE">
              <w:rPr>
                <w:rFonts w:cs="Times New Roman"/>
              </w:rPr>
              <w:t>Not prognostic</w:t>
            </w:r>
          </w:p>
        </w:tc>
      </w:tr>
      <w:tr w:rsidR="005735CE" w:rsidRPr="007A74D5" w:rsidTr="00C26909">
        <w:trPr>
          <w:trHeight w:val="288"/>
        </w:trPr>
        <w:tc>
          <w:tcPr>
            <w:tcW w:w="2895" w:type="dxa"/>
            <w:tcBorders>
              <w:top w:val="nil"/>
              <w:left w:val="nil"/>
              <w:bottom w:val="nil"/>
              <w:right w:val="nil"/>
            </w:tcBorders>
            <w:shd w:val="clear" w:color="auto" w:fill="auto"/>
            <w:vAlign w:val="bottom"/>
          </w:tcPr>
          <w:p w:rsidR="005735CE" w:rsidRPr="005735CE" w:rsidRDefault="005735CE" w:rsidP="005735CE">
            <w:pPr>
              <w:ind w:left="177"/>
              <w:rPr>
                <w:rFonts w:cs="Times New Roman"/>
              </w:rPr>
            </w:pPr>
            <w:proofErr w:type="spellStart"/>
            <w:r w:rsidRPr="005735CE">
              <w:rPr>
                <w:rFonts w:cs="Times New Roman"/>
              </w:rPr>
              <w:t>Kadanka</w:t>
            </w:r>
            <w:proofErr w:type="spellEnd"/>
          </w:p>
        </w:tc>
        <w:tc>
          <w:tcPr>
            <w:tcW w:w="696" w:type="dxa"/>
            <w:tcBorders>
              <w:top w:val="nil"/>
              <w:left w:val="nil"/>
              <w:bottom w:val="nil"/>
              <w:right w:val="nil"/>
            </w:tcBorders>
            <w:shd w:val="clear" w:color="auto" w:fill="auto"/>
            <w:vAlign w:val="bottom"/>
          </w:tcPr>
          <w:p w:rsidR="005735CE" w:rsidRPr="005735CE" w:rsidRDefault="005735CE">
            <w:pPr>
              <w:jc w:val="center"/>
              <w:rPr>
                <w:rFonts w:cs="Times New Roman"/>
              </w:rPr>
            </w:pPr>
            <w:r w:rsidRPr="005735CE">
              <w:rPr>
                <w:rFonts w:cs="Times New Roman"/>
              </w:rPr>
              <w:t>2002</w:t>
            </w:r>
          </w:p>
        </w:tc>
        <w:tc>
          <w:tcPr>
            <w:tcW w:w="4737" w:type="dxa"/>
            <w:tcBorders>
              <w:top w:val="nil"/>
              <w:left w:val="nil"/>
              <w:bottom w:val="nil"/>
              <w:right w:val="nil"/>
            </w:tcBorders>
            <w:shd w:val="clear" w:color="auto" w:fill="auto"/>
            <w:noWrap/>
            <w:vAlign w:val="bottom"/>
          </w:tcPr>
          <w:p w:rsidR="005735CE" w:rsidRPr="005735CE" w:rsidRDefault="005735CE">
            <w:pPr>
              <w:rPr>
                <w:rFonts w:cs="Times New Roman"/>
              </w:rPr>
            </w:pPr>
            <w:r w:rsidRPr="005735CE">
              <w:rPr>
                <w:rFonts w:cs="Times New Roman"/>
              </w:rPr>
              <w:t>Not prognostic</w:t>
            </w:r>
          </w:p>
        </w:tc>
      </w:tr>
      <w:tr w:rsidR="005735CE" w:rsidRPr="007A74D5" w:rsidTr="00C26909">
        <w:trPr>
          <w:trHeight w:val="288"/>
        </w:trPr>
        <w:tc>
          <w:tcPr>
            <w:tcW w:w="2895" w:type="dxa"/>
            <w:tcBorders>
              <w:top w:val="nil"/>
              <w:left w:val="nil"/>
              <w:bottom w:val="nil"/>
              <w:right w:val="nil"/>
            </w:tcBorders>
            <w:shd w:val="clear" w:color="auto" w:fill="auto"/>
            <w:vAlign w:val="bottom"/>
          </w:tcPr>
          <w:p w:rsidR="005735CE" w:rsidRPr="005735CE" w:rsidRDefault="005735CE" w:rsidP="005735CE">
            <w:pPr>
              <w:ind w:left="177"/>
              <w:rPr>
                <w:rFonts w:cs="Times New Roman"/>
              </w:rPr>
            </w:pPr>
            <w:proofErr w:type="spellStart"/>
            <w:r w:rsidRPr="005735CE">
              <w:rPr>
                <w:rFonts w:cs="Times New Roman"/>
              </w:rPr>
              <w:t>Kadanka</w:t>
            </w:r>
            <w:proofErr w:type="spellEnd"/>
          </w:p>
        </w:tc>
        <w:tc>
          <w:tcPr>
            <w:tcW w:w="696" w:type="dxa"/>
            <w:tcBorders>
              <w:top w:val="nil"/>
              <w:left w:val="nil"/>
              <w:bottom w:val="nil"/>
              <w:right w:val="nil"/>
            </w:tcBorders>
            <w:shd w:val="clear" w:color="auto" w:fill="auto"/>
            <w:vAlign w:val="bottom"/>
          </w:tcPr>
          <w:p w:rsidR="005735CE" w:rsidRPr="005735CE" w:rsidRDefault="005735CE">
            <w:pPr>
              <w:jc w:val="center"/>
              <w:rPr>
                <w:rFonts w:cs="Times New Roman"/>
              </w:rPr>
            </w:pPr>
            <w:r w:rsidRPr="005735CE">
              <w:rPr>
                <w:rFonts w:cs="Times New Roman"/>
              </w:rPr>
              <w:t>2005</w:t>
            </w:r>
          </w:p>
        </w:tc>
        <w:tc>
          <w:tcPr>
            <w:tcW w:w="4737" w:type="dxa"/>
            <w:tcBorders>
              <w:top w:val="nil"/>
              <w:left w:val="nil"/>
              <w:bottom w:val="nil"/>
              <w:right w:val="nil"/>
            </w:tcBorders>
            <w:shd w:val="clear" w:color="auto" w:fill="auto"/>
            <w:noWrap/>
            <w:vAlign w:val="bottom"/>
          </w:tcPr>
          <w:p w:rsidR="005735CE" w:rsidRPr="005735CE" w:rsidRDefault="005735CE">
            <w:pPr>
              <w:rPr>
                <w:rFonts w:cs="Times New Roman"/>
              </w:rPr>
            </w:pPr>
            <w:r w:rsidRPr="005735CE">
              <w:rPr>
                <w:rFonts w:cs="Times New Roman"/>
              </w:rPr>
              <w:t>Univariate</w:t>
            </w:r>
          </w:p>
        </w:tc>
      </w:tr>
      <w:tr w:rsidR="005735CE" w:rsidRPr="007A74D5" w:rsidTr="00C26909">
        <w:trPr>
          <w:trHeight w:val="288"/>
        </w:trPr>
        <w:tc>
          <w:tcPr>
            <w:tcW w:w="2895" w:type="dxa"/>
            <w:tcBorders>
              <w:top w:val="nil"/>
              <w:left w:val="nil"/>
              <w:bottom w:val="nil"/>
              <w:right w:val="nil"/>
            </w:tcBorders>
            <w:shd w:val="clear" w:color="auto" w:fill="auto"/>
            <w:vAlign w:val="bottom"/>
          </w:tcPr>
          <w:p w:rsidR="005735CE" w:rsidRPr="005735CE" w:rsidRDefault="005735CE" w:rsidP="005735CE">
            <w:pPr>
              <w:ind w:left="177"/>
              <w:rPr>
                <w:rFonts w:cs="Times New Roman"/>
              </w:rPr>
            </w:pPr>
            <w:proofErr w:type="spellStart"/>
            <w:r w:rsidRPr="005735CE">
              <w:rPr>
                <w:rFonts w:cs="Times New Roman"/>
              </w:rPr>
              <w:t>Kadanka</w:t>
            </w:r>
            <w:proofErr w:type="spellEnd"/>
          </w:p>
        </w:tc>
        <w:tc>
          <w:tcPr>
            <w:tcW w:w="696" w:type="dxa"/>
            <w:tcBorders>
              <w:top w:val="nil"/>
              <w:left w:val="nil"/>
              <w:bottom w:val="nil"/>
              <w:right w:val="nil"/>
            </w:tcBorders>
            <w:shd w:val="clear" w:color="auto" w:fill="auto"/>
            <w:vAlign w:val="bottom"/>
          </w:tcPr>
          <w:p w:rsidR="005735CE" w:rsidRPr="005735CE" w:rsidRDefault="005735CE">
            <w:pPr>
              <w:jc w:val="center"/>
              <w:rPr>
                <w:rFonts w:cs="Times New Roman"/>
              </w:rPr>
            </w:pPr>
            <w:r w:rsidRPr="005735CE">
              <w:rPr>
                <w:rFonts w:cs="Times New Roman"/>
              </w:rPr>
              <w:t>2011</w:t>
            </w:r>
          </w:p>
        </w:tc>
        <w:tc>
          <w:tcPr>
            <w:tcW w:w="4737" w:type="dxa"/>
            <w:tcBorders>
              <w:top w:val="nil"/>
              <w:left w:val="nil"/>
              <w:bottom w:val="nil"/>
              <w:right w:val="nil"/>
            </w:tcBorders>
            <w:shd w:val="clear" w:color="auto" w:fill="auto"/>
            <w:noWrap/>
            <w:vAlign w:val="bottom"/>
          </w:tcPr>
          <w:p w:rsidR="005735CE" w:rsidRPr="005735CE" w:rsidRDefault="005735CE">
            <w:pPr>
              <w:rPr>
                <w:rFonts w:cs="Times New Roman"/>
              </w:rPr>
            </w:pPr>
            <w:r w:rsidRPr="005735CE">
              <w:rPr>
                <w:rFonts w:cs="Times New Roman"/>
              </w:rPr>
              <w:t>Not prognostic</w:t>
            </w:r>
          </w:p>
        </w:tc>
      </w:tr>
      <w:tr w:rsidR="005735CE" w:rsidRPr="007A74D5" w:rsidTr="00C26909">
        <w:trPr>
          <w:trHeight w:val="288"/>
        </w:trPr>
        <w:tc>
          <w:tcPr>
            <w:tcW w:w="2895" w:type="dxa"/>
            <w:tcBorders>
              <w:top w:val="nil"/>
              <w:left w:val="nil"/>
              <w:bottom w:val="nil"/>
              <w:right w:val="nil"/>
            </w:tcBorders>
            <w:shd w:val="clear" w:color="auto" w:fill="auto"/>
            <w:vAlign w:val="bottom"/>
          </w:tcPr>
          <w:p w:rsidR="005735CE" w:rsidRPr="005735CE" w:rsidRDefault="005735CE" w:rsidP="005735CE">
            <w:pPr>
              <w:ind w:left="177"/>
              <w:rPr>
                <w:rFonts w:cs="Times New Roman"/>
              </w:rPr>
            </w:pPr>
            <w:r w:rsidRPr="005735CE">
              <w:rPr>
                <w:rFonts w:cs="Times New Roman"/>
              </w:rPr>
              <w:t>Matsumoto</w:t>
            </w:r>
          </w:p>
        </w:tc>
        <w:tc>
          <w:tcPr>
            <w:tcW w:w="696" w:type="dxa"/>
            <w:tcBorders>
              <w:top w:val="nil"/>
              <w:left w:val="nil"/>
              <w:bottom w:val="nil"/>
              <w:right w:val="nil"/>
            </w:tcBorders>
            <w:shd w:val="clear" w:color="auto" w:fill="auto"/>
            <w:vAlign w:val="bottom"/>
          </w:tcPr>
          <w:p w:rsidR="005735CE" w:rsidRPr="005735CE" w:rsidRDefault="005735CE">
            <w:pPr>
              <w:jc w:val="center"/>
              <w:rPr>
                <w:rFonts w:cs="Times New Roman"/>
              </w:rPr>
            </w:pPr>
            <w:r w:rsidRPr="005735CE">
              <w:rPr>
                <w:rFonts w:cs="Times New Roman"/>
              </w:rPr>
              <w:t>2000</w:t>
            </w:r>
          </w:p>
        </w:tc>
        <w:tc>
          <w:tcPr>
            <w:tcW w:w="4737" w:type="dxa"/>
            <w:tcBorders>
              <w:top w:val="nil"/>
              <w:left w:val="nil"/>
              <w:bottom w:val="nil"/>
              <w:right w:val="nil"/>
            </w:tcBorders>
            <w:shd w:val="clear" w:color="auto" w:fill="auto"/>
            <w:noWrap/>
            <w:vAlign w:val="bottom"/>
          </w:tcPr>
          <w:p w:rsidR="005735CE" w:rsidRPr="005735CE" w:rsidRDefault="005735CE">
            <w:pPr>
              <w:rPr>
                <w:rFonts w:cs="Times New Roman"/>
              </w:rPr>
            </w:pPr>
            <w:r w:rsidRPr="005735CE">
              <w:rPr>
                <w:rFonts w:cs="Times New Roman"/>
              </w:rPr>
              <w:t>Univariate</w:t>
            </w:r>
          </w:p>
        </w:tc>
      </w:tr>
      <w:tr w:rsidR="005735CE" w:rsidRPr="007A74D5" w:rsidTr="00C26909">
        <w:trPr>
          <w:trHeight w:val="288"/>
        </w:trPr>
        <w:tc>
          <w:tcPr>
            <w:tcW w:w="2895" w:type="dxa"/>
            <w:tcBorders>
              <w:top w:val="nil"/>
              <w:left w:val="nil"/>
              <w:bottom w:val="nil"/>
              <w:right w:val="nil"/>
            </w:tcBorders>
            <w:shd w:val="clear" w:color="auto" w:fill="auto"/>
            <w:vAlign w:val="bottom"/>
          </w:tcPr>
          <w:p w:rsidR="005735CE" w:rsidRPr="005735CE" w:rsidRDefault="005735CE" w:rsidP="005735CE">
            <w:pPr>
              <w:ind w:left="177"/>
              <w:rPr>
                <w:rFonts w:cs="Times New Roman"/>
              </w:rPr>
            </w:pPr>
            <w:r w:rsidRPr="005735CE">
              <w:rPr>
                <w:rFonts w:cs="Times New Roman"/>
              </w:rPr>
              <w:t>Matsumoto</w:t>
            </w:r>
          </w:p>
        </w:tc>
        <w:tc>
          <w:tcPr>
            <w:tcW w:w="696" w:type="dxa"/>
            <w:tcBorders>
              <w:top w:val="nil"/>
              <w:left w:val="nil"/>
              <w:bottom w:val="nil"/>
              <w:right w:val="nil"/>
            </w:tcBorders>
            <w:shd w:val="clear" w:color="auto" w:fill="auto"/>
            <w:vAlign w:val="bottom"/>
          </w:tcPr>
          <w:p w:rsidR="005735CE" w:rsidRPr="005735CE" w:rsidRDefault="005735CE">
            <w:pPr>
              <w:jc w:val="center"/>
              <w:rPr>
                <w:rFonts w:cs="Times New Roman"/>
              </w:rPr>
            </w:pPr>
            <w:r w:rsidRPr="005735CE">
              <w:rPr>
                <w:rFonts w:cs="Times New Roman"/>
              </w:rPr>
              <w:t>2001</w:t>
            </w:r>
          </w:p>
        </w:tc>
        <w:tc>
          <w:tcPr>
            <w:tcW w:w="4737" w:type="dxa"/>
            <w:tcBorders>
              <w:top w:val="nil"/>
              <w:left w:val="nil"/>
              <w:bottom w:val="nil"/>
              <w:right w:val="nil"/>
            </w:tcBorders>
            <w:shd w:val="clear" w:color="auto" w:fill="auto"/>
            <w:noWrap/>
            <w:vAlign w:val="bottom"/>
          </w:tcPr>
          <w:p w:rsidR="005735CE" w:rsidRPr="005735CE" w:rsidRDefault="005735CE">
            <w:pPr>
              <w:rPr>
                <w:rFonts w:cs="Times New Roman"/>
              </w:rPr>
            </w:pPr>
            <w:r w:rsidRPr="005735CE">
              <w:rPr>
                <w:rFonts w:cs="Times New Roman"/>
              </w:rPr>
              <w:t>Univariate</w:t>
            </w:r>
          </w:p>
        </w:tc>
      </w:tr>
      <w:tr w:rsidR="005735CE" w:rsidRPr="007A74D5" w:rsidTr="00C26909">
        <w:trPr>
          <w:trHeight w:val="288"/>
        </w:trPr>
        <w:tc>
          <w:tcPr>
            <w:tcW w:w="2895" w:type="dxa"/>
            <w:tcBorders>
              <w:top w:val="nil"/>
              <w:left w:val="nil"/>
              <w:bottom w:val="nil"/>
              <w:right w:val="nil"/>
            </w:tcBorders>
            <w:shd w:val="clear" w:color="auto" w:fill="auto"/>
            <w:vAlign w:val="bottom"/>
          </w:tcPr>
          <w:p w:rsidR="005735CE" w:rsidRPr="005735CE" w:rsidRDefault="005735CE" w:rsidP="005735CE">
            <w:pPr>
              <w:ind w:left="177"/>
              <w:rPr>
                <w:rFonts w:cs="Times New Roman"/>
              </w:rPr>
            </w:pPr>
            <w:proofErr w:type="spellStart"/>
            <w:r w:rsidRPr="005735CE">
              <w:rPr>
                <w:rFonts w:cs="Times New Roman"/>
              </w:rPr>
              <w:t>Sumi</w:t>
            </w:r>
            <w:proofErr w:type="spellEnd"/>
          </w:p>
        </w:tc>
        <w:tc>
          <w:tcPr>
            <w:tcW w:w="696" w:type="dxa"/>
            <w:tcBorders>
              <w:top w:val="nil"/>
              <w:left w:val="nil"/>
              <w:bottom w:val="nil"/>
              <w:right w:val="nil"/>
            </w:tcBorders>
            <w:shd w:val="clear" w:color="auto" w:fill="auto"/>
            <w:vAlign w:val="bottom"/>
          </w:tcPr>
          <w:p w:rsidR="005735CE" w:rsidRPr="005735CE" w:rsidRDefault="005735CE">
            <w:pPr>
              <w:jc w:val="center"/>
              <w:rPr>
                <w:rFonts w:cs="Times New Roman"/>
              </w:rPr>
            </w:pPr>
            <w:r w:rsidRPr="005735CE">
              <w:rPr>
                <w:rFonts w:cs="Times New Roman"/>
              </w:rPr>
              <w:t>2012</w:t>
            </w:r>
          </w:p>
        </w:tc>
        <w:tc>
          <w:tcPr>
            <w:tcW w:w="4737" w:type="dxa"/>
            <w:tcBorders>
              <w:top w:val="nil"/>
              <w:left w:val="nil"/>
              <w:bottom w:val="nil"/>
              <w:right w:val="nil"/>
            </w:tcBorders>
            <w:shd w:val="clear" w:color="auto" w:fill="auto"/>
            <w:noWrap/>
            <w:vAlign w:val="bottom"/>
          </w:tcPr>
          <w:p w:rsidR="005735CE" w:rsidRPr="005735CE" w:rsidRDefault="005735CE">
            <w:pPr>
              <w:rPr>
                <w:rFonts w:cs="Times New Roman"/>
              </w:rPr>
            </w:pPr>
            <w:r w:rsidRPr="005735CE">
              <w:rPr>
                <w:rFonts w:cs="Times New Roman"/>
              </w:rPr>
              <w:t>Univariate</w:t>
            </w:r>
          </w:p>
        </w:tc>
      </w:tr>
      <w:tr w:rsidR="005735CE" w:rsidRPr="007A74D5" w:rsidTr="00C26909">
        <w:trPr>
          <w:trHeight w:val="288"/>
        </w:trPr>
        <w:tc>
          <w:tcPr>
            <w:tcW w:w="2895" w:type="dxa"/>
            <w:tcBorders>
              <w:top w:val="nil"/>
              <w:left w:val="nil"/>
              <w:bottom w:val="nil"/>
              <w:right w:val="nil"/>
            </w:tcBorders>
            <w:shd w:val="clear" w:color="auto" w:fill="auto"/>
            <w:vAlign w:val="center"/>
          </w:tcPr>
          <w:p w:rsidR="005735CE" w:rsidRPr="005735CE" w:rsidRDefault="005735CE" w:rsidP="00C26909">
            <w:pPr>
              <w:rPr>
                <w:rFonts w:eastAsia="Times New Roman" w:cs="Times New Roman"/>
                <w:b/>
                <w:kern w:val="0"/>
              </w:rPr>
            </w:pPr>
            <w:r w:rsidRPr="005735CE">
              <w:rPr>
                <w:rFonts w:eastAsia="Times New Roman" w:cs="Times New Roman"/>
                <w:b/>
                <w:kern w:val="0"/>
              </w:rPr>
              <w:t>SURGICAL STUDIES</w:t>
            </w:r>
          </w:p>
        </w:tc>
        <w:tc>
          <w:tcPr>
            <w:tcW w:w="696" w:type="dxa"/>
            <w:tcBorders>
              <w:top w:val="nil"/>
              <w:left w:val="nil"/>
              <w:bottom w:val="nil"/>
              <w:right w:val="nil"/>
            </w:tcBorders>
            <w:shd w:val="clear" w:color="auto" w:fill="auto"/>
            <w:vAlign w:val="center"/>
          </w:tcPr>
          <w:p w:rsidR="005735CE" w:rsidRPr="007A74D5" w:rsidRDefault="005735CE" w:rsidP="00C26909">
            <w:pPr>
              <w:jc w:val="right"/>
              <w:rPr>
                <w:rFonts w:eastAsia="Times New Roman" w:cs="Times New Roman"/>
                <w:kern w:val="0"/>
              </w:rPr>
            </w:pPr>
          </w:p>
        </w:tc>
        <w:tc>
          <w:tcPr>
            <w:tcW w:w="4737" w:type="dxa"/>
            <w:tcBorders>
              <w:top w:val="nil"/>
              <w:left w:val="nil"/>
              <w:bottom w:val="nil"/>
              <w:right w:val="nil"/>
            </w:tcBorders>
            <w:shd w:val="clear" w:color="auto" w:fill="auto"/>
            <w:noWrap/>
            <w:vAlign w:val="bottom"/>
          </w:tcPr>
          <w:p w:rsidR="005735CE" w:rsidRPr="007A74D5" w:rsidRDefault="005735CE" w:rsidP="00C26909">
            <w:pPr>
              <w:rPr>
                <w:rFonts w:eastAsia="Times New Roman" w:cs="Times New Roman"/>
                <w:kern w:val="0"/>
              </w:rPr>
            </w:pPr>
          </w:p>
        </w:tc>
      </w:tr>
      <w:tr w:rsidR="005735CE" w:rsidRPr="007A74D5" w:rsidTr="00C26909">
        <w:trPr>
          <w:trHeight w:val="288"/>
        </w:trPr>
        <w:tc>
          <w:tcPr>
            <w:tcW w:w="2895" w:type="dxa"/>
            <w:tcBorders>
              <w:top w:val="nil"/>
              <w:left w:val="nil"/>
              <w:bottom w:val="nil"/>
              <w:right w:val="nil"/>
            </w:tcBorders>
            <w:shd w:val="clear" w:color="auto" w:fill="auto"/>
            <w:vAlign w:val="center"/>
          </w:tcPr>
          <w:p w:rsidR="005735CE" w:rsidRPr="007A74D5" w:rsidRDefault="005735CE" w:rsidP="005735CE">
            <w:pPr>
              <w:ind w:left="177"/>
              <w:rPr>
                <w:rFonts w:eastAsia="Times New Roman" w:cs="Times New Roman"/>
                <w:kern w:val="0"/>
              </w:rPr>
            </w:pPr>
            <w:proofErr w:type="spellStart"/>
            <w:r w:rsidRPr="007A74D5">
              <w:rPr>
                <w:rFonts w:eastAsia="Times New Roman" w:cs="Times New Roman"/>
                <w:kern w:val="0"/>
              </w:rPr>
              <w:t>Ahn</w:t>
            </w:r>
            <w:proofErr w:type="spellEnd"/>
            <w:r w:rsidRPr="007A74D5">
              <w:rPr>
                <w:rFonts w:eastAsia="Times New Roman" w:cs="Times New Roman"/>
                <w:kern w:val="0"/>
              </w:rPr>
              <w:t xml:space="preserve"> JS</w:t>
            </w:r>
          </w:p>
        </w:tc>
        <w:tc>
          <w:tcPr>
            <w:tcW w:w="696" w:type="dxa"/>
            <w:tcBorders>
              <w:top w:val="nil"/>
              <w:left w:val="nil"/>
              <w:bottom w:val="nil"/>
              <w:right w:val="nil"/>
            </w:tcBorders>
            <w:shd w:val="clear" w:color="auto" w:fill="auto"/>
            <w:vAlign w:val="center"/>
          </w:tcPr>
          <w:p w:rsidR="005735CE" w:rsidRPr="007A74D5" w:rsidRDefault="005735CE" w:rsidP="00C26909">
            <w:pPr>
              <w:jc w:val="right"/>
              <w:rPr>
                <w:rFonts w:eastAsia="Times New Roman" w:cs="Times New Roman"/>
                <w:kern w:val="0"/>
              </w:rPr>
            </w:pPr>
            <w:r w:rsidRPr="007A74D5">
              <w:rPr>
                <w:rFonts w:eastAsia="Times New Roman" w:cs="Times New Roman"/>
                <w:kern w:val="0"/>
              </w:rPr>
              <w:t>2010</w:t>
            </w:r>
          </w:p>
        </w:tc>
        <w:tc>
          <w:tcPr>
            <w:tcW w:w="4737" w:type="dxa"/>
            <w:tcBorders>
              <w:top w:val="nil"/>
              <w:left w:val="nil"/>
              <w:bottom w:val="nil"/>
              <w:right w:val="nil"/>
            </w:tcBorders>
            <w:shd w:val="clear" w:color="auto" w:fill="auto"/>
            <w:noWrap/>
            <w:vAlign w:val="bottom"/>
          </w:tcPr>
          <w:p w:rsidR="005735CE" w:rsidRPr="007A74D5" w:rsidRDefault="005735CE" w:rsidP="00C26909">
            <w:pPr>
              <w:rPr>
                <w:rFonts w:eastAsia="Times New Roman" w:cs="Times New Roman"/>
                <w:kern w:val="0"/>
              </w:rPr>
            </w:pPr>
            <w:r w:rsidRPr="007A74D5">
              <w:rPr>
                <w:rFonts w:eastAsia="Times New Roman" w:cs="Times New Roman"/>
                <w:kern w:val="0"/>
              </w:rPr>
              <w:t>no multivariate analyses</w:t>
            </w:r>
          </w:p>
        </w:tc>
      </w:tr>
      <w:tr w:rsidR="005735CE" w:rsidRPr="007A74D5" w:rsidTr="00C26909">
        <w:trPr>
          <w:trHeight w:val="288"/>
        </w:trPr>
        <w:tc>
          <w:tcPr>
            <w:tcW w:w="2895" w:type="dxa"/>
            <w:tcBorders>
              <w:top w:val="nil"/>
              <w:left w:val="nil"/>
              <w:bottom w:val="nil"/>
              <w:right w:val="nil"/>
            </w:tcBorders>
            <w:shd w:val="clear" w:color="auto" w:fill="auto"/>
            <w:vAlign w:val="center"/>
            <w:hideMark/>
          </w:tcPr>
          <w:p w:rsidR="005735CE" w:rsidRPr="007A74D5" w:rsidRDefault="005735CE" w:rsidP="005735CE">
            <w:pPr>
              <w:ind w:left="177"/>
              <w:rPr>
                <w:rFonts w:eastAsia="Times New Roman" w:cs="Times New Roman"/>
                <w:kern w:val="0"/>
              </w:rPr>
            </w:pPr>
            <w:proofErr w:type="spellStart"/>
            <w:r w:rsidRPr="007A74D5">
              <w:rPr>
                <w:rFonts w:eastAsia="Times New Roman" w:cs="Times New Roman"/>
                <w:kern w:val="0"/>
              </w:rPr>
              <w:t>Alafifi</w:t>
            </w:r>
            <w:proofErr w:type="spellEnd"/>
            <w:r w:rsidRPr="007A74D5">
              <w:rPr>
                <w:rFonts w:eastAsia="Times New Roman" w:cs="Times New Roman"/>
                <w:kern w:val="0"/>
              </w:rPr>
              <w:t xml:space="preserve"> T</w:t>
            </w:r>
            <w:r>
              <w:rPr>
                <w:rFonts w:eastAsia="Times New Roman" w:cs="Times New Roman"/>
                <w:kern w:val="0"/>
              </w:rPr>
              <w:t xml:space="preserve"> </w:t>
            </w:r>
          </w:p>
        </w:tc>
        <w:tc>
          <w:tcPr>
            <w:tcW w:w="696" w:type="dxa"/>
            <w:tcBorders>
              <w:top w:val="nil"/>
              <w:left w:val="nil"/>
              <w:bottom w:val="nil"/>
              <w:right w:val="nil"/>
            </w:tcBorders>
            <w:shd w:val="clear" w:color="auto" w:fill="auto"/>
            <w:vAlign w:val="center"/>
            <w:hideMark/>
          </w:tcPr>
          <w:p w:rsidR="005735CE" w:rsidRPr="007A74D5" w:rsidRDefault="005735CE" w:rsidP="00C26909">
            <w:pPr>
              <w:jc w:val="right"/>
              <w:rPr>
                <w:rFonts w:eastAsia="Times New Roman" w:cs="Times New Roman"/>
                <w:kern w:val="0"/>
              </w:rPr>
            </w:pPr>
            <w:r w:rsidRPr="007A74D5">
              <w:rPr>
                <w:rFonts w:eastAsia="Times New Roman" w:cs="Times New Roman"/>
                <w:kern w:val="0"/>
              </w:rPr>
              <w:t>2007</w:t>
            </w:r>
          </w:p>
        </w:tc>
        <w:tc>
          <w:tcPr>
            <w:tcW w:w="4737" w:type="dxa"/>
            <w:tcBorders>
              <w:top w:val="nil"/>
              <w:left w:val="nil"/>
              <w:bottom w:val="nil"/>
              <w:right w:val="nil"/>
            </w:tcBorders>
            <w:shd w:val="clear" w:color="auto" w:fill="auto"/>
            <w:noWrap/>
            <w:vAlign w:val="bottom"/>
            <w:hideMark/>
          </w:tcPr>
          <w:p w:rsidR="005735CE" w:rsidRPr="007A74D5" w:rsidRDefault="005735CE" w:rsidP="00C26909">
            <w:pPr>
              <w:rPr>
                <w:rFonts w:eastAsia="Times New Roman" w:cs="Times New Roman"/>
                <w:kern w:val="0"/>
              </w:rPr>
            </w:pPr>
            <w:r w:rsidRPr="007A74D5">
              <w:rPr>
                <w:rFonts w:eastAsia="Times New Roman" w:cs="Times New Roman"/>
                <w:kern w:val="0"/>
              </w:rPr>
              <w:t>no multivariate analyses</w:t>
            </w:r>
          </w:p>
        </w:tc>
      </w:tr>
      <w:tr w:rsidR="005735CE" w:rsidRPr="007A74D5" w:rsidTr="00C26909">
        <w:trPr>
          <w:trHeight w:val="288"/>
        </w:trPr>
        <w:tc>
          <w:tcPr>
            <w:tcW w:w="2895" w:type="dxa"/>
            <w:tcBorders>
              <w:top w:val="nil"/>
              <w:left w:val="nil"/>
              <w:bottom w:val="nil"/>
              <w:right w:val="nil"/>
            </w:tcBorders>
            <w:shd w:val="clear" w:color="auto" w:fill="auto"/>
            <w:vAlign w:val="center"/>
            <w:hideMark/>
          </w:tcPr>
          <w:p w:rsidR="005735CE" w:rsidRPr="007A74D5" w:rsidRDefault="005735CE" w:rsidP="005735CE">
            <w:pPr>
              <w:ind w:left="177"/>
              <w:rPr>
                <w:rFonts w:eastAsia="Times New Roman" w:cs="Times New Roman"/>
                <w:kern w:val="0"/>
              </w:rPr>
            </w:pPr>
            <w:proofErr w:type="spellStart"/>
            <w:r w:rsidRPr="007A74D5">
              <w:rPr>
                <w:rFonts w:eastAsia="Times New Roman" w:cs="Times New Roman"/>
                <w:kern w:val="0"/>
              </w:rPr>
              <w:t>Avadhani</w:t>
            </w:r>
            <w:proofErr w:type="spellEnd"/>
            <w:r w:rsidRPr="007A74D5">
              <w:rPr>
                <w:rFonts w:eastAsia="Times New Roman" w:cs="Times New Roman"/>
                <w:kern w:val="0"/>
              </w:rPr>
              <w:t xml:space="preserve"> A</w:t>
            </w:r>
          </w:p>
        </w:tc>
        <w:tc>
          <w:tcPr>
            <w:tcW w:w="696" w:type="dxa"/>
            <w:tcBorders>
              <w:top w:val="nil"/>
              <w:left w:val="nil"/>
              <w:bottom w:val="nil"/>
              <w:right w:val="nil"/>
            </w:tcBorders>
            <w:shd w:val="clear" w:color="auto" w:fill="auto"/>
            <w:vAlign w:val="center"/>
            <w:hideMark/>
          </w:tcPr>
          <w:p w:rsidR="005735CE" w:rsidRPr="007A74D5" w:rsidRDefault="005735CE" w:rsidP="00C26909">
            <w:pPr>
              <w:jc w:val="right"/>
              <w:rPr>
                <w:rFonts w:eastAsia="Times New Roman" w:cs="Times New Roman"/>
                <w:kern w:val="0"/>
              </w:rPr>
            </w:pPr>
            <w:r w:rsidRPr="007A74D5">
              <w:rPr>
                <w:rFonts w:eastAsia="Times New Roman" w:cs="Times New Roman"/>
                <w:kern w:val="0"/>
              </w:rPr>
              <w:t>2010</w:t>
            </w:r>
          </w:p>
        </w:tc>
        <w:tc>
          <w:tcPr>
            <w:tcW w:w="4737" w:type="dxa"/>
            <w:tcBorders>
              <w:top w:val="nil"/>
              <w:left w:val="nil"/>
              <w:bottom w:val="nil"/>
              <w:right w:val="nil"/>
            </w:tcBorders>
            <w:shd w:val="clear" w:color="auto" w:fill="auto"/>
            <w:noWrap/>
            <w:vAlign w:val="bottom"/>
            <w:hideMark/>
          </w:tcPr>
          <w:p w:rsidR="005735CE" w:rsidRPr="007A74D5" w:rsidRDefault="005735CE" w:rsidP="00C26909">
            <w:pPr>
              <w:rPr>
                <w:rFonts w:eastAsia="Times New Roman" w:cs="Times New Roman"/>
                <w:kern w:val="0"/>
              </w:rPr>
            </w:pPr>
            <w:r w:rsidRPr="007A74D5">
              <w:rPr>
                <w:rFonts w:eastAsia="Times New Roman" w:cs="Times New Roman"/>
                <w:kern w:val="0"/>
              </w:rPr>
              <w:t>no multivariate analyses</w:t>
            </w:r>
          </w:p>
        </w:tc>
      </w:tr>
      <w:tr w:rsidR="005735CE" w:rsidRPr="007A74D5" w:rsidTr="00C26909">
        <w:trPr>
          <w:trHeight w:val="288"/>
        </w:trPr>
        <w:tc>
          <w:tcPr>
            <w:tcW w:w="2895" w:type="dxa"/>
            <w:tcBorders>
              <w:top w:val="nil"/>
              <w:left w:val="nil"/>
              <w:bottom w:val="nil"/>
              <w:right w:val="nil"/>
            </w:tcBorders>
            <w:shd w:val="clear" w:color="auto" w:fill="auto"/>
            <w:vAlign w:val="center"/>
            <w:hideMark/>
          </w:tcPr>
          <w:p w:rsidR="005735CE" w:rsidRPr="007A74D5" w:rsidRDefault="005735CE" w:rsidP="005735CE">
            <w:pPr>
              <w:ind w:left="177"/>
              <w:rPr>
                <w:rFonts w:eastAsia="Times New Roman" w:cs="Times New Roman"/>
                <w:kern w:val="0"/>
              </w:rPr>
            </w:pPr>
            <w:proofErr w:type="spellStart"/>
            <w:r w:rsidRPr="007A74D5">
              <w:rPr>
                <w:rFonts w:eastAsia="Times New Roman" w:cs="Times New Roman"/>
                <w:kern w:val="0"/>
              </w:rPr>
              <w:t>Bucciero</w:t>
            </w:r>
            <w:proofErr w:type="spellEnd"/>
            <w:r w:rsidRPr="007A74D5">
              <w:rPr>
                <w:rFonts w:eastAsia="Times New Roman" w:cs="Times New Roman"/>
                <w:kern w:val="0"/>
              </w:rPr>
              <w:t xml:space="preserve"> A</w:t>
            </w:r>
          </w:p>
        </w:tc>
        <w:tc>
          <w:tcPr>
            <w:tcW w:w="696" w:type="dxa"/>
            <w:tcBorders>
              <w:top w:val="nil"/>
              <w:left w:val="nil"/>
              <w:bottom w:val="nil"/>
              <w:right w:val="nil"/>
            </w:tcBorders>
            <w:shd w:val="clear" w:color="auto" w:fill="auto"/>
            <w:vAlign w:val="center"/>
            <w:hideMark/>
          </w:tcPr>
          <w:p w:rsidR="005735CE" w:rsidRPr="007A74D5" w:rsidRDefault="005735CE" w:rsidP="00C26909">
            <w:pPr>
              <w:jc w:val="right"/>
              <w:rPr>
                <w:rFonts w:eastAsia="Times New Roman" w:cs="Times New Roman"/>
                <w:kern w:val="0"/>
              </w:rPr>
            </w:pPr>
            <w:r w:rsidRPr="007A74D5">
              <w:rPr>
                <w:rFonts w:eastAsia="Times New Roman" w:cs="Times New Roman"/>
                <w:kern w:val="0"/>
              </w:rPr>
              <w:t>1993</w:t>
            </w:r>
          </w:p>
        </w:tc>
        <w:tc>
          <w:tcPr>
            <w:tcW w:w="4737" w:type="dxa"/>
            <w:tcBorders>
              <w:top w:val="nil"/>
              <w:left w:val="nil"/>
              <w:bottom w:val="nil"/>
              <w:right w:val="nil"/>
            </w:tcBorders>
            <w:shd w:val="clear" w:color="auto" w:fill="auto"/>
            <w:noWrap/>
            <w:vAlign w:val="bottom"/>
            <w:hideMark/>
          </w:tcPr>
          <w:p w:rsidR="005735CE" w:rsidRPr="007A74D5" w:rsidRDefault="005735CE" w:rsidP="00C26909">
            <w:pPr>
              <w:rPr>
                <w:rFonts w:eastAsia="Times New Roman" w:cs="Times New Roman"/>
                <w:kern w:val="0"/>
              </w:rPr>
            </w:pPr>
            <w:r w:rsidRPr="007A74D5">
              <w:rPr>
                <w:rFonts w:eastAsia="Times New Roman" w:cs="Times New Roman"/>
                <w:kern w:val="0"/>
              </w:rPr>
              <w:t>no multivariate analyses</w:t>
            </w:r>
          </w:p>
        </w:tc>
      </w:tr>
      <w:tr w:rsidR="005735CE" w:rsidRPr="007A74D5" w:rsidTr="00C26909">
        <w:trPr>
          <w:trHeight w:val="288"/>
        </w:trPr>
        <w:tc>
          <w:tcPr>
            <w:tcW w:w="2895" w:type="dxa"/>
            <w:tcBorders>
              <w:top w:val="nil"/>
              <w:left w:val="nil"/>
              <w:bottom w:val="nil"/>
              <w:right w:val="nil"/>
            </w:tcBorders>
            <w:shd w:val="clear" w:color="auto" w:fill="auto"/>
            <w:vAlign w:val="center"/>
            <w:hideMark/>
          </w:tcPr>
          <w:p w:rsidR="005735CE" w:rsidRPr="007A74D5" w:rsidRDefault="005735CE" w:rsidP="005735CE">
            <w:pPr>
              <w:ind w:left="177"/>
              <w:rPr>
                <w:rFonts w:eastAsia="Times New Roman" w:cs="Times New Roman"/>
                <w:kern w:val="0"/>
              </w:rPr>
            </w:pPr>
            <w:proofErr w:type="spellStart"/>
            <w:r w:rsidRPr="007A74D5">
              <w:rPr>
                <w:rFonts w:eastAsia="Times New Roman" w:cs="Times New Roman"/>
                <w:kern w:val="0"/>
              </w:rPr>
              <w:t>Chatley</w:t>
            </w:r>
            <w:proofErr w:type="spellEnd"/>
            <w:r w:rsidRPr="007A74D5">
              <w:rPr>
                <w:rFonts w:eastAsia="Times New Roman" w:cs="Times New Roman"/>
                <w:kern w:val="0"/>
              </w:rPr>
              <w:t xml:space="preserve"> A</w:t>
            </w:r>
          </w:p>
        </w:tc>
        <w:tc>
          <w:tcPr>
            <w:tcW w:w="696" w:type="dxa"/>
            <w:tcBorders>
              <w:top w:val="nil"/>
              <w:left w:val="nil"/>
              <w:bottom w:val="nil"/>
              <w:right w:val="nil"/>
            </w:tcBorders>
            <w:shd w:val="clear" w:color="auto" w:fill="auto"/>
            <w:vAlign w:val="center"/>
            <w:hideMark/>
          </w:tcPr>
          <w:p w:rsidR="005735CE" w:rsidRPr="007A74D5" w:rsidRDefault="005735CE" w:rsidP="00C26909">
            <w:pPr>
              <w:jc w:val="right"/>
              <w:rPr>
                <w:rFonts w:eastAsia="Times New Roman" w:cs="Times New Roman"/>
                <w:kern w:val="0"/>
              </w:rPr>
            </w:pPr>
            <w:r w:rsidRPr="007A74D5">
              <w:rPr>
                <w:rFonts w:eastAsia="Times New Roman" w:cs="Times New Roman"/>
                <w:kern w:val="0"/>
              </w:rPr>
              <w:t>2009</w:t>
            </w:r>
          </w:p>
        </w:tc>
        <w:tc>
          <w:tcPr>
            <w:tcW w:w="4737" w:type="dxa"/>
            <w:tcBorders>
              <w:top w:val="nil"/>
              <w:left w:val="nil"/>
              <w:bottom w:val="nil"/>
              <w:right w:val="nil"/>
            </w:tcBorders>
            <w:shd w:val="clear" w:color="auto" w:fill="auto"/>
            <w:noWrap/>
            <w:vAlign w:val="bottom"/>
            <w:hideMark/>
          </w:tcPr>
          <w:p w:rsidR="005735CE" w:rsidRPr="007A74D5" w:rsidRDefault="005735CE" w:rsidP="00C26909">
            <w:pPr>
              <w:rPr>
                <w:rFonts w:eastAsia="Times New Roman" w:cs="Times New Roman"/>
                <w:kern w:val="0"/>
              </w:rPr>
            </w:pPr>
            <w:r w:rsidRPr="007A74D5">
              <w:rPr>
                <w:rFonts w:eastAsia="Times New Roman" w:cs="Times New Roman"/>
                <w:kern w:val="0"/>
              </w:rPr>
              <w:t>no multivariate analyses</w:t>
            </w:r>
          </w:p>
        </w:tc>
      </w:tr>
      <w:tr w:rsidR="005735CE" w:rsidRPr="007A74D5" w:rsidTr="00C26909">
        <w:trPr>
          <w:trHeight w:val="288"/>
        </w:trPr>
        <w:tc>
          <w:tcPr>
            <w:tcW w:w="2895" w:type="dxa"/>
            <w:tcBorders>
              <w:top w:val="nil"/>
              <w:left w:val="nil"/>
              <w:bottom w:val="nil"/>
              <w:right w:val="nil"/>
            </w:tcBorders>
            <w:shd w:val="clear" w:color="000000" w:fill="C5D9F1"/>
            <w:vAlign w:val="center"/>
            <w:hideMark/>
          </w:tcPr>
          <w:p w:rsidR="005735CE" w:rsidRPr="007A74D5" w:rsidRDefault="005735CE" w:rsidP="005735CE">
            <w:pPr>
              <w:ind w:left="177"/>
              <w:rPr>
                <w:rFonts w:eastAsia="Times New Roman" w:cs="Times New Roman"/>
                <w:kern w:val="0"/>
              </w:rPr>
            </w:pPr>
            <w:proofErr w:type="spellStart"/>
            <w:r w:rsidRPr="007A74D5">
              <w:rPr>
                <w:rFonts w:eastAsia="Times New Roman" w:cs="Times New Roman"/>
                <w:kern w:val="0"/>
              </w:rPr>
              <w:t>Chiewvit</w:t>
            </w:r>
            <w:proofErr w:type="spellEnd"/>
            <w:r w:rsidRPr="007A74D5">
              <w:rPr>
                <w:rFonts w:eastAsia="Times New Roman" w:cs="Times New Roman"/>
                <w:kern w:val="0"/>
              </w:rPr>
              <w:t xml:space="preserve"> P</w:t>
            </w:r>
          </w:p>
        </w:tc>
        <w:tc>
          <w:tcPr>
            <w:tcW w:w="696" w:type="dxa"/>
            <w:tcBorders>
              <w:top w:val="nil"/>
              <w:left w:val="nil"/>
              <w:bottom w:val="nil"/>
              <w:right w:val="nil"/>
            </w:tcBorders>
            <w:shd w:val="clear" w:color="auto" w:fill="auto"/>
            <w:vAlign w:val="center"/>
            <w:hideMark/>
          </w:tcPr>
          <w:p w:rsidR="005735CE" w:rsidRPr="007A74D5" w:rsidRDefault="005735CE" w:rsidP="00C26909">
            <w:pPr>
              <w:jc w:val="right"/>
              <w:rPr>
                <w:rFonts w:eastAsia="Times New Roman" w:cs="Times New Roman"/>
                <w:kern w:val="0"/>
              </w:rPr>
            </w:pPr>
            <w:r w:rsidRPr="007A74D5">
              <w:rPr>
                <w:rFonts w:eastAsia="Times New Roman" w:cs="Times New Roman"/>
                <w:kern w:val="0"/>
              </w:rPr>
              <w:t>2011</w:t>
            </w:r>
          </w:p>
        </w:tc>
        <w:tc>
          <w:tcPr>
            <w:tcW w:w="4737" w:type="dxa"/>
            <w:tcBorders>
              <w:top w:val="nil"/>
              <w:left w:val="nil"/>
              <w:bottom w:val="nil"/>
              <w:right w:val="nil"/>
            </w:tcBorders>
            <w:shd w:val="clear" w:color="auto" w:fill="auto"/>
            <w:noWrap/>
            <w:vAlign w:val="bottom"/>
            <w:hideMark/>
          </w:tcPr>
          <w:p w:rsidR="005735CE" w:rsidRPr="007A74D5" w:rsidRDefault="005735CE" w:rsidP="00C26909">
            <w:pPr>
              <w:rPr>
                <w:rFonts w:eastAsia="Times New Roman" w:cs="Times New Roman"/>
                <w:kern w:val="0"/>
              </w:rPr>
            </w:pPr>
            <w:r w:rsidRPr="007A74D5">
              <w:rPr>
                <w:rFonts w:eastAsia="Times New Roman" w:cs="Times New Roman"/>
                <w:kern w:val="0"/>
              </w:rPr>
              <w:t>no multivariate analyses</w:t>
            </w:r>
          </w:p>
        </w:tc>
      </w:tr>
      <w:tr w:rsidR="005735CE" w:rsidRPr="007A74D5" w:rsidTr="00C26909">
        <w:trPr>
          <w:trHeight w:val="288"/>
        </w:trPr>
        <w:tc>
          <w:tcPr>
            <w:tcW w:w="2895" w:type="dxa"/>
            <w:tcBorders>
              <w:top w:val="nil"/>
              <w:left w:val="nil"/>
              <w:bottom w:val="nil"/>
              <w:right w:val="nil"/>
            </w:tcBorders>
            <w:shd w:val="clear" w:color="auto" w:fill="auto"/>
            <w:noWrap/>
            <w:vAlign w:val="bottom"/>
            <w:hideMark/>
          </w:tcPr>
          <w:p w:rsidR="005735CE" w:rsidRPr="007A74D5" w:rsidRDefault="005735CE" w:rsidP="005735CE">
            <w:pPr>
              <w:ind w:left="177"/>
              <w:rPr>
                <w:rFonts w:eastAsia="Times New Roman" w:cs="Times New Roman"/>
                <w:kern w:val="0"/>
              </w:rPr>
            </w:pPr>
            <w:r w:rsidRPr="007A74D5">
              <w:rPr>
                <w:rFonts w:eastAsia="Times New Roman" w:cs="Times New Roman"/>
                <w:kern w:val="0"/>
              </w:rPr>
              <w:t>Chung</w:t>
            </w:r>
          </w:p>
        </w:tc>
        <w:tc>
          <w:tcPr>
            <w:tcW w:w="696" w:type="dxa"/>
            <w:tcBorders>
              <w:top w:val="nil"/>
              <w:left w:val="nil"/>
              <w:bottom w:val="nil"/>
              <w:right w:val="nil"/>
            </w:tcBorders>
            <w:shd w:val="clear" w:color="auto" w:fill="auto"/>
            <w:noWrap/>
            <w:vAlign w:val="bottom"/>
            <w:hideMark/>
          </w:tcPr>
          <w:p w:rsidR="005735CE" w:rsidRPr="007A74D5" w:rsidRDefault="005735CE" w:rsidP="00C26909">
            <w:pPr>
              <w:jc w:val="right"/>
              <w:rPr>
                <w:rFonts w:eastAsia="Times New Roman" w:cs="Times New Roman"/>
                <w:kern w:val="0"/>
              </w:rPr>
            </w:pPr>
            <w:r w:rsidRPr="007A74D5">
              <w:rPr>
                <w:rFonts w:eastAsia="Times New Roman" w:cs="Times New Roman"/>
                <w:kern w:val="0"/>
              </w:rPr>
              <w:t>2002</w:t>
            </w:r>
          </w:p>
        </w:tc>
        <w:tc>
          <w:tcPr>
            <w:tcW w:w="4737" w:type="dxa"/>
            <w:tcBorders>
              <w:top w:val="nil"/>
              <w:left w:val="nil"/>
              <w:bottom w:val="nil"/>
              <w:right w:val="nil"/>
            </w:tcBorders>
            <w:shd w:val="clear" w:color="auto" w:fill="auto"/>
            <w:noWrap/>
            <w:vAlign w:val="bottom"/>
            <w:hideMark/>
          </w:tcPr>
          <w:p w:rsidR="005735CE" w:rsidRPr="007A74D5" w:rsidRDefault="005735CE" w:rsidP="00C26909">
            <w:pPr>
              <w:rPr>
                <w:rFonts w:eastAsia="Times New Roman" w:cs="Times New Roman"/>
                <w:kern w:val="0"/>
              </w:rPr>
            </w:pPr>
            <w:r w:rsidRPr="007A74D5">
              <w:rPr>
                <w:rFonts w:eastAsia="Times New Roman" w:cs="Times New Roman"/>
                <w:kern w:val="0"/>
              </w:rPr>
              <w:t>no multivariate analyses</w:t>
            </w:r>
          </w:p>
        </w:tc>
      </w:tr>
      <w:tr w:rsidR="005735CE" w:rsidRPr="007A74D5" w:rsidTr="00C26909">
        <w:trPr>
          <w:trHeight w:val="288"/>
        </w:trPr>
        <w:tc>
          <w:tcPr>
            <w:tcW w:w="2895" w:type="dxa"/>
            <w:tcBorders>
              <w:top w:val="nil"/>
              <w:left w:val="nil"/>
              <w:bottom w:val="nil"/>
              <w:right w:val="nil"/>
            </w:tcBorders>
            <w:shd w:val="clear" w:color="auto" w:fill="auto"/>
            <w:vAlign w:val="center"/>
            <w:hideMark/>
          </w:tcPr>
          <w:p w:rsidR="005735CE" w:rsidRPr="007A74D5" w:rsidRDefault="005735CE" w:rsidP="005735CE">
            <w:pPr>
              <w:ind w:left="177"/>
              <w:rPr>
                <w:rFonts w:eastAsia="Times New Roman" w:cs="Times New Roman"/>
                <w:kern w:val="0"/>
              </w:rPr>
            </w:pPr>
            <w:r w:rsidRPr="007A74D5">
              <w:rPr>
                <w:rFonts w:eastAsia="Times New Roman" w:cs="Times New Roman"/>
                <w:kern w:val="0"/>
              </w:rPr>
              <w:t>Fernandez de Rota</w:t>
            </w:r>
          </w:p>
        </w:tc>
        <w:tc>
          <w:tcPr>
            <w:tcW w:w="696" w:type="dxa"/>
            <w:tcBorders>
              <w:top w:val="nil"/>
              <w:left w:val="nil"/>
              <w:bottom w:val="nil"/>
              <w:right w:val="nil"/>
            </w:tcBorders>
            <w:shd w:val="clear" w:color="auto" w:fill="auto"/>
            <w:vAlign w:val="center"/>
            <w:hideMark/>
          </w:tcPr>
          <w:p w:rsidR="005735CE" w:rsidRPr="007A74D5" w:rsidRDefault="005735CE" w:rsidP="00C26909">
            <w:pPr>
              <w:jc w:val="right"/>
              <w:rPr>
                <w:rFonts w:eastAsia="Times New Roman" w:cs="Times New Roman"/>
                <w:kern w:val="0"/>
              </w:rPr>
            </w:pPr>
            <w:r w:rsidRPr="007A74D5">
              <w:rPr>
                <w:rFonts w:eastAsia="Times New Roman" w:cs="Times New Roman"/>
                <w:kern w:val="0"/>
              </w:rPr>
              <w:t>2007</w:t>
            </w:r>
          </w:p>
        </w:tc>
        <w:tc>
          <w:tcPr>
            <w:tcW w:w="4737" w:type="dxa"/>
            <w:tcBorders>
              <w:top w:val="nil"/>
              <w:left w:val="nil"/>
              <w:bottom w:val="nil"/>
              <w:right w:val="nil"/>
            </w:tcBorders>
            <w:shd w:val="clear" w:color="auto" w:fill="auto"/>
            <w:noWrap/>
            <w:vAlign w:val="bottom"/>
            <w:hideMark/>
          </w:tcPr>
          <w:p w:rsidR="005735CE" w:rsidRPr="007A74D5" w:rsidRDefault="005735CE" w:rsidP="00C26909">
            <w:pPr>
              <w:rPr>
                <w:rFonts w:eastAsia="Times New Roman" w:cs="Times New Roman"/>
                <w:kern w:val="0"/>
              </w:rPr>
            </w:pPr>
            <w:r w:rsidRPr="007A74D5">
              <w:rPr>
                <w:rFonts w:eastAsia="Times New Roman" w:cs="Times New Roman"/>
                <w:kern w:val="0"/>
              </w:rPr>
              <w:t>no multivariate using MRI as exposure</w:t>
            </w:r>
          </w:p>
        </w:tc>
      </w:tr>
      <w:tr w:rsidR="005735CE" w:rsidRPr="007A74D5" w:rsidTr="00C26909">
        <w:trPr>
          <w:trHeight w:val="288"/>
        </w:trPr>
        <w:tc>
          <w:tcPr>
            <w:tcW w:w="2895" w:type="dxa"/>
            <w:tcBorders>
              <w:top w:val="nil"/>
              <w:left w:val="nil"/>
              <w:bottom w:val="nil"/>
              <w:right w:val="nil"/>
            </w:tcBorders>
            <w:shd w:val="clear" w:color="auto" w:fill="auto"/>
            <w:vAlign w:val="center"/>
            <w:hideMark/>
          </w:tcPr>
          <w:p w:rsidR="005735CE" w:rsidRPr="007A74D5" w:rsidRDefault="005735CE" w:rsidP="005735CE">
            <w:pPr>
              <w:ind w:left="177"/>
              <w:rPr>
                <w:rFonts w:eastAsia="Times New Roman" w:cs="Times New Roman"/>
                <w:kern w:val="0"/>
              </w:rPr>
            </w:pPr>
            <w:proofErr w:type="spellStart"/>
            <w:r w:rsidRPr="007A74D5">
              <w:rPr>
                <w:rFonts w:eastAsia="Times New Roman" w:cs="Times New Roman"/>
                <w:kern w:val="0"/>
              </w:rPr>
              <w:t>Giammona</w:t>
            </w:r>
            <w:proofErr w:type="spellEnd"/>
            <w:r w:rsidRPr="007A74D5">
              <w:rPr>
                <w:rFonts w:eastAsia="Times New Roman" w:cs="Times New Roman"/>
                <w:kern w:val="0"/>
              </w:rPr>
              <w:t xml:space="preserve"> G</w:t>
            </w:r>
          </w:p>
        </w:tc>
        <w:tc>
          <w:tcPr>
            <w:tcW w:w="696" w:type="dxa"/>
            <w:tcBorders>
              <w:top w:val="nil"/>
              <w:left w:val="nil"/>
              <w:bottom w:val="nil"/>
              <w:right w:val="nil"/>
            </w:tcBorders>
            <w:shd w:val="clear" w:color="auto" w:fill="auto"/>
            <w:vAlign w:val="center"/>
            <w:hideMark/>
          </w:tcPr>
          <w:p w:rsidR="005735CE" w:rsidRPr="007A74D5" w:rsidRDefault="005735CE" w:rsidP="00C26909">
            <w:pPr>
              <w:jc w:val="right"/>
              <w:rPr>
                <w:rFonts w:eastAsia="Times New Roman" w:cs="Times New Roman"/>
                <w:kern w:val="0"/>
              </w:rPr>
            </w:pPr>
            <w:r w:rsidRPr="007A74D5">
              <w:rPr>
                <w:rFonts w:eastAsia="Times New Roman" w:cs="Times New Roman"/>
                <w:kern w:val="0"/>
              </w:rPr>
              <w:t>1993</w:t>
            </w:r>
          </w:p>
        </w:tc>
        <w:tc>
          <w:tcPr>
            <w:tcW w:w="4737" w:type="dxa"/>
            <w:tcBorders>
              <w:top w:val="nil"/>
              <w:left w:val="nil"/>
              <w:bottom w:val="nil"/>
              <w:right w:val="nil"/>
            </w:tcBorders>
            <w:shd w:val="clear" w:color="auto" w:fill="auto"/>
            <w:noWrap/>
            <w:vAlign w:val="bottom"/>
            <w:hideMark/>
          </w:tcPr>
          <w:p w:rsidR="005735CE" w:rsidRPr="007A74D5" w:rsidRDefault="005735CE" w:rsidP="00C26909">
            <w:pPr>
              <w:rPr>
                <w:rFonts w:eastAsia="Times New Roman" w:cs="Times New Roman"/>
                <w:kern w:val="0"/>
              </w:rPr>
            </w:pPr>
            <w:r w:rsidRPr="007A74D5">
              <w:rPr>
                <w:rFonts w:eastAsia="Times New Roman" w:cs="Times New Roman"/>
                <w:kern w:val="0"/>
              </w:rPr>
              <w:t>no multivariate analyses</w:t>
            </w:r>
          </w:p>
        </w:tc>
      </w:tr>
      <w:tr w:rsidR="005735CE" w:rsidRPr="007A74D5" w:rsidTr="00C26909">
        <w:trPr>
          <w:trHeight w:val="288"/>
        </w:trPr>
        <w:tc>
          <w:tcPr>
            <w:tcW w:w="2895" w:type="dxa"/>
            <w:tcBorders>
              <w:top w:val="nil"/>
              <w:left w:val="nil"/>
              <w:bottom w:val="nil"/>
              <w:right w:val="nil"/>
            </w:tcBorders>
            <w:shd w:val="clear" w:color="auto" w:fill="auto"/>
            <w:noWrap/>
            <w:vAlign w:val="bottom"/>
            <w:hideMark/>
          </w:tcPr>
          <w:p w:rsidR="005735CE" w:rsidRPr="007A74D5" w:rsidRDefault="005735CE" w:rsidP="005735CE">
            <w:pPr>
              <w:ind w:left="177"/>
              <w:rPr>
                <w:rFonts w:eastAsia="Times New Roman" w:cs="Times New Roman"/>
                <w:kern w:val="0"/>
              </w:rPr>
            </w:pPr>
            <w:r w:rsidRPr="007A74D5">
              <w:rPr>
                <w:rFonts w:eastAsia="Times New Roman" w:cs="Times New Roman"/>
                <w:kern w:val="0"/>
              </w:rPr>
              <w:t>Huang</w:t>
            </w:r>
          </w:p>
        </w:tc>
        <w:tc>
          <w:tcPr>
            <w:tcW w:w="696" w:type="dxa"/>
            <w:tcBorders>
              <w:top w:val="nil"/>
              <w:left w:val="nil"/>
              <w:bottom w:val="nil"/>
              <w:right w:val="nil"/>
            </w:tcBorders>
            <w:shd w:val="clear" w:color="auto" w:fill="auto"/>
            <w:noWrap/>
            <w:vAlign w:val="bottom"/>
            <w:hideMark/>
          </w:tcPr>
          <w:p w:rsidR="005735CE" w:rsidRPr="007A74D5" w:rsidRDefault="005735CE" w:rsidP="00C26909">
            <w:pPr>
              <w:jc w:val="right"/>
              <w:rPr>
                <w:rFonts w:eastAsia="Times New Roman" w:cs="Times New Roman"/>
                <w:kern w:val="0"/>
              </w:rPr>
            </w:pPr>
            <w:r w:rsidRPr="007A74D5">
              <w:rPr>
                <w:rFonts w:eastAsia="Times New Roman" w:cs="Times New Roman"/>
                <w:kern w:val="0"/>
              </w:rPr>
              <w:t>2003</w:t>
            </w:r>
          </w:p>
        </w:tc>
        <w:tc>
          <w:tcPr>
            <w:tcW w:w="4737" w:type="dxa"/>
            <w:tcBorders>
              <w:top w:val="nil"/>
              <w:left w:val="nil"/>
              <w:bottom w:val="nil"/>
              <w:right w:val="nil"/>
            </w:tcBorders>
            <w:shd w:val="clear" w:color="auto" w:fill="auto"/>
            <w:noWrap/>
            <w:vAlign w:val="bottom"/>
            <w:hideMark/>
          </w:tcPr>
          <w:p w:rsidR="005735CE" w:rsidRPr="007A74D5" w:rsidRDefault="005735CE" w:rsidP="00C26909">
            <w:pPr>
              <w:rPr>
                <w:rFonts w:eastAsia="Times New Roman" w:cs="Times New Roman"/>
                <w:kern w:val="0"/>
              </w:rPr>
            </w:pPr>
            <w:r w:rsidRPr="007A74D5">
              <w:rPr>
                <w:rFonts w:eastAsia="Times New Roman" w:cs="Times New Roman"/>
                <w:kern w:val="0"/>
              </w:rPr>
              <w:t>no multivariate analyses</w:t>
            </w:r>
          </w:p>
        </w:tc>
      </w:tr>
      <w:tr w:rsidR="005735CE" w:rsidRPr="007A74D5" w:rsidTr="00C26909">
        <w:trPr>
          <w:trHeight w:val="288"/>
        </w:trPr>
        <w:tc>
          <w:tcPr>
            <w:tcW w:w="2895" w:type="dxa"/>
            <w:tcBorders>
              <w:top w:val="nil"/>
              <w:left w:val="nil"/>
              <w:bottom w:val="nil"/>
              <w:right w:val="nil"/>
            </w:tcBorders>
            <w:shd w:val="clear" w:color="auto" w:fill="auto"/>
            <w:noWrap/>
            <w:vAlign w:val="bottom"/>
            <w:hideMark/>
          </w:tcPr>
          <w:p w:rsidR="005735CE" w:rsidRPr="007A74D5" w:rsidRDefault="005735CE" w:rsidP="005735CE">
            <w:pPr>
              <w:ind w:left="177"/>
              <w:rPr>
                <w:rFonts w:eastAsia="Times New Roman" w:cs="Times New Roman"/>
                <w:kern w:val="0"/>
              </w:rPr>
            </w:pPr>
            <w:r w:rsidRPr="007A74D5">
              <w:rPr>
                <w:rFonts w:eastAsia="Times New Roman" w:cs="Times New Roman"/>
                <w:kern w:val="0"/>
              </w:rPr>
              <w:t>Kasai</w:t>
            </w:r>
          </w:p>
        </w:tc>
        <w:tc>
          <w:tcPr>
            <w:tcW w:w="696" w:type="dxa"/>
            <w:tcBorders>
              <w:top w:val="nil"/>
              <w:left w:val="nil"/>
              <w:bottom w:val="nil"/>
              <w:right w:val="nil"/>
            </w:tcBorders>
            <w:shd w:val="clear" w:color="auto" w:fill="auto"/>
            <w:noWrap/>
            <w:vAlign w:val="bottom"/>
            <w:hideMark/>
          </w:tcPr>
          <w:p w:rsidR="005735CE" w:rsidRPr="007A74D5" w:rsidRDefault="005735CE" w:rsidP="00C26909">
            <w:pPr>
              <w:jc w:val="right"/>
              <w:rPr>
                <w:rFonts w:eastAsia="Times New Roman" w:cs="Times New Roman"/>
                <w:kern w:val="0"/>
              </w:rPr>
            </w:pPr>
            <w:r w:rsidRPr="007A74D5">
              <w:rPr>
                <w:rFonts w:eastAsia="Times New Roman" w:cs="Times New Roman"/>
                <w:kern w:val="0"/>
              </w:rPr>
              <w:t>2001</w:t>
            </w:r>
          </w:p>
        </w:tc>
        <w:tc>
          <w:tcPr>
            <w:tcW w:w="4737" w:type="dxa"/>
            <w:tcBorders>
              <w:top w:val="nil"/>
              <w:left w:val="nil"/>
              <w:bottom w:val="nil"/>
              <w:right w:val="nil"/>
            </w:tcBorders>
            <w:shd w:val="clear" w:color="auto" w:fill="auto"/>
            <w:noWrap/>
            <w:vAlign w:val="bottom"/>
            <w:hideMark/>
          </w:tcPr>
          <w:p w:rsidR="005735CE" w:rsidRPr="007A74D5" w:rsidRDefault="005735CE" w:rsidP="00C26909">
            <w:pPr>
              <w:rPr>
                <w:rFonts w:eastAsia="Times New Roman" w:cs="Times New Roman"/>
                <w:kern w:val="0"/>
              </w:rPr>
            </w:pPr>
            <w:r w:rsidRPr="007A74D5">
              <w:rPr>
                <w:rFonts w:eastAsia="Times New Roman" w:cs="Times New Roman"/>
                <w:kern w:val="0"/>
              </w:rPr>
              <w:t>no multivariate analyses</w:t>
            </w:r>
          </w:p>
        </w:tc>
      </w:tr>
      <w:tr w:rsidR="005735CE" w:rsidRPr="007A74D5" w:rsidTr="00C26909">
        <w:trPr>
          <w:trHeight w:val="288"/>
        </w:trPr>
        <w:tc>
          <w:tcPr>
            <w:tcW w:w="2895" w:type="dxa"/>
            <w:tcBorders>
              <w:top w:val="nil"/>
              <w:left w:val="nil"/>
              <w:bottom w:val="nil"/>
              <w:right w:val="nil"/>
            </w:tcBorders>
            <w:shd w:val="clear" w:color="auto" w:fill="auto"/>
            <w:noWrap/>
            <w:vAlign w:val="bottom"/>
            <w:hideMark/>
          </w:tcPr>
          <w:p w:rsidR="005735CE" w:rsidRPr="007A74D5" w:rsidRDefault="005735CE" w:rsidP="005735CE">
            <w:pPr>
              <w:ind w:left="177"/>
              <w:rPr>
                <w:rFonts w:eastAsia="Times New Roman" w:cs="Times New Roman"/>
                <w:kern w:val="0"/>
              </w:rPr>
            </w:pPr>
            <w:r w:rsidRPr="007A74D5">
              <w:rPr>
                <w:rFonts w:eastAsia="Times New Roman" w:cs="Times New Roman"/>
                <w:kern w:val="0"/>
              </w:rPr>
              <w:t>Kohno K</w:t>
            </w:r>
          </w:p>
        </w:tc>
        <w:tc>
          <w:tcPr>
            <w:tcW w:w="696" w:type="dxa"/>
            <w:tcBorders>
              <w:top w:val="nil"/>
              <w:left w:val="nil"/>
              <w:bottom w:val="nil"/>
              <w:right w:val="nil"/>
            </w:tcBorders>
            <w:shd w:val="clear" w:color="auto" w:fill="auto"/>
            <w:noWrap/>
            <w:vAlign w:val="bottom"/>
            <w:hideMark/>
          </w:tcPr>
          <w:p w:rsidR="005735CE" w:rsidRPr="007A74D5" w:rsidRDefault="005735CE" w:rsidP="00C26909">
            <w:pPr>
              <w:jc w:val="right"/>
              <w:rPr>
                <w:rFonts w:eastAsia="Times New Roman" w:cs="Times New Roman"/>
                <w:kern w:val="0"/>
              </w:rPr>
            </w:pPr>
            <w:r w:rsidRPr="007A74D5">
              <w:rPr>
                <w:rFonts w:eastAsia="Times New Roman" w:cs="Times New Roman"/>
                <w:kern w:val="0"/>
              </w:rPr>
              <w:t>1997</w:t>
            </w:r>
          </w:p>
        </w:tc>
        <w:tc>
          <w:tcPr>
            <w:tcW w:w="4737" w:type="dxa"/>
            <w:tcBorders>
              <w:top w:val="nil"/>
              <w:left w:val="nil"/>
              <w:bottom w:val="nil"/>
              <w:right w:val="nil"/>
            </w:tcBorders>
            <w:shd w:val="clear" w:color="auto" w:fill="auto"/>
            <w:noWrap/>
            <w:vAlign w:val="bottom"/>
            <w:hideMark/>
          </w:tcPr>
          <w:p w:rsidR="005735CE" w:rsidRPr="007A74D5" w:rsidRDefault="005735CE" w:rsidP="00C26909">
            <w:pPr>
              <w:rPr>
                <w:rFonts w:eastAsia="Times New Roman" w:cs="Times New Roman"/>
                <w:kern w:val="0"/>
              </w:rPr>
            </w:pPr>
            <w:r w:rsidRPr="007A74D5">
              <w:rPr>
                <w:rFonts w:eastAsia="Times New Roman" w:cs="Times New Roman"/>
                <w:kern w:val="0"/>
              </w:rPr>
              <w:t>no multivariate analyses</w:t>
            </w:r>
          </w:p>
        </w:tc>
      </w:tr>
      <w:tr w:rsidR="005735CE" w:rsidRPr="007A74D5" w:rsidTr="00C26909">
        <w:trPr>
          <w:trHeight w:val="288"/>
        </w:trPr>
        <w:tc>
          <w:tcPr>
            <w:tcW w:w="2895" w:type="dxa"/>
            <w:tcBorders>
              <w:top w:val="nil"/>
              <w:left w:val="nil"/>
              <w:bottom w:val="nil"/>
              <w:right w:val="nil"/>
            </w:tcBorders>
            <w:shd w:val="clear" w:color="auto" w:fill="auto"/>
            <w:vAlign w:val="center"/>
            <w:hideMark/>
          </w:tcPr>
          <w:p w:rsidR="005735CE" w:rsidRPr="007A74D5" w:rsidRDefault="005735CE" w:rsidP="005735CE">
            <w:pPr>
              <w:ind w:left="177"/>
              <w:rPr>
                <w:rFonts w:eastAsia="Times New Roman" w:cs="Times New Roman"/>
                <w:kern w:val="0"/>
              </w:rPr>
            </w:pPr>
            <w:proofErr w:type="spellStart"/>
            <w:r w:rsidRPr="007A74D5">
              <w:rPr>
                <w:rFonts w:eastAsia="Times New Roman" w:cs="Times New Roman"/>
                <w:kern w:val="0"/>
              </w:rPr>
              <w:t>Mastronardi</w:t>
            </w:r>
            <w:proofErr w:type="spellEnd"/>
            <w:r w:rsidRPr="007A74D5">
              <w:rPr>
                <w:rFonts w:eastAsia="Times New Roman" w:cs="Times New Roman"/>
                <w:kern w:val="0"/>
              </w:rPr>
              <w:t xml:space="preserve"> L</w:t>
            </w:r>
          </w:p>
        </w:tc>
        <w:tc>
          <w:tcPr>
            <w:tcW w:w="696" w:type="dxa"/>
            <w:tcBorders>
              <w:top w:val="nil"/>
              <w:left w:val="nil"/>
              <w:bottom w:val="nil"/>
              <w:right w:val="nil"/>
            </w:tcBorders>
            <w:shd w:val="clear" w:color="auto" w:fill="auto"/>
            <w:vAlign w:val="center"/>
            <w:hideMark/>
          </w:tcPr>
          <w:p w:rsidR="005735CE" w:rsidRPr="007A74D5" w:rsidRDefault="005735CE" w:rsidP="00C26909">
            <w:pPr>
              <w:jc w:val="right"/>
              <w:rPr>
                <w:rFonts w:eastAsia="Times New Roman" w:cs="Times New Roman"/>
                <w:kern w:val="0"/>
              </w:rPr>
            </w:pPr>
            <w:r w:rsidRPr="007A74D5">
              <w:rPr>
                <w:rFonts w:eastAsia="Times New Roman" w:cs="Times New Roman"/>
                <w:kern w:val="0"/>
              </w:rPr>
              <w:t>2007</w:t>
            </w:r>
          </w:p>
        </w:tc>
        <w:tc>
          <w:tcPr>
            <w:tcW w:w="4737" w:type="dxa"/>
            <w:tcBorders>
              <w:top w:val="nil"/>
              <w:left w:val="nil"/>
              <w:bottom w:val="nil"/>
              <w:right w:val="nil"/>
            </w:tcBorders>
            <w:shd w:val="clear" w:color="auto" w:fill="auto"/>
            <w:noWrap/>
            <w:vAlign w:val="bottom"/>
            <w:hideMark/>
          </w:tcPr>
          <w:p w:rsidR="005735CE" w:rsidRPr="007A74D5" w:rsidRDefault="005735CE" w:rsidP="00C26909">
            <w:pPr>
              <w:rPr>
                <w:rFonts w:eastAsia="Times New Roman" w:cs="Times New Roman"/>
                <w:kern w:val="0"/>
              </w:rPr>
            </w:pPr>
            <w:r w:rsidRPr="007A74D5">
              <w:rPr>
                <w:rFonts w:eastAsia="Times New Roman" w:cs="Times New Roman"/>
                <w:kern w:val="0"/>
              </w:rPr>
              <w:t>no multivariate analyses</w:t>
            </w:r>
          </w:p>
        </w:tc>
      </w:tr>
      <w:tr w:rsidR="005735CE" w:rsidRPr="007A74D5" w:rsidTr="00C26909">
        <w:trPr>
          <w:trHeight w:val="288"/>
        </w:trPr>
        <w:tc>
          <w:tcPr>
            <w:tcW w:w="2895" w:type="dxa"/>
            <w:tcBorders>
              <w:top w:val="nil"/>
              <w:left w:val="nil"/>
              <w:bottom w:val="nil"/>
              <w:right w:val="nil"/>
            </w:tcBorders>
            <w:shd w:val="clear" w:color="auto" w:fill="auto"/>
            <w:vAlign w:val="center"/>
            <w:hideMark/>
          </w:tcPr>
          <w:p w:rsidR="005735CE" w:rsidRPr="007A74D5" w:rsidRDefault="005735CE" w:rsidP="005735CE">
            <w:pPr>
              <w:ind w:left="177"/>
              <w:rPr>
                <w:rFonts w:eastAsia="Times New Roman" w:cs="Times New Roman"/>
                <w:kern w:val="0"/>
              </w:rPr>
            </w:pPr>
            <w:r w:rsidRPr="007A74D5">
              <w:rPr>
                <w:rFonts w:eastAsia="Times New Roman" w:cs="Times New Roman"/>
                <w:kern w:val="0"/>
              </w:rPr>
              <w:t>Matsuyama Y</w:t>
            </w:r>
          </w:p>
        </w:tc>
        <w:tc>
          <w:tcPr>
            <w:tcW w:w="696" w:type="dxa"/>
            <w:tcBorders>
              <w:top w:val="nil"/>
              <w:left w:val="nil"/>
              <w:bottom w:val="nil"/>
              <w:right w:val="nil"/>
            </w:tcBorders>
            <w:shd w:val="clear" w:color="auto" w:fill="auto"/>
            <w:vAlign w:val="center"/>
            <w:hideMark/>
          </w:tcPr>
          <w:p w:rsidR="005735CE" w:rsidRPr="007A74D5" w:rsidRDefault="005735CE" w:rsidP="00C26909">
            <w:pPr>
              <w:jc w:val="right"/>
              <w:rPr>
                <w:rFonts w:eastAsia="Times New Roman" w:cs="Times New Roman"/>
                <w:kern w:val="0"/>
              </w:rPr>
            </w:pPr>
            <w:r w:rsidRPr="007A74D5">
              <w:rPr>
                <w:rFonts w:eastAsia="Times New Roman" w:cs="Times New Roman"/>
                <w:kern w:val="0"/>
              </w:rPr>
              <w:t>2004</w:t>
            </w:r>
          </w:p>
        </w:tc>
        <w:tc>
          <w:tcPr>
            <w:tcW w:w="4737" w:type="dxa"/>
            <w:tcBorders>
              <w:top w:val="nil"/>
              <w:left w:val="nil"/>
              <w:bottom w:val="nil"/>
              <w:right w:val="nil"/>
            </w:tcBorders>
            <w:shd w:val="clear" w:color="auto" w:fill="auto"/>
            <w:noWrap/>
            <w:vAlign w:val="bottom"/>
            <w:hideMark/>
          </w:tcPr>
          <w:p w:rsidR="005735CE" w:rsidRPr="007A74D5" w:rsidRDefault="005735CE" w:rsidP="00C26909">
            <w:pPr>
              <w:rPr>
                <w:rFonts w:eastAsia="Times New Roman" w:cs="Times New Roman"/>
                <w:kern w:val="0"/>
              </w:rPr>
            </w:pPr>
            <w:r w:rsidRPr="007A74D5">
              <w:rPr>
                <w:rFonts w:eastAsia="Times New Roman" w:cs="Times New Roman"/>
                <w:kern w:val="0"/>
              </w:rPr>
              <w:t>no multivariate analyses</w:t>
            </w:r>
          </w:p>
        </w:tc>
      </w:tr>
      <w:tr w:rsidR="005735CE" w:rsidRPr="007A74D5" w:rsidTr="00C26909">
        <w:trPr>
          <w:trHeight w:val="288"/>
        </w:trPr>
        <w:tc>
          <w:tcPr>
            <w:tcW w:w="2895" w:type="dxa"/>
            <w:tcBorders>
              <w:top w:val="nil"/>
              <w:left w:val="nil"/>
              <w:bottom w:val="nil"/>
              <w:right w:val="nil"/>
            </w:tcBorders>
            <w:shd w:val="clear" w:color="auto" w:fill="auto"/>
            <w:noWrap/>
            <w:vAlign w:val="bottom"/>
            <w:hideMark/>
          </w:tcPr>
          <w:p w:rsidR="005735CE" w:rsidRPr="007A74D5" w:rsidRDefault="005735CE" w:rsidP="005735CE">
            <w:pPr>
              <w:ind w:left="177"/>
              <w:rPr>
                <w:rFonts w:eastAsia="Times New Roman" w:cs="Times New Roman"/>
                <w:kern w:val="0"/>
              </w:rPr>
            </w:pPr>
            <w:proofErr w:type="spellStart"/>
            <w:r w:rsidRPr="007A74D5">
              <w:rPr>
                <w:rFonts w:eastAsia="Times New Roman" w:cs="Times New Roman"/>
                <w:kern w:val="0"/>
              </w:rPr>
              <w:t>Mihara</w:t>
            </w:r>
            <w:proofErr w:type="spellEnd"/>
          </w:p>
        </w:tc>
        <w:tc>
          <w:tcPr>
            <w:tcW w:w="696" w:type="dxa"/>
            <w:tcBorders>
              <w:top w:val="nil"/>
              <w:left w:val="nil"/>
              <w:bottom w:val="nil"/>
              <w:right w:val="nil"/>
            </w:tcBorders>
            <w:shd w:val="clear" w:color="auto" w:fill="auto"/>
            <w:noWrap/>
            <w:vAlign w:val="bottom"/>
            <w:hideMark/>
          </w:tcPr>
          <w:p w:rsidR="005735CE" w:rsidRPr="007A74D5" w:rsidRDefault="005735CE" w:rsidP="00C26909">
            <w:pPr>
              <w:jc w:val="right"/>
              <w:rPr>
                <w:rFonts w:eastAsia="Times New Roman" w:cs="Times New Roman"/>
                <w:kern w:val="0"/>
              </w:rPr>
            </w:pPr>
            <w:r w:rsidRPr="007A74D5">
              <w:rPr>
                <w:rFonts w:eastAsia="Times New Roman" w:cs="Times New Roman"/>
                <w:kern w:val="0"/>
              </w:rPr>
              <w:t>2007</w:t>
            </w:r>
          </w:p>
        </w:tc>
        <w:tc>
          <w:tcPr>
            <w:tcW w:w="4737" w:type="dxa"/>
            <w:tcBorders>
              <w:top w:val="nil"/>
              <w:left w:val="nil"/>
              <w:bottom w:val="nil"/>
              <w:right w:val="nil"/>
            </w:tcBorders>
            <w:shd w:val="clear" w:color="auto" w:fill="auto"/>
            <w:noWrap/>
            <w:vAlign w:val="bottom"/>
            <w:hideMark/>
          </w:tcPr>
          <w:p w:rsidR="005735CE" w:rsidRPr="007A74D5" w:rsidRDefault="005735CE" w:rsidP="00C26909">
            <w:pPr>
              <w:rPr>
                <w:rFonts w:eastAsia="Times New Roman" w:cs="Times New Roman"/>
                <w:kern w:val="0"/>
              </w:rPr>
            </w:pPr>
            <w:r w:rsidRPr="007A74D5">
              <w:rPr>
                <w:rFonts w:eastAsia="Times New Roman" w:cs="Times New Roman"/>
                <w:kern w:val="0"/>
              </w:rPr>
              <w:t>no multivariate analyses</w:t>
            </w:r>
          </w:p>
        </w:tc>
      </w:tr>
      <w:tr w:rsidR="005735CE" w:rsidRPr="007A74D5" w:rsidTr="00C26909">
        <w:trPr>
          <w:trHeight w:val="288"/>
        </w:trPr>
        <w:tc>
          <w:tcPr>
            <w:tcW w:w="2895" w:type="dxa"/>
            <w:tcBorders>
              <w:top w:val="nil"/>
              <w:left w:val="nil"/>
              <w:bottom w:val="nil"/>
              <w:right w:val="nil"/>
            </w:tcBorders>
            <w:shd w:val="clear" w:color="auto" w:fill="auto"/>
            <w:vAlign w:val="center"/>
            <w:hideMark/>
          </w:tcPr>
          <w:p w:rsidR="005735CE" w:rsidRPr="007A74D5" w:rsidRDefault="005735CE" w:rsidP="005735CE">
            <w:pPr>
              <w:ind w:left="177"/>
              <w:rPr>
                <w:rFonts w:eastAsia="Times New Roman" w:cs="Times New Roman"/>
                <w:kern w:val="0"/>
              </w:rPr>
            </w:pPr>
            <w:r w:rsidRPr="007A74D5">
              <w:rPr>
                <w:rFonts w:eastAsia="Times New Roman" w:cs="Times New Roman"/>
                <w:kern w:val="0"/>
              </w:rPr>
              <w:t>Mizuno J</w:t>
            </w:r>
          </w:p>
        </w:tc>
        <w:tc>
          <w:tcPr>
            <w:tcW w:w="696" w:type="dxa"/>
            <w:tcBorders>
              <w:top w:val="nil"/>
              <w:left w:val="nil"/>
              <w:bottom w:val="nil"/>
              <w:right w:val="nil"/>
            </w:tcBorders>
            <w:shd w:val="clear" w:color="auto" w:fill="auto"/>
            <w:vAlign w:val="center"/>
            <w:hideMark/>
          </w:tcPr>
          <w:p w:rsidR="005735CE" w:rsidRPr="007A74D5" w:rsidRDefault="005735CE" w:rsidP="00C26909">
            <w:pPr>
              <w:jc w:val="right"/>
              <w:rPr>
                <w:rFonts w:eastAsia="Times New Roman" w:cs="Times New Roman"/>
                <w:kern w:val="0"/>
              </w:rPr>
            </w:pPr>
            <w:r w:rsidRPr="007A74D5">
              <w:rPr>
                <w:rFonts w:eastAsia="Times New Roman" w:cs="Times New Roman"/>
                <w:kern w:val="0"/>
              </w:rPr>
              <w:t>2003</w:t>
            </w:r>
          </w:p>
        </w:tc>
        <w:tc>
          <w:tcPr>
            <w:tcW w:w="4737" w:type="dxa"/>
            <w:tcBorders>
              <w:top w:val="nil"/>
              <w:left w:val="nil"/>
              <w:bottom w:val="nil"/>
              <w:right w:val="nil"/>
            </w:tcBorders>
            <w:shd w:val="clear" w:color="auto" w:fill="auto"/>
            <w:noWrap/>
            <w:vAlign w:val="bottom"/>
            <w:hideMark/>
          </w:tcPr>
          <w:p w:rsidR="005735CE" w:rsidRPr="007A74D5" w:rsidRDefault="005735CE" w:rsidP="00C26909">
            <w:pPr>
              <w:rPr>
                <w:rFonts w:eastAsia="Times New Roman" w:cs="Times New Roman"/>
                <w:kern w:val="0"/>
              </w:rPr>
            </w:pPr>
            <w:r w:rsidRPr="007A74D5">
              <w:rPr>
                <w:rFonts w:eastAsia="Times New Roman" w:cs="Times New Roman"/>
                <w:kern w:val="0"/>
              </w:rPr>
              <w:t>no multivariate analyses</w:t>
            </w:r>
          </w:p>
        </w:tc>
      </w:tr>
      <w:tr w:rsidR="005735CE" w:rsidRPr="007A74D5" w:rsidTr="00C26909">
        <w:trPr>
          <w:trHeight w:val="288"/>
        </w:trPr>
        <w:tc>
          <w:tcPr>
            <w:tcW w:w="2895" w:type="dxa"/>
            <w:tcBorders>
              <w:top w:val="nil"/>
              <w:left w:val="nil"/>
              <w:bottom w:val="nil"/>
              <w:right w:val="nil"/>
            </w:tcBorders>
            <w:shd w:val="clear" w:color="auto" w:fill="auto"/>
            <w:vAlign w:val="center"/>
            <w:hideMark/>
          </w:tcPr>
          <w:p w:rsidR="005735CE" w:rsidRPr="007A74D5" w:rsidRDefault="005735CE" w:rsidP="005735CE">
            <w:pPr>
              <w:ind w:left="177"/>
              <w:rPr>
                <w:rFonts w:eastAsia="Times New Roman" w:cs="Times New Roman"/>
                <w:kern w:val="0"/>
              </w:rPr>
            </w:pPr>
            <w:proofErr w:type="spellStart"/>
            <w:r w:rsidRPr="007A74D5">
              <w:rPr>
                <w:rFonts w:eastAsia="Times New Roman" w:cs="Times New Roman"/>
                <w:kern w:val="0"/>
              </w:rPr>
              <w:t>Morio</w:t>
            </w:r>
            <w:proofErr w:type="spellEnd"/>
            <w:r w:rsidRPr="007A74D5">
              <w:rPr>
                <w:rFonts w:eastAsia="Times New Roman" w:cs="Times New Roman"/>
                <w:kern w:val="0"/>
              </w:rPr>
              <w:t xml:space="preserve"> Y</w:t>
            </w:r>
          </w:p>
        </w:tc>
        <w:tc>
          <w:tcPr>
            <w:tcW w:w="696" w:type="dxa"/>
            <w:tcBorders>
              <w:top w:val="nil"/>
              <w:left w:val="nil"/>
              <w:bottom w:val="nil"/>
              <w:right w:val="nil"/>
            </w:tcBorders>
            <w:shd w:val="clear" w:color="auto" w:fill="auto"/>
            <w:vAlign w:val="center"/>
            <w:hideMark/>
          </w:tcPr>
          <w:p w:rsidR="005735CE" w:rsidRPr="007A74D5" w:rsidRDefault="005735CE" w:rsidP="00C26909">
            <w:pPr>
              <w:jc w:val="right"/>
              <w:rPr>
                <w:rFonts w:eastAsia="Times New Roman" w:cs="Times New Roman"/>
                <w:kern w:val="0"/>
              </w:rPr>
            </w:pPr>
            <w:r w:rsidRPr="007A74D5">
              <w:rPr>
                <w:rFonts w:eastAsia="Times New Roman" w:cs="Times New Roman"/>
                <w:kern w:val="0"/>
              </w:rPr>
              <w:t>2001</w:t>
            </w:r>
          </w:p>
        </w:tc>
        <w:tc>
          <w:tcPr>
            <w:tcW w:w="4737" w:type="dxa"/>
            <w:tcBorders>
              <w:top w:val="nil"/>
              <w:left w:val="nil"/>
              <w:bottom w:val="nil"/>
              <w:right w:val="nil"/>
            </w:tcBorders>
            <w:shd w:val="clear" w:color="auto" w:fill="auto"/>
            <w:noWrap/>
            <w:vAlign w:val="bottom"/>
            <w:hideMark/>
          </w:tcPr>
          <w:p w:rsidR="005735CE" w:rsidRPr="007A74D5" w:rsidRDefault="005735CE" w:rsidP="00C26909">
            <w:pPr>
              <w:rPr>
                <w:rFonts w:eastAsia="Times New Roman" w:cs="Times New Roman"/>
                <w:kern w:val="0"/>
              </w:rPr>
            </w:pPr>
            <w:r w:rsidRPr="007A74D5">
              <w:rPr>
                <w:rFonts w:eastAsia="Times New Roman" w:cs="Times New Roman"/>
                <w:kern w:val="0"/>
              </w:rPr>
              <w:t>Comparison group</w:t>
            </w:r>
            <w:r>
              <w:rPr>
                <w:rFonts w:eastAsia="Times New Roman" w:cs="Times New Roman"/>
                <w:kern w:val="0"/>
              </w:rPr>
              <w:t>s,</w:t>
            </w:r>
            <w:r w:rsidRPr="007A74D5">
              <w:rPr>
                <w:rFonts w:eastAsia="Times New Roman" w:cs="Times New Roman"/>
                <w:kern w:val="0"/>
              </w:rPr>
              <w:t xml:space="preserve"> n &lt;5</w:t>
            </w:r>
          </w:p>
        </w:tc>
      </w:tr>
      <w:tr w:rsidR="005735CE" w:rsidRPr="007A74D5" w:rsidTr="00C26909">
        <w:trPr>
          <w:trHeight w:val="288"/>
        </w:trPr>
        <w:tc>
          <w:tcPr>
            <w:tcW w:w="2895" w:type="dxa"/>
            <w:tcBorders>
              <w:top w:val="nil"/>
              <w:left w:val="nil"/>
              <w:bottom w:val="nil"/>
              <w:right w:val="nil"/>
            </w:tcBorders>
            <w:shd w:val="clear" w:color="auto" w:fill="auto"/>
            <w:vAlign w:val="center"/>
            <w:hideMark/>
          </w:tcPr>
          <w:p w:rsidR="005735CE" w:rsidRPr="007A74D5" w:rsidRDefault="005735CE" w:rsidP="005735CE">
            <w:pPr>
              <w:ind w:left="177"/>
              <w:rPr>
                <w:rFonts w:eastAsia="Times New Roman" w:cs="Times New Roman"/>
                <w:kern w:val="0"/>
              </w:rPr>
            </w:pPr>
            <w:proofErr w:type="spellStart"/>
            <w:r w:rsidRPr="007A74D5">
              <w:rPr>
                <w:rFonts w:eastAsia="Times New Roman" w:cs="Times New Roman"/>
                <w:kern w:val="0"/>
              </w:rPr>
              <w:t>Morio</w:t>
            </w:r>
            <w:proofErr w:type="spellEnd"/>
            <w:r w:rsidRPr="007A74D5">
              <w:rPr>
                <w:rFonts w:eastAsia="Times New Roman" w:cs="Times New Roman"/>
                <w:kern w:val="0"/>
              </w:rPr>
              <w:t xml:space="preserve"> Y</w:t>
            </w:r>
          </w:p>
        </w:tc>
        <w:tc>
          <w:tcPr>
            <w:tcW w:w="696" w:type="dxa"/>
            <w:tcBorders>
              <w:top w:val="nil"/>
              <w:left w:val="nil"/>
              <w:bottom w:val="nil"/>
              <w:right w:val="nil"/>
            </w:tcBorders>
            <w:shd w:val="clear" w:color="auto" w:fill="auto"/>
            <w:vAlign w:val="center"/>
            <w:hideMark/>
          </w:tcPr>
          <w:p w:rsidR="005735CE" w:rsidRPr="007A74D5" w:rsidRDefault="005735CE" w:rsidP="00C26909">
            <w:pPr>
              <w:jc w:val="right"/>
              <w:rPr>
                <w:rFonts w:eastAsia="Times New Roman" w:cs="Times New Roman"/>
                <w:kern w:val="0"/>
              </w:rPr>
            </w:pPr>
            <w:r w:rsidRPr="007A74D5">
              <w:rPr>
                <w:rFonts w:eastAsia="Times New Roman" w:cs="Times New Roman"/>
                <w:kern w:val="0"/>
              </w:rPr>
              <w:t>1994</w:t>
            </w:r>
          </w:p>
        </w:tc>
        <w:tc>
          <w:tcPr>
            <w:tcW w:w="4737" w:type="dxa"/>
            <w:tcBorders>
              <w:top w:val="nil"/>
              <w:left w:val="nil"/>
              <w:bottom w:val="nil"/>
              <w:right w:val="nil"/>
            </w:tcBorders>
            <w:shd w:val="clear" w:color="auto" w:fill="auto"/>
            <w:noWrap/>
            <w:vAlign w:val="bottom"/>
            <w:hideMark/>
          </w:tcPr>
          <w:p w:rsidR="005735CE" w:rsidRPr="007A74D5" w:rsidRDefault="005735CE" w:rsidP="00C26909">
            <w:pPr>
              <w:rPr>
                <w:rFonts w:eastAsia="Times New Roman" w:cs="Times New Roman"/>
                <w:kern w:val="0"/>
              </w:rPr>
            </w:pPr>
            <w:r w:rsidRPr="007A74D5">
              <w:rPr>
                <w:rFonts w:eastAsia="Times New Roman" w:cs="Times New Roman"/>
                <w:kern w:val="0"/>
              </w:rPr>
              <w:t>no multivariate analyses</w:t>
            </w:r>
          </w:p>
        </w:tc>
      </w:tr>
      <w:tr w:rsidR="005735CE" w:rsidRPr="007A74D5" w:rsidTr="00C26909">
        <w:trPr>
          <w:trHeight w:val="288"/>
        </w:trPr>
        <w:tc>
          <w:tcPr>
            <w:tcW w:w="2895" w:type="dxa"/>
            <w:tcBorders>
              <w:top w:val="nil"/>
              <w:left w:val="nil"/>
              <w:bottom w:val="nil"/>
              <w:right w:val="nil"/>
            </w:tcBorders>
            <w:shd w:val="clear" w:color="auto" w:fill="auto"/>
            <w:vAlign w:val="center"/>
            <w:hideMark/>
          </w:tcPr>
          <w:p w:rsidR="005735CE" w:rsidRPr="007A74D5" w:rsidRDefault="005735CE" w:rsidP="005735CE">
            <w:pPr>
              <w:ind w:left="177"/>
              <w:rPr>
                <w:rFonts w:eastAsia="Times New Roman" w:cs="Times New Roman"/>
                <w:kern w:val="0"/>
              </w:rPr>
            </w:pPr>
            <w:proofErr w:type="spellStart"/>
            <w:r w:rsidRPr="007A74D5">
              <w:rPr>
                <w:rFonts w:eastAsia="Times New Roman" w:cs="Times New Roman"/>
                <w:kern w:val="0"/>
              </w:rPr>
              <w:t>Naderi</w:t>
            </w:r>
            <w:proofErr w:type="spellEnd"/>
            <w:r w:rsidRPr="007A74D5">
              <w:rPr>
                <w:rFonts w:eastAsia="Times New Roman" w:cs="Times New Roman"/>
                <w:kern w:val="0"/>
              </w:rPr>
              <w:t xml:space="preserve"> S</w:t>
            </w:r>
          </w:p>
        </w:tc>
        <w:tc>
          <w:tcPr>
            <w:tcW w:w="696" w:type="dxa"/>
            <w:tcBorders>
              <w:top w:val="nil"/>
              <w:left w:val="nil"/>
              <w:bottom w:val="nil"/>
              <w:right w:val="nil"/>
            </w:tcBorders>
            <w:shd w:val="clear" w:color="auto" w:fill="auto"/>
            <w:vAlign w:val="center"/>
            <w:hideMark/>
          </w:tcPr>
          <w:p w:rsidR="005735CE" w:rsidRPr="007A74D5" w:rsidRDefault="005735CE" w:rsidP="00C26909">
            <w:pPr>
              <w:jc w:val="right"/>
              <w:rPr>
                <w:rFonts w:eastAsia="Times New Roman" w:cs="Times New Roman"/>
                <w:kern w:val="0"/>
              </w:rPr>
            </w:pPr>
            <w:r w:rsidRPr="007A74D5">
              <w:rPr>
                <w:rFonts w:eastAsia="Times New Roman" w:cs="Times New Roman"/>
                <w:kern w:val="0"/>
              </w:rPr>
              <w:t>1998</w:t>
            </w:r>
          </w:p>
        </w:tc>
        <w:tc>
          <w:tcPr>
            <w:tcW w:w="4737" w:type="dxa"/>
            <w:tcBorders>
              <w:top w:val="nil"/>
              <w:left w:val="nil"/>
              <w:bottom w:val="nil"/>
              <w:right w:val="nil"/>
            </w:tcBorders>
            <w:shd w:val="clear" w:color="auto" w:fill="auto"/>
            <w:noWrap/>
            <w:vAlign w:val="bottom"/>
            <w:hideMark/>
          </w:tcPr>
          <w:p w:rsidR="005735CE" w:rsidRPr="007A74D5" w:rsidRDefault="005735CE" w:rsidP="00C26909">
            <w:pPr>
              <w:rPr>
                <w:rFonts w:eastAsia="Times New Roman" w:cs="Times New Roman"/>
                <w:kern w:val="0"/>
              </w:rPr>
            </w:pPr>
            <w:r w:rsidRPr="007A74D5">
              <w:rPr>
                <w:rFonts w:eastAsia="Times New Roman" w:cs="Times New Roman"/>
                <w:kern w:val="0"/>
              </w:rPr>
              <w:t>no multivariate analyses</w:t>
            </w:r>
          </w:p>
        </w:tc>
      </w:tr>
      <w:tr w:rsidR="005735CE" w:rsidRPr="007A74D5" w:rsidTr="00C26909">
        <w:trPr>
          <w:trHeight w:val="288"/>
        </w:trPr>
        <w:tc>
          <w:tcPr>
            <w:tcW w:w="2895" w:type="dxa"/>
            <w:tcBorders>
              <w:top w:val="nil"/>
              <w:left w:val="nil"/>
              <w:bottom w:val="nil"/>
              <w:right w:val="nil"/>
            </w:tcBorders>
            <w:shd w:val="clear" w:color="auto" w:fill="auto"/>
            <w:vAlign w:val="center"/>
            <w:hideMark/>
          </w:tcPr>
          <w:p w:rsidR="005735CE" w:rsidRPr="007A74D5" w:rsidRDefault="005735CE" w:rsidP="005735CE">
            <w:pPr>
              <w:ind w:left="177"/>
              <w:rPr>
                <w:rFonts w:eastAsia="Times New Roman" w:cs="Times New Roman"/>
                <w:kern w:val="0"/>
              </w:rPr>
            </w:pPr>
            <w:r w:rsidRPr="007A74D5">
              <w:rPr>
                <w:rFonts w:eastAsia="Times New Roman" w:cs="Times New Roman"/>
                <w:kern w:val="0"/>
              </w:rPr>
              <w:t>Nakamura M</w:t>
            </w:r>
          </w:p>
        </w:tc>
        <w:tc>
          <w:tcPr>
            <w:tcW w:w="696" w:type="dxa"/>
            <w:tcBorders>
              <w:top w:val="nil"/>
              <w:left w:val="nil"/>
              <w:bottom w:val="nil"/>
              <w:right w:val="nil"/>
            </w:tcBorders>
            <w:shd w:val="clear" w:color="auto" w:fill="auto"/>
            <w:vAlign w:val="center"/>
            <w:hideMark/>
          </w:tcPr>
          <w:p w:rsidR="005735CE" w:rsidRPr="007A74D5" w:rsidRDefault="005735CE" w:rsidP="00C26909">
            <w:pPr>
              <w:jc w:val="right"/>
              <w:rPr>
                <w:rFonts w:eastAsia="Times New Roman" w:cs="Times New Roman"/>
                <w:kern w:val="0"/>
              </w:rPr>
            </w:pPr>
            <w:r w:rsidRPr="007A74D5">
              <w:rPr>
                <w:rFonts w:eastAsia="Times New Roman" w:cs="Times New Roman"/>
                <w:kern w:val="0"/>
              </w:rPr>
              <w:t>1998</w:t>
            </w:r>
          </w:p>
        </w:tc>
        <w:tc>
          <w:tcPr>
            <w:tcW w:w="4737" w:type="dxa"/>
            <w:tcBorders>
              <w:top w:val="nil"/>
              <w:left w:val="nil"/>
              <w:bottom w:val="nil"/>
              <w:right w:val="nil"/>
            </w:tcBorders>
            <w:shd w:val="clear" w:color="auto" w:fill="auto"/>
            <w:noWrap/>
            <w:vAlign w:val="bottom"/>
            <w:hideMark/>
          </w:tcPr>
          <w:p w:rsidR="005735CE" w:rsidRPr="007A74D5" w:rsidRDefault="005735CE" w:rsidP="00C26909">
            <w:pPr>
              <w:rPr>
                <w:rFonts w:eastAsia="Times New Roman" w:cs="Times New Roman"/>
                <w:kern w:val="0"/>
              </w:rPr>
            </w:pPr>
            <w:r w:rsidRPr="007A74D5">
              <w:rPr>
                <w:rFonts w:eastAsia="Times New Roman" w:cs="Times New Roman"/>
                <w:kern w:val="0"/>
              </w:rPr>
              <w:t>no multivariate analyses</w:t>
            </w:r>
          </w:p>
        </w:tc>
      </w:tr>
      <w:tr w:rsidR="005735CE" w:rsidRPr="007A74D5" w:rsidTr="00C26909">
        <w:trPr>
          <w:trHeight w:val="288"/>
        </w:trPr>
        <w:tc>
          <w:tcPr>
            <w:tcW w:w="2895" w:type="dxa"/>
            <w:tcBorders>
              <w:top w:val="nil"/>
              <w:left w:val="nil"/>
              <w:bottom w:val="nil"/>
              <w:right w:val="nil"/>
            </w:tcBorders>
            <w:shd w:val="clear" w:color="auto" w:fill="auto"/>
            <w:vAlign w:val="center"/>
            <w:hideMark/>
          </w:tcPr>
          <w:p w:rsidR="005735CE" w:rsidRPr="007A74D5" w:rsidRDefault="005735CE" w:rsidP="005735CE">
            <w:pPr>
              <w:ind w:left="177"/>
              <w:rPr>
                <w:rFonts w:eastAsia="Times New Roman" w:cs="Times New Roman"/>
                <w:kern w:val="0"/>
              </w:rPr>
            </w:pPr>
            <w:r w:rsidRPr="007A74D5">
              <w:rPr>
                <w:rFonts w:eastAsia="Times New Roman" w:cs="Times New Roman"/>
                <w:kern w:val="0"/>
              </w:rPr>
              <w:t>Nakamura M</w:t>
            </w:r>
          </w:p>
        </w:tc>
        <w:tc>
          <w:tcPr>
            <w:tcW w:w="696" w:type="dxa"/>
            <w:tcBorders>
              <w:top w:val="nil"/>
              <w:left w:val="nil"/>
              <w:bottom w:val="nil"/>
              <w:right w:val="nil"/>
            </w:tcBorders>
            <w:shd w:val="clear" w:color="auto" w:fill="auto"/>
            <w:vAlign w:val="center"/>
            <w:hideMark/>
          </w:tcPr>
          <w:p w:rsidR="005735CE" w:rsidRPr="007A74D5" w:rsidRDefault="005735CE" w:rsidP="00C26909">
            <w:pPr>
              <w:jc w:val="right"/>
              <w:rPr>
                <w:rFonts w:eastAsia="Times New Roman" w:cs="Times New Roman"/>
                <w:kern w:val="0"/>
              </w:rPr>
            </w:pPr>
            <w:r w:rsidRPr="007A74D5">
              <w:rPr>
                <w:rFonts w:eastAsia="Times New Roman" w:cs="Times New Roman"/>
                <w:kern w:val="0"/>
              </w:rPr>
              <w:t>2012</w:t>
            </w:r>
          </w:p>
        </w:tc>
        <w:tc>
          <w:tcPr>
            <w:tcW w:w="4737" w:type="dxa"/>
            <w:tcBorders>
              <w:top w:val="nil"/>
              <w:left w:val="nil"/>
              <w:bottom w:val="nil"/>
              <w:right w:val="nil"/>
            </w:tcBorders>
            <w:shd w:val="clear" w:color="auto" w:fill="auto"/>
            <w:noWrap/>
            <w:vAlign w:val="bottom"/>
            <w:hideMark/>
          </w:tcPr>
          <w:p w:rsidR="005735CE" w:rsidRPr="007A74D5" w:rsidRDefault="005735CE" w:rsidP="00C26909">
            <w:pPr>
              <w:rPr>
                <w:rFonts w:eastAsia="Times New Roman" w:cs="Times New Roman"/>
                <w:kern w:val="0"/>
              </w:rPr>
            </w:pPr>
            <w:r w:rsidRPr="007A74D5">
              <w:rPr>
                <w:rFonts w:eastAsia="Times New Roman" w:cs="Times New Roman"/>
                <w:kern w:val="0"/>
              </w:rPr>
              <w:t>no multivariate analyses</w:t>
            </w:r>
          </w:p>
        </w:tc>
      </w:tr>
      <w:tr w:rsidR="005735CE" w:rsidRPr="007A74D5" w:rsidTr="00C26909">
        <w:trPr>
          <w:trHeight w:val="288"/>
        </w:trPr>
        <w:tc>
          <w:tcPr>
            <w:tcW w:w="2895" w:type="dxa"/>
            <w:tcBorders>
              <w:top w:val="nil"/>
              <w:left w:val="nil"/>
              <w:bottom w:val="nil"/>
              <w:right w:val="nil"/>
            </w:tcBorders>
            <w:shd w:val="clear" w:color="auto" w:fill="auto"/>
            <w:vAlign w:val="center"/>
            <w:hideMark/>
          </w:tcPr>
          <w:p w:rsidR="005735CE" w:rsidRPr="007A74D5" w:rsidRDefault="005735CE" w:rsidP="005735CE">
            <w:pPr>
              <w:ind w:left="177"/>
              <w:rPr>
                <w:rFonts w:eastAsia="Times New Roman" w:cs="Times New Roman"/>
                <w:kern w:val="0"/>
              </w:rPr>
            </w:pPr>
            <w:r w:rsidRPr="007A74D5">
              <w:rPr>
                <w:rFonts w:eastAsia="Times New Roman" w:cs="Times New Roman"/>
                <w:kern w:val="0"/>
              </w:rPr>
              <w:t>Papadopoulos CA</w:t>
            </w:r>
          </w:p>
        </w:tc>
        <w:tc>
          <w:tcPr>
            <w:tcW w:w="696" w:type="dxa"/>
            <w:tcBorders>
              <w:top w:val="nil"/>
              <w:left w:val="nil"/>
              <w:bottom w:val="nil"/>
              <w:right w:val="nil"/>
            </w:tcBorders>
            <w:shd w:val="clear" w:color="auto" w:fill="auto"/>
            <w:vAlign w:val="center"/>
            <w:hideMark/>
          </w:tcPr>
          <w:p w:rsidR="005735CE" w:rsidRPr="007A74D5" w:rsidRDefault="005735CE" w:rsidP="00C26909">
            <w:pPr>
              <w:jc w:val="right"/>
              <w:rPr>
                <w:rFonts w:eastAsia="Times New Roman" w:cs="Times New Roman"/>
                <w:kern w:val="0"/>
              </w:rPr>
            </w:pPr>
            <w:r w:rsidRPr="007A74D5">
              <w:rPr>
                <w:rFonts w:eastAsia="Times New Roman" w:cs="Times New Roman"/>
                <w:kern w:val="0"/>
              </w:rPr>
              <w:t>2004</w:t>
            </w:r>
          </w:p>
        </w:tc>
        <w:tc>
          <w:tcPr>
            <w:tcW w:w="4737" w:type="dxa"/>
            <w:tcBorders>
              <w:top w:val="nil"/>
              <w:left w:val="nil"/>
              <w:bottom w:val="nil"/>
              <w:right w:val="nil"/>
            </w:tcBorders>
            <w:shd w:val="clear" w:color="auto" w:fill="auto"/>
            <w:noWrap/>
            <w:vAlign w:val="bottom"/>
            <w:hideMark/>
          </w:tcPr>
          <w:p w:rsidR="005735CE" w:rsidRPr="007A74D5" w:rsidRDefault="005735CE" w:rsidP="00C26909">
            <w:pPr>
              <w:rPr>
                <w:rFonts w:eastAsia="Times New Roman" w:cs="Times New Roman"/>
                <w:kern w:val="0"/>
              </w:rPr>
            </w:pPr>
            <w:r w:rsidRPr="007A74D5">
              <w:rPr>
                <w:rFonts w:eastAsia="Times New Roman" w:cs="Times New Roman"/>
                <w:kern w:val="0"/>
              </w:rPr>
              <w:t>no multivariate analyses</w:t>
            </w:r>
          </w:p>
        </w:tc>
      </w:tr>
      <w:tr w:rsidR="005735CE" w:rsidRPr="007A74D5" w:rsidTr="00C26909">
        <w:trPr>
          <w:trHeight w:val="288"/>
        </w:trPr>
        <w:tc>
          <w:tcPr>
            <w:tcW w:w="2895" w:type="dxa"/>
            <w:tcBorders>
              <w:top w:val="nil"/>
              <w:left w:val="nil"/>
              <w:bottom w:val="nil"/>
              <w:right w:val="nil"/>
            </w:tcBorders>
            <w:shd w:val="clear" w:color="auto" w:fill="auto"/>
            <w:vAlign w:val="center"/>
            <w:hideMark/>
          </w:tcPr>
          <w:p w:rsidR="005735CE" w:rsidRPr="007A74D5" w:rsidRDefault="005735CE" w:rsidP="005735CE">
            <w:pPr>
              <w:ind w:left="177"/>
              <w:rPr>
                <w:rFonts w:eastAsia="Times New Roman" w:cs="Times New Roman"/>
                <w:kern w:val="0"/>
              </w:rPr>
            </w:pPr>
            <w:r w:rsidRPr="007A74D5">
              <w:rPr>
                <w:rFonts w:eastAsia="Times New Roman" w:cs="Times New Roman"/>
                <w:kern w:val="0"/>
              </w:rPr>
              <w:t>Satomi K</w:t>
            </w:r>
          </w:p>
        </w:tc>
        <w:tc>
          <w:tcPr>
            <w:tcW w:w="696" w:type="dxa"/>
            <w:tcBorders>
              <w:top w:val="nil"/>
              <w:left w:val="nil"/>
              <w:bottom w:val="nil"/>
              <w:right w:val="nil"/>
            </w:tcBorders>
            <w:shd w:val="clear" w:color="auto" w:fill="auto"/>
            <w:vAlign w:val="center"/>
            <w:hideMark/>
          </w:tcPr>
          <w:p w:rsidR="005735CE" w:rsidRPr="007A74D5" w:rsidRDefault="005735CE" w:rsidP="00C26909">
            <w:pPr>
              <w:jc w:val="right"/>
              <w:rPr>
                <w:rFonts w:eastAsia="Times New Roman" w:cs="Times New Roman"/>
                <w:kern w:val="0"/>
              </w:rPr>
            </w:pPr>
            <w:r w:rsidRPr="007A74D5">
              <w:rPr>
                <w:rFonts w:eastAsia="Times New Roman" w:cs="Times New Roman"/>
                <w:kern w:val="0"/>
              </w:rPr>
              <w:t>2001</w:t>
            </w:r>
          </w:p>
        </w:tc>
        <w:tc>
          <w:tcPr>
            <w:tcW w:w="4737" w:type="dxa"/>
            <w:tcBorders>
              <w:top w:val="nil"/>
              <w:left w:val="nil"/>
              <w:bottom w:val="nil"/>
              <w:right w:val="nil"/>
            </w:tcBorders>
            <w:shd w:val="clear" w:color="auto" w:fill="auto"/>
            <w:noWrap/>
            <w:vAlign w:val="bottom"/>
            <w:hideMark/>
          </w:tcPr>
          <w:p w:rsidR="005735CE" w:rsidRPr="007A74D5" w:rsidRDefault="005735CE" w:rsidP="00C26909">
            <w:pPr>
              <w:rPr>
                <w:rFonts w:eastAsia="Times New Roman" w:cs="Times New Roman"/>
                <w:kern w:val="0"/>
              </w:rPr>
            </w:pPr>
            <w:r w:rsidRPr="007A74D5">
              <w:rPr>
                <w:rFonts w:eastAsia="Times New Roman" w:cs="Times New Roman"/>
                <w:kern w:val="0"/>
              </w:rPr>
              <w:t>no multivariate analyses</w:t>
            </w:r>
          </w:p>
        </w:tc>
      </w:tr>
      <w:tr w:rsidR="005735CE" w:rsidRPr="007A74D5" w:rsidTr="00C26909">
        <w:trPr>
          <w:trHeight w:val="288"/>
        </w:trPr>
        <w:tc>
          <w:tcPr>
            <w:tcW w:w="2895" w:type="dxa"/>
            <w:tcBorders>
              <w:top w:val="nil"/>
              <w:left w:val="nil"/>
              <w:bottom w:val="nil"/>
              <w:right w:val="nil"/>
            </w:tcBorders>
            <w:shd w:val="clear" w:color="auto" w:fill="auto"/>
            <w:vAlign w:val="center"/>
            <w:hideMark/>
          </w:tcPr>
          <w:p w:rsidR="005735CE" w:rsidRPr="007A74D5" w:rsidRDefault="005735CE" w:rsidP="005735CE">
            <w:pPr>
              <w:ind w:left="177"/>
              <w:rPr>
                <w:rFonts w:eastAsia="Times New Roman" w:cs="Times New Roman"/>
                <w:kern w:val="0"/>
              </w:rPr>
            </w:pPr>
            <w:proofErr w:type="spellStart"/>
            <w:r w:rsidRPr="007A74D5">
              <w:rPr>
                <w:rFonts w:eastAsia="Times New Roman" w:cs="Times New Roman"/>
                <w:kern w:val="0"/>
              </w:rPr>
              <w:t>Seichi</w:t>
            </w:r>
            <w:proofErr w:type="spellEnd"/>
            <w:r w:rsidRPr="007A74D5">
              <w:rPr>
                <w:rFonts w:eastAsia="Times New Roman" w:cs="Times New Roman"/>
                <w:kern w:val="0"/>
              </w:rPr>
              <w:t xml:space="preserve"> A</w:t>
            </w:r>
          </w:p>
        </w:tc>
        <w:tc>
          <w:tcPr>
            <w:tcW w:w="696" w:type="dxa"/>
            <w:tcBorders>
              <w:top w:val="nil"/>
              <w:left w:val="nil"/>
              <w:bottom w:val="nil"/>
              <w:right w:val="nil"/>
            </w:tcBorders>
            <w:shd w:val="clear" w:color="auto" w:fill="auto"/>
            <w:vAlign w:val="center"/>
            <w:hideMark/>
          </w:tcPr>
          <w:p w:rsidR="005735CE" w:rsidRPr="007A74D5" w:rsidRDefault="005735CE" w:rsidP="00C26909">
            <w:pPr>
              <w:jc w:val="right"/>
              <w:rPr>
                <w:rFonts w:eastAsia="Times New Roman" w:cs="Times New Roman"/>
                <w:kern w:val="0"/>
              </w:rPr>
            </w:pPr>
            <w:r w:rsidRPr="007A74D5">
              <w:rPr>
                <w:rFonts w:eastAsia="Times New Roman" w:cs="Times New Roman"/>
                <w:kern w:val="0"/>
              </w:rPr>
              <w:t>2011</w:t>
            </w:r>
          </w:p>
        </w:tc>
        <w:tc>
          <w:tcPr>
            <w:tcW w:w="4737" w:type="dxa"/>
            <w:tcBorders>
              <w:top w:val="nil"/>
              <w:left w:val="nil"/>
              <w:bottom w:val="nil"/>
              <w:right w:val="nil"/>
            </w:tcBorders>
            <w:shd w:val="clear" w:color="auto" w:fill="auto"/>
            <w:noWrap/>
            <w:vAlign w:val="bottom"/>
            <w:hideMark/>
          </w:tcPr>
          <w:p w:rsidR="005735CE" w:rsidRPr="007A74D5" w:rsidRDefault="005735CE" w:rsidP="00C26909">
            <w:pPr>
              <w:rPr>
                <w:rFonts w:eastAsia="Times New Roman" w:cs="Times New Roman"/>
                <w:kern w:val="0"/>
              </w:rPr>
            </w:pPr>
            <w:r w:rsidRPr="007A74D5">
              <w:rPr>
                <w:rFonts w:eastAsia="Times New Roman" w:cs="Times New Roman"/>
                <w:kern w:val="0"/>
              </w:rPr>
              <w:t>no multivariate analyses</w:t>
            </w:r>
          </w:p>
        </w:tc>
      </w:tr>
      <w:tr w:rsidR="005735CE" w:rsidRPr="007A74D5" w:rsidTr="00C26909">
        <w:trPr>
          <w:trHeight w:val="288"/>
        </w:trPr>
        <w:tc>
          <w:tcPr>
            <w:tcW w:w="2895" w:type="dxa"/>
            <w:tcBorders>
              <w:top w:val="nil"/>
              <w:left w:val="nil"/>
              <w:bottom w:val="nil"/>
              <w:right w:val="nil"/>
            </w:tcBorders>
            <w:shd w:val="clear" w:color="auto" w:fill="auto"/>
            <w:vAlign w:val="center"/>
            <w:hideMark/>
          </w:tcPr>
          <w:p w:rsidR="005735CE" w:rsidRPr="007A74D5" w:rsidRDefault="005735CE" w:rsidP="005735CE">
            <w:pPr>
              <w:ind w:left="177"/>
              <w:rPr>
                <w:rFonts w:eastAsia="Times New Roman" w:cs="Times New Roman"/>
                <w:kern w:val="0"/>
              </w:rPr>
            </w:pPr>
            <w:proofErr w:type="spellStart"/>
            <w:r w:rsidRPr="007A74D5">
              <w:rPr>
                <w:rFonts w:eastAsia="Times New Roman" w:cs="Times New Roman"/>
                <w:kern w:val="0"/>
              </w:rPr>
              <w:t>Shen</w:t>
            </w:r>
            <w:proofErr w:type="spellEnd"/>
            <w:r w:rsidRPr="007A74D5">
              <w:rPr>
                <w:rFonts w:eastAsia="Times New Roman" w:cs="Times New Roman"/>
                <w:kern w:val="0"/>
              </w:rPr>
              <w:t xml:space="preserve"> HX</w:t>
            </w:r>
          </w:p>
        </w:tc>
        <w:tc>
          <w:tcPr>
            <w:tcW w:w="696" w:type="dxa"/>
            <w:tcBorders>
              <w:top w:val="nil"/>
              <w:left w:val="nil"/>
              <w:bottom w:val="nil"/>
              <w:right w:val="nil"/>
            </w:tcBorders>
            <w:shd w:val="clear" w:color="auto" w:fill="auto"/>
            <w:vAlign w:val="center"/>
            <w:hideMark/>
          </w:tcPr>
          <w:p w:rsidR="005735CE" w:rsidRPr="007A74D5" w:rsidRDefault="005735CE" w:rsidP="00C26909">
            <w:pPr>
              <w:jc w:val="right"/>
              <w:rPr>
                <w:rFonts w:eastAsia="Times New Roman" w:cs="Times New Roman"/>
                <w:kern w:val="0"/>
              </w:rPr>
            </w:pPr>
            <w:r w:rsidRPr="007A74D5">
              <w:rPr>
                <w:rFonts w:eastAsia="Times New Roman" w:cs="Times New Roman"/>
                <w:kern w:val="0"/>
              </w:rPr>
              <w:t>2009</w:t>
            </w:r>
          </w:p>
        </w:tc>
        <w:tc>
          <w:tcPr>
            <w:tcW w:w="4737" w:type="dxa"/>
            <w:tcBorders>
              <w:top w:val="nil"/>
              <w:left w:val="nil"/>
              <w:bottom w:val="nil"/>
              <w:right w:val="nil"/>
            </w:tcBorders>
            <w:shd w:val="clear" w:color="auto" w:fill="auto"/>
            <w:noWrap/>
            <w:vAlign w:val="bottom"/>
            <w:hideMark/>
          </w:tcPr>
          <w:p w:rsidR="005735CE" w:rsidRPr="007A74D5" w:rsidRDefault="005735CE" w:rsidP="00C26909">
            <w:pPr>
              <w:rPr>
                <w:rFonts w:eastAsia="Times New Roman" w:cs="Times New Roman"/>
                <w:kern w:val="0"/>
              </w:rPr>
            </w:pPr>
            <w:r w:rsidRPr="007A74D5">
              <w:rPr>
                <w:rFonts w:eastAsia="Times New Roman" w:cs="Times New Roman"/>
                <w:kern w:val="0"/>
              </w:rPr>
              <w:t>no multivariate analyses</w:t>
            </w:r>
          </w:p>
        </w:tc>
      </w:tr>
      <w:tr w:rsidR="005735CE" w:rsidRPr="007A74D5" w:rsidTr="00C26909">
        <w:trPr>
          <w:trHeight w:val="288"/>
        </w:trPr>
        <w:tc>
          <w:tcPr>
            <w:tcW w:w="2895" w:type="dxa"/>
            <w:tcBorders>
              <w:top w:val="nil"/>
              <w:left w:val="nil"/>
              <w:bottom w:val="nil"/>
              <w:right w:val="nil"/>
            </w:tcBorders>
            <w:shd w:val="clear" w:color="auto" w:fill="auto"/>
            <w:vAlign w:val="center"/>
            <w:hideMark/>
          </w:tcPr>
          <w:p w:rsidR="005735CE" w:rsidRPr="007A74D5" w:rsidRDefault="005735CE" w:rsidP="005735CE">
            <w:pPr>
              <w:ind w:left="177"/>
              <w:rPr>
                <w:rFonts w:eastAsia="Times New Roman" w:cs="Times New Roman"/>
                <w:kern w:val="0"/>
              </w:rPr>
            </w:pPr>
            <w:r w:rsidRPr="007A74D5">
              <w:rPr>
                <w:rFonts w:eastAsia="Times New Roman" w:cs="Times New Roman"/>
                <w:kern w:val="0"/>
              </w:rPr>
              <w:t>Singh A</w:t>
            </w:r>
          </w:p>
        </w:tc>
        <w:tc>
          <w:tcPr>
            <w:tcW w:w="696" w:type="dxa"/>
            <w:tcBorders>
              <w:top w:val="nil"/>
              <w:left w:val="nil"/>
              <w:bottom w:val="nil"/>
              <w:right w:val="nil"/>
            </w:tcBorders>
            <w:shd w:val="clear" w:color="auto" w:fill="auto"/>
            <w:vAlign w:val="center"/>
            <w:hideMark/>
          </w:tcPr>
          <w:p w:rsidR="005735CE" w:rsidRPr="007A74D5" w:rsidRDefault="005735CE" w:rsidP="00C26909">
            <w:pPr>
              <w:jc w:val="right"/>
              <w:rPr>
                <w:rFonts w:eastAsia="Times New Roman" w:cs="Times New Roman"/>
                <w:kern w:val="0"/>
              </w:rPr>
            </w:pPr>
            <w:r w:rsidRPr="007A74D5">
              <w:rPr>
                <w:rFonts w:eastAsia="Times New Roman" w:cs="Times New Roman"/>
                <w:kern w:val="0"/>
              </w:rPr>
              <w:t>2001</w:t>
            </w:r>
          </w:p>
        </w:tc>
        <w:tc>
          <w:tcPr>
            <w:tcW w:w="4737" w:type="dxa"/>
            <w:tcBorders>
              <w:top w:val="nil"/>
              <w:left w:val="nil"/>
              <w:bottom w:val="nil"/>
              <w:right w:val="nil"/>
            </w:tcBorders>
            <w:shd w:val="clear" w:color="auto" w:fill="auto"/>
            <w:noWrap/>
            <w:vAlign w:val="bottom"/>
            <w:hideMark/>
          </w:tcPr>
          <w:p w:rsidR="005735CE" w:rsidRPr="007A74D5" w:rsidRDefault="005735CE" w:rsidP="00C26909">
            <w:pPr>
              <w:rPr>
                <w:rFonts w:eastAsia="Times New Roman" w:cs="Times New Roman"/>
                <w:kern w:val="0"/>
              </w:rPr>
            </w:pPr>
            <w:r w:rsidRPr="007A74D5">
              <w:rPr>
                <w:rFonts w:eastAsia="Times New Roman" w:cs="Times New Roman"/>
                <w:kern w:val="0"/>
              </w:rPr>
              <w:t>no multivariate analyses</w:t>
            </w:r>
          </w:p>
        </w:tc>
      </w:tr>
      <w:tr w:rsidR="005735CE" w:rsidRPr="007A74D5" w:rsidTr="00C26909">
        <w:trPr>
          <w:trHeight w:val="288"/>
        </w:trPr>
        <w:tc>
          <w:tcPr>
            <w:tcW w:w="2895" w:type="dxa"/>
            <w:tcBorders>
              <w:top w:val="nil"/>
              <w:left w:val="nil"/>
              <w:bottom w:val="nil"/>
              <w:right w:val="nil"/>
            </w:tcBorders>
            <w:shd w:val="clear" w:color="auto" w:fill="auto"/>
            <w:vAlign w:val="center"/>
            <w:hideMark/>
          </w:tcPr>
          <w:p w:rsidR="005735CE" w:rsidRPr="007A74D5" w:rsidRDefault="005735CE" w:rsidP="005735CE">
            <w:pPr>
              <w:ind w:left="177"/>
              <w:rPr>
                <w:rFonts w:eastAsia="Times New Roman" w:cs="Times New Roman"/>
                <w:kern w:val="0"/>
              </w:rPr>
            </w:pPr>
            <w:r w:rsidRPr="007A74D5">
              <w:rPr>
                <w:rFonts w:eastAsia="Times New Roman" w:cs="Times New Roman"/>
                <w:kern w:val="0"/>
              </w:rPr>
              <w:t>Takahashi M</w:t>
            </w:r>
          </w:p>
        </w:tc>
        <w:tc>
          <w:tcPr>
            <w:tcW w:w="696" w:type="dxa"/>
            <w:tcBorders>
              <w:top w:val="nil"/>
              <w:left w:val="nil"/>
              <w:bottom w:val="nil"/>
              <w:right w:val="nil"/>
            </w:tcBorders>
            <w:shd w:val="clear" w:color="auto" w:fill="auto"/>
            <w:vAlign w:val="center"/>
            <w:hideMark/>
          </w:tcPr>
          <w:p w:rsidR="005735CE" w:rsidRPr="007A74D5" w:rsidRDefault="005735CE" w:rsidP="00C26909">
            <w:pPr>
              <w:jc w:val="right"/>
              <w:rPr>
                <w:rFonts w:eastAsia="Times New Roman" w:cs="Times New Roman"/>
                <w:kern w:val="0"/>
              </w:rPr>
            </w:pPr>
            <w:r w:rsidRPr="007A74D5">
              <w:rPr>
                <w:rFonts w:eastAsia="Times New Roman" w:cs="Times New Roman"/>
                <w:kern w:val="0"/>
              </w:rPr>
              <w:t>1989</w:t>
            </w:r>
          </w:p>
        </w:tc>
        <w:tc>
          <w:tcPr>
            <w:tcW w:w="4737" w:type="dxa"/>
            <w:tcBorders>
              <w:top w:val="nil"/>
              <w:left w:val="nil"/>
              <w:bottom w:val="nil"/>
              <w:right w:val="nil"/>
            </w:tcBorders>
            <w:shd w:val="clear" w:color="auto" w:fill="auto"/>
            <w:noWrap/>
            <w:vAlign w:val="bottom"/>
            <w:hideMark/>
          </w:tcPr>
          <w:p w:rsidR="005735CE" w:rsidRPr="007A74D5" w:rsidRDefault="005735CE" w:rsidP="00C26909">
            <w:pPr>
              <w:rPr>
                <w:rFonts w:eastAsia="Times New Roman" w:cs="Times New Roman"/>
                <w:kern w:val="0"/>
              </w:rPr>
            </w:pPr>
            <w:r w:rsidRPr="007A74D5">
              <w:rPr>
                <w:rFonts w:eastAsia="Times New Roman" w:cs="Times New Roman"/>
                <w:kern w:val="0"/>
              </w:rPr>
              <w:t>no multivariate analyses</w:t>
            </w:r>
          </w:p>
        </w:tc>
      </w:tr>
      <w:tr w:rsidR="005735CE" w:rsidRPr="007A74D5" w:rsidTr="00C26909">
        <w:trPr>
          <w:trHeight w:val="288"/>
        </w:trPr>
        <w:tc>
          <w:tcPr>
            <w:tcW w:w="2895" w:type="dxa"/>
            <w:tcBorders>
              <w:top w:val="nil"/>
              <w:left w:val="nil"/>
              <w:bottom w:val="nil"/>
              <w:right w:val="nil"/>
            </w:tcBorders>
            <w:shd w:val="clear" w:color="auto" w:fill="auto"/>
            <w:noWrap/>
            <w:vAlign w:val="bottom"/>
            <w:hideMark/>
          </w:tcPr>
          <w:p w:rsidR="005735CE" w:rsidRPr="007A74D5" w:rsidRDefault="005735CE" w:rsidP="005735CE">
            <w:pPr>
              <w:ind w:left="177"/>
              <w:rPr>
                <w:rFonts w:eastAsia="Times New Roman" w:cs="Times New Roman"/>
                <w:kern w:val="0"/>
              </w:rPr>
            </w:pPr>
            <w:r w:rsidRPr="007A74D5">
              <w:rPr>
                <w:rFonts w:eastAsia="Times New Roman" w:cs="Times New Roman"/>
                <w:kern w:val="0"/>
              </w:rPr>
              <w:t xml:space="preserve">Uchida </w:t>
            </w:r>
          </w:p>
        </w:tc>
        <w:tc>
          <w:tcPr>
            <w:tcW w:w="696" w:type="dxa"/>
            <w:tcBorders>
              <w:top w:val="nil"/>
              <w:left w:val="nil"/>
              <w:bottom w:val="nil"/>
              <w:right w:val="nil"/>
            </w:tcBorders>
            <w:shd w:val="clear" w:color="auto" w:fill="auto"/>
            <w:noWrap/>
            <w:vAlign w:val="bottom"/>
            <w:hideMark/>
          </w:tcPr>
          <w:p w:rsidR="005735CE" w:rsidRPr="007A74D5" w:rsidRDefault="005735CE" w:rsidP="00C26909">
            <w:pPr>
              <w:jc w:val="right"/>
              <w:rPr>
                <w:rFonts w:eastAsia="Times New Roman" w:cs="Times New Roman"/>
                <w:kern w:val="0"/>
              </w:rPr>
            </w:pPr>
            <w:r w:rsidRPr="007A74D5">
              <w:rPr>
                <w:rFonts w:eastAsia="Times New Roman" w:cs="Times New Roman"/>
                <w:kern w:val="0"/>
              </w:rPr>
              <w:t>2012</w:t>
            </w:r>
          </w:p>
        </w:tc>
        <w:tc>
          <w:tcPr>
            <w:tcW w:w="4737" w:type="dxa"/>
            <w:tcBorders>
              <w:top w:val="nil"/>
              <w:left w:val="nil"/>
              <w:bottom w:val="nil"/>
              <w:right w:val="nil"/>
            </w:tcBorders>
            <w:shd w:val="clear" w:color="auto" w:fill="auto"/>
            <w:noWrap/>
            <w:vAlign w:val="bottom"/>
            <w:hideMark/>
          </w:tcPr>
          <w:p w:rsidR="005735CE" w:rsidRPr="007A74D5" w:rsidRDefault="005735CE" w:rsidP="00C26909">
            <w:pPr>
              <w:rPr>
                <w:rFonts w:eastAsia="Times New Roman" w:cs="Times New Roman"/>
                <w:kern w:val="0"/>
              </w:rPr>
            </w:pPr>
            <w:r w:rsidRPr="007A74D5">
              <w:rPr>
                <w:rFonts w:eastAsia="Times New Roman" w:cs="Times New Roman"/>
                <w:kern w:val="0"/>
              </w:rPr>
              <w:t>no multivariate analyses</w:t>
            </w:r>
          </w:p>
        </w:tc>
      </w:tr>
      <w:tr w:rsidR="005735CE" w:rsidRPr="007A74D5" w:rsidTr="00C26909">
        <w:trPr>
          <w:trHeight w:val="288"/>
        </w:trPr>
        <w:tc>
          <w:tcPr>
            <w:tcW w:w="2895" w:type="dxa"/>
            <w:tcBorders>
              <w:top w:val="nil"/>
              <w:left w:val="nil"/>
              <w:bottom w:val="nil"/>
              <w:right w:val="nil"/>
            </w:tcBorders>
            <w:shd w:val="clear" w:color="auto" w:fill="auto"/>
            <w:vAlign w:val="center"/>
            <w:hideMark/>
          </w:tcPr>
          <w:p w:rsidR="005735CE" w:rsidRPr="007A74D5" w:rsidRDefault="005735CE" w:rsidP="005735CE">
            <w:pPr>
              <w:ind w:left="177"/>
              <w:rPr>
                <w:rFonts w:eastAsia="Times New Roman" w:cs="Times New Roman"/>
                <w:kern w:val="0"/>
              </w:rPr>
            </w:pPr>
            <w:proofErr w:type="spellStart"/>
            <w:r w:rsidRPr="007A74D5">
              <w:rPr>
                <w:rFonts w:eastAsia="Times New Roman" w:cs="Times New Roman"/>
                <w:kern w:val="0"/>
              </w:rPr>
              <w:lastRenderedPageBreak/>
              <w:t>Yagi</w:t>
            </w:r>
            <w:proofErr w:type="spellEnd"/>
            <w:r w:rsidRPr="007A74D5">
              <w:rPr>
                <w:rFonts w:eastAsia="Times New Roman" w:cs="Times New Roman"/>
                <w:kern w:val="0"/>
              </w:rPr>
              <w:t xml:space="preserve"> M</w:t>
            </w:r>
          </w:p>
        </w:tc>
        <w:tc>
          <w:tcPr>
            <w:tcW w:w="696" w:type="dxa"/>
            <w:tcBorders>
              <w:top w:val="nil"/>
              <w:left w:val="nil"/>
              <w:bottom w:val="nil"/>
              <w:right w:val="nil"/>
            </w:tcBorders>
            <w:shd w:val="clear" w:color="auto" w:fill="auto"/>
            <w:vAlign w:val="center"/>
            <w:hideMark/>
          </w:tcPr>
          <w:p w:rsidR="005735CE" w:rsidRPr="007A74D5" w:rsidRDefault="005735CE" w:rsidP="00C26909">
            <w:pPr>
              <w:jc w:val="right"/>
              <w:rPr>
                <w:rFonts w:eastAsia="Times New Roman" w:cs="Times New Roman"/>
                <w:kern w:val="0"/>
              </w:rPr>
            </w:pPr>
            <w:r w:rsidRPr="007A74D5">
              <w:rPr>
                <w:rFonts w:eastAsia="Times New Roman" w:cs="Times New Roman"/>
                <w:kern w:val="0"/>
              </w:rPr>
              <w:t>2010</w:t>
            </w:r>
          </w:p>
        </w:tc>
        <w:tc>
          <w:tcPr>
            <w:tcW w:w="4737" w:type="dxa"/>
            <w:tcBorders>
              <w:top w:val="nil"/>
              <w:left w:val="nil"/>
              <w:bottom w:val="nil"/>
              <w:right w:val="nil"/>
            </w:tcBorders>
            <w:shd w:val="clear" w:color="auto" w:fill="auto"/>
            <w:noWrap/>
            <w:vAlign w:val="bottom"/>
            <w:hideMark/>
          </w:tcPr>
          <w:p w:rsidR="005735CE" w:rsidRPr="007A74D5" w:rsidRDefault="005735CE" w:rsidP="00C26909">
            <w:pPr>
              <w:rPr>
                <w:rFonts w:eastAsia="Times New Roman" w:cs="Times New Roman"/>
                <w:kern w:val="0"/>
              </w:rPr>
            </w:pPr>
            <w:r w:rsidRPr="007A74D5">
              <w:rPr>
                <w:rFonts w:eastAsia="Times New Roman" w:cs="Times New Roman"/>
                <w:kern w:val="0"/>
              </w:rPr>
              <w:t>no multivariate analyses</w:t>
            </w:r>
          </w:p>
        </w:tc>
      </w:tr>
      <w:tr w:rsidR="005735CE" w:rsidRPr="007A74D5" w:rsidTr="00C26909">
        <w:trPr>
          <w:trHeight w:val="288"/>
        </w:trPr>
        <w:tc>
          <w:tcPr>
            <w:tcW w:w="2895" w:type="dxa"/>
            <w:tcBorders>
              <w:top w:val="nil"/>
              <w:left w:val="nil"/>
              <w:right w:val="nil"/>
            </w:tcBorders>
            <w:shd w:val="clear" w:color="auto" w:fill="auto"/>
            <w:vAlign w:val="center"/>
            <w:hideMark/>
          </w:tcPr>
          <w:p w:rsidR="005735CE" w:rsidRPr="007A74D5" w:rsidRDefault="005735CE" w:rsidP="005735CE">
            <w:pPr>
              <w:ind w:left="177"/>
              <w:rPr>
                <w:rFonts w:eastAsia="Times New Roman" w:cs="Times New Roman"/>
                <w:kern w:val="0"/>
              </w:rPr>
            </w:pPr>
            <w:r w:rsidRPr="007A74D5">
              <w:rPr>
                <w:rFonts w:eastAsia="Times New Roman" w:cs="Times New Roman"/>
                <w:kern w:val="0"/>
              </w:rPr>
              <w:t>Yukawa Y</w:t>
            </w:r>
          </w:p>
        </w:tc>
        <w:tc>
          <w:tcPr>
            <w:tcW w:w="696" w:type="dxa"/>
            <w:tcBorders>
              <w:top w:val="nil"/>
              <w:left w:val="nil"/>
              <w:right w:val="nil"/>
            </w:tcBorders>
            <w:shd w:val="clear" w:color="auto" w:fill="auto"/>
            <w:vAlign w:val="center"/>
            <w:hideMark/>
          </w:tcPr>
          <w:p w:rsidR="005735CE" w:rsidRPr="007A74D5" w:rsidRDefault="005735CE" w:rsidP="00C26909">
            <w:pPr>
              <w:jc w:val="right"/>
              <w:rPr>
                <w:rFonts w:eastAsia="Times New Roman" w:cs="Times New Roman"/>
                <w:kern w:val="0"/>
              </w:rPr>
            </w:pPr>
            <w:r w:rsidRPr="007A74D5">
              <w:rPr>
                <w:rFonts w:eastAsia="Times New Roman" w:cs="Times New Roman"/>
                <w:kern w:val="0"/>
              </w:rPr>
              <w:t>2007</w:t>
            </w:r>
          </w:p>
        </w:tc>
        <w:tc>
          <w:tcPr>
            <w:tcW w:w="4737" w:type="dxa"/>
            <w:tcBorders>
              <w:top w:val="nil"/>
              <w:left w:val="nil"/>
              <w:right w:val="nil"/>
            </w:tcBorders>
            <w:shd w:val="clear" w:color="auto" w:fill="auto"/>
            <w:noWrap/>
            <w:vAlign w:val="bottom"/>
            <w:hideMark/>
          </w:tcPr>
          <w:p w:rsidR="005735CE" w:rsidRPr="007A74D5" w:rsidRDefault="005735CE" w:rsidP="00C26909">
            <w:pPr>
              <w:rPr>
                <w:rFonts w:eastAsia="Times New Roman" w:cs="Times New Roman"/>
                <w:kern w:val="0"/>
              </w:rPr>
            </w:pPr>
            <w:r w:rsidRPr="007A74D5">
              <w:rPr>
                <w:rFonts w:eastAsia="Times New Roman" w:cs="Times New Roman"/>
                <w:kern w:val="0"/>
              </w:rPr>
              <w:t>no multivariate analyses</w:t>
            </w:r>
          </w:p>
        </w:tc>
      </w:tr>
      <w:tr w:rsidR="005735CE" w:rsidRPr="007A74D5" w:rsidTr="00C26909">
        <w:trPr>
          <w:trHeight w:val="288"/>
        </w:trPr>
        <w:tc>
          <w:tcPr>
            <w:tcW w:w="2895" w:type="dxa"/>
            <w:tcBorders>
              <w:top w:val="nil"/>
              <w:left w:val="nil"/>
              <w:bottom w:val="single" w:sz="4" w:space="0" w:color="auto"/>
              <w:right w:val="nil"/>
            </w:tcBorders>
            <w:shd w:val="clear" w:color="auto" w:fill="auto"/>
            <w:vAlign w:val="center"/>
            <w:hideMark/>
          </w:tcPr>
          <w:p w:rsidR="005735CE" w:rsidRPr="007A74D5" w:rsidRDefault="005735CE" w:rsidP="005735CE">
            <w:pPr>
              <w:ind w:left="177"/>
              <w:rPr>
                <w:rFonts w:eastAsia="Times New Roman" w:cs="Times New Roman"/>
                <w:kern w:val="0"/>
              </w:rPr>
            </w:pPr>
            <w:r w:rsidRPr="007A74D5">
              <w:rPr>
                <w:rFonts w:eastAsia="Times New Roman" w:cs="Times New Roman"/>
                <w:kern w:val="0"/>
              </w:rPr>
              <w:t>Zhang YZ</w:t>
            </w:r>
          </w:p>
        </w:tc>
        <w:tc>
          <w:tcPr>
            <w:tcW w:w="696" w:type="dxa"/>
            <w:tcBorders>
              <w:top w:val="nil"/>
              <w:left w:val="nil"/>
              <w:bottom w:val="single" w:sz="4" w:space="0" w:color="auto"/>
              <w:right w:val="nil"/>
            </w:tcBorders>
            <w:shd w:val="clear" w:color="auto" w:fill="auto"/>
            <w:vAlign w:val="center"/>
            <w:hideMark/>
          </w:tcPr>
          <w:p w:rsidR="005735CE" w:rsidRPr="007A74D5" w:rsidRDefault="005735CE" w:rsidP="00C26909">
            <w:pPr>
              <w:jc w:val="right"/>
              <w:rPr>
                <w:rFonts w:eastAsia="Times New Roman" w:cs="Times New Roman"/>
                <w:kern w:val="0"/>
              </w:rPr>
            </w:pPr>
            <w:r w:rsidRPr="007A74D5">
              <w:rPr>
                <w:rFonts w:eastAsia="Times New Roman" w:cs="Times New Roman"/>
                <w:kern w:val="0"/>
              </w:rPr>
              <w:t>2009</w:t>
            </w:r>
          </w:p>
        </w:tc>
        <w:tc>
          <w:tcPr>
            <w:tcW w:w="4737" w:type="dxa"/>
            <w:tcBorders>
              <w:top w:val="nil"/>
              <w:left w:val="nil"/>
              <w:bottom w:val="single" w:sz="4" w:space="0" w:color="auto"/>
              <w:right w:val="nil"/>
            </w:tcBorders>
            <w:shd w:val="clear" w:color="auto" w:fill="auto"/>
            <w:noWrap/>
            <w:vAlign w:val="bottom"/>
            <w:hideMark/>
          </w:tcPr>
          <w:p w:rsidR="005735CE" w:rsidRPr="007A74D5" w:rsidRDefault="005735CE" w:rsidP="00C26909">
            <w:pPr>
              <w:rPr>
                <w:rFonts w:eastAsia="Times New Roman" w:cs="Times New Roman"/>
                <w:kern w:val="0"/>
              </w:rPr>
            </w:pPr>
            <w:r w:rsidRPr="007A74D5">
              <w:rPr>
                <w:rFonts w:eastAsia="Times New Roman" w:cs="Times New Roman"/>
                <w:kern w:val="0"/>
              </w:rPr>
              <w:t>same as Zhang 2010</w:t>
            </w:r>
          </w:p>
        </w:tc>
      </w:tr>
    </w:tbl>
    <w:p w:rsidR="00B92FBD" w:rsidRDefault="00B92FBD" w:rsidP="00B92FBD"/>
    <w:p w:rsidR="00B92FBD" w:rsidRDefault="00B92FBD" w:rsidP="00B92FBD">
      <w:pPr>
        <w:sectPr w:rsidR="00B92FBD">
          <w:pgSz w:w="12240" w:h="15840"/>
          <w:pgMar w:top="1440" w:right="1440" w:bottom="1440" w:left="1440" w:header="720" w:footer="720" w:gutter="0"/>
          <w:cols w:space="720"/>
          <w:docGrid w:linePitch="360"/>
        </w:sectPr>
      </w:pPr>
    </w:p>
    <w:p w:rsidR="00B92FBD" w:rsidRPr="00B92FBD" w:rsidRDefault="00B92FBD" w:rsidP="00B92FBD">
      <w:pPr>
        <w:rPr>
          <w:b/>
        </w:rPr>
      </w:pPr>
      <w:r w:rsidRPr="00B92FBD">
        <w:rPr>
          <w:b/>
        </w:rPr>
        <w:lastRenderedPageBreak/>
        <w:t>References for excluded articles</w:t>
      </w:r>
    </w:p>
    <w:p w:rsidR="00B92FBD" w:rsidRDefault="00B92FBD" w:rsidP="00B92FBD"/>
    <w:p w:rsidR="00B92FBD" w:rsidRPr="00205D66" w:rsidRDefault="00B92FBD" w:rsidP="00B92FBD">
      <w:pPr>
        <w:ind w:left="720" w:hanging="720"/>
        <w:rPr>
          <w:rFonts w:cs="Times New Roman"/>
          <w:noProof/>
        </w:rPr>
      </w:pPr>
      <w:r>
        <w:fldChar w:fldCharType="begin"/>
      </w:r>
      <w:r>
        <w:instrText xml:space="preserve"> ADDIN EN.REFLIST </w:instrText>
      </w:r>
      <w:r>
        <w:fldChar w:fldCharType="separate"/>
      </w:r>
      <w:bookmarkStart w:id="0" w:name="_ENREF_1"/>
      <w:r w:rsidRPr="00205D66">
        <w:rPr>
          <w:rFonts w:cs="Times New Roman"/>
          <w:b/>
          <w:noProof/>
        </w:rPr>
        <w:t>1.</w:t>
      </w:r>
      <w:r w:rsidRPr="00205D66">
        <w:rPr>
          <w:rFonts w:cs="Times New Roman"/>
          <w:noProof/>
        </w:rPr>
        <w:tab/>
        <w:t xml:space="preserve">Ahn JS, Lee JK, Kim BK. Prognostic factors that affect the surgical outcome of the laminoplasty in cervical spondylotic myelopathy. </w:t>
      </w:r>
      <w:r w:rsidRPr="00205D66">
        <w:rPr>
          <w:rFonts w:cs="Times New Roman"/>
          <w:i/>
          <w:noProof/>
        </w:rPr>
        <w:t xml:space="preserve">Clin Orthop Surg. </w:t>
      </w:r>
      <w:r w:rsidRPr="00205D66">
        <w:rPr>
          <w:rFonts w:cs="Times New Roman"/>
          <w:noProof/>
        </w:rPr>
        <w:t>Jun 2010;2(2):98-104.</w:t>
      </w:r>
      <w:bookmarkEnd w:id="0"/>
    </w:p>
    <w:p w:rsidR="00B92FBD" w:rsidRPr="00205D66" w:rsidRDefault="00B92FBD" w:rsidP="00B92FBD">
      <w:pPr>
        <w:ind w:left="720" w:hanging="720"/>
        <w:rPr>
          <w:rFonts w:cs="Times New Roman"/>
          <w:noProof/>
        </w:rPr>
      </w:pPr>
      <w:bookmarkStart w:id="1" w:name="_ENREF_2"/>
      <w:r w:rsidRPr="00205D66">
        <w:rPr>
          <w:rFonts w:cs="Times New Roman"/>
          <w:b/>
          <w:noProof/>
        </w:rPr>
        <w:t>2.</w:t>
      </w:r>
      <w:r w:rsidRPr="00205D66">
        <w:rPr>
          <w:rFonts w:cs="Times New Roman"/>
          <w:noProof/>
        </w:rPr>
        <w:tab/>
        <w:t xml:space="preserve">Alafifi T, Kern R, Fehlings M. Clinical and MRI predictors of outcome after surgical intervention for cervical spondylotic myelopathy. </w:t>
      </w:r>
      <w:r w:rsidRPr="00205D66">
        <w:rPr>
          <w:rFonts w:cs="Times New Roman"/>
          <w:i/>
          <w:noProof/>
        </w:rPr>
        <w:t xml:space="preserve">J Neuroimaging. </w:t>
      </w:r>
      <w:r w:rsidRPr="00205D66">
        <w:rPr>
          <w:rFonts w:cs="Times New Roman"/>
          <w:noProof/>
        </w:rPr>
        <w:t>Oct 2007;17(4):315-322.</w:t>
      </w:r>
      <w:bookmarkEnd w:id="1"/>
    </w:p>
    <w:p w:rsidR="00B92FBD" w:rsidRPr="00205D66" w:rsidRDefault="00B92FBD" w:rsidP="00B92FBD">
      <w:pPr>
        <w:ind w:left="720" w:hanging="720"/>
        <w:rPr>
          <w:rFonts w:cs="Times New Roman"/>
          <w:noProof/>
        </w:rPr>
      </w:pPr>
      <w:bookmarkStart w:id="2" w:name="_ENREF_3"/>
      <w:r w:rsidRPr="00205D66">
        <w:rPr>
          <w:rFonts w:cs="Times New Roman"/>
          <w:b/>
          <w:noProof/>
        </w:rPr>
        <w:t>3.</w:t>
      </w:r>
      <w:r w:rsidRPr="00205D66">
        <w:rPr>
          <w:rFonts w:cs="Times New Roman"/>
          <w:noProof/>
        </w:rPr>
        <w:tab/>
        <w:t xml:space="preserve">Avadhani A, Rajasekaran S, Shetty AP. Comparison of prognostic value of different MRI classifications of signal intensity change in cervical spondylotic myelopathy. </w:t>
      </w:r>
      <w:r w:rsidRPr="00205D66">
        <w:rPr>
          <w:rFonts w:cs="Times New Roman"/>
          <w:i/>
          <w:noProof/>
        </w:rPr>
        <w:t xml:space="preserve">Spine J. </w:t>
      </w:r>
      <w:r w:rsidRPr="00205D66">
        <w:rPr>
          <w:rFonts w:cs="Times New Roman"/>
          <w:noProof/>
        </w:rPr>
        <w:t>Jun 2010;10(6):475-485.</w:t>
      </w:r>
      <w:bookmarkEnd w:id="2"/>
    </w:p>
    <w:p w:rsidR="00B92FBD" w:rsidRPr="00205D66" w:rsidRDefault="00B92FBD" w:rsidP="00B92FBD">
      <w:pPr>
        <w:ind w:left="720" w:hanging="720"/>
        <w:rPr>
          <w:rFonts w:cs="Times New Roman"/>
          <w:noProof/>
        </w:rPr>
      </w:pPr>
      <w:bookmarkStart w:id="3" w:name="_ENREF_4"/>
      <w:r w:rsidRPr="00205D66">
        <w:rPr>
          <w:rFonts w:cs="Times New Roman"/>
          <w:b/>
          <w:noProof/>
        </w:rPr>
        <w:t>4.</w:t>
      </w:r>
      <w:r w:rsidRPr="00205D66">
        <w:rPr>
          <w:rFonts w:cs="Times New Roman"/>
          <w:noProof/>
        </w:rPr>
        <w:tab/>
        <w:t xml:space="preserve">Bucciero A, Vizioli L, Carangelo B, Tedeschi G. MR signal enhancement in cervical spondylotic myelopathy. Correlation with surgical results in 35 cases. </w:t>
      </w:r>
      <w:r w:rsidRPr="00205D66">
        <w:rPr>
          <w:rFonts w:cs="Times New Roman"/>
          <w:i/>
          <w:noProof/>
        </w:rPr>
        <w:t xml:space="preserve">J Neurosurg Sci. </w:t>
      </w:r>
      <w:r w:rsidRPr="00205D66">
        <w:rPr>
          <w:rFonts w:cs="Times New Roman"/>
          <w:noProof/>
        </w:rPr>
        <w:t>Dec 1993;37(4):217-222.</w:t>
      </w:r>
      <w:bookmarkEnd w:id="3"/>
    </w:p>
    <w:p w:rsidR="00B92FBD" w:rsidRPr="00205D66" w:rsidRDefault="00B92FBD" w:rsidP="00B92FBD">
      <w:pPr>
        <w:ind w:left="720" w:hanging="720"/>
        <w:rPr>
          <w:rFonts w:cs="Times New Roman"/>
          <w:noProof/>
        </w:rPr>
      </w:pPr>
      <w:bookmarkStart w:id="4" w:name="_ENREF_5"/>
      <w:r w:rsidRPr="00205D66">
        <w:rPr>
          <w:rFonts w:cs="Times New Roman"/>
          <w:b/>
          <w:noProof/>
        </w:rPr>
        <w:t>5.</w:t>
      </w:r>
      <w:r w:rsidRPr="00205D66">
        <w:rPr>
          <w:rFonts w:cs="Times New Roman"/>
          <w:noProof/>
        </w:rPr>
        <w:tab/>
        <w:t xml:space="preserve">Chatley A, Kumar R, Jain VK, Behari S, Sahu RN. Effect of spinal cord signal intensity changes on clinical outcome after surgery for cervical spondylotic myelopathy. </w:t>
      </w:r>
      <w:r w:rsidRPr="00205D66">
        <w:rPr>
          <w:rFonts w:cs="Times New Roman"/>
          <w:i/>
          <w:noProof/>
        </w:rPr>
        <w:t xml:space="preserve">J Neurosurg Spine. </w:t>
      </w:r>
      <w:r w:rsidRPr="00205D66">
        <w:rPr>
          <w:rFonts w:cs="Times New Roman"/>
          <w:noProof/>
        </w:rPr>
        <w:t>Nov 2009;11(5):562-567.</w:t>
      </w:r>
      <w:bookmarkEnd w:id="4"/>
    </w:p>
    <w:p w:rsidR="00B92FBD" w:rsidRPr="00205D66" w:rsidRDefault="00B92FBD" w:rsidP="00B92FBD">
      <w:pPr>
        <w:ind w:left="720" w:hanging="720"/>
        <w:rPr>
          <w:rFonts w:cs="Times New Roman"/>
          <w:noProof/>
        </w:rPr>
      </w:pPr>
      <w:bookmarkStart w:id="5" w:name="_ENREF_6"/>
      <w:r w:rsidRPr="00205D66">
        <w:rPr>
          <w:rFonts w:cs="Times New Roman"/>
          <w:b/>
          <w:noProof/>
        </w:rPr>
        <w:t>6.</w:t>
      </w:r>
      <w:r w:rsidRPr="00205D66">
        <w:rPr>
          <w:rFonts w:cs="Times New Roman"/>
          <w:noProof/>
        </w:rPr>
        <w:tab/>
        <w:t xml:space="preserve">Chiewvit P, Tritrakarn SO, Phawjinda A, Chotivichit A. Predictive value of magnetic resonance imaging in cervical spondylotic myelopathy in prognostic surgical outcome. </w:t>
      </w:r>
      <w:r w:rsidRPr="00205D66">
        <w:rPr>
          <w:rFonts w:cs="Times New Roman"/>
          <w:i/>
          <w:noProof/>
        </w:rPr>
        <w:t xml:space="preserve">J Med Assoc Thai. </w:t>
      </w:r>
      <w:r w:rsidRPr="00205D66">
        <w:rPr>
          <w:rFonts w:cs="Times New Roman"/>
          <w:noProof/>
        </w:rPr>
        <w:t>Mar 2011;94(3):346-354.</w:t>
      </w:r>
      <w:bookmarkEnd w:id="5"/>
    </w:p>
    <w:p w:rsidR="00B92FBD" w:rsidRPr="00205D66" w:rsidRDefault="00B92FBD" w:rsidP="00B92FBD">
      <w:pPr>
        <w:ind w:left="720" w:hanging="720"/>
        <w:rPr>
          <w:rFonts w:cs="Times New Roman"/>
          <w:noProof/>
        </w:rPr>
      </w:pPr>
      <w:bookmarkStart w:id="6" w:name="_ENREF_7"/>
      <w:r w:rsidRPr="00205D66">
        <w:rPr>
          <w:rFonts w:cs="Times New Roman"/>
          <w:b/>
          <w:noProof/>
        </w:rPr>
        <w:t>7.</w:t>
      </w:r>
      <w:r w:rsidRPr="00205D66">
        <w:rPr>
          <w:rFonts w:cs="Times New Roman"/>
          <w:noProof/>
        </w:rPr>
        <w:tab/>
        <w:t xml:space="preserve">Chung SS, Lee CS, Chung KH. Factors affecting the surgical results of expansive laminoplasty for cervical spondylotic myelopathy. </w:t>
      </w:r>
      <w:r w:rsidRPr="00205D66">
        <w:rPr>
          <w:rFonts w:cs="Times New Roman"/>
          <w:i/>
          <w:noProof/>
        </w:rPr>
        <w:t xml:space="preserve">Int Orthop. </w:t>
      </w:r>
      <w:r w:rsidRPr="00205D66">
        <w:rPr>
          <w:rFonts w:cs="Times New Roman"/>
          <w:noProof/>
        </w:rPr>
        <w:t>2002;26(6):334-338.</w:t>
      </w:r>
      <w:bookmarkEnd w:id="6"/>
    </w:p>
    <w:p w:rsidR="00B92FBD" w:rsidRPr="00205D66" w:rsidRDefault="00B92FBD" w:rsidP="00B92FBD">
      <w:pPr>
        <w:ind w:left="720" w:hanging="720"/>
        <w:rPr>
          <w:rFonts w:cs="Times New Roman"/>
          <w:noProof/>
        </w:rPr>
      </w:pPr>
      <w:bookmarkStart w:id="7" w:name="_ENREF_8"/>
      <w:r w:rsidRPr="00205D66">
        <w:rPr>
          <w:rFonts w:cs="Times New Roman"/>
          <w:b/>
          <w:noProof/>
        </w:rPr>
        <w:t>8.</w:t>
      </w:r>
      <w:r w:rsidRPr="00205D66">
        <w:rPr>
          <w:rFonts w:cs="Times New Roman"/>
          <w:noProof/>
        </w:rPr>
        <w:tab/>
        <w:t xml:space="preserve">Fernandez de Rota JJ, Meschian S, Fernandez de Rota A, Urbano V, Baron M. Cervical spondylotic myelopathy due to chronic compression: the role of signal intensity changes in magnetic resonance images. </w:t>
      </w:r>
      <w:r w:rsidRPr="00205D66">
        <w:rPr>
          <w:rFonts w:cs="Times New Roman"/>
          <w:i/>
          <w:noProof/>
        </w:rPr>
        <w:t xml:space="preserve">J Neurosurg Spine. </w:t>
      </w:r>
      <w:r w:rsidRPr="00205D66">
        <w:rPr>
          <w:rFonts w:cs="Times New Roman"/>
          <w:noProof/>
        </w:rPr>
        <w:t>Jan 2007;6(1):17-22.</w:t>
      </w:r>
      <w:bookmarkEnd w:id="7"/>
    </w:p>
    <w:p w:rsidR="00B92FBD" w:rsidRPr="00205D66" w:rsidRDefault="00B92FBD" w:rsidP="00B92FBD">
      <w:pPr>
        <w:ind w:left="720" w:hanging="720"/>
        <w:rPr>
          <w:rFonts w:cs="Times New Roman"/>
          <w:noProof/>
        </w:rPr>
      </w:pPr>
      <w:bookmarkStart w:id="8" w:name="_ENREF_9"/>
      <w:r w:rsidRPr="00205D66">
        <w:rPr>
          <w:rFonts w:cs="Times New Roman"/>
          <w:b/>
          <w:noProof/>
        </w:rPr>
        <w:t>9.</w:t>
      </w:r>
      <w:r w:rsidRPr="00205D66">
        <w:rPr>
          <w:rFonts w:cs="Times New Roman"/>
          <w:noProof/>
        </w:rPr>
        <w:tab/>
        <w:t xml:space="preserve">Giammona G, Giuffrida S, Greco S, Grassi C, Le Pira F. Magnetic resonance imaging in cervical spinal cord compression. </w:t>
      </w:r>
      <w:r w:rsidRPr="00205D66">
        <w:rPr>
          <w:rFonts w:cs="Times New Roman"/>
          <w:i/>
          <w:noProof/>
        </w:rPr>
        <w:t xml:space="preserve">Arq Neuropsiquiatr. </w:t>
      </w:r>
      <w:r w:rsidRPr="00205D66">
        <w:rPr>
          <w:rFonts w:cs="Times New Roman"/>
          <w:noProof/>
        </w:rPr>
        <w:t>Sep 1993;51(3):407-408.</w:t>
      </w:r>
      <w:bookmarkEnd w:id="8"/>
    </w:p>
    <w:p w:rsidR="00B92FBD" w:rsidRPr="00205D66" w:rsidRDefault="00B92FBD" w:rsidP="00B92FBD">
      <w:pPr>
        <w:ind w:left="720" w:hanging="720"/>
        <w:rPr>
          <w:rFonts w:cs="Times New Roman"/>
          <w:noProof/>
        </w:rPr>
      </w:pPr>
      <w:bookmarkStart w:id="9" w:name="_ENREF_10"/>
      <w:r w:rsidRPr="00205D66">
        <w:rPr>
          <w:rFonts w:cs="Times New Roman"/>
          <w:b/>
          <w:noProof/>
        </w:rPr>
        <w:t>10.</w:t>
      </w:r>
      <w:r w:rsidRPr="00205D66">
        <w:rPr>
          <w:rFonts w:cs="Times New Roman"/>
          <w:noProof/>
        </w:rPr>
        <w:tab/>
        <w:t xml:space="preserve">Huang RC, Girardi FP, Poynton AR, Cammisa Jr FP. Treatment of multilevel cervical spondylotic myeloradiculopathy with posterior decompression and fusion with lateral mass plate fixation and local bone graft. </w:t>
      </w:r>
      <w:r w:rsidRPr="00205D66">
        <w:rPr>
          <w:rFonts w:cs="Times New Roman"/>
          <w:i/>
          <w:noProof/>
        </w:rPr>
        <w:t xml:space="preserve">J Spinal Disord Tech. </w:t>
      </w:r>
      <w:r w:rsidRPr="00205D66">
        <w:rPr>
          <w:rFonts w:cs="Times New Roman"/>
          <w:noProof/>
        </w:rPr>
        <w:t>Apr 2003;16(2):123-129.</w:t>
      </w:r>
      <w:bookmarkEnd w:id="9"/>
    </w:p>
    <w:p w:rsidR="00B92FBD" w:rsidRPr="00205D66" w:rsidRDefault="00B92FBD" w:rsidP="00B92FBD">
      <w:pPr>
        <w:ind w:left="720" w:hanging="720"/>
        <w:rPr>
          <w:rFonts w:cs="Times New Roman"/>
          <w:noProof/>
        </w:rPr>
      </w:pPr>
      <w:bookmarkStart w:id="10" w:name="_ENREF_11"/>
      <w:r w:rsidRPr="00205D66">
        <w:rPr>
          <w:rFonts w:cs="Times New Roman"/>
          <w:b/>
          <w:noProof/>
        </w:rPr>
        <w:t>11.</w:t>
      </w:r>
      <w:r w:rsidRPr="00205D66">
        <w:rPr>
          <w:rFonts w:cs="Times New Roman"/>
          <w:noProof/>
        </w:rPr>
        <w:tab/>
        <w:t xml:space="preserve">Kasai Y, Uchida A. New evaluation method using preoperative magnetic resonance imaging for cervical spondylotic myelopathy. </w:t>
      </w:r>
      <w:r w:rsidRPr="00205D66">
        <w:rPr>
          <w:rFonts w:cs="Times New Roman"/>
          <w:i/>
          <w:noProof/>
        </w:rPr>
        <w:t xml:space="preserve">Arch Orthop Trauma Surg. </w:t>
      </w:r>
      <w:r w:rsidRPr="00205D66">
        <w:rPr>
          <w:rFonts w:cs="Times New Roman"/>
          <w:noProof/>
        </w:rPr>
        <w:t>Oct 2001;121(9):508-510.</w:t>
      </w:r>
      <w:bookmarkEnd w:id="10"/>
    </w:p>
    <w:p w:rsidR="00B92FBD" w:rsidRPr="00205D66" w:rsidRDefault="00B92FBD" w:rsidP="00B92FBD">
      <w:pPr>
        <w:ind w:left="720" w:hanging="720"/>
        <w:rPr>
          <w:rFonts w:cs="Times New Roman"/>
          <w:noProof/>
        </w:rPr>
      </w:pPr>
      <w:bookmarkStart w:id="11" w:name="_ENREF_12"/>
      <w:r w:rsidRPr="00205D66">
        <w:rPr>
          <w:rFonts w:cs="Times New Roman"/>
          <w:b/>
          <w:noProof/>
        </w:rPr>
        <w:t>12.</w:t>
      </w:r>
      <w:r w:rsidRPr="00205D66">
        <w:rPr>
          <w:rFonts w:cs="Times New Roman"/>
          <w:noProof/>
        </w:rPr>
        <w:tab/>
        <w:t xml:space="preserve">Kohno K, Kumon Y, Oka Y, Matsui S, Ohue S, Sakaki S. Evaluation of prognostic factors following expansive laminoplasty for cervical spinal stenotic myelopathy. </w:t>
      </w:r>
      <w:r w:rsidRPr="00205D66">
        <w:rPr>
          <w:rFonts w:cs="Times New Roman"/>
          <w:i/>
          <w:noProof/>
        </w:rPr>
        <w:t xml:space="preserve">Surg Neurol. </w:t>
      </w:r>
      <w:r w:rsidRPr="00205D66">
        <w:rPr>
          <w:rFonts w:cs="Times New Roman"/>
          <w:noProof/>
        </w:rPr>
        <w:t>Sep 1997;48(3):237-245.</w:t>
      </w:r>
      <w:bookmarkEnd w:id="11"/>
    </w:p>
    <w:p w:rsidR="00B92FBD" w:rsidRPr="00205D66" w:rsidRDefault="00B92FBD" w:rsidP="00B92FBD">
      <w:pPr>
        <w:ind w:left="720" w:hanging="720"/>
        <w:rPr>
          <w:rFonts w:cs="Times New Roman"/>
          <w:noProof/>
        </w:rPr>
      </w:pPr>
      <w:bookmarkStart w:id="12" w:name="_ENREF_13"/>
      <w:r w:rsidRPr="00205D66">
        <w:rPr>
          <w:rFonts w:cs="Times New Roman"/>
          <w:b/>
          <w:noProof/>
        </w:rPr>
        <w:t>13.</w:t>
      </w:r>
      <w:r w:rsidRPr="00205D66">
        <w:rPr>
          <w:rFonts w:cs="Times New Roman"/>
          <w:noProof/>
        </w:rPr>
        <w:tab/>
        <w:t xml:space="preserve">Mastronardi L, Elsawaf A, Roperto R, et al. Prognostic relevance of the postoperative evolution of intramedullary spinal cord changes in signal intensity on magnetic resonance imaging after anterior decompression for cervical spondylotic myelopathy. </w:t>
      </w:r>
      <w:r w:rsidRPr="00205D66">
        <w:rPr>
          <w:rFonts w:cs="Times New Roman"/>
          <w:i/>
          <w:noProof/>
        </w:rPr>
        <w:t xml:space="preserve">J Neurosurg Spine. </w:t>
      </w:r>
      <w:r w:rsidRPr="00205D66">
        <w:rPr>
          <w:rFonts w:cs="Times New Roman"/>
          <w:noProof/>
        </w:rPr>
        <w:t>Dec 2007;7(6):615-622.</w:t>
      </w:r>
      <w:bookmarkEnd w:id="12"/>
    </w:p>
    <w:p w:rsidR="00B92FBD" w:rsidRPr="00205D66" w:rsidRDefault="00B92FBD" w:rsidP="00B92FBD">
      <w:pPr>
        <w:ind w:left="720" w:hanging="720"/>
        <w:rPr>
          <w:rFonts w:cs="Times New Roman"/>
          <w:noProof/>
        </w:rPr>
      </w:pPr>
      <w:bookmarkStart w:id="13" w:name="_ENREF_14"/>
      <w:r w:rsidRPr="00205D66">
        <w:rPr>
          <w:rFonts w:cs="Times New Roman"/>
          <w:b/>
          <w:noProof/>
        </w:rPr>
        <w:t>14.</w:t>
      </w:r>
      <w:r w:rsidRPr="00205D66">
        <w:rPr>
          <w:rFonts w:cs="Times New Roman"/>
          <w:noProof/>
        </w:rPr>
        <w:tab/>
        <w:t xml:space="preserve">Matsuyama Y, Kawakami N, Yanase M, et al. Cervical myelopathy due to OPLL: clinical evaluation by MRI and intraoperative spinal sonography. </w:t>
      </w:r>
      <w:r w:rsidRPr="00205D66">
        <w:rPr>
          <w:rFonts w:cs="Times New Roman"/>
          <w:i/>
          <w:noProof/>
        </w:rPr>
        <w:t xml:space="preserve">J Spinal Disord Tech. </w:t>
      </w:r>
      <w:r w:rsidRPr="00205D66">
        <w:rPr>
          <w:rFonts w:cs="Times New Roman"/>
          <w:noProof/>
        </w:rPr>
        <w:t>Oct 2004;17(5):401-404.</w:t>
      </w:r>
      <w:bookmarkEnd w:id="13"/>
    </w:p>
    <w:p w:rsidR="00B92FBD" w:rsidRPr="00205D66" w:rsidRDefault="00B92FBD" w:rsidP="00B92FBD">
      <w:pPr>
        <w:ind w:left="720" w:hanging="720"/>
        <w:rPr>
          <w:rFonts w:cs="Times New Roman"/>
          <w:noProof/>
        </w:rPr>
      </w:pPr>
      <w:bookmarkStart w:id="14" w:name="_ENREF_15"/>
      <w:r w:rsidRPr="00205D66">
        <w:rPr>
          <w:rFonts w:cs="Times New Roman"/>
          <w:b/>
          <w:noProof/>
        </w:rPr>
        <w:t>15.</w:t>
      </w:r>
      <w:r w:rsidRPr="00205D66">
        <w:rPr>
          <w:rFonts w:cs="Times New Roman"/>
          <w:noProof/>
        </w:rPr>
        <w:tab/>
        <w:t xml:space="preserve">Mihara H, Kondo S, Takeguchi H, Kohno M, Hachiya M. Spinal cord morphology and dynamics during cervical laminoplasty: evaluation with intraoperative sonography. </w:t>
      </w:r>
      <w:r w:rsidRPr="00205D66">
        <w:rPr>
          <w:rFonts w:cs="Times New Roman"/>
          <w:i/>
          <w:noProof/>
        </w:rPr>
        <w:t xml:space="preserve">Spine (Phila Pa 1976). </w:t>
      </w:r>
      <w:r w:rsidRPr="00205D66">
        <w:rPr>
          <w:rFonts w:cs="Times New Roman"/>
          <w:noProof/>
        </w:rPr>
        <w:t>Oct 1 2007;32(21):2306-2309.</w:t>
      </w:r>
      <w:bookmarkEnd w:id="14"/>
    </w:p>
    <w:p w:rsidR="00B92FBD" w:rsidRPr="00205D66" w:rsidRDefault="00B92FBD" w:rsidP="00B92FBD">
      <w:pPr>
        <w:ind w:left="720" w:hanging="720"/>
        <w:rPr>
          <w:rFonts w:cs="Times New Roman"/>
          <w:noProof/>
        </w:rPr>
      </w:pPr>
      <w:bookmarkStart w:id="15" w:name="_ENREF_16"/>
      <w:r w:rsidRPr="00205D66">
        <w:rPr>
          <w:rFonts w:cs="Times New Roman"/>
          <w:b/>
          <w:noProof/>
        </w:rPr>
        <w:lastRenderedPageBreak/>
        <w:t>16.</w:t>
      </w:r>
      <w:r w:rsidRPr="00205D66">
        <w:rPr>
          <w:rFonts w:cs="Times New Roman"/>
          <w:noProof/>
        </w:rPr>
        <w:tab/>
        <w:t xml:space="preserve">Mizuno J, Nakagawa H, Inoue T, Hashizume Y. Clinicopathological study of "snake-eye appearance" in compressive myelopathy of the cervical spinal cord. </w:t>
      </w:r>
      <w:r w:rsidRPr="00205D66">
        <w:rPr>
          <w:rFonts w:cs="Times New Roman"/>
          <w:i/>
          <w:noProof/>
        </w:rPr>
        <w:t xml:space="preserve">J Neurosurg. </w:t>
      </w:r>
      <w:r w:rsidRPr="00205D66">
        <w:rPr>
          <w:rFonts w:cs="Times New Roman"/>
          <w:noProof/>
        </w:rPr>
        <w:t>Sep 2003;99(2 Suppl):162-168.</w:t>
      </w:r>
      <w:bookmarkEnd w:id="15"/>
    </w:p>
    <w:p w:rsidR="00B92FBD" w:rsidRPr="00205D66" w:rsidRDefault="00B92FBD" w:rsidP="00B92FBD">
      <w:pPr>
        <w:ind w:left="720" w:hanging="720"/>
        <w:rPr>
          <w:rFonts w:cs="Times New Roman"/>
          <w:noProof/>
        </w:rPr>
      </w:pPr>
      <w:bookmarkStart w:id="16" w:name="_ENREF_17"/>
      <w:r w:rsidRPr="00205D66">
        <w:rPr>
          <w:rFonts w:cs="Times New Roman"/>
          <w:b/>
          <w:noProof/>
        </w:rPr>
        <w:t>17.</w:t>
      </w:r>
      <w:r w:rsidRPr="00205D66">
        <w:rPr>
          <w:rFonts w:cs="Times New Roman"/>
          <w:noProof/>
        </w:rPr>
        <w:tab/>
        <w:t xml:space="preserve">Morio Y, Teshima R, Nagashima H, Nawata K, Yamasaki D, Nanjo Y. Correlation between operative outcomes of cervical compression myelopathy and mri of the spinal cord. </w:t>
      </w:r>
      <w:r w:rsidRPr="00205D66">
        <w:rPr>
          <w:rFonts w:cs="Times New Roman"/>
          <w:i/>
          <w:noProof/>
        </w:rPr>
        <w:t xml:space="preserve">Spine (Phila Pa 1976). </w:t>
      </w:r>
      <w:r w:rsidRPr="00205D66">
        <w:rPr>
          <w:rFonts w:cs="Times New Roman"/>
          <w:noProof/>
        </w:rPr>
        <w:t>Jun 1 2001;26(11):1238-1245.</w:t>
      </w:r>
      <w:bookmarkEnd w:id="16"/>
    </w:p>
    <w:p w:rsidR="00B92FBD" w:rsidRPr="00205D66" w:rsidRDefault="00B92FBD" w:rsidP="00B92FBD">
      <w:pPr>
        <w:ind w:left="720" w:hanging="720"/>
        <w:rPr>
          <w:rFonts w:cs="Times New Roman"/>
          <w:noProof/>
        </w:rPr>
      </w:pPr>
      <w:bookmarkStart w:id="17" w:name="_ENREF_18"/>
      <w:r w:rsidRPr="00205D66">
        <w:rPr>
          <w:rFonts w:cs="Times New Roman"/>
          <w:b/>
          <w:noProof/>
        </w:rPr>
        <w:t>18.</w:t>
      </w:r>
      <w:r w:rsidRPr="00205D66">
        <w:rPr>
          <w:rFonts w:cs="Times New Roman"/>
          <w:noProof/>
        </w:rPr>
        <w:tab/>
        <w:t xml:space="preserve">Morio Y, Yamamoto K, Kuranobu K, Murata M, Tuda K. Does increased signal intensity of the spinal cord on MR images due to cervical myelopathy predict prognosis? </w:t>
      </w:r>
      <w:r w:rsidRPr="00205D66">
        <w:rPr>
          <w:rFonts w:cs="Times New Roman"/>
          <w:i/>
          <w:noProof/>
        </w:rPr>
        <w:t xml:space="preserve">Arch Orthop Trauma Surg. </w:t>
      </w:r>
      <w:r w:rsidRPr="00205D66">
        <w:rPr>
          <w:rFonts w:cs="Times New Roman"/>
          <w:noProof/>
        </w:rPr>
        <w:t>1994;113(5):254-259.</w:t>
      </w:r>
      <w:bookmarkEnd w:id="17"/>
    </w:p>
    <w:p w:rsidR="00B92FBD" w:rsidRPr="00205D66" w:rsidRDefault="00B92FBD" w:rsidP="00B92FBD">
      <w:pPr>
        <w:ind w:left="720" w:hanging="720"/>
        <w:rPr>
          <w:rFonts w:cs="Times New Roman"/>
          <w:noProof/>
        </w:rPr>
      </w:pPr>
      <w:bookmarkStart w:id="18" w:name="_ENREF_19"/>
      <w:r w:rsidRPr="00205D66">
        <w:rPr>
          <w:rFonts w:cs="Times New Roman"/>
          <w:b/>
          <w:noProof/>
        </w:rPr>
        <w:t>19.</w:t>
      </w:r>
      <w:r w:rsidRPr="00205D66">
        <w:rPr>
          <w:rFonts w:cs="Times New Roman"/>
          <w:noProof/>
        </w:rPr>
        <w:tab/>
        <w:t xml:space="preserve">Naderi S, Ozgen S, Pamir MN, Ozek MM, Erzen C. Cervical spondylotic myelopathy: surgical results and factors affecting prognosis. </w:t>
      </w:r>
      <w:r w:rsidRPr="00205D66">
        <w:rPr>
          <w:rFonts w:cs="Times New Roman"/>
          <w:i/>
          <w:noProof/>
        </w:rPr>
        <w:t xml:space="preserve">Neurosurgery. </w:t>
      </w:r>
      <w:r w:rsidRPr="00205D66">
        <w:rPr>
          <w:rFonts w:cs="Times New Roman"/>
          <w:noProof/>
        </w:rPr>
        <w:t>Jul 1998;43(1):43-49; discussion 49-50.</w:t>
      </w:r>
      <w:bookmarkEnd w:id="18"/>
    </w:p>
    <w:p w:rsidR="00B92FBD" w:rsidRPr="00205D66" w:rsidRDefault="00B92FBD" w:rsidP="00B92FBD">
      <w:pPr>
        <w:ind w:left="720" w:hanging="720"/>
        <w:rPr>
          <w:rFonts w:cs="Times New Roman"/>
          <w:noProof/>
        </w:rPr>
      </w:pPr>
      <w:bookmarkStart w:id="19" w:name="_ENREF_20"/>
      <w:r w:rsidRPr="00205D66">
        <w:rPr>
          <w:rFonts w:cs="Times New Roman"/>
          <w:b/>
          <w:noProof/>
        </w:rPr>
        <w:t>20.</w:t>
      </w:r>
      <w:r w:rsidRPr="00205D66">
        <w:rPr>
          <w:rFonts w:cs="Times New Roman"/>
          <w:noProof/>
        </w:rPr>
        <w:tab/>
        <w:t xml:space="preserve">Nakamura M, Fujimura Y. Magnetic resonance imaging of the spinal cord in cervical ossification of the posterior longitudinal ligament. Can it predict surgical outcome? </w:t>
      </w:r>
      <w:r w:rsidRPr="00205D66">
        <w:rPr>
          <w:rFonts w:cs="Times New Roman"/>
          <w:i/>
          <w:noProof/>
        </w:rPr>
        <w:t xml:space="preserve">Spine (Phila Pa 1976). </w:t>
      </w:r>
      <w:r w:rsidRPr="00205D66">
        <w:rPr>
          <w:rFonts w:cs="Times New Roman"/>
          <w:noProof/>
        </w:rPr>
        <w:t>Jan 1 1998;23(1):38-40.</w:t>
      </w:r>
      <w:bookmarkEnd w:id="19"/>
    </w:p>
    <w:p w:rsidR="00B92FBD" w:rsidRPr="00205D66" w:rsidRDefault="00B92FBD" w:rsidP="00B92FBD">
      <w:pPr>
        <w:ind w:left="720" w:hanging="720"/>
        <w:rPr>
          <w:rFonts w:cs="Times New Roman"/>
          <w:noProof/>
        </w:rPr>
      </w:pPr>
      <w:bookmarkStart w:id="20" w:name="_ENREF_21"/>
      <w:r w:rsidRPr="00205D66">
        <w:rPr>
          <w:rFonts w:cs="Times New Roman"/>
          <w:b/>
          <w:noProof/>
        </w:rPr>
        <w:t>21.</w:t>
      </w:r>
      <w:r w:rsidRPr="00205D66">
        <w:rPr>
          <w:rFonts w:cs="Times New Roman"/>
          <w:noProof/>
        </w:rPr>
        <w:tab/>
        <w:t xml:space="preserve">Nakamura M, Fujiyoshi K, Tsuji O, et al. Clinical significance of diffusion tensor tractography as a predictor of functional recovery after laminoplasty in patients with cervical compressive myelopathy. </w:t>
      </w:r>
      <w:r w:rsidRPr="00205D66">
        <w:rPr>
          <w:rFonts w:cs="Times New Roman"/>
          <w:i/>
          <w:noProof/>
        </w:rPr>
        <w:t xml:space="preserve">J Neurosurg Spine. </w:t>
      </w:r>
      <w:r w:rsidRPr="00205D66">
        <w:rPr>
          <w:rFonts w:cs="Times New Roman"/>
          <w:noProof/>
        </w:rPr>
        <w:t>Aug 2012;17(2):147-152.</w:t>
      </w:r>
      <w:bookmarkEnd w:id="20"/>
    </w:p>
    <w:p w:rsidR="00B92FBD" w:rsidRPr="00205D66" w:rsidRDefault="00B92FBD" w:rsidP="00B92FBD">
      <w:pPr>
        <w:ind w:left="720" w:hanging="720"/>
        <w:rPr>
          <w:rFonts w:cs="Times New Roman"/>
          <w:noProof/>
        </w:rPr>
      </w:pPr>
      <w:bookmarkStart w:id="21" w:name="_ENREF_22"/>
      <w:r w:rsidRPr="00205D66">
        <w:rPr>
          <w:rFonts w:cs="Times New Roman"/>
          <w:b/>
          <w:noProof/>
        </w:rPr>
        <w:t>22.</w:t>
      </w:r>
      <w:r w:rsidRPr="00205D66">
        <w:rPr>
          <w:rFonts w:cs="Times New Roman"/>
          <w:noProof/>
        </w:rPr>
        <w:tab/>
        <w:t xml:space="preserve">Papadopoulos CA, Katonis P, Papagelopoulos PJ, Karampekios S, Hadjipavlou AG. Surgical decompression for cervical spondylotic myelopathy: correlation between operative outcomes and MRI of the spinal cord. </w:t>
      </w:r>
      <w:r w:rsidRPr="00205D66">
        <w:rPr>
          <w:rFonts w:cs="Times New Roman"/>
          <w:i/>
          <w:noProof/>
        </w:rPr>
        <w:t xml:space="preserve">Orthopedics. </w:t>
      </w:r>
      <w:r w:rsidRPr="00205D66">
        <w:rPr>
          <w:rFonts w:cs="Times New Roman"/>
          <w:noProof/>
        </w:rPr>
        <w:t>Oct 2004;27(10):1087-1091.</w:t>
      </w:r>
      <w:bookmarkEnd w:id="21"/>
    </w:p>
    <w:p w:rsidR="00B92FBD" w:rsidRPr="00205D66" w:rsidRDefault="00B92FBD" w:rsidP="00B92FBD">
      <w:pPr>
        <w:ind w:left="720" w:hanging="720"/>
        <w:rPr>
          <w:rFonts w:cs="Times New Roman"/>
          <w:noProof/>
        </w:rPr>
      </w:pPr>
      <w:bookmarkStart w:id="22" w:name="_ENREF_23"/>
      <w:r w:rsidRPr="00205D66">
        <w:rPr>
          <w:rFonts w:cs="Times New Roman"/>
          <w:b/>
          <w:noProof/>
        </w:rPr>
        <w:t>23.</w:t>
      </w:r>
      <w:r w:rsidRPr="00205D66">
        <w:rPr>
          <w:rFonts w:cs="Times New Roman"/>
          <w:noProof/>
        </w:rPr>
        <w:tab/>
        <w:t xml:space="preserve">Satomi K, Ogawa J, Ishii Y, Hirabayashi K. Short-term complications and long-term results of expansive open-door laminoplasty for cervical stenotic myelopathy. </w:t>
      </w:r>
      <w:r w:rsidRPr="00205D66">
        <w:rPr>
          <w:rFonts w:cs="Times New Roman"/>
          <w:i/>
          <w:noProof/>
        </w:rPr>
        <w:t xml:space="preserve">Spine J. </w:t>
      </w:r>
      <w:r w:rsidRPr="00205D66">
        <w:rPr>
          <w:rFonts w:cs="Times New Roman"/>
          <w:noProof/>
        </w:rPr>
        <w:t>Jan-Feb 2001;1(1):26-30.</w:t>
      </w:r>
      <w:bookmarkEnd w:id="22"/>
    </w:p>
    <w:p w:rsidR="00B92FBD" w:rsidRPr="00205D66" w:rsidRDefault="00B92FBD" w:rsidP="00B92FBD">
      <w:pPr>
        <w:ind w:left="720" w:hanging="720"/>
        <w:rPr>
          <w:rFonts w:cs="Times New Roman"/>
          <w:noProof/>
        </w:rPr>
      </w:pPr>
      <w:bookmarkStart w:id="23" w:name="_ENREF_24"/>
      <w:r w:rsidRPr="00205D66">
        <w:rPr>
          <w:rFonts w:cs="Times New Roman"/>
          <w:b/>
          <w:noProof/>
        </w:rPr>
        <w:t>24.</w:t>
      </w:r>
      <w:r w:rsidRPr="00205D66">
        <w:rPr>
          <w:rFonts w:cs="Times New Roman"/>
          <w:noProof/>
        </w:rPr>
        <w:tab/>
        <w:t xml:space="preserve">Seichi A, Hoshino Y, Kimura A, et al. Neurological complications of cervical laminoplasty for patients with ossification of the posterior longitudinal ligament-a multi-institutional retrospective study. </w:t>
      </w:r>
      <w:r w:rsidRPr="00205D66">
        <w:rPr>
          <w:rFonts w:cs="Times New Roman"/>
          <w:i/>
          <w:noProof/>
        </w:rPr>
        <w:t xml:space="preserve">Spine (Phila Pa 1976). </w:t>
      </w:r>
      <w:r w:rsidRPr="00205D66">
        <w:rPr>
          <w:rFonts w:cs="Times New Roman"/>
          <w:noProof/>
        </w:rPr>
        <w:t>Jul 1 2011;36(15):E998-1003.</w:t>
      </w:r>
      <w:bookmarkEnd w:id="23"/>
    </w:p>
    <w:p w:rsidR="00B92FBD" w:rsidRPr="00205D66" w:rsidRDefault="00B92FBD" w:rsidP="00B92FBD">
      <w:pPr>
        <w:ind w:left="720" w:hanging="720"/>
        <w:rPr>
          <w:rFonts w:cs="Times New Roman"/>
          <w:noProof/>
        </w:rPr>
      </w:pPr>
      <w:bookmarkStart w:id="24" w:name="_ENREF_25"/>
      <w:r w:rsidRPr="00205D66">
        <w:rPr>
          <w:rFonts w:cs="Times New Roman"/>
          <w:b/>
          <w:noProof/>
        </w:rPr>
        <w:t>25.</w:t>
      </w:r>
      <w:r w:rsidRPr="00205D66">
        <w:rPr>
          <w:rFonts w:cs="Times New Roman"/>
          <w:noProof/>
        </w:rPr>
        <w:tab/>
        <w:t xml:space="preserve">Shen HX, Li L, Yang ZG, Hou TS. Position of increased signal intensity in the spinal cord on MR images: does it predict the outcome of cervical spondylotic myelopathy? </w:t>
      </w:r>
      <w:r w:rsidRPr="00205D66">
        <w:rPr>
          <w:rFonts w:cs="Times New Roman"/>
          <w:i/>
          <w:noProof/>
        </w:rPr>
        <w:t xml:space="preserve">Chin Med J (Engl). </w:t>
      </w:r>
      <w:r w:rsidRPr="00205D66">
        <w:rPr>
          <w:rFonts w:cs="Times New Roman"/>
          <w:noProof/>
        </w:rPr>
        <w:t>Jun 20 2009;122(12):1418-1422.</w:t>
      </w:r>
      <w:bookmarkEnd w:id="24"/>
    </w:p>
    <w:p w:rsidR="00B92FBD" w:rsidRPr="00205D66" w:rsidRDefault="00B92FBD" w:rsidP="00B92FBD">
      <w:pPr>
        <w:ind w:left="720" w:hanging="720"/>
        <w:rPr>
          <w:rFonts w:cs="Times New Roman"/>
          <w:noProof/>
        </w:rPr>
      </w:pPr>
      <w:bookmarkStart w:id="25" w:name="_ENREF_26"/>
      <w:r w:rsidRPr="00205D66">
        <w:rPr>
          <w:rFonts w:cs="Times New Roman"/>
          <w:b/>
          <w:noProof/>
        </w:rPr>
        <w:t>26.</w:t>
      </w:r>
      <w:r w:rsidRPr="00205D66">
        <w:rPr>
          <w:rFonts w:cs="Times New Roman"/>
          <w:noProof/>
        </w:rPr>
        <w:tab/>
        <w:t xml:space="preserve">Singh A, Crockard HA, Platts A, Stevens J. Clinical and radiological correlates of severity and surgery-related outcome in cervical spondylosis. </w:t>
      </w:r>
      <w:r w:rsidRPr="00205D66">
        <w:rPr>
          <w:rFonts w:cs="Times New Roman"/>
          <w:i/>
          <w:noProof/>
        </w:rPr>
        <w:t xml:space="preserve">J Neurosurg. </w:t>
      </w:r>
      <w:r w:rsidRPr="00205D66">
        <w:rPr>
          <w:rFonts w:cs="Times New Roman"/>
          <w:noProof/>
        </w:rPr>
        <w:t>Apr 2001;94(2 Suppl):189-198.</w:t>
      </w:r>
      <w:bookmarkEnd w:id="25"/>
    </w:p>
    <w:p w:rsidR="00B92FBD" w:rsidRPr="00205D66" w:rsidRDefault="00B92FBD" w:rsidP="00B92FBD">
      <w:pPr>
        <w:ind w:left="720" w:hanging="720"/>
        <w:rPr>
          <w:rFonts w:cs="Times New Roman"/>
          <w:noProof/>
        </w:rPr>
      </w:pPr>
      <w:bookmarkStart w:id="26" w:name="_ENREF_27"/>
      <w:r w:rsidRPr="00205D66">
        <w:rPr>
          <w:rFonts w:cs="Times New Roman"/>
          <w:b/>
          <w:noProof/>
        </w:rPr>
        <w:t>27.</w:t>
      </w:r>
      <w:r w:rsidRPr="00205D66">
        <w:rPr>
          <w:rFonts w:cs="Times New Roman"/>
          <w:noProof/>
        </w:rPr>
        <w:tab/>
        <w:t xml:space="preserve">Takahashi M, Yamashita Y, Sakamoto Y, Kojima R. Chronic cervical cord compression: clinical significance of increased signal intensity on MR images. </w:t>
      </w:r>
      <w:r w:rsidRPr="00205D66">
        <w:rPr>
          <w:rFonts w:cs="Times New Roman"/>
          <w:i/>
          <w:noProof/>
        </w:rPr>
        <w:t xml:space="preserve">Radiology. </w:t>
      </w:r>
      <w:r w:rsidRPr="00205D66">
        <w:rPr>
          <w:rFonts w:cs="Times New Roman"/>
          <w:noProof/>
        </w:rPr>
        <w:t>Oct 1989;173(1):219-224.</w:t>
      </w:r>
      <w:bookmarkEnd w:id="26"/>
    </w:p>
    <w:p w:rsidR="00B92FBD" w:rsidRPr="00205D66" w:rsidRDefault="00B92FBD" w:rsidP="00B92FBD">
      <w:pPr>
        <w:ind w:left="720" w:hanging="720"/>
        <w:rPr>
          <w:rFonts w:cs="Times New Roman"/>
          <w:noProof/>
        </w:rPr>
      </w:pPr>
      <w:bookmarkStart w:id="27" w:name="_ENREF_28"/>
      <w:r w:rsidRPr="00205D66">
        <w:rPr>
          <w:rFonts w:cs="Times New Roman"/>
          <w:b/>
          <w:noProof/>
        </w:rPr>
        <w:t>28.</w:t>
      </w:r>
      <w:r w:rsidRPr="00205D66">
        <w:rPr>
          <w:rFonts w:cs="Times New Roman"/>
          <w:noProof/>
        </w:rPr>
        <w:tab/>
        <w:t xml:space="preserve">Uchida K, Nakajima H, Okazawa H, et al. Clinical significance of MRI/(18)F-FDG PET fusion imaging of the spinal cord in patients with cervical compressive myelopathy. </w:t>
      </w:r>
      <w:r w:rsidRPr="00205D66">
        <w:rPr>
          <w:rFonts w:cs="Times New Roman"/>
          <w:i/>
          <w:noProof/>
        </w:rPr>
        <w:t xml:space="preserve">Eur J Nucl Med Mol Imaging. </w:t>
      </w:r>
      <w:r w:rsidRPr="00205D66">
        <w:rPr>
          <w:rFonts w:cs="Times New Roman"/>
          <w:noProof/>
        </w:rPr>
        <w:t>Oct 2012;39(10):1528-1537.</w:t>
      </w:r>
      <w:bookmarkEnd w:id="27"/>
    </w:p>
    <w:p w:rsidR="00B92FBD" w:rsidRPr="00205D66" w:rsidRDefault="00B92FBD" w:rsidP="00B92FBD">
      <w:pPr>
        <w:ind w:left="720" w:hanging="720"/>
        <w:rPr>
          <w:rFonts w:cs="Times New Roman"/>
          <w:noProof/>
        </w:rPr>
      </w:pPr>
      <w:bookmarkStart w:id="28" w:name="_ENREF_29"/>
      <w:r w:rsidRPr="00205D66">
        <w:rPr>
          <w:rFonts w:cs="Times New Roman"/>
          <w:b/>
          <w:noProof/>
        </w:rPr>
        <w:t>29.</w:t>
      </w:r>
      <w:r w:rsidRPr="00205D66">
        <w:rPr>
          <w:rFonts w:cs="Times New Roman"/>
          <w:noProof/>
        </w:rPr>
        <w:tab/>
        <w:t xml:space="preserve">Yagi M, Ninomiya K, Kihara M, Horiuchi Y. Long-term surgical outcome and risk factors in patients with cervical myelopathy and a change in signal intensity of intramedullary spinal cord on Magnetic Resonance imaging. </w:t>
      </w:r>
      <w:r w:rsidRPr="00205D66">
        <w:rPr>
          <w:rFonts w:cs="Times New Roman"/>
          <w:i/>
          <w:noProof/>
        </w:rPr>
        <w:t xml:space="preserve">J Neurosurg Spine. </w:t>
      </w:r>
      <w:r w:rsidRPr="00205D66">
        <w:rPr>
          <w:rFonts w:cs="Times New Roman"/>
          <w:noProof/>
        </w:rPr>
        <w:t>Jan 2010;12(1):59-65.</w:t>
      </w:r>
      <w:bookmarkEnd w:id="28"/>
    </w:p>
    <w:p w:rsidR="00B92FBD" w:rsidRPr="00205D66" w:rsidRDefault="00B92FBD" w:rsidP="00B92FBD">
      <w:pPr>
        <w:ind w:left="720" w:hanging="720"/>
        <w:rPr>
          <w:rFonts w:cs="Times New Roman"/>
          <w:noProof/>
        </w:rPr>
      </w:pPr>
      <w:bookmarkStart w:id="29" w:name="_ENREF_30"/>
      <w:r w:rsidRPr="00205D66">
        <w:rPr>
          <w:rFonts w:cs="Times New Roman"/>
          <w:b/>
          <w:noProof/>
        </w:rPr>
        <w:lastRenderedPageBreak/>
        <w:t>30.</w:t>
      </w:r>
      <w:r w:rsidRPr="00205D66">
        <w:rPr>
          <w:rFonts w:cs="Times New Roman"/>
          <w:noProof/>
        </w:rPr>
        <w:tab/>
        <w:t xml:space="preserve">Yukawa Y, Kato F, Yoshihara H, Yanase M, Ito K. MR T2 image classification in cervical compression myelopathy: predictor of surgical outcomes. </w:t>
      </w:r>
      <w:r w:rsidRPr="00205D66">
        <w:rPr>
          <w:rFonts w:cs="Times New Roman"/>
          <w:i/>
          <w:noProof/>
        </w:rPr>
        <w:t xml:space="preserve">Spine (Phila Pa 1976). </w:t>
      </w:r>
      <w:r w:rsidRPr="00205D66">
        <w:rPr>
          <w:rFonts w:cs="Times New Roman"/>
          <w:noProof/>
        </w:rPr>
        <w:t>Jul 1 2007;32(15):1675-1678; discussion 1679.</w:t>
      </w:r>
      <w:bookmarkEnd w:id="29"/>
    </w:p>
    <w:p w:rsidR="00B92FBD" w:rsidRPr="00205D66" w:rsidRDefault="00B92FBD" w:rsidP="00B92FBD">
      <w:pPr>
        <w:ind w:left="720" w:hanging="720"/>
        <w:rPr>
          <w:rFonts w:cs="Times New Roman"/>
          <w:noProof/>
        </w:rPr>
      </w:pPr>
      <w:bookmarkStart w:id="30" w:name="_ENREF_31"/>
      <w:r w:rsidRPr="00205D66">
        <w:rPr>
          <w:rFonts w:cs="Times New Roman"/>
          <w:b/>
          <w:noProof/>
        </w:rPr>
        <w:t>31.</w:t>
      </w:r>
      <w:r w:rsidRPr="00205D66">
        <w:rPr>
          <w:rFonts w:cs="Times New Roman"/>
          <w:noProof/>
        </w:rPr>
        <w:tab/>
        <w:t xml:space="preserve">Zhang YZ, Wang LF, Shen Y, Ding WY, Xu JX, He J. The effects of MRI signal intensity changes and clinical manifestations on prognosis after surgical intervention for cervical spondylotic myelopathy. </w:t>
      </w:r>
      <w:r w:rsidRPr="00205D66">
        <w:rPr>
          <w:rFonts w:cs="Times New Roman"/>
          <w:i/>
          <w:noProof/>
        </w:rPr>
        <w:t xml:space="preserve">Orthop Surg. </w:t>
      </w:r>
      <w:r w:rsidRPr="00205D66">
        <w:rPr>
          <w:rFonts w:cs="Times New Roman"/>
          <w:noProof/>
        </w:rPr>
        <w:t>May 2009;1(2):101-106.</w:t>
      </w:r>
      <w:bookmarkEnd w:id="30"/>
    </w:p>
    <w:p w:rsidR="00B92FBD" w:rsidRDefault="00B92FBD" w:rsidP="00B92FBD">
      <w:pPr>
        <w:rPr>
          <w:noProof/>
        </w:rPr>
      </w:pPr>
    </w:p>
    <w:p w:rsidR="00B92FBD" w:rsidRDefault="00B92FBD" w:rsidP="00B92FBD">
      <w:r>
        <w:fldChar w:fldCharType="end"/>
      </w:r>
    </w:p>
    <w:p w:rsidR="003277A2" w:rsidRDefault="003277A2">
      <w:pPr>
        <w:sectPr w:rsidR="003277A2">
          <w:pgSz w:w="12240" w:h="15840"/>
          <w:pgMar w:top="1440" w:right="1440" w:bottom="1440" w:left="1440" w:header="720" w:footer="720" w:gutter="0"/>
          <w:cols w:space="720"/>
          <w:docGrid w:linePitch="360"/>
        </w:sectPr>
      </w:pPr>
    </w:p>
    <w:p w:rsidR="003277A2" w:rsidRDefault="003277A2">
      <w:pPr>
        <w:rPr>
          <w:b/>
        </w:rPr>
      </w:pPr>
      <w:r>
        <w:rPr>
          <w:b/>
        </w:rPr>
        <w:lastRenderedPageBreak/>
        <w:t xml:space="preserve">Table S4.  </w:t>
      </w:r>
      <w:proofErr w:type="gramStart"/>
      <w:r>
        <w:rPr>
          <w:b/>
        </w:rPr>
        <w:t>Detailed tables for prognostic studies of outcome following nonsurgical care.</w:t>
      </w:r>
      <w:proofErr w:type="gramEnd"/>
    </w:p>
    <w:p w:rsidR="003277A2" w:rsidRDefault="003277A2">
      <w:pPr>
        <w:rPr>
          <w:b/>
        </w:rPr>
      </w:pPr>
    </w:p>
    <w:tbl>
      <w:tblPr>
        <w:tblStyle w:val="TableGrid"/>
        <w:tblW w:w="14220" w:type="dxa"/>
        <w:tblInd w:w="-612" w:type="dxa"/>
        <w:tblLayout w:type="fixed"/>
        <w:tblLook w:val="04A0" w:firstRow="1" w:lastRow="0" w:firstColumn="1" w:lastColumn="0" w:noHBand="0" w:noVBand="1"/>
      </w:tblPr>
      <w:tblGrid>
        <w:gridCol w:w="1350"/>
        <w:gridCol w:w="1710"/>
        <w:gridCol w:w="2520"/>
        <w:gridCol w:w="1980"/>
        <w:gridCol w:w="1890"/>
        <w:gridCol w:w="1350"/>
        <w:gridCol w:w="1152"/>
        <w:gridCol w:w="2268"/>
      </w:tblGrid>
      <w:tr w:rsidR="003277A2" w:rsidRPr="00E31B4F" w:rsidTr="00C26909">
        <w:tc>
          <w:tcPr>
            <w:tcW w:w="1350" w:type="dxa"/>
          </w:tcPr>
          <w:p w:rsidR="003277A2" w:rsidRPr="00E31B4F" w:rsidRDefault="003277A2" w:rsidP="00C26909">
            <w:pPr>
              <w:rPr>
                <w:rFonts w:ascii="Times New Roman" w:hAnsi="Times New Roman"/>
                <w:b/>
                <w:sz w:val="18"/>
                <w:szCs w:val="18"/>
              </w:rPr>
            </w:pPr>
            <w:r w:rsidRPr="00E31B4F">
              <w:rPr>
                <w:rFonts w:ascii="Times New Roman" w:hAnsi="Times New Roman"/>
                <w:b/>
                <w:sz w:val="18"/>
                <w:szCs w:val="18"/>
              </w:rPr>
              <w:t>Author (year)</w:t>
            </w:r>
            <w:r>
              <w:rPr>
                <w:rFonts w:ascii="Times New Roman" w:hAnsi="Times New Roman"/>
                <w:b/>
                <w:sz w:val="18"/>
                <w:szCs w:val="18"/>
              </w:rPr>
              <w:t xml:space="preserve"> Study Design</w:t>
            </w:r>
          </w:p>
        </w:tc>
        <w:tc>
          <w:tcPr>
            <w:tcW w:w="1710" w:type="dxa"/>
          </w:tcPr>
          <w:p w:rsidR="003277A2" w:rsidRPr="00E31B4F" w:rsidRDefault="003277A2" w:rsidP="00C26909">
            <w:pPr>
              <w:rPr>
                <w:rFonts w:ascii="Times New Roman" w:hAnsi="Times New Roman"/>
                <w:b/>
                <w:sz w:val="18"/>
                <w:szCs w:val="18"/>
              </w:rPr>
            </w:pPr>
            <w:r w:rsidRPr="00E31B4F">
              <w:rPr>
                <w:rFonts w:ascii="Times New Roman" w:hAnsi="Times New Roman"/>
                <w:b/>
                <w:sz w:val="18"/>
                <w:szCs w:val="18"/>
              </w:rPr>
              <w:t>Study Objective</w:t>
            </w:r>
          </w:p>
        </w:tc>
        <w:tc>
          <w:tcPr>
            <w:tcW w:w="2520" w:type="dxa"/>
          </w:tcPr>
          <w:p w:rsidR="003277A2" w:rsidRPr="00E31B4F" w:rsidRDefault="003277A2" w:rsidP="00C26909">
            <w:pPr>
              <w:rPr>
                <w:rFonts w:ascii="Times New Roman" w:hAnsi="Times New Roman"/>
                <w:b/>
                <w:sz w:val="18"/>
                <w:szCs w:val="18"/>
              </w:rPr>
            </w:pPr>
            <w:r w:rsidRPr="00E31B4F">
              <w:rPr>
                <w:rFonts w:ascii="Times New Roman" w:hAnsi="Times New Roman"/>
                <w:b/>
                <w:sz w:val="18"/>
                <w:szCs w:val="18"/>
              </w:rPr>
              <w:t>Sample and Characteristics</w:t>
            </w:r>
          </w:p>
        </w:tc>
        <w:tc>
          <w:tcPr>
            <w:tcW w:w="1980" w:type="dxa"/>
          </w:tcPr>
          <w:p w:rsidR="003277A2" w:rsidRPr="00E31B4F" w:rsidRDefault="003277A2" w:rsidP="00C26909">
            <w:pPr>
              <w:rPr>
                <w:rFonts w:ascii="Times New Roman" w:hAnsi="Times New Roman"/>
                <w:b/>
                <w:sz w:val="18"/>
                <w:szCs w:val="18"/>
              </w:rPr>
            </w:pPr>
            <w:r>
              <w:rPr>
                <w:rFonts w:ascii="Times New Roman" w:hAnsi="Times New Roman"/>
                <w:b/>
                <w:sz w:val="18"/>
                <w:szCs w:val="18"/>
              </w:rPr>
              <w:t>Non-MRI factors assessed</w:t>
            </w:r>
          </w:p>
        </w:tc>
        <w:tc>
          <w:tcPr>
            <w:tcW w:w="1890" w:type="dxa"/>
          </w:tcPr>
          <w:p w:rsidR="003277A2" w:rsidRPr="00E31B4F" w:rsidRDefault="003277A2" w:rsidP="00C26909">
            <w:pPr>
              <w:rPr>
                <w:rFonts w:ascii="Times New Roman" w:hAnsi="Times New Roman"/>
                <w:b/>
                <w:sz w:val="18"/>
                <w:szCs w:val="18"/>
              </w:rPr>
            </w:pPr>
            <w:r w:rsidRPr="00E31B4F">
              <w:rPr>
                <w:rFonts w:ascii="Times New Roman" w:hAnsi="Times New Roman"/>
                <w:b/>
                <w:sz w:val="18"/>
                <w:szCs w:val="18"/>
              </w:rPr>
              <w:t>MRI factor assessed</w:t>
            </w:r>
          </w:p>
        </w:tc>
        <w:tc>
          <w:tcPr>
            <w:tcW w:w="1350" w:type="dxa"/>
          </w:tcPr>
          <w:p w:rsidR="003277A2" w:rsidRPr="00E31B4F" w:rsidRDefault="003277A2" w:rsidP="00C26909">
            <w:pPr>
              <w:rPr>
                <w:rFonts w:ascii="Times New Roman" w:hAnsi="Times New Roman"/>
                <w:b/>
                <w:sz w:val="18"/>
                <w:szCs w:val="18"/>
              </w:rPr>
            </w:pPr>
            <w:r w:rsidRPr="00E31B4F">
              <w:rPr>
                <w:rFonts w:ascii="Times New Roman" w:hAnsi="Times New Roman"/>
                <w:b/>
                <w:sz w:val="18"/>
                <w:szCs w:val="18"/>
              </w:rPr>
              <w:t>Outcome Measures</w:t>
            </w:r>
          </w:p>
        </w:tc>
        <w:tc>
          <w:tcPr>
            <w:tcW w:w="1152" w:type="dxa"/>
          </w:tcPr>
          <w:p w:rsidR="003277A2" w:rsidRPr="00E31B4F" w:rsidRDefault="003277A2" w:rsidP="00C26909">
            <w:pPr>
              <w:rPr>
                <w:rFonts w:ascii="Times New Roman" w:hAnsi="Times New Roman"/>
                <w:b/>
                <w:sz w:val="18"/>
                <w:szCs w:val="18"/>
              </w:rPr>
            </w:pPr>
            <w:r w:rsidRPr="00E31B4F">
              <w:rPr>
                <w:rFonts w:ascii="Times New Roman" w:hAnsi="Times New Roman"/>
                <w:b/>
                <w:sz w:val="18"/>
                <w:szCs w:val="18"/>
              </w:rPr>
              <w:t>Follow-up</w:t>
            </w:r>
          </w:p>
        </w:tc>
        <w:tc>
          <w:tcPr>
            <w:tcW w:w="2268" w:type="dxa"/>
          </w:tcPr>
          <w:p w:rsidR="003277A2" w:rsidRPr="00E31B4F" w:rsidRDefault="003277A2" w:rsidP="00C26909">
            <w:pPr>
              <w:rPr>
                <w:rFonts w:ascii="Times New Roman" w:hAnsi="Times New Roman"/>
                <w:b/>
                <w:sz w:val="18"/>
                <w:szCs w:val="18"/>
              </w:rPr>
            </w:pPr>
            <w:r w:rsidRPr="00E31B4F">
              <w:rPr>
                <w:rFonts w:ascii="Times New Roman" w:hAnsi="Times New Roman"/>
                <w:b/>
                <w:sz w:val="18"/>
                <w:szCs w:val="18"/>
              </w:rPr>
              <w:t>Effect and Summary of Results</w:t>
            </w:r>
          </w:p>
        </w:tc>
      </w:tr>
      <w:tr w:rsidR="003277A2" w:rsidRPr="00E31B4F" w:rsidTr="00C26909">
        <w:tc>
          <w:tcPr>
            <w:tcW w:w="1350" w:type="dxa"/>
          </w:tcPr>
          <w:p w:rsidR="003277A2" w:rsidRDefault="003277A2" w:rsidP="00C26909">
            <w:pPr>
              <w:rPr>
                <w:rFonts w:ascii="Times New Roman" w:hAnsi="Times New Roman"/>
                <w:sz w:val="18"/>
                <w:szCs w:val="18"/>
                <w:lang w:val="en-AU"/>
              </w:rPr>
            </w:pPr>
            <w:proofErr w:type="spellStart"/>
            <w:r w:rsidRPr="00E31B4F">
              <w:rPr>
                <w:rFonts w:ascii="Times New Roman" w:hAnsi="Times New Roman"/>
                <w:sz w:val="18"/>
                <w:szCs w:val="18"/>
                <w:lang w:val="en-AU"/>
              </w:rPr>
              <w:t>Oshima</w:t>
            </w:r>
            <w:proofErr w:type="spellEnd"/>
            <w:r w:rsidRPr="00E31B4F">
              <w:rPr>
                <w:rFonts w:ascii="Times New Roman" w:hAnsi="Times New Roman"/>
                <w:sz w:val="18"/>
                <w:szCs w:val="18"/>
                <w:lang w:val="en-AU"/>
              </w:rPr>
              <w:t xml:space="preserve"> et al. (2012)</w:t>
            </w:r>
          </w:p>
          <w:p w:rsidR="003277A2" w:rsidRDefault="003277A2" w:rsidP="00C26909">
            <w:pPr>
              <w:rPr>
                <w:rFonts w:ascii="Times New Roman" w:hAnsi="Times New Roman"/>
                <w:sz w:val="18"/>
                <w:szCs w:val="18"/>
                <w:lang w:val="en-AU"/>
              </w:rPr>
            </w:pPr>
          </w:p>
          <w:p w:rsidR="003277A2" w:rsidRPr="00E31B4F" w:rsidRDefault="003277A2" w:rsidP="00C26909">
            <w:pPr>
              <w:rPr>
                <w:rFonts w:ascii="Times New Roman" w:hAnsi="Times New Roman"/>
                <w:sz w:val="18"/>
                <w:szCs w:val="18"/>
              </w:rPr>
            </w:pPr>
            <w:r w:rsidRPr="00E31B4F">
              <w:rPr>
                <w:rFonts w:ascii="Times New Roman" w:hAnsi="Times New Roman"/>
                <w:sz w:val="18"/>
                <w:szCs w:val="18"/>
              </w:rPr>
              <w:t>Retrospective cohort</w:t>
            </w:r>
          </w:p>
        </w:tc>
        <w:tc>
          <w:tcPr>
            <w:tcW w:w="1710" w:type="dxa"/>
          </w:tcPr>
          <w:p w:rsidR="003277A2" w:rsidRPr="00E31B4F" w:rsidRDefault="003277A2" w:rsidP="00C26909">
            <w:pPr>
              <w:rPr>
                <w:rFonts w:ascii="Times New Roman" w:hAnsi="Times New Roman"/>
                <w:sz w:val="18"/>
                <w:szCs w:val="18"/>
              </w:rPr>
            </w:pPr>
            <w:r w:rsidRPr="00E31B4F">
              <w:rPr>
                <w:rFonts w:ascii="Times New Roman" w:hAnsi="Times New Roman"/>
                <w:sz w:val="18"/>
                <w:szCs w:val="18"/>
                <w:lang w:val="en-AU"/>
              </w:rPr>
              <w:t>To investigate natural course and prognostic factors in patients with mild forms of CSM, focusing on intramedullary ISI on T-2 weighted MRI.</w:t>
            </w:r>
          </w:p>
        </w:tc>
        <w:tc>
          <w:tcPr>
            <w:tcW w:w="2520" w:type="dxa"/>
          </w:tcPr>
          <w:p w:rsidR="003277A2" w:rsidRPr="00E31B4F" w:rsidRDefault="003277A2" w:rsidP="00C26909">
            <w:pPr>
              <w:rPr>
                <w:rFonts w:ascii="Times New Roman" w:hAnsi="Times New Roman"/>
                <w:sz w:val="18"/>
                <w:szCs w:val="18"/>
              </w:rPr>
            </w:pPr>
            <w:r w:rsidRPr="00E31B4F">
              <w:rPr>
                <w:rFonts w:ascii="Times New Roman" w:hAnsi="Times New Roman"/>
                <w:sz w:val="18"/>
                <w:szCs w:val="18"/>
              </w:rPr>
              <w:t>N = 45</w:t>
            </w:r>
          </w:p>
          <w:p w:rsidR="003277A2" w:rsidRPr="00E31B4F" w:rsidRDefault="003277A2" w:rsidP="00C26909">
            <w:pPr>
              <w:ind w:left="72"/>
              <w:rPr>
                <w:rFonts w:ascii="Times New Roman" w:hAnsi="Times New Roman"/>
                <w:sz w:val="18"/>
                <w:szCs w:val="18"/>
              </w:rPr>
            </w:pPr>
            <w:r w:rsidRPr="00E31B4F">
              <w:rPr>
                <w:rFonts w:ascii="Times New Roman" w:hAnsi="Times New Roman"/>
                <w:sz w:val="18"/>
                <w:szCs w:val="18"/>
              </w:rPr>
              <w:t xml:space="preserve">Male: 60% </w:t>
            </w:r>
          </w:p>
          <w:p w:rsidR="003277A2" w:rsidRPr="00E31B4F" w:rsidRDefault="003277A2" w:rsidP="00C26909">
            <w:pPr>
              <w:ind w:left="72"/>
              <w:rPr>
                <w:rFonts w:ascii="Times New Roman" w:hAnsi="Times New Roman"/>
                <w:sz w:val="18"/>
                <w:szCs w:val="18"/>
              </w:rPr>
            </w:pPr>
            <w:r w:rsidRPr="00E31B4F">
              <w:rPr>
                <w:rFonts w:ascii="Times New Roman" w:hAnsi="Times New Roman"/>
                <w:sz w:val="18"/>
                <w:szCs w:val="18"/>
              </w:rPr>
              <w:t>Mean age (range): 58.9 years (35–76)</w:t>
            </w:r>
          </w:p>
          <w:p w:rsidR="003277A2" w:rsidRPr="00E31B4F" w:rsidRDefault="003277A2" w:rsidP="00C26909">
            <w:pPr>
              <w:rPr>
                <w:rFonts w:ascii="Times New Roman" w:hAnsi="Times New Roman"/>
                <w:sz w:val="18"/>
                <w:szCs w:val="18"/>
              </w:rPr>
            </w:pPr>
          </w:p>
          <w:p w:rsidR="003277A2" w:rsidRPr="00E31B4F" w:rsidRDefault="003277A2" w:rsidP="00C26909">
            <w:pPr>
              <w:rPr>
                <w:rFonts w:ascii="Times New Roman" w:hAnsi="Times New Roman"/>
                <w:sz w:val="18"/>
                <w:szCs w:val="18"/>
              </w:rPr>
            </w:pPr>
            <w:r w:rsidRPr="00E31B4F">
              <w:rPr>
                <w:rFonts w:ascii="Times New Roman" w:hAnsi="Times New Roman"/>
                <w:sz w:val="18"/>
                <w:szCs w:val="18"/>
                <w:u w:val="single"/>
              </w:rPr>
              <w:t>Diagnosis</w:t>
            </w:r>
            <w:r w:rsidRPr="00E31B4F">
              <w:rPr>
                <w:rFonts w:ascii="Times New Roman" w:hAnsi="Times New Roman"/>
                <w:sz w:val="18"/>
                <w:szCs w:val="18"/>
              </w:rPr>
              <w:t>:</w:t>
            </w:r>
          </w:p>
          <w:p w:rsidR="003277A2" w:rsidRPr="00E31B4F" w:rsidRDefault="003277A2" w:rsidP="00C26909">
            <w:pPr>
              <w:ind w:left="72"/>
              <w:rPr>
                <w:rFonts w:ascii="Times New Roman" w:hAnsi="Times New Roman"/>
                <w:sz w:val="18"/>
                <w:szCs w:val="18"/>
              </w:rPr>
            </w:pPr>
            <w:r w:rsidRPr="00E31B4F">
              <w:rPr>
                <w:rFonts w:ascii="Times New Roman" w:hAnsi="Times New Roman"/>
                <w:sz w:val="18"/>
                <w:szCs w:val="18"/>
              </w:rPr>
              <w:t>Mild CSM (n = 45)</w:t>
            </w:r>
          </w:p>
          <w:p w:rsidR="003277A2" w:rsidRPr="00E31B4F" w:rsidRDefault="003277A2" w:rsidP="00C26909">
            <w:pPr>
              <w:ind w:left="72"/>
              <w:rPr>
                <w:rFonts w:ascii="Times New Roman" w:hAnsi="Times New Roman"/>
                <w:sz w:val="18"/>
                <w:szCs w:val="18"/>
              </w:rPr>
            </w:pPr>
          </w:p>
          <w:p w:rsidR="003277A2" w:rsidRPr="00E31B4F" w:rsidRDefault="003277A2" w:rsidP="00C26909">
            <w:pPr>
              <w:rPr>
                <w:rFonts w:ascii="Times New Roman" w:hAnsi="Times New Roman"/>
                <w:sz w:val="18"/>
                <w:szCs w:val="18"/>
              </w:rPr>
            </w:pPr>
            <w:r w:rsidRPr="00E31B4F">
              <w:rPr>
                <w:rFonts w:ascii="Times New Roman" w:hAnsi="Times New Roman"/>
                <w:sz w:val="18"/>
                <w:szCs w:val="18"/>
                <w:u w:val="single"/>
              </w:rPr>
              <w:t>Conservative treatment</w:t>
            </w:r>
            <w:r w:rsidRPr="00E31B4F">
              <w:rPr>
                <w:rFonts w:ascii="Times New Roman" w:hAnsi="Times New Roman"/>
                <w:sz w:val="18"/>
                <w:szCs w:val="18"/>
              </w:rPr>
              <w:t>:</w:t>
            </w:r>
          </w:p>
          <w:p w:rsidR="003277A2" w:rsidRPr="00E31B4F" w:rsidRDefault="003277A2" w:rsidP="00C26909">
            <w:pPr>
              <w:ind w:left="72"/>
              <w:rPr>
                <w:rFonts w:ascii="Times New Roman" w:hAnsi="Times New Roman"/>
                <w:sz w:val="18"/>
                <w:szCs w:val="18"/>
              </w:rPr>
            </w:pPr>
            <w:r w:rsidRPr="00E31B4F">
              <w:rPr>
                <w:rFonts w:ascii="Times New Roman" w:hAnsi="Times New Roman"/>
                <w:sz w:val="18"/>
                <w:szCs w:val="18"/>
              </w:rPr>
              <w:t>None (observation)</w:t>
            </w:r>
          </w:p>
        </w:tc>
        <w:tc>
          <w:tcPr>
            <w:tcW w:w="1980" w:type="dxa"/>
          </w:tcPr>
          <w:p w:rsidR="003277A2" w:rsidRDefault="003277A2" w:rsidP="003277A2">
            <w:pPr>
              <w:pStyle w:val="ListParagraph"/>
              <w:numPr>
                <w:ilvl w:val="0"/>
                <w:numId w:val="1"/>
              </w:numPr>
              <w:spacing w:after="0" w:line="240" w:lineRule="auto"/>
              <w:ind w:left="162" w:hanging="162"/>
              <w:rPr>
                <w:rFonts w:ascii="Times New Roman" w:hAnsi="Times New Roman"/>
                <w:sz w:val="18"/>
                <w:szCs w:val="18"/>
              </w:rPr>
            </w:pPr>
            <w:r>
              <w:rPr>
                <w:rFonts w:ascii="Times New Roman" w:hAnsi="Times New Roman"/>
                <w:sz w:val="18"/>
                <w:szCs w:val="18"/>
              </w:rPr>
              <w:t>Age</w:t>
            </w:r>
          </w:p>
          <w:p w:rsidR="003277A2" w:rsidRPr="00E31B4F" w:rsidRDefault="003277A2" w:rsidP="003277A2">
            <w:pPr>
              <w:pStyle w:val="ListParagraph"/>
              <w:numPr>
                <w:ilvl w:val="0"/>
                <w:numId w:val="1"/>
              </w:numPr>
              <w:spacing w:after="0" w:line="240" w:lineRule="auto"/>
              <w:ind w:left="162" w:hanging="162"/>
              <w:rPr>
                <w:rFonts w:ascii="Times New Roman" w:hAnsi="Times New Roman"/>
                <w:sz w:val="18"/>
                <w:szCs w:val="18"/>
              </w:rPr>
            </w:pPr>
            <w:r w:rsidRPr="00E31B4F">
              <w:rPr>
                <w:rFonts w:ascii="Times New Roman" w:hAnsi="Times New Roman"/>
                <w:sz w:val="18"/>
                <w:szCs w:val="18"/>
              </w:rPr>
              <w:t>Alignment (C2-7) (˚)</w:t>
            </w:r>
          </w:p>
          <w:p w:rsidR="003277A2" w:rsidRPr="007200DE" w:rsidRDefault="003277A2" w:rsidP="00C26909">
            <w:pPr>
              <w:pStyle w:val="ListParagraph"/>
              <w:numPr>
                <w:ilvl w:val="0"/>
                <w:numId w:val="1"/>
              </w:numPr>
              <w:ind w:left="162" w:hanging="162"/>
              <w:rPr>
                <w:rFonts w:ascii="Times New Roman" w:hAnsi="Times New Roman"/>
                <w:sz w:val="18"/>
                <w:szCs w:val="18"/>
              </w:rPr>
            </w:pPr>
            <w:r w:rsidRPr="00E31B4F">
              <w:rPr>
                <w:rFonts w:ascii="Times New Roman" w:hAnsi="Times New Roman"/>
                <w:sz w:val="18"/>
                <w:szCs w:val="18"/>
              </w:rPr>
              <w:t>Developmental canal stenosis (yes: no)</w:t>
            </w:r>
          </w:p>
          <w:p w:rsidR="003277A2" w:rsidRDefault="003277A2" w:rsidP="003277A2">
            <w:pPr>
              <w:pStyle w:val="ListParagraph"/>
              <w:numPr>
                <w:ilvl w:val="0"/>
                <w:numId w:val="1"/>
              </w:numPr>
              <w:spacing w:after="0" w:line="240" w:lineRule="auto"/>
              <w:ind w:left="162" w:hanging="162"/>
              <w:rPr>
                <w:rFonts w:ascii="Times New Roman" w:hAnsi="Times New Roman"/>
                <w:sz w:val="18"/>
                <w:szCs w:val="18"/>
              </w:rPr>
            </w:pPr>
            <w:r>
              <w:rPr>
                <w:rFonts w:ascii="Times New Roman" w:hAnsi="Times New Roman"/>
                <w:sz w:val="18"/>
                <w:szCs w:val="18"/>
              </w:rPr>
              <w:t>Duration of disease</w:t>
            </w:r>
          </w:p>
          <w:p w:rsidR="003277A2" w:rsidRPr="00E31B4F" w:rsidRDefault="003277A2" w:rsidP="003277A2">
            <w:pPr>
              <w:pStyle w:val="ListParagraph"/>
              <w:numPr>
                <w:ilvl w:val="0"/>
                <w:numId w:val="1"/>
              </w:numPr>
              <w:spacing w:after="0" w:line="240" w:lineRule="auto"/>
              <w:ind w:left="162" w:hanging="162"/>
              <w:rPr>
                <w:rFonts w:ascii="Times New Roman" w:hAnsi="Times New Roman"/>
                <w:sz w:val="18"/>
                <w:szCs w:val="18"/>
              </w:rPr>
            </w:pPr>
            <w:r w:rsidRPr="00E31B4F">
              <w:rPr>
                <w:rFonts w:ascii="Times New Roman" w:hAnsi="Times New Roman"/>
                <w:sz w:val="18"/>
                <w:szCs w:val="18"/>
              </w:rPr>
              <w:t>Local slip (yes: no)</w:t>
            </w:r>
          </w:p>
          <w:p w:rsidR="003277A2" w:rsidRDefault="003277A2" w:rsidP="003277A2">
            <w:pPr>
              <w:pStyle w:val="ListParagraph"/>
              <w:numPr>
                <w:ilvl w:val="0"/>
                <w:numId w:val="1"/>
              </w:numPr>
              <w:spacing w:after="0" w:line="240" w:lineRule="auto"/>
              <w:ind w:left="162" w:hanging="162"/>
              <w:rPr>
                <w:rFonts w:ascii="Times New Roman" w:hAnsi="Times New Roman"/>
                <w:sz w:val="18"/>
                <w:szCs w:val="18"/>
              </w:rPr>
            </w:pPr>
            <w:r>
              <w:rPr>
                <w:rFonts w:ascii="Times New Roman" w:hAnsi="Times New Roman"/>
                <w:sz w:val="18"/>
                <w:szCs w:val="18"/>
              </w:rPr>
              <w:t>Pre-op JOA</w:t>
            </w:r>
            <w:r w:rsidRPr="00E31B4F">
              <w:rPr>
                <w:rFonts w:ascii="Times New Roman" w:hAnsi="Times New Roman"/>
                <w:sz w:val="18"/>
                <w:szCs w:val="18"/>
              </w:rPr>
              <w:t xml:space="preserve"> </w:t>
            </w:r>
          </w:p>
          <w:p w:rsidR="003277A2" w:rsidRPr="00E31B4F" w:rsidRDefault="003277A2" w:rsidP="003277A2">
            <w:pPr>
              <w:pStyle w:val="ListParagraph"/>
              <w:numPr>
                <w:ilvl w:val="0"/>
                <w:numId w:val="1"/>
              </w:numPr>
              <w:spacing w:after="0" w:line="240" w:lineRule="auto"/>
              <w:ind w:left="162" w:hanging="162"/>
              <w:rPr>
                <w:rFonts w:ascii="Times New Roman" w:hAnsi="Times New Roman"/>
                <w:sz w:val="18"/>
                <w:szCs w:val="18"/>
              </w:rPr>
            </w:pPr>
            <w:r w:rsidRPr="00E31B4F">
              <w:rPr>
                <w:rFonts w:ascii="Times New Roman" w:hAnsi="Times New Roman"/>
                <w:sz w:val="18"/>
                <w:szCs w:val="18"/>
              </w:rPr>
              <w:t>ROM (C2-7) (˚)</w:t>
            </w:r>
          </w:p>
          <w:p w:rsidR="003277A2" w:rsidRPr="00E31B4F" w:rsidRDefault="003277A2" w:rsidP="003277A2">
            <w:pPr>
              <w:pStyle w:val="ListParagraph"/>
              <w:numPr>
                <w:ilvl w:val="0"/>
                <w:numId w:val="1"/>
              </w:numPr>
              <w:spacing w:after="0" w:line="240" w:lineRule="auto"/>
              <w:ind w:left="162" w:hanging="162"/>
              <w:rPr>
                <w:rFonts w:ascii="Times New Roman" w:hAnsi="Times New Roman"/>
                <w:sz w:val="18"/>
                <w:szCs w:val="18"/>
              </w:rPr>
            </w:pPr>
            <w:r w:rsidRPr="00E31B4F">
              <w:rPr>
                <w:rFonts w:ascii="Times New Roman" w:hAnsi="Times New Roman"/>
                <w:sz w:val="18"/>
                <w:szCs w:val="18"/>
              </w:rPr>
              <w:t>Segmental lordotic angle (˚)</w:t>
            </w:r>
          </w:p>
          <w:p w:rsidR="003277A2" w:rsidRDefault="003277A2" w:rsidP="003277A2">
            <w:pPr>
              <w:pStyle w:val="ListParagraph"/>
              <w:numPr>
                <w:ilvl w:val="0"/>
                <w:numId w:val="1"/>
              </w:numPr>
              <w:spacing w:after="0" w:line="240" w:lineRule="auto"/>
              <w:ind w:left="162" w:hanging="162"/>
              <w:rPr>
                <w:rFonts w:ascii="Times New Roman" w:hAnsi="Times New Roman"/>
                <w:sz w:val="18"/>
                <w:szCs w:val="18"/>
              </w:rPr>
            </w:pPr>
            <w:r w:rsidRPr="00E31B4F">
              <w:rPr>
                <w:rFonts w:ascii="Times New Roman" w:hAnsi="Times New Roman"/>
                <w:sz w:val="18"/>
                <w:szCs w:val="18"/>
              </w:rPr>
              <w:t>Segmental ROM (˚)</w:t>
            </w:r>
          </w:p>
          <w:p w:rsidR="003277A2" w:rsidRPr="007200DE" w:rsidRDefault="003277A2" w:rsidP="003277A2">
            <w:pPr>
              <w:pStyle w:val="ListParagraph"/>
              <w:numPr>
                <w:ilvl w:val="0"/>
                <w:numId w:val="1"/>
              </w:numPr>
              <w:spacing w:after="0" w:line="240" w:lineRule="auto"/>
              <w:ind w:left="162" w:hanging="162"/>
              <w:rPr>
                <w:rFonts w:ascii="Times New Roman" w:hAnsi="Times New Roman"/>
                <w:sz w:val="18"/>
                <w:szCs w:val="18"/>
              </w:rPr>
            </w:pPr>
            <w:r>
              <w:rPr>
                <w:rFonts w:ascii="Times New Roman" w:hAnsi="Times New Roman"/>
                <w:sz w:val="18"/>
                <w:szCs w:val="18"/>
              </w:rPr>
              <w:t>Sex</w:t>
            </w:r>
          </w:p>
        </w:tc>
        <w:tc>
          <w:tcPr>
            <w:tcW w:w="1890" w:type="dxa"/>
          </w:tcPr>
          <w:p w:rsidR="003277A2" w:rsidRPr="007463E1" w:rsidRDefault="003277A2" w:rsidP="00C26909">
            <w:pPr>
              <w:rPr>
                <w:rFonts w:ascii="Times New Roman" w:hAnsi="Times New Roman"/>
                <w:sz w:val="18"/>
                <w:szCs w:val="18"/>
              </w:rPr>
            </w:pPr>
            <w:r>
              <w:rPr>
                <w:rFonts w:ascii="Times New Roman" w:hAnsi="Times New Roman"/>
                <w:sz w:val="18"/>
                <w:szCs w:val="18"/>
              </w:rPr>
              <w:t>T2WI:</w:t>
            </w:r>
          </w:p>
          <w:p w:rsidR="003277A2" w:rsidRPr="007200DE" w:rsidRDefault="003277A2" w:rsidP="003277A2">
            <w:pPr>
              <w:pStyle w:val="ListParagraph"/>
              <w:numPr>
                <w:ilvl w:val="0"/>
                <w:numId w:val="1"/>
              </w:numPr>
              <w:spacing w:after="0" w:line="240" w:lineRule="auto"/>
              <w:ind w:left="162" w:hanging="162"/>
              <w:rPr>
                <w:rFonts w:ascii="Times New Roman" w:hAnsi="Times New Roman"/>
                <w:sz w:val="18"/>
                <w:szCs w:val="18"/>
              </w:rPr>
            </w:pPr>
            <w:r>
              <w:rPr>
                <w:rFonts w:ascii="Times New Roman" w:hAnsi="Times New Roman"/>
                <w:sz w:val="18"/>
                <w:szCs w:val="18"/>
              </w:rPr>
              <w:t>S</w:t>
            </w:r>
            <w:r w:rsidRPr="00E31B4F">
              <w:rPr>
                <w:rFonts w:ascii="Times New Roman" w:hAnsi="Times New Roman"/>
                <w:sz w:val="18"/>
                <w:szCs w:val="18"/>
              </w:rPr>
              <w:t>pinal cord diameter (%)</w:t>
            </w:r>
            <w:r>
              <w:rPr>
                <w:rFonts w:ascii="Times New Roman" w:hAnsi="Times New Roman"/>
                <w:sz w:val="18"/>
                <w:szCs w:val="18"/>
              </w:rPr>
              <w:t>*</w:t>
            </w:r>
          </w:p>
        </w:tc>
        <w:tc>
          <w:tcPr>
            <w:tcW w:w="1350" w:type="dxa"/>
          </w:tcPr>
          <w:p w:rsidR="003277A2" w:rsidRPr="00E31B4F" w:rsidRDefault="003277A2" w:rsidP="003277A2">
            <w:pPr>
              <w:pStyle w:val="ListParagraph"/>
              <w:numPr>
                <w:ilvl w:val="0"/>
                <w:numId w:val="1"/>
              </w:numPr>
              <w:spacing w:after="0" w:line="240" w:lineRule="auto"/>
              <w:ind w:left="162" w:hanging="162"/>
              <w:rPr>
                <w:rFonts w:ascii="Times New Roman" w:hAnsi="Times New Roman"/>
                <w:sz w:val="18"/>
                <w:szCs w:val="18"/>
              </w:rPr>
            </w:pPr>
            <w:r w:rsidRPr="00E31B4F">
              <w:rPr>
                <w:rFonts w:ascii="Times New Roman" w:hAnsi="Times New Roman"/>
                <w:sz w:val="18"/>
                <w:szCs w:val="18"/>
              </w:rPr>
              <w:t>Conversion to surgery based on deterioration of motor JOA score</w:t>
            </w:r>
            <w:r>
              <w:rPr>
                <w:rFonts w:ascii="Times New Roman" w:hAnsi="Times New Roman"/>
                <w:sz w:val="18"/>
                <w:szCs w:val="18"/>
              </w:rPr>
              <w:t>†</w:t>
            </w:r>
          </w:p>
        </w:tc>
        <w:tc>
          <w:tcPr>
            <w:tcW w:w="1152" w:type="dxa"/>
          </w:tcPr>
          <w:p w:rsidR="003277A2" w:rsidRPr="00E31B4F" w:rsidRDefault="003277A2" w:rsidP="00C26909">
            <w:pPr>
              <w:rPr>
                <w:rFonts w:ascii="Times New Roman" w:hAnsi="Times New Roman"/>
                <w:sz w:val="18"/>
                <w:szCs w:val="18"/>
              </w:rPr>
            </w:pPr>
            <w:r w:rsidRPr="00E31B4F">
              <w:rPr>
                <w:rFonts w:ascii="Times New Roman" w:hAnsi="Times New Roman"/>
                <w:sz w:val="18"/>
                <w:szCs w:val="18"/>
              </w:rPr>
              <w:t>Mean 78 months (range, 24-208)</w:t>
            </w:r>
          </w:p>
        </w:tc>
        <w:tc>
          <w:tcPr>
            <w:tcW w:w="2268" w:type="dxa"/>
          </w:tcPr>
          <w:p w:rsidR="003277A2" w:rsidRDefault="003277A2" w:rsidP="00C26909">
            <w:pPr>
              <w:rPr>
                <w:rFonts w:ascii="Times New Roman" w:hAnsi="Times New Roman"/>
                <w:b/>
                <w:sz w:val="18"/>
                <w:szCs w:val="18"/>
              </w:rPr>
            </w:pPr>
            <w:r w:rsidRPr="00E31B4F">
              <w:rPr>
                <w:rFonts w:ascii="Times New Roman" w:hAnsi="Times New Roman"/>
                <w:b/>
                <w:sz w:val="18"/>
                <w:szCs w:val="18"/>
              </w:rPr>
              <w:t>Correlation of MRI factor with conversion to surgery</w:t>
            </w:r>
          </w:p>
          <w:p w:rsidR="003277A2" w:rsidRPr="00E31B4F" w:rsidRDefault="003277A2" w:rsidP="00C26909">
            <w:pPr>
              <w:rPr>
                <w:rFonts w:ascii="Times New Roman" w:hAnsi="Times New Roman"/>
                <w:i/>
                <w:sz w:val="18"/>
                <w:szCs w:val="18"/>
              </w:rPr>
            </w:pPr>
            <w:r>
              <w:rPr>
                <w:rFonts w:ascii="Times New Roman" w:hAnsi="Times New Roman"/>
                <w:i/>
                <w:sz w:val="18"/>
                <w:szCs w:val="18"/>
              </w:rPr>
              <w:t>Spinal Cord Diameter (&lt;50%)</w:t>
            </w:r>
          </w:p>
          <w:p w:rsidR="003277A2" w:rsidRPr="00DC4898" w:rsidRDefault="003277A2" w:rsidP="003277A2">
            <w:pPr>
              <w:pStyle w:val="ListParagraph"/>
              <w:numPr>
                <w:ilvl w:val="0"/>
                <w:numId w:val="1"/>
              </w:numPr>
              <w:spacing w:after="0" w:line="240" w:lineRule="auto"/>
              <w:ind w:left="328" w:hanging="180"/>
              <w:rPr>
                <w:rFonts w:ascii="Times New Roman" w:hAnsi="Times New Roman"/>
                <w:sz w:val="18"/>
                <w:szCs w:val="18"/>
              </w:rPr>
            </w:pPr>
            <w:r>
              <w:rPr>
                <w:rFonts w:ascii="Times New Roman" w:hAnsi="Times New Roman"/>
                <w:sz w:val="18"/>
                <w:szCs w:val="18"/>
              </w:rPr>
              <w:t xml:space="preserve">HR = 2.24 (95% CI, 0.83-6.06; </w:t>
            </w:r>
            <w:r>
              <w:rPr>
                <w:rFonts w:ascii="Times New Roman" w:hAnsi="Times New Roman"/>
                <w:i/>
                <w:sz w:val="18"/>
                <w:szCs w:val="18"/>
              </w:rPr>
              <w:t>P</w:t>
            </w:r>
            <w:r>
              <w:rPr>
                <w:rFonts w:ascii="Times New Roman" w:hAnsi="Times New Roman"/>
                <w:sz w:val="18"/>
                <w:szCs w:val="18"/>
              </w:rPr>
              <w:t xml:space="preserve"> = .11)</w:t>
            </w:r>
          </w:p>
        </w:tc>
      </w:tr>
      <w:tr w:rsidR="003277A2" w:rsidRPr="00E31B4F" w:rsidTr="00C26909">
        <w:tc>
          <w:tcPr>
            <w:tcW w:w="1350" w:type="dxa"/>
          </w:tcPr>
          <w:p w:rsidR="003277A2" w:rsidRDefault="003277A2" w:rsidP="00C26909">
            <w:pPr>
              <w:rPr>
                <w:rFonts w:ascii="Times New Roman" w:hAnsi="Times New Roman"/>
                <w:sz w:val="18"/>
                <w:szCs w:val="18"/>
              </w:rPr>
            </w:pPr>
            <w:r w:rsidRPr="00E31B4F">
              <w:rPr>
                <w:rFonts w:ascii="Times New Roman" w:hAnsi="Times New Roman"/>
                <w:sz w:val="18"/>
                <w:szCs w:val="18"/>
              </w:rPr>
              <w:t>Shimomura et al. (2007)</w:t>
            </w:r>
          </w:p>
          <w:p w:rsidR="003277A2" w:rsidRDefault="003277A2" w:rsidP="00C26909">
            <w:pPr>
              <w:rPr>
                <w:rFonts w:ascii="Times New Roman" w:hAnsi="Times New Roman"/>
                <w:sz w:val="18"/>
                <w:szCs w:val="18"/>
              </w:rPr>
            </w:pPr>
          </w:p>
          <w:p w:rsidR="003277A2" w:rsidRPr="00E31B4F" w:rsidRDefault="003277A2" w:rsidP="00C26909">
            <w:pPr>
              <w:rPr>
                <w:rFonts w:ascii="Times New Roman" w:hAnsi="Times New Roman"/>
                <w:sz w:val="18"/>
                <w:szCs w:val="18"/>
              </w:rPr>
            </w:pPr>
            <w:r w:rsidRPr="00E31B4F">
              <w:rPr>
                <w:rFonts w:ascii="Times New Roman" w:hAnsi="Times New Roman"/>
                <w:sz w:val="18"/>
                <w:szCs w:val="18"/>
              </w:rPr>
              <w:t>Prospective cohort</w:t>
            </w:r>
          </w:p>
        </w:tc>
        <w:tc>
          <w:tcPr>
            <w:tcW w:w="1710" w:type="dxa"/>
          </w:tcPr>
          <w:p w:rsidR="003277A2" w:rsidRPr="00E31B4F" w:rsidRDefault="003277A2" w:rsidP="00C26909">
            <w:pPr>
              <w:rPr>
                <w:rFonts w:ascii="Times New Roman" w:hAnsi="Times New Roman"/>
                <w:sz w:val="18"/>
                <w:szCs w:val="18"/>
                <w:lang w:val="en-AU"/>
              </w:rPr>
            </w:pPr>
            <w:r w:rsidRPr="00E31B4F">
              <w:rPr>
                <w:rFonts w:ascii="Times New Roman" w:hAnsi="Times New Roman"/>
                <w:sz w:val="18"/>
                <w:szCs w:val="18"/>
                <w:lang w:val="en-AU"/>
              </w:rPr>
              <w:t>To investigate the outcomes and prognostic factors for CSM after nonsurgical treatment.</w:t>
            </w:r>
          </w:p>
        </w:tc>
        <w:tc>
          <w:tcPr>
            <w:tcW w:w="2520" w:type="dxa"/>
          </w:tcPr>
          <w:p w:rsidR="003277A2" w:rsidRPr="00E31B4F" w:rsidRDefault="003277A2" w:rsidP="00C26909">
            <w:pPr>
              <w:rPr>
                <w:rFonts w:ascii="Times New Roman" w:hAnsi="Times New Roman"/>
                <w:sz w:val="18"/>
                <w:szCs w:val="18"/>
              </w:rPr>
            </w:pPr>
            <w:r w:rsidRPr="00E31B4F">
              <w:rPr>
                <w:rFonts w:ascii="Times New Roman" w:hAnsi="Times New Roman"/>
                <w:sz w:val="18"/>
                <w:szCs w:val="18"/>
              </w:rPr>
              <w:t>N = 70</w:t>
            </w:r>
          </w:p>
          <w:p w:rsidR="003277A2" w:rsidRPr="00E31B4F" w:rsidRDefault="003277A2" w:rsidP="00C26909">
            <w:pPr>
              <w:ind w:left="72"/>
              <w:rPr>
                <w:rFonts w:ascii="Times New Roman" w:hAnsi="Times New Roman"/>
                <w:sz w:val="18"/>
                <w:szCs w:val="18"/>
              </w:rPr>
            </w:pPr>
            <w:r w:rsidRPr="00E31B4F">
              <w:rPr>
                <w:rFonts w:ascii="Times New Roman" w:hAnsi="Times New Roman"/>
                <w:sz w:val="18"/>
                <w:szCs w:val="18"/>
              </w:rPr>
              <w:t>Male: 70%</w:t>
            </w:r>
          </w:p>
          <w:p w:rsidR="003277A2" w:rsidRPr="00E31B4F" w:rsidRDefault="003277A2" w:rsidP="00C26909">
            <w:pPr>
              <w:ind w:left="72"/>
              <w:rPr>
                <w:rFonts w:ascii="Times New Roman" w:hAnsi="Times New Roman"/>
                <w:sz w:val="18"/>
                <w:szCs w:val="18"/>
              </w:rPr>
            </w:pPr>
            <w:r w:rsidRPr="00E31B4F">
              <w:rPr>
                <w:rFonts w:ascii="Times New Roman" w:hAnsi="Times New Roman"/>
                <w:sz w:val="18"/>
                <w:szCs w:val="18"/>
              </w:rPr>
              <w:t xml:space="preserve">Mean age: 55.1 years </w:t>
            </w:r>
          </w:p>
          <w:p w:rsidR="003277A2" w:rsidRPr="00E31B4F" w:rsidRDefault="003277A2" w:rsidP="00C26909">
            <w:pPr>
              <w:rPr>
                <w:rFonts w:ascii="Times New Roman" w:hAnsi="Times New Roman"/>
                <w:sz w:val="18"/>
                <w:szCs w:val="18"/>
              </w:rPr>
            </w:pPr>
          </w:p>
          <w:p w:rsidR="003277A2" w:rsidRPr="00E31B4F" w:rsidRDefault="003277A2" w:rsidP="00C26909">
            <w:pPr>
              <w:rPr>
                <w:rFonts w:ascii="Times New Roman" w:hAnsi="Times New Roman"/>
                <w:sz w:val="18"/>
                <w:szCs w:val="18"/>
              </w:rPr>
            </w:pPr>
            <w:r w:rsidRPr="00E31B4F">
              <w:rPr>
                <w:rFonts w:ascii="Times New Roman" w:hAnsi="Times New Roman"/>
                <w:sz w:val="18"/>
                <w:szCs w:val="18"/>
                <w:u w:val="single"/>
              </w:rPr>
              <w:t>Diagnosis</w:t>
            </w:r>
            <w:r w:rsidRPr="00E31B4F">
              <w:rPr>
                <w:rFonts w:ascii="Times New Roman" w:hAnsi="Times New Roman"/>
                <w:sz w:val="18"/>
                <w:szCs w:val="18"/>
              </w:rPr>
              <w:t>:</w:t>
            </w:r>
          </w:p>
          <w:p w:rsidR="003277A2" w:rsidRPr="00E31B4F" w:rsidRDefault="003277A2" w:rsidP="00C26909">
            <w:pPr>
              <w:ind w:left="72"/>
              <w:rPr>
                <w:rFonts w:ascii="Times New Roman" w:hAnsi="Times New Roman"/>
                <w:sz w:val="18"/>
                <w:szCs w:val="18"/>
              </w:rPr>
            </w:pPr>
            <w:r w:rsidRPr="00E31B4F">
              <w:rPr>
                <w:rFonts w:ascii="Times New Roman" w:hAnsi="Times New Roman"/>
                <w:sz w:val="18"/>
                <w:szCs w:val="18"/>
              </w:rPr>
              <w:t>Mild CSM (n = 70)</w:t>
            </w:r>
          </w:p>
          <w:p w:rsidR="003277A2" w:rsidRPr="00E31B4F" w:rsidRDefault="003277A2" w:rsidP="00C26909">
            <w:pPr>
              <w:ind w:left="72"/>
              <w:rPr>
                <w:rFonts w:ascii="Times New Roman" w:hAnsi="Times New Roman"/>
                <w:sz w:val="18"/>
                <w:szCs w:val="18"/>
              </w:rPr>
            </w:pPr>
          </w:p>
          <w:p w:rsidR="003277A2" w:rsidRPr="00E31B4F" w:rsidRDefault="003277A2" w:rsidP="00C26909">
            <w:pPr>
              <w:rPr>
                <w:rFonts w:ascii="Times New Roman" w:hAnsi="Times New Roman"/>
                <w:sz w:val="18"/>
                <w:szCs w:val="18"/>
              </w:rPr>
            </w:pPr>
            <w:r w:rsidRPr="00E31B4F">
              <w:rPr>
                <w:rFonts w:ascii="Times New Roman" w:hAnsi="Times New Roman"/>
                <w:sz w:val="18"/>
                <w:szCs w:val="18"/>
                <w:u w:val="single"/>
              </w:rPr>
              <w:t>Conservative treatment</w:t>
            </w:r>
            <w:r w:rsidRPr="00E31B4F">
              <w:rPr>
                <w:rFonts w:ascii="Times New Roman" w:hAnsi="Times New Roman"/>
                <w:sz w:val="18"/>
                <w:szCs w:val="18"/>
              </w:rPr>
              <w:t>:</w:t>
            </w:r>
          </w:p>
          <w:p w:rsidR="003277A2" w:rsidRPr="00E31B4F" w:rsidRDefault="003277A2" w:rsidP="00C26909">
            <w:pPr>
              <w:rPr>
                <w:rFonts w:ascii="Times New Roman" w:hAnsi="Times New Roman"/>
                <w:sz w:val="18"/>
                <w:szCs w:val="18"/>
              </w:rPr>
            </w:pPr>
            <w:r w:rsidRPr="00E31B4F">
              <w:rPr>
                <w:rFonts w:ascii="Times New Roman" w:hAnsi="Times New Roman"/>
                <w:sz w:val="18"/>
                <w:szCs w:val="18"/>
              </w:rPr>
              <w:t xml:space="preserve"> 2 week hospitalization, in-bed Good Samaritan traction for 8 hours a day with or without anti-inflammatory drugs</w:t>
            </w:r>
          </w:p>
        </w:tc>
        <w:tc>
          <w:tcPr>
            <w:tcW w:w="1980" w:type="dxa"/>
          </w:tcPr>
          <w:p w:rsidR="003277A2" w:rsidRDefault="003277A2" w:rsidP="003277A2">
            <w:pPr>
              <w:pStyle w:val="ListParagraph"/>
              <w:numPr>
                <w:ilvl w:val="0"/>
                <w:numId w:val="1"/>
              </w:numPr>
              <w:spacing w:after="0" w:line="240" w:lineRule="auto"/>
              <w:ind w:left="162" w:hanging="162"/>
              <w:rPr>
                <w:rFonts w:ascii="Times New Roman" w:hAnsi="Times New Roman"/>
                <w:sz w:val="18"/>
                <w:szCs w:val="18"/>
              </w:rPr>
            </w:pPr>
            <w:r>
              <w:rPr>
                <w:rFonts w:ascii="Times New Roman" w:hAnsi="Times New Roman"/>
                <w:sz w:val="18"/>
                <w:szCs w:val="18"/>
              </w:rPr>
              <w:t>Age</w:t>
            </w:r>
          </w:p>
          <w:p w:rsidR="003277A2" w:rsidRDefault="003277A2" w:rsidP="003277A2">
            <w:pPr>
              <w:pStyle w:val="ListParagraph"/>
              <w:numPr>
                <w:ilvl w:val="0"/>
                <w:numId w:val="1"/>
              </w:numPr>
              <w:spacing w:after="0" w:line="240" w:lineRule="auto"/>
              <w:ind w:left="162" w:hanging="162"/>
              <w:rPr>
                <w:rFonts w:ascii="Times New Roman" w:hAnsi="Times New Roman"/>
                <w:sz w:val="18"/>
                <w:szCs w:val="18"/>
              </w:rPr>
            </w:pPr>
            <w:r>
              <w:rPr>
                <w:rFonts w:ascii="Times New Roman" w:hAnsi="Times New Roman"/>
                <w:sz w:val="18"/>
                <w:szCs w:val="18"/>
              </w:rPr>
              <w:t xml:space="preserve">Developmental or dynamic </w:t>
            </w:r>
            <w:proofErr w:type="spellStart"/>
            <w:r>
              <w:rPr>
                <w:rFonts w:ascii="Times New Roman" w:hAnsi="Times New Roman"/>
                <w:sz w:val="18"/>
                <w:szCs w:val="18"/>
              </w:rPr>
              <w:t>cnal</w:t>
            </w:r>
            <w:proofErr w:type="spellEnd"/>
            <w:r>
              <w:rPr>
                <w:rFonts w:ascii="Times New Roman" w:hAnsi="Times New Roman"/>
                <w:sz w:val="18"/>
                <w:szCs w:val="18"/>
              </w:rPr>
              <w:t xml:space="preserve"> factors of cervical spine (DVF or DNF)</w:t>
            </w:r>
          </w:p>
          <w:p w:rsidR="003277A2" w:rsidRDefault="003277A2" w:rsidP="003277A2">
            <w:pPr>
              <w:pStyle w:val="ListParagraph"/>
              <w:numPr>
                <w:ilvl w:val="0"/>
                <w:numId w:val="1"/>
              </w:numPr>
              <w:spacing w:after="0" w:line="240" w:lineRule="auto"/>
              <w:ind w:left="162" w:hanging="162"/>
              <w:rPr>
                <w:rFonts w:ascii="Times New Roman" w:hAnsi="Times New Roman"/>
                <w:sz w:val="18"/>
                <w:szCs w:val="18"/>
              </w:rPr>
            </w:pPr>
            <w:r>
              <w:rPr>
                <w:rFonts w:ascii="Times New Roman" w:hAnsi="Times New Roman"/>
                <w:sz w:val="18"/>
                <w:szCs w:val="18"/>
              </w:rPr>
              <w:t>Follow-up period (months)</w:t>
            </w:r>
          </w:p>
          <w:p w:rsidR="003277A2" w:rsidRPr="00FD7161" w:rsidRDefault="003277A2" w:rsidP="00C26909">
            <w:pPr>
              <w:pStyle w:val="ListParagraph"/>
              <w:numPr>
                <w:ilvl w:val="0"/>
                <w:numId w:val="1"/>
              </w:numPr>
              <w:ind w:left="162" w:hanging="162"/>
              <w:rPr>
                <w:rFonts w:ascii="Times New Roman" w:hAnsi="Times New Roman"/>
                <w:sz w:val="18"/>
                <w:szCs w:val="18"/>
              </w:rPr>
            </w:pPr>
            <w:r>
              <w:rPr>
                <w:rFonts w:ascii="Times New Roman" w:hAnsi="Times New Roman"/>
                <w:sz w:val="18"/>
                <w:szCs w:val="18"/>
              </w:rPr>
              <w:t>Pre-op JOA</w:t>
            </w:r>
          </w:p>
          <w:p w:rsidR="003277A2" w:rsidRPr="00FD7161" w:rsidRDefault="003277A2" w:rsidP="003277A2">
            <w:pPr>
              <w:pStyle w:val="ListParagraph"/>
              <w:numPr>
                <w:ilvl w:val="0"/>
                <w:numId w:val="1"/>
              </w:numPr>
              <w:spacing w:after="0" w:line="240" w:lineRule="auto"/>
              <w:ind w:left="162" w:hanging="162"/>
              <w:rPr>
                <w:rFonts w:ascii="Times New Roman" w:hAnsi="Times New Roman"/>
                <w:sz w:val="18"/>
                <w:szCs w:val="18"/>
              </w:rPr>
            </w:pPr>
            <w:r>
              <w:rPr>
                <w:rFonts w:ascii="Times New Roman" w:hAnsi="Times New Roman"/>
                <w:sz w:val="18"/>
                <w:szCs w:val="18"/>
              </w:rPr>
              <w:t>Sex</w:t>
            </w:r>
          </w:p>
        </w:tc>
        <w:tc>
          <w:tcPr>
            <w:tcW w:w="1890" w:type="dxa"/>
          </w:tcPr>
          <w:p w:rsidR="003277A2" w:rsidRPr="0084017E" w:rsidRDefault="003277A2" w:rsidP="00C26909">
            <w:pPr>
              <w:rPr>
                <w:rFonts w:ascii="Times New Roman" w:hAnsi="Times New Roman"/>
                <w:sz w:val="18"/>
                <w:szCs w:val="18"/>
              </w:rPr>
            </w:pPr>
            <w:r>
              <w:rPr>
                <w:rFonts w:ascii="Times New Roman" w:hAnsi="Times New Roman"/>
                <w:sz w:val="18"/>
                <w:szCs w:val="18"/>
              </w:rPr>
              <w:t>T2WI:</w:t>
            </w:r>
          </w:p>
          <w:p w:rsidR="003277A2" w:rsidRPr="00E31B4F" w:rsidRDefault="003277A2" w:rsidP="003277A2">
            <w:pPr>
              <w:pStyle w:val="ListParagraph"/>
              <w:numPr>
                <w:ilvl w:val="0"/>
                <w:numId w:val="1"/>
              </w:numPr>
              <w:spacing w:after="0" w:line="240" w:lineRule="auto"/>
              <w:ind w:left="162" w:hanging="162"/>
              <w:rPr>
                <w:rFonts w:ascii="Times New Roman" w:hAnsi="Times New Roman"/>
                <w:sz w:val="18"/>
                <w:szCs w:val="18"/>
              </w:rPr>
            </w:pPr>
            <w:r w:rsidRPr="00E31B4F">
              <w:rPr>
                <w:rFonts w:ascii="Times New Roman" w:hAnsi="Times New Roman"/>
                <w:sz w:val="18"/>
                <w:szCs w:val="18"/>
              </w:rPr>
              <w:t>Presence or absence of preoperative high signal intensity within the spinal cord</w:t>
            </w:r>
          </w:p>
          <w:p w:rsidR="003277A2" w:rsidRPr="00E31B4F" w:rsidRDefault="003277A2" w:rsidP="003277A2">
            <w:pPr>
              <w:pStyle w:val="ListParagraph"/>
              <w:numPr>
                <w:ilvl w:val="0"/>
                <w:numId w:val="1"/>
              </w:numPr>
              <w:spacing w:after="0" w:line="240" w:lineRule="auto"/>
              <w:ind w:left="162" w:hanging="162"/>
              <w:rPr>
                <w:rFonts w:ascii="Times New Roman" w:hAnsi="Times New Roman"/>
                <w:sz w:val="18"/>
                <w:szCs w:val="18"/>
              </w:rPr>
            </w:pPr>
            <w:r w:rsidRPr="00E31B4F">
              <w:rPr>
                <w:rFonts w:ascii="Times New Roman" w:hAnsi="Times New Roman"/>
                <w:sz w:val="18"/>
                <w:szCs w:val="18"/>
              </w:rPr>
              <w:t>Extent of spinal</w:t>
            </w:r>
            <w:r>
              <w:rPr>
                <w:rFonts w:ascii="Times New Roman" w:hAnsi="Times New Roman"/>
                <w:sz w:val="18"/>
                <w:szCs w:val="18"/>
              </w:rPr>
              <w:t xml:space="preserve"> cord compression at the max</w:t>
            </w:r>
            <w:r w:rsidRPr="00E31B4F">
              <w:rPr>
                <w:rFonts w:ascii="Times New Roman" w:hAnsi="Times New Roman"/>
                <w:sz w:val="18"/>
                <w:szCs w:val="18"/>
              </w:rPr>
              <w:t xml:space="preserve"> compression segment (circumferential and partial)</w:t>
            </w:r>
            <w:r w:rsidRPr="00781475">
              <w:rPr>
                <w:rFonts w:ascii="Times New Roman" w:hAnsi="Times New Roman"/>
                <w:sz w:val="18"/>
                <w:szCs w:val="18"/>
              </w:rPr>
              <w:t>‡</w:t>
            </w:r>
          </w:p>
        </w:tc>
        <w:tc>
          <w:tcPr>
            <w:tcW w:w="1350" w:type="dxa"/>
          </w:tcPr>
          <w:p w:rsidR="003277A2" w:rsidRPr="00E31B4F" w:rsidRDefault="003277A2" w:rsidP="003277A2">
            <w:pPr>
              <w:pStyle w:val="ListParagraph"/>
              <w:numPr>
                <w:ilvl w:val="0"/>
                <w:numId w:val="1"/>
              </w:numPr>
              <w:spacing w:after="0" w:line="240" w:lineRule="auto"/>
              <w:ind w:left="162" w:hanging="162"/>
              <w:rPr>
                <w:rFonts w:ascii="Times New Roman" w:hAnsi="Times New Roman"/>
                <w:sz w:val="18"/>
                <w:szCs w:val="18"/>
              </w:rPr>
            </w:pPr>
            <w:r w:rsidRPr="00E31B4F">
              <w:rPr>
                <w:rFonts w:ascii="Times New Roman" w:hAnsi="Times New Roman"/>
                <w:sz w:val="18"/>
                <w:szCs w:val="18"/>
              </w:rPr>
              <w:t>Deterioration based on JOA score</w:t>
            </w:r>
          </w:p>
        </w:tc>
        <w:tc>
          <w:tcPr>
            <w:tcW w:w="1152" w:type="dxa"/>
          </w:tcPr>
          <w:p w:rsidR="003277A2" w:rsidRPr="00E31B4F" w:rsidRDefault="003277A2" w:rsidP="00C26909">
            <w:pPr>
              <w:rPr>
                <w:rFonts w:ascii="Times New Roman" w:hAnsi="Times New Roman"/>
                <w:sz w:val="18"/>
                <w:szCs w:val="18"/>
              </w:rPr>
            </w:pPr>
            <w:r w:rsidRPr="00E31B4F">
              <w:rPr>
                <w:rFonts w:ascii="Times New Roman" w:hAnsi="Times New Roman"/>
                <w:sz w:val="18"/>
                <w:szCs w:val="18"/>
              </w:rPr>
              <w:t>Mean 35.6 months (</w:t>
            </w:r>
            <w:r w:rsidRPr="00E31B4F">
              <w:rPr>
                <w:rFonts w:ascii="Times New Roman" w:hAnsi="Times New Roman"/>
                <w:sz w:val="18"/>
                <w:szCs w:val="18"/>
              </w:rPr>
              <w:sym w:font="Symbol" w:char="F0B1"/>
            </w:r>
            <w:r w:rsidRPr="00E31B4F">
              <w:rPr>
                <w:rFonts w:ascii="Times New Roman" w:hAnsi="Times New Roman"/>
                <w:sz w:val="18"/>
                <w:szCs w:val="18"/>
              </w:rPr>
              <w:t xml:space="preserve"> 25.2)</w:t>
            </w:r>
          </w:p>
        </w:tc>
        <w:tc>
          <w:tcPr>
            <w:tcW w:w="2268" w:type="dxa"/>
          </w:tcPr>
          <w:p w:rsidR="003277A2" w:rsidRDefault="003277A2" w:rsidP="00C26909">
            <w:pPr>
              <w:rPr>
                <w:rFonts w:ascii="Times New Roman" w:hAnsi="Times New Roman"/>
                <w:b/>
                <w:sz w:val="18"/>
                <w:szCs w:val="18"/>
              </w:rPr>
            </w:pPr>
            <w:r w:rsidRPr="00E31B4F">
              <w:rPr>
                <w:rFonts w:ascii="Times New Roman" w:hAnsi="Times New Roman"/>
                <w:b/>
                <w:sz w:val="18"/>
                <w:szCs w:val="18"/>
              </w:rPr>
              <w:t>Correlation of MRI factor with deterioration</w:t>
            </w:r>
          </w:p>
          <w:p w:rsidR="003277A2" w:rsidRPr="00E31B4F" w:rsidRDefault="003277A2" w:rsidP="00C26909">
            <w:pPr>
              <w:rPr>
                <w:rFonts w:ascii="Times New Roman" w:hAnsi="Times New Roman"/>
                <w:i/>
                <w:sz w:val="18"/>
                <w:szCs w:val="18"/>
              </w:rPr>
            </w:pPr>
            <w:r>
              <w:rPr>
                <w:rFonts w:ascii="Times New Roman" w:hAnsi="Times New Roman"/>
                <w:i/>
                <w:sz w:val="18"/>
                <w:szCs w:val="18"/>
              </w:rPr>
              <w:t>Presence of high signal intensity area</w:t>
            </w:r>
          </w:p>
          <w:p w:rsidR="003277A2" w:rsidRDefault="003277A2" w:rsidP="003277A2">
            <w:pPr>
              <w:pStyle w:val="ListParagraph"/>
              <w:numPr>
                <w:ilvl w:val="0"/>
                <w:numId w:val="1"/>
              </w:numPr>
              <w:spacing w:after="0" w:line="240" w:lineRule="auto"/>
              <w:ind w:left="328" w:hanging="180"/>
              <w:rPr>
                <w:rFonts w:ascii="Times New Roman" w:hAnsi="Times New Roman"/>
                <w:sz w:val="18"/>
                <w:szCs w:val="18"/>
              </w:rPr>
            </w:pPr>
            <w:r>
              <w:rPr>
                <w:rFonts w:ascii="Times New Roman" w:hAnsi="Times New Roman"/>
                <w:sz w:val="18"/>
                <w:szCs w:val="18"/>
              </w:rPr>
              <w:t xml:space="preserve">OR = 1.32 (95% CI, 0.16-10.8; </w:t>
            </w:r>
            <w:r>
              <w:rPr>
                <w:rFonts w:ascii="Times New Roman" w:hAnsi="Times New Roman"/>
                <w:i/>
                <w:sz w:val="18"/>
                <w:szCs w:val="18"/>
              </w:rPr>
              <w:t>P</w:t>
            </w:r>
            <w:r>
              <w:rPr>
                <w:rFonts w:ascii="Times New Roman" w:hAnsi="Times New Roman"/>
                <w:sz w:val="18"/>
                <w:szCs w:val="18"/>
              </w:rPr>
              <w:t xml:space="preserve"> = .80)</w:t>
            </w:r>
          </w:p>
          <w:p w:rsidR="003277A2" w:rsidRPr="00DC4898" w:rsidRDefault="003277A2" w:rsidP="00C26909">
            <w:pPr>
              <w:rPr>
                <w:rFonts w:ascii="Times New Roman" w:hAnsi="Times New Roman"/>
                <w:i/>
                <w:sz w:val="18"/>
                <w:szCs w:val="18"/>
              </w:rPr>
            </w:pPr>
            <w:r>
              <w:rPr>
                <w:rFonts w:ascii="Times New Roman" w:hAnsi="Times New Roman"/>
                <w:i/>
                <w:sz w:val="18"/>
                <w:szCs w:val="18"/>
              </w:rPr>
              <w:t xml:space="preserve">Circumferential spinal cord compression </w:t>
            </w:r>
          </w:p>
          <w:p w:rsidR="003277A2" w:rsidRDefault="003277A2" w:rsidP="003277A2">
            <w:pPr>
              <w:pStyle w:val="ListParagraph"/>
              <w:numPr>
                <w:ilvl w:val="0"/>
                <w:numId w:val="1"/>
              </w:numPr>
              <w:spacing w:after="0" w:line="240" w:lineRule="auto"/>
              <w:ind w:left="328" w:hanging="180"/>
              <w:rPr>
                <w:rFonts w:ascii="Times New Roman" w:hAnsi="Times New Roman"/>
                <w:sz w:val="18"/>
                <w:szCs w:val="18"/>
              </w:rPr>
            </w:pPr>
            <w:r>
              <w:rPr>
                <w:rFonts w:ascii="Times New Roman" w:hAnsi="Times New Roman"/>
                <w:sz w:val="18"/>
                <w:szCs w:val="18"/>
              </w:rPr>
              <w:t xml:space="preserve">OR = 26.6 (95% CI, 1.68-421.5; </w:t>
            </w:r>
            <w:r>
              <w:rPr>
                <w:rFonts w:ascii="Times New Roman" w:hAnsi="Times New Roman"/>
                <w:i/>
                <w:sz w:val="18"/>
                <w:szCs w:val="18"/>
              </w:rPr>
              <w:t>P</w:t>
            </w:r>
            <w:r>
              <w:rPr>
                <w:rFonts w:ascii="Times New Roman" w:hAnsi="Times New Roman"/>
                <w:sz w:val="18"/>
                <w:szCs w:val="18"/>
              </w:rPr>
              <w:t xml:space="preserve"> = .02)</w:t>
            </w:r>
          </w:p>
          <w:p w:rsidR="003277A2" w:rsidRPr="00FD7161" w:rsidRDefault="003277A2" w:rsidP="00C26909">
            <w:pPr>
              <w:rPr>
                <w:rFonts w:ascii="Times New Roman" w:hAnsi="Times New Roman"/>
                <w:sz w:val="18"/>
                <w:szCs w:val="18"/>
              </w:rPr>
            </w:pPr>
          </w:p>
        </w:tc>
      </w:tr>
      <w:tr w:rsidR="003277A2" w:rsidRPr="00E31B4F" w:rsidTr="00C26909">
        <w:tc>
          <w:tcPr>
            <w:tcW w:w="1350" w:type="dxa"/>
          </w:tcPr>
          <w:p w:rsidR="003277A2" w:rsidRDefault="003277A2" w:rsidP="00C26909">
            <w:pPr>
              <w:rPr>
                <w:rFonts w:ascii="Times New Roman" w:hAnsi="Times New Roman"/>
                <w:sz w:val="18"/>
                <w:szCs w:val="18"/>
              </w:rPr>
            </w:pPr>
            <w:r w:rsidRPr="00E31B4F">
              <w:rPr>
                <w:rFonts w:ascii="Times New Roman" w:hAnsi="Times New Roman"/>
                <w:sz w:val="18"/>
                <w:szCs w:val="18"/>
              </w:rPr>
              <w:t>Yoshimatsu et al. (2001)</w:t>
            </w:r>
          </w:p>
          <w:p w:rsidR="003277A2" w:rsidRDefault="003277A2" w:rsidP="00C26909">
            <w:pPr>
              <w:rPr>
                <w:rFonts w:ascii="Times New Roman" w:hAnsi="Times New Roman"/>
                <w:sz w:val="18"/>
                <w:szCs w:val="18"/>
              </w:rPr>
            </w:pPr>
          </w:p>
          <w:p w:rsidR="003277A2" w:rsidRPr="00E31B4F" w:rsidRDefault="003277A2" w:rsidP="00C26909">
            <w:pPr>
              <w:rPr>
                <w:rFonts w:ascii="Times New Roman" w:hAnsi="Times New Roman"/>
                <w:sz w:val="18"/>
                <w:szCs w:val="18"/>
              </w:rPr>
            </w:pPr>
            <w:r w:rsidRPr="00E31B4F">
              <w:rPr>
                <w:rFonts w:ascii="Times New Roman" w:hAnsi="Times New Roman"/>
                <w:sz w:val="18"/>
                <w:szCs w:val="18"/>
              </w:rPr>
              <w:t>Retrospective cohort</w:t>
            </w:r>
          </w:p>
        </w:tc>
        <w:tc>
          <w:tcPr>
            <w:tcW w:w="1710" w:type="dxa"/>
          </w:tcPr>
          <w:p w:rsidR="003277A2" w:rsidRPr="00E31B4F" w:rsidRDefault="003277A2" w:rsidP="00C26909">
            <w:pPr>
              <w:rPr>
                <w:rFonts w:ascii="Times New Roman" w:hAnsi="Times New Roman"/>
                <w:sz w:val="18"/>
                <w:szCs w:val="18"/>
              </w:rPr>
            </w:pPr>
            <w:r w:rsidRPr="00E31B4F">
              <w:rPr>
                <w:rFonts w:ascii="Times New Roman" w:hAnsi="Times New Roman"/>
                <w:sz w:val="18"/>
                <w:szCs w:val="18"/>
                <w:lang w:val="en-AU"/>
              </w:rPr>
              <w:t>To investigate symptomatic changes after conservative treatment in patients based on a clear understanding of the effects and limitations of conservative treatment.</w:t>
            </w:r>
          </w:p>
        </w:tc>
        <w:tc>
          <w:tcPr>
            <w:tcW w:w="2520" w:type="dxa"/>
          </w:tcPr>
          <w:p w:rsidR="003277A2" w:rsidRPr="00E31B4F" w:rsidRDefault="003277A2" w:rsidP="00C26909">
            <w:pPr>
              <w:rPr>
                <w:rFonts w:ascii="Times New Roman" w:hAnsi="Times New Roman"/>
                <w:sz w:val="18"/>
                <w:szCs w:val="18"/>
              </w:rPr>
            </w:pPr>
            <w:r w:rsidRPr="00E31B4F">
              <w:rPr>
                <w:rFonts w:ascii="Times New Roman" w:hAnsi="Times New Roman"/>
                <w:sz w:val="18"/>
                <w:szCs w:val="18"/>
              </w:rPr>
              <w:t>N = 69</w:t>
            </w:r>
          </w:p>
          <w:p w:rsidR="003277A2" w:rsidRPr="00E31B4F" w:rsidRDefault="003277A2" w:rsidP="00C26909">
            <w:pPr>
              <w:ind w:left="72"/>
              <w:rPr>
                <w:rFonts w:ascii="Times New Roman" w:hAnsi="Times New Roman"/>
                <w:sz w:val="18"/>
                <w:szCs w:val="18"/>
              </w:rPr>
            </w:pPr>
            <w:r w:rsidRPr="00E31B4F">
              <w:rPr>
                <w:rFonts w:ascii="Times New Roman" w:hAnsi="Times New Roman"/>
                <w:sz w:val="18"/>
                <w:szCs w:val="18"/>
              </w:rPr>
              <w:t>Male: 51%</w:t>
            </w:r>
          </w:p>
          <w:p w:rsidR="003277A2" w:rsidRPr="00E31B4F" w:rsidRDefault="003277A2" w:rsidP="00C26909">
            <w:pPr>
              <w:ind w:left="72"/>
              <w:rPr>
                <w:rFonts w:ascii="Times New Roman" w:hAnsi="Times New Roman"/>
                <w:sz w:val="18"/>
                <w:szCs w:val="18"/>
              </w:rPr>
            </w:pPr>
            <w:r w:rsidRPr="00E31B4F">
              <w:rPr>
                <w:rFonts w:ascii="Times New Roman" w:hAnsi="Times New Roman"/>
                <w:sz w:val="18"/>
                <w:szCs w:val="18"/>
              </w:rPr>
              <w:t>Mean age (range): 67 (42-87) years</w:t>
            </w:r>
          </w:p>
          <w:p w:rsidR="003277A2" w:rsidRPr="00E31B4F" w:rsidRDefault="003277A2" w:rsidP="00C26909">
            <w:pPr>
              <w:rPr>
                <w:rFonts w:ascii="Times New Roman" w:hAnsi="Times New Roman"/>
                <w:sz w:val="18"/>
                <w:szCs w:val="18"/>
                <w:u w:val="single"/>
              </w:rPr>
            </w:pPr>
          </w:p>
          <w:p w:rsidR="003277A2" w:rsidRPr="00E31B4F" w:rsidRDefault="003277A2" w:rsidP="00C26909">
            <w:pPr>
              <w:rPr>
                <w:rFonts w:ascii="Times New Roman" w:hAnsi="Times New Roman"/>
                <w:sz w:val="18"/>
                <w:szCs w:val="18"/>
              </w:rPr>
            </w:pPr>
            <w:r w:rsidRPr="00E31B4F">
              <w:rPr>
                <w:rFonts w:ascii="Times New Roman" w:hAnsi="Times New Roman"/>
                <w:sz w:val="18"/>
                <w:szCs w:val="18"/>
                <w:u w:val="single"/>
              </w:rPr>
              <w:t>Diagnosis</w:t>
            </w:r>
            <w:r w:rsidRPr="00E31B4F">
              <w:rPr>
                <w:rFonts w:ascii="Times New Roman" w:hAnsi="Times New Roman"/>
                <w:sz w:val="18"/>
                <w:szCs w:val="18"/>
              </w:rPr>
              <w:t>:</w:t>
            </w:r>
          </w:p>
          <w:p w:rsidR="003277A2" w:rsidRPr="00E31B4F" w:rsidRDefault="003277A2" w:rsidP="00C26909">
            <w:pPr>
              <w:ind w:left="72"/>
              <w:rPr>
                <w:rFonts w:ascii="Times New Roman" w:hAnsi="Times New Roman"/>
                <w:sz w:val="18"/>
                <w:szCs w:val="18"/>
              </w:rPr>
            </w:pPr>
            <w:r w:rsidRPr="00E31B4F">
              <w:rPr>
                <w:rFonts w:ascii="Times New Roman" w:hAnsi="Times New Roman"/>
                <w:sz w:val="18"/>
                <w:szCs w:val="18"/>
              </w:rPr>
              <w:t>Mild CSM (n = 69)</w:t>
            </w:r>
          </w:p>
          <w:p w:rsidR="003277A2" w:rsidRPr="00E31B4F" w:rsidRDefault="003277A2" w:rsidP="00C26909">
            <w:pPr>
              <w:ind w:left="72"/>
              <w:rPr>
                <w:rFonts w:ascii="Times New Roman" w:hAnsi="Times New Roman"/>
                <w:sz w:val="18"/>
                <w:szCs w:val="18"/>
              </w:rPr>
            </w:pPr>
          </w:p>
          <w:p w:rsidR="003277A2" w:rsidRPr="00E31B4F" w:rsidRDefault="003277A2" w:rsidP="00C26909">
            <w:pPr>
              <w:rPr>
                <w:rFonts w:ascii="Times New Roman" w:hAnsi="Times New Roman"/>
                <w:sz w:val="18"/>
                <w:szCs w:val="18"/>
              </w:rPr>
            </w:pPr>
            <w:r w:rsidRPr="00E31B4F">
              <w:rPr>
                <w:rFonts w:ascii="Times New Roman" w:hAnsi="Times New Roman"/>
                <w:sz w:val="18"/>
                <w:szCs w:val="18"/>
                <w:u w:val="single"/>
              </w:rPr>
              <w:t>Rigorous conservative treatment</w:t>
            </w:r>
            <w:r w:rsidRPr="00E31B4F">
              <w:rPr>
                <w:rFonts w:ascii="Times New Roman" w:hAnsi="Times New Roman"/>
                <w:sz w:val="18"/>
                <w:szCs w:val="18"/>
              </w:rPr>
              <w:t>:</w:t>
            </w:r>
          </w:p>
          <w:p w:rsidR="003277A2" w:rsidRPr="00E31B4F" w:rsidRDefault="003277A2" w:rsidP="00C26909">
            <w:pPr>
              <w:rPr>
                <w:rFonts w:ascii="Times New Roman" w:hAnsi="Times New Roman"/>
                <w:sz w:val="18"/>
                <w:szCs w:val="18"/>
              </w:rPr>
            </w:pPr>
            <w:r w:rsidRPr="00E31B4F">
              <w:rPr>
                <w:rFonts w:ascii="Times New Roman" w:hAnsi="Times New Roman"/>
                <w:sz w:val="18"/>
                <w:szCs w:val="18"/>
              </w:rPr>
              <w:t xml:space="preserve"> Continuous traction by the Good-Samaritan method 3-4 hours daily, immobilized cervical spine by a cervical orthosis in combination with drug therapy and exercise </w:t>
            </w:r>
            <w:r w:rsidRPr="00E31B4F">
              <w:rPr>
                <w:rFonts w:ascii="Times New Roman" w:hAnsi="Times New Roman"/>
                <w:sz w:val="18"/>
                <w:szCs w:val="18"/>
              </w:rPr>
              <w:lastRenderedPageBreak/>
              <w:t>therapy, carried out for 1-3 months</w:t>
            </w:r>
          </w:p>
        </w:tc>
        <w:tc>
          <w:tcPr>
            <w:tcW w:w="1980" w:type="dxa"/>
          </w:tcPr>
          <w:p w:rsidR="003277A2" w:rsidRDefault="003277A2" w:rsidP="003277A2">
            <w:pPr>
              <w:pStyle w:val="ListParagraph"/>
              <w:numPr>
                <w:ilvl w:val="0"/>
                <w:numId w:val="1"/>
              </w:numPr>
              <w:spacing w:after="0" w:line="240" w:lineRule="auto"/>
              <w:ind w:left="162" w:hanging="162"/>
              <w:rPr>
                <w:rFonts w:ascii="Times New Roman" w:hAnsi="Times New Roman"/>
                <w:sz w:val="18"/>
                <w:szCs w:val="18"/>
              </w:rPr>
            </w:pPr>
            <w:r>
              <w:rPr>
                <w:rFonts w:ascii="Times New Roman" w:hAnsi="Times New Roman"/>
                <w:sz w:val="18"/>
                <w:szCs w:val="18"/>
              </w:rPr>
              <w:lastRenderedPageBreak/>
              <w:t>Age</w:t>
            </w:r>
          </w:p>
          <w:p w:rsidR="003277A2" w:rsidRPr="0046590D" w:rsidRDefault="003277A2" w:rsidP="00C26909">
            <w:pPr>
              <w:pStyle w:val="ListParagraph"/>
              <w:numPr>
                <w:ilvl w:val="0"/>
                <w:numId w:val="1"/>
              </w:numPr>
              <w:ind w:left="162" w:hanging="162"/>
              <w:rPr>
                <w:rFonts w:ascii="Times New Roman" w:hAnsi="Times New Roman"/>
                <w:sz w:val="18"/>
                <w:szCs w:val="18"/>
              </w:rPr>
            </w:pPr>
            <w:r w:rsidRPr="00E31B4F">
              <w:rPr>
                <w:rFonts w:ascii="Times New Roman" w:hAnsi="Times New Roman"/>
                <w:sz w:val="18"/>
                <w:szCs w:val="18"/>
              </w:rPr>
              <w:t>Antero-posterior diameter of the spinal canal</w:t>
            </w:r>
          </w:p>
          <w:p w:rsidR="003277A2" w:rsidRDefault="003277A2" w:rsidP="003277A2">
            <w:pPr>
              <w:pStyle w:val="ListParagraph"/>
              <w:numPr>
                <w:ilvl w:val="0"/>
                <w:numId w:val="1"/>
              </w:numPr>
              <w:spacing w:after="0" w:line="240" w:lineRule="auto"/>
              <w:ind w:left="162" w:hanging="162"/>
              <w:rPr>
                <w:rFonts w:ascii="Times New Roman" w:hAnsi="Times New Roman"/>
                <w:sz w:val="18"/>
                <w:szCs w:val="18"/>
              </w:rPr>
            </w:pPr>
            <w:r>
              <w:rPr>
                <w:rFonts w:ascii="Times New Roman" w:hAnsi="Times New Roman"/>
                <w:sz w:val="18"/>
                <w:szCs w:val="18"/>
              </w:rPr>
              <w:t>Disease duration</w:t>
            </w:r>
          </w:p>
          <w:p w:rsidR="003277A2" w:rsidRDefault="003277A2" w:rsidP="003277A2">
            <w:pPr>
              <w:pStyle w:val="ListParagraph"/>
              <w:numPr>
                <w:ilvl w:val="0"/>
                <w:numId w:val="1"/>
              </w:numPr>
              <w:spacing w:after="0" w:line="240" w:lineRule="auto"/>
              <w:ind w:left="162" w:hanging="162"/>
              <w:rPr>
                <w:rFonts w:ascii="Times New Roman" w:hAnsi="Times New Roman"/>
                <w:sz w:val="18"/>
                <w:szCs w:val="18"/>
              </w:rPr>
            </w:pPr>
            <w:r>
              <w:rPr>
                <w:rFonts w:ascii="Times New Roman" w:hAnsi="Times New Roman"/>
                <w:sz w:val="18"/>
                <w:szCs w:val="18"/>
              </w:rPr>
              <w:t>Past therapeutic history</w:t>
            </w:r>
          </w:p>
          <w:p w:rsidR="003277A2" w:rsidRDefault="003277A2" w:rsidP="003277A2">
            <w:pPr>
              <w:pStyle w:val="ListParagraph"/>
              <w:numPr>
                <w:ilvl w:val="0"/>
                <w:numId w:val="1"/>
              </w:numPr>
              <w:spacing w:after="0" w:line="240" w:lineRule="auto"/>
              <w:ind w:left="162" w:hanging="162"/>
              <w:rPr>
                <w:rFonts w:ascii="Times New Roman" w:hAnsi="Times New Roman"/>
                <w:sz w:val="18"/>
                <w:szCs w:val="18"/>
              </w:rPr>
            </w:pPr>
            <w:r>
              <w:rPr>
                <w:rFonts w:ascii="Times New Roman" w:hAnsi="Times New Roman"/>
                <w:sz w:val="18"/>
                <w:szCs w:val="18"/>
              </w:rPr>
              <w:t>Pre-op JOA</w:t>
            </w:r>
          </w:p>
          <w:p w:rsidR="003277A2" w:rsidRDefault="003277A2" w:rsidP="003277A2">
            <w:pPr>
              <w:pStyle w:val="ListParagraph"/>
              <w:numPr>
                <w:ilvl w:val="0"/>
                <w:numId w:val="1"/>
              </w:numPr>
              <w:spacing w:after="0" w:line="240" w:lineRule="auto"/>
              <w:ind w:left="162" w:hanging="162"/>
              <w:rPr>
                <w:rFonts w:ascii="Times New Roman" w:hAnsi="Times New Roman"/>
                <w:sz w:val="18"/>
                <w:szCs w:val="18"/>
              </w:rPr>
            </w:pPr>
            <w:r>
              <w:rPr>
                <w:rFonts w:ascii="Times New Roman" w:hAnsi="Times New Roman"/>
                <w:sz w:val="18"/>
                <w:szCs w:val="18"/>
              </w:rPr>
              <w:t>Presence of conservative treatment</w:t>
            </w:r>
          </w:p>
          <w:p w:rsidR="003277A2" w:rsidRPr="0046590D" w:rsidRDefault="003277A2" w:rsidP="003277A2">
            <w:pPr>
              <w:pStyle w:val="ListParagraph"/>
              <w:numPr>
                <w:ilvl w:val="0"/>
                <w:numId w:val="1"/>
              </w:numPr>
              <w:spacing w:after="0" w:line="240" w:lineRule="auto"/>
              <w:ind w:left="162" w:hanging="162"/>
              <w:rPr>
                <w:rFonts w:ascii="Times New Roman" w:hAnsi="Times New Roman"/>
                <w:sz w:val="18"/>
                <w:szCs w:val="18"/>
              </w:rPr>
            </w:pPr>
            <w:r>
              <w:rPr>
                <w:rFonts w:ascii="Times New Roman" w:hAnsi="Times New Roman"/>
                <w:sz w:val="18"/>
                <w:szCs w:val="18"/>
              </w:rPr>
              <w:t>Presence of rigorous conservative treatment</w:t>
            </w:r>
          </w:p>
        </w:tc>
        <w:tc>
          <w:tcPr>
            <w:tcW w:w="1890" w:type="dxa"/>
          </w:tcPr>
          <w:p w:rsidR="003277A2" w:rsidRPr="00D02200" w:rsidRDefault="003277A2" w:rsidP="00C26909">
            <w:pPr>
              <w:rPr>
                <w:rFonts w:ascii="Times New Roman" w:hAnsi="Times New Roman"/>
                <w:sz w:val="18"/>
                <w:szCs w:val="18"/>
              </w:rPr>
            </w:pPr>
            <w:r>
              <w:rPr>
                <w:rFonts w:ascii="Times New Roman" w:hAnsi="Times New Roman"/>
                <w:sz w:val="18"/>
                <w:szCs w:val="18"/>
              </w:rPr>
              <w:t>T2WI:</w:t>
            </w:r>
          </w:p>
          <w:p w:rsidR="003277A2" w:rsidRPr="00E31B4F" w:rsidRDefault="003277A2" w:rsidP="003277A2">
            <w:pPr>
              <w:pStyle w:val="ListParagraph"/>
              <w:numPr>
                <w:ilvl w:val="0"/>
                <w:numId w:val="1"/>
              </w:numPr>
              <w:spacing w:after="0" w:line="240" w:lineRule="auto"/>
              <w:ind w:left="162" w:hanging="162"/>
              <w:rPr>
                <w:rFonts w:ascii="Times New Roman" w:hAnsi="Times New Roman"/>
                <w:sz w:val="18"/>
                <w:szCs w:val="18"/>
              </w:rPr>
            </w:pPr>
            <w:r w:rsidRPr="00E31B4F">
              <w:rPr>
                <w:rFonts w:ascii="Times New Roman" w:hAnsi="Times New Roman"/>
                <w:sz w:val="18"/>
                <w:szCs w:val="18"/>
              </w:rPr>
              <w:t>Presence of ISI</w:t>
            </w:r>
          </w:p>
          <w:p w:rsidR="003277A2" w:rsidRPr="00E31B4F" w:rsidRDefault="003277A2" w:rsidP="003277A2">
            <w:pPr>
              <w:pStyle w:val="ListParagraph"/>
              <w:numPr>
                <w:ilvl w:val="0"/>
                <w:numId w:val="1"/>
              </w:numPr>
              <w:spacing w:after="0" w:line="240" w:lineRule="auto"/>
              <w:ind w:left="162" w:hanging="162"/>
              <w:rPr>
                <w:rFonts w:ascii="Times New Roman" w:hAnsi="Times New Roman"/>
                <w:sz w:val="18"/>
                <w:szCs w:val="18"/>
              </w:rPr>
            </w:pPr>
            <w:r w:rsidRPr="00E31B4F">
              <w:rPr>
                <w:rFonts w:ascii="Times New Roman" w:hAnsi="Times New Roman"/>
                <w:sz w:val="18"/>
                <w:szCs w:val="18"/>
              </w:rPr>
              <w:t>Number of intervertebral discs compressing the spinal cord</w:t>
            </w:r>
            <w:r>
              <w:rPr>
                <w:sz w:val="18"/>
                <w:szCs w:val="18"/>
              </w:rPr>
              <w:t>§</w:t>
            </w:r>
          </w:p>
        </w:tc>
        <w:tc>
          <w:tcPr>
            <w:tcW w:w="1350" w:type="dxa"/>
          </w:tcPr>
          <w:p w:rsidR="003277A2" w:rsidRPr="00E31B4F" w:rsidRDefault="003277A2" w:rsidP="003277A2">
            <w:pPr>
              <w:pStyle w:val="ListParagraph"/>
              <w:numPr>
                <w:ilvl w:val="0"/>
                <w:numId w:val="1"/>
              </w:numPr>
              <w:spacing w:after="0" w:line="240" w:lineRule="auto"/>
              <w:ind w:left="162" w:hanging="162"/>
              <w:rPr>
                <w:rFonts w:ascii="Times New Roman" w:hAnsi="Times New Roman"/>
                <w:sz w:val="18"/>
                <w:szCs w:val="18"/>
              </w:rPr>
            </w:pPr>
            <w:r>
              <w:rPr>
                <w:rFonts w:ascii="Times New Roman" w:hAnsi="Times New Roman"/>
                <w:sz w:val="18"/>
                <w:szCs w:val="18"/>
              </w:rPr>
              <w:t>Exacerbation or improvement</w:t>
            </w:r>
            <w:r w:rsidRPr="00E31B4F">
              <w:rPr>
                <w:rFonts w:ascii="Times New Roman" w:hAnsi="Times New Roman"/>
                <w:sz w:val="18"/>
                <w:szCs w:val="18"/>
              </w:rPr>
              <w:t xml:space="preserve"> of symptoms based on JOA</w:t>
            </w:r>
          </w:p>
        </w:tc>
        <w:tc>
          <w:tcPr>
            <w:tcW w:w="1152" w:type="dxa"/>
          </w:tcPr>
          <w:p w:rsidR="003277A2" w:rsidRPr="00E31B4F" w:rsidRDefault="003277A2" w:rsidP="00C26909">
            <w:pPr>
              <w:rPr>
                <w:rFonts w:ascii="Times New Roman" w:hAnsi="Times New Roman"/>
                <w:sz w:val="18"/>
                <w:szCs w:val="18"/>
              </w:rPr>
            </w:pPr>
            <w:r w:rsidRPr="00E31B4F">
              <w:rPr>
                <w:rFonts w:ascii="Times New Roman" w:hAnsi="Times New Roman"/>
                <w:sz w:val="18"/>
                <w:szCs w:val="18"/>
              </w:rPr>
              <w:t>Mean 29 months (range, 1-76)</w:t>
            </w:r>
          </w:p>
        </w:tc>
        <w:tc>
          <w:tcPr>
            <w:tcW w:w="2268" w:type="dxa"/>
          </w:tcPr>
          <w:p w:rsidR="003277A2" w:rsidRPr="00E31B4F" w:rsidRDefault="003277A2" w:rsidP="00C26909">
            <w:pPr>
              <w:rPr>
                <w:rFonts w:ascii="Times New Roman" w:hAnsi="Times New Roman"/>
                <w:b/>
                <w:sz w:val="18"/>
                <w:szCs w:val="18"/>
              </w:rPr>
            </w:pPr>
            <w:r w:rsidRPr="00E31B4F">
              <w:rPr>
                <w:rFonts w:ascii="Times New Roman" w:hAnsi="Times New Roman"/>
                <w:b/>
                <w:sz w:val="18"/>
                <w:szCs w:val="18"/>
              </w:rPr>
              <w:t>Correlation o</w:t>
            </w:r>
            <w:r>
              <w:rPr>
                <w:rFonts w:ascii="Times New Roman" w:hAnsi="Times New Roman"/>
                <w:b/>
                <w:sz w:val="18"/>
                <w:szCs w:val="18"/>
              </w:rPr>
              <w:t>f MRI factor with</w:t>
            </w:r>
            <w:r w:rsidRPr="00E31B4F">
              <w:rPr>
                <w:rFonts w:ascii="Times New Roman" w:hAnsi="Times New Roman"/>
                <w:b/>
                <w:sz w:val="18"/>
                <w:szCs w:val="18"/>
              </w:rPr>
              <w:t xml:space="preserve"> exacerbation</w:t>
            </w:r>
          </w:p>
          <w:p w:rsidR="003277A2" w:rsidRPr="00E31B4F" w:rsidRDefault="003277A2" w:rsidP="00C26909">
            <w:pPr>
              <w:rPr>
                <w:rFonts w:ascii="Times New Roman" w:hAnsi="Times New Roman"/>
                <w:i/>
                <w:sz w:val="18"/>
                <w:szCs w:val="18"/>
              </w:rPr>
            </w:pPr>
            <w:r>
              <w:rPr>
                <w:rFonts w:ascii="Times New Roman" w:hAnsi="Times New Roman"/>
                <w:i/>
                <w:sz w:val="18"/>
                <w:szCs w:val="18"/>
              </w:rPr>
              <w:t>Presence of ISI</w:t>
            </w:r>
          </w:p>
          <w:p w:rsidR="003277A2" w:rsidRDefault="003277A2" w:rsidP="003277A2">
            <w:pPr>
              <w:pStyle w:val="ListParagraph"/>
              <w:numPr>
                <w:ilvl w:val="0"/>
                <w:numId w:val="1"/>
              </w:numPr>
              <w:spacing w:after="0" w:line="240" w:lineRule="auto"/>
              <w:ind w:left="328" w:hanging="180"/>
              <w:rPr>
                <w:rFonts w:ascii="Times New Roman" w:hAnsi="Times New Roman"/>
                <w:sz w:val="18"/>
                <w:szCs w:val="18"/>
              </w:rPr>
            </w:pPr>
            <w:r>
              <w:rPr>
                <w:rFonts w:ascii="Times New Roman" w:hAnsi="Times New Roman"/>
                <w:sz w:val="18"/>
                <w:szCs w:val="18"/>
              </w:rPr>
              <w:t>OR = 1.52 (</w:t>
            </w:r>
            <w:r>
              <w:rPr>
                <w:rFonts w:ascii="Times New Roman" w:hAnsi="Times New Roman"/>
                <w:i/>
                <w:sz w:val="18"/>
                <w:szCs w:val="18"/>
              </w:rPr>
              <w:t>P</w:t>
            </w:r>
            <w:r>
              <w:rPr>
                <w:rFonts w:ascii="Times New Roman" w:hAnsi="Times New Roman"/>
                <w:sz w:val="18"/>
                <w:szCs w:val="18"/>
              </w:rPr>
              <w:t xml:space="preserve"> = .52)</w:t>
            </w:r>
          </w:p>
          <w:p w:rsidR="003277A2" w:rsidRPr="00DC4898" w:rsidRDefault="003277A2" w:rsidP="00C26909">
            <w:pPr>
              <w:rPr>
                <w:rFonts w:ascii="Times New Roman" w:hAnsi="Times New Roman"/>
                <w:i/>
                <w:sz w:val="18"/>
                <w:szCs w:val="18"/>
              </w:rPr>
            </w:pPr>
            <w:r>
              <w:rPr>
                <w:rFonts w:ascii="Times New Roman" w:hAnsi="Times New Roman"/>
                <w:i/>
                <w:sz w:val="18"/>
                <w:szCs w:val="18"/>
              </w:rPr>
              <w:t>Number of intervertebral discs compressing the spinal cord</w:t>
            </w:r>
          </w:p>
          <w:p w:rsidR="003277A2" w:rsidRDefault="003277A2" w:rsidP="003277A2">
            <w:pPr>
              <w:pStyle w:val="ListParagraph"/>
              <w:numPr>
                <w:ilvl w:val="0"/>
                <w:numId w:val="1"/>
              </w:numPr>
              <w:spacing w:after="0" w:line="240" w:lineRule="auto"/>
              <w:ind w:left="328" w:hanging="180"/>
              <w:rPr>
                <w:rFonts w:ascii="Times New Roman" w:hAnsi="Times New Roman"/>
                <w:sz w:val="18"/>
                <w:szCs w:val="18"/>
              </w:rPr>
            </w:pPr>
            <w:r>
              <w:rPr>
                <w:rFonts w:ascii="Times New Roman" w:hAnsi="Times New Roman"/>
                <w:sz w:val="18"/>
                <w:szCs w:val="18"/>
              </w:rPr>
              <w:t>OR = 1.41 (</w:t>
            </w:r>
            <w:r>
              <w:rPr>
                <w:rFonts w:ascii="Times New Roman" w:hAnsi="Times New Roman"/>
                <w:i/>
                <w:sz w:val="18"/>
                <w:szCs w:val="18"/>
              </w:rPr>
              <w:t>P</w:t>
            </w:r>
            <w:r>
              <w:rPr>
                <w:rFonts w:ascii="Times New Roman" w:hAnsi="Times New Roman"/>
                <w:sz w:val="18"/>
                <w:szCs w:val="18"/>
              </w:rPr>
              <w:t xml:space="preserve"> = .42)</w:t>
            </w:r>
          </w:p>
          <w:p w:rsidR="003277A2" w:rsidRPr="00E31B4F" w:rsidRDefault="003277A2" w:rsidP="00C26909">
            <w:pPr>
              <w:rPr>
                <w:rFonts w:ascii="Times New Roman" w:hAnsi="Times New Roman"/>
                <w:b/>
                <w:sz w:val="18"/>
                <w:szCs w:val="18"/>
              </w:rPr>
            </w:pPr>
            <w:r w:rsidRPr="00E31B4F">
              <w:rPr>
                <w:rFonts w:ascii="Times New Roman" w:hAnsi="Times New Roman"/>
                <w:b/>
                <w:sz w:val="18"/>
                <w:szCs w:val="18"/>
              </w:rPr>
              <w:t>Correlation o</w:t>
            </w:r>
            <w:r>
              <w:rPr>
                <w:rFonts w:ascii="Times New Roman" w:hAnsi="Times New Roman"/>
                <w:b/>
                <w:sz w:val="18"/>
                <w:szCs w:val="18"/>
              </w:rPr>
              <w:t>f MRI factor with</w:t>
            </w:r>
            <w:r w:rsidRPr="00E31B4F">
              <w:rPr>
                <w:rFonts w:ascii="Times New Roman" w:hAnsi="Times New Roman"/>
                <w:b/>
                <w:sz w:val="18"/>
                <w:szCs w:val="18"/>
              </w:rPr>
              <w:t xml:space="preserve"> </w:t>
            </w:r>
            <w:r>
              <w:rPr>
                <w:rFonts w:ascii="Times New Roman" w:hAnsi="Times New Roman"/>
                <w:b/>
                <w:sz w:val="18"/>
                <w:szCs w:val="18"/>
              </w:rPr>
              <w:t>improvement</w:t>
            </w:r>
          </w:p>
          <w:p w:rsidR="003277A2" w:rsidRPr="00E31B4F" w:rsidRDefault="003277A2" w:rsidP="00C26909">
            <w:pPr>
              <w:rPr>
                <w:rFonts w:ascii="Times New Roman" w:hAnsi="Times New Roman"/>
                <w:i/>
                <w:sz w:val="18"/>
                <w:szCs w:val="18"/>
              </w:rPr>
            </w:pPr>
            <w:r>
              <w:rPr>
                <w:rFonts w:ascii="Times New Roman" w:hAnsi="Times New Roman"/>
                <w:i/>
                <w:sz w:val="18"/>
                <w:szCs w:val="18"/>
              </w:rPr>
              <w:t>Presence of ISI</w:t>
            </w:r>
          </w:p>
          <w:p w:rsidR="003277A2" w:rsidRDefault="003277A2" w:rsidP="003277A2">
            <w:pPr>
              <w:pStyle w:val="ListParagraph"/>
              <w:numPr>
                <w:ilvl w:val="0"/>
                <w:numId w:val="1"/>
              </w:numPr>
              <w:spacing w:after="0" w:line="240" w:lineRule="auto"/>
              <w:ind w:left="328" w:hanging="180"/>
              <w:rPr>
                <w:rFonts w:ascii="Times New Roman" w:hAnsi="Times New Roman"/>
                <w:sz w:val="18"/>
                <w:szCs w:val="18"/>
              </w:rPr>
            </w:pPr>
            <w:r>
              <w:rPr>
                <w:rFonts w:ascii="Times New Roman" w:hAnsi="Times New Roman"/>
                <w:sz w:val="18"/>
                <w:szCs w:val="18"/>
              </w:rPr>
              <w:t>OR = 0.53 (</w:t>
            </w:r>
            <w:r>
              <w:rPr>
                <w:rFonts w:ascii="Times New Roman" w:hAnsi="Times New Roman"/>
                <w:i/>
                <w:sz w:val="18"/>
                <w:szCs w:val="18"/>
              </w:rPr>
              <w:t>P</w:t>
            </w:r>
            <w:r>
              <w:rPr>
                <w:rFonts w:ascii="Times New Roman" w:hAnsi="Times New Roman"/>
                <w:sz w:val="18"/>
                <w:szCs w:val="18"/>
              </w:rPr>
              <w:t xml:space="preserve"> = .42)</w:t>
            </w:r>
          </w:p>
          <w:p w:rsidR="003277A2" w:rsidRPr="00DC4898" w:rsidRDefault="003277A2" w:rsidP="00C26909">
            <w:pPr>
              <w:rPr>
                <w:rFonts w:ascii="Times New Roman" w:hAnsi="Times New Roman"/>
                <w:i/>
                <w:sz w:val="18"/>
                <w:szCs w:val="18"/>
              </w:rPr>
            </w:pPr>
            <w:r>
              <w:rPr>
                <w:rFonts w:ascii="Times New Roman" w:hAnsi="Times New Roman"/>
                <w:i/>
                <w:sz w:val="18"/>
                <w:szCs w:val="18"/>
              </w:rPr>
              <w:t>Number of intervertebral discs compressing the spinal cord</w:t>
            </w:r>
          </w:p>
          <w:p w:rsidR="003277A2" w:rsidRPr="006763DF" w:rsidRDefault="003277A2" w:rsidP="003277A2">
            <w:pPr>
              <w:pStyle w:val="ListParagraph"/>
              <w:numPr>
                <w:ilvl w:val="0"/>
                <w:numId w:val="1"/>
              </w:numPr>
              <w:spacing w:after="0" w:line="240" w:lineRule="auto"/>
              <w:ind w:left="328" w:hanging="180"/>
              <w:rPr>
                <w:rFonts w:ascii="Times New Roman" w:hAnsi="Times New Roman"/>
                <w:sz w:val="18"/>
                <w:szCs w:val="18"/>
              </w:rPr>
            </w:pPr>
            <w:r>
              <w:rPr>
                <w:rFonts w:ascii="Times New Roman" w:hAnsi="Times New Roman"/>
                <w:sz w:val="18"/>
                <w:szCs w:val="18"/>
              </w:rPr>
              <w:t>OR = 1.09 (</w:t>
            </w:r>
            <w:r>
              <w:rPr>
                <w:rFonts w:ascii="Times New Roman" w:hAnsi="Times New Roman"/>
                <w:i/>
                <w:sz w:val="18"/>
                <w:szCs w:val="18"/>
              </w:rPr>
              <w:t>P</w:t>
            </w:r>
            <w:r>
              <w:rPr>
                <w:rFonts w:ascii="Times New Roman" w:hAnsi="Times New Roman"/>
                <w:sz w:val="18"/>
                <w:szCs w:val="18"/>
              </w:rPr>
              <w:t xml:space="preserve"> = .87)</w:t>
            </w:r>
          </w:p>
        </w:tc>
      </w:tr>
    </w:tbl>
    <w:p w:rsidR="003277A2" w:rsidRPr="00D81D73" w:rsidRDefault="003277A2" w:rsidP="003277A2">
      <w:pPr>
        <w:pStyle w:val="NoSpacing"/>
        <w:ind w:left="-450"/>
        <w:rPr>
          <w:rFonts w:ascii="Times New Roman" w:hAnsi="Times New Roman"/>
          <w:sz w:val="16"/>
          <w:szCs w:val="16"/>
        </w:rPr>
      </w:pPr>
      <w:r w:rsidRPr="00D81D73">
        <w:rPr>
          <w:rFonts w:ascii="Times New Roman" w:hAnsi="Times New Roman"/>
          <w:sz w:val="16"/>
          <w:szCs w:val="16"/>
        </w:rPr>
        <w:lastRenderedPageBreak/>
        <w:t>CSM = cervical spondylotic myelopathy; HR = hazard ratio; ISI = increased signal intensity; JOA = Japanese Orthopaedic Association; MRI = magnetic resonance imaging; ROM = range of motion.</w:t>
      </w:r>
    </w:p>
    <w:p w:rsidR="003277A2" w:rsidRPr="00D81D73" w:rsidRDefault="003277A2" w:rsidP="003277A2">
      <w:pPr>
        <w:pStyle w:val="NoSpacing"/>
        <w:ind w:left="-450"/>
        <w:rPr>
          <w:rFonts w:ascii="Times New Roman" w:hAnsi="Times New Roman"/>
          <w:sz w:val="16"/>
          <w:szCs w:val="16"/>
        </w:rPr>
      </w:pPr>
      <w:r w:rsidRPr="00D81D73">
        <w:rPr>
          <w:rFonts w:ascii="Times New Roman" w:hAnsi="Times New Roman"/>
          <w:sz w:val="16"/>
          <w:szCs w:val="16"/>
        </w:rPr>
        <w:t>*The extent of spinal cord compression was defined by the ratio of the spinal cord diameter of the narrowest part to that of the C1 level using sagittal ima</w:t>
      </w:r>
      <w:r>
        <w:rPr>
          <w:rFonts w:ascii="Times New Roman" w:hAnsi="Times New Roman"/>
          <w:sz w:val="16"/>
          <w:szCs w:val="16"/>
        </w:rPr>
        <w:t>ges on T2-weighted MRI (&lt; 50% versus ≥ 50%)</w:t>
      </w:r>
    </w:p>
    <w:p w:rsidR="003277A2" w:rsidRPr="00D81D73" w:rsidRDefault="003277A2" w:rsidP="003277A2">
      <w:pPr>
        <w:pStyle w:val="NoSpacing"/>
        <w:ind w:left="-450"/>
        <w:rPr>
          <w:rFonts w:ascii="Times New Roman" w:hAnsi="Times New Roman"/>
          <w:sz w:val="16"/>
          <w:szCs w:val="16"/>
        </w:rPr>
      </w:pPr>
      <w:r w:rsidRPr="00D81D73">
        <w:rPr>
          <w:rFonts w:ascii="Times New Roman" w:hAnsi="Times New Roman"/>
          <w:sz w:val="16"/>
          <w:szCs w:val="16"/>
        </w:rPr>
        <w:t>†Motor JOA score: Upper extremity motor function: 0-cannot eat with a spoon; 1-can eat with a spoon but not with chopsticks; 2-can eat with chopsticks but to a limited degree; 3-can eat with chopsticks but awkward; 4-no disability;  Lower extremity: 0-cannot walk; 1-needs cane or aid on flat ground; 2-needs cane or aid only on stairs; 3-can walk without cane or aid but slowly; 4-no disability.</w:t>
      </w:r>
    </w:p>
    <w:p w:rsidR="003277A2" w:rsidRPr="00D81D73" w:rsidRDefault="003277A2" w:rsidP="003277A2">
      <w:pPr>
        <w:pStyle w:val="NoSpacing"/>
        <w:ind w:left="-450"/>
        <w:rPr>
          <w:rFonts w:ascii="Times New Roman" w:hAnsi="Times New Roman"/>
          <w:sz w:val="16"/>
          <w:szCs w:val="16"/>
        </w:rPr>
      </w:pPr>
      <w:r w:rsidRPr="00D81D73">
        <w:rPr>
          <w:rFonts w:ascii="Times New Roman" w:hAnsi="Times New Roman"/>
          <w:sz w:val="16"/>
          <w:szCs w:val="16"/>
        </w:rPr>
        <w:t>‡Partial spinal cord compression: ventral surface of spinal cord is compressed by a combination of osteophytes and disc bulging. Still dorsal subarachnoid space for spinal cord can be seen</w:t>
      </w:r>
      <w:proofErr w:type="gramStart"/>
      <w:r w:rsidRPr="00D81D73">
        <w:rPr>
          <w:rFonts w:ascii="Times New Roman" w:hAnsi="Times New Roman"/>
          <w:sz w:val="16"/>
          <w:szCs w:val="16"/>
        </w:rPr>
        <w:t>;  Circumferential</w:t>
      </w:r>
      <w:proofErr w:type="gramEnd"/>
      <w:r w:rsidRPr="00D81D73">
        <w:rPr>
          <w:rFonts w:ascii="Times New Roman" w:hAnsi="Times New Roman"/>
          <w:sz w:val="16"/>
          <w:szCs w:val="16"/>
        </w:rPr>
        <w:t xml:space="preserve"> spinal cord compression: circumferential surface of spinal cord is compressed and deformed by a combination of osteophytes, disc bulging, and ligamentum flavum infolding. Dorsal subarachnoid space for spinal cord cannot be seen.</w:t>
      </w:r>
    </w:p>
    <w:p w:rsidR="003277A2" w:rsidRPr="00D81D73" w:rsidRDefault="003277A2" w:rsidP="003277A2">
      <w:pPr>
        <w:pStyle w:val="NoSpacing"/>
        <w:ind w:left="-450"/>
        <w:rPr>
          <w:rFonts w:ascii="Times New Roman" w:hAnsi="Times New Roman"/>
          <w:sz w:val="16"/>
          <w:szCs w:val="16"/>
        </w:rPr>
      </w:pPr>
      <w:r w:rsidRPr="00D81D73">
        <w:rPr>
          <w:sz w:val="16"/>
          <w:szCs w:val="16"/>
        </w:rPr>
        <w:t>§</w:t>
      </w:r>
      <w:r w:rsidRPr="00D81D73">
        <w:rPr>
          <w:rFonts w:ascii="Times New Roman" w:hAnsi="Times New Roman"/>
          <w:sz w:val="16"/>
          <w:szCs w:val="16"/>
        </w:rPr>
        <w:t xml:space="preserve">Mean number of discs compressing the spinal cord: Improvement = 2.40 </w:t>
      </w:r>
      <w:r w:rsidRPr="00D81D73">
        <w:rPr>
          <w:rFonts w:ascii="Times New Roman" w:hAnsi="Times New Roman"/>
          <w:sz w:val="16"/>
          <w:szCs w:val="16"/>
        </w:rPr>
        <w:sym w:font="Symbol" w:char="F0B1"/>
      </w:r>
      <w:r w:rsidRPr="00D81D73">
        <w:rPr>
          <w:rFonts w:ascii="Times New Roman" w:hAnsi="Times New Roman"/>
          <w:sz w:val="16"/>
          <w:szCs w:val="16"/>
        </w:rPr>
        <w:t xml:space="preserve"> 0.74; Exacerbation = 2.33 </w:t>
      </w:r>
      <w:r w:rsidRPr="00D81D73">
        <w:rPr>
          <w:rFonts w:ascii="Times New Roman" w:hAnsi="Times New Roman"/>
          <w:sz w:val="16"/>
          <w:szCs w:val="16"/>
        </w:rPr>
        <w:sym w:font="Symbol" w:char="F0B1"/>
      </w:r>
      <w:r w:rsidRPr="00D81D73">
        <w:rPr>
          <w:rFonts w:ascii="Times New Roman" w:hAnsi="Times New Roman"/>
          <w:sz w:val="16"/>
          <w:szCs w:val="16"/>
        </w:rPr>
        <w:t xml:space="preserve"> 0.75</w:t>
      </w:r>
      <w:r>
        <w:rPr>
          <w:rFonts w:ascii="Times New Roman" w:hAnsi="Times New Roman"/>
          <w:sz w:val="16"/>
          <w:szCs w:val="16"/>
        </w:rPr>
        <w:t xml:space="preserve">; No change = 1.89 </w:t>
      </w:r>
      <w:r w:rsidRPr="00D81D73">
        <w:rPr>
          <w:rFonts w:ascii="Times New Roman" w:hAnsi="Times New Roman"/>
          <w:sz w:val="16"/>
          <w:szCs w:val="16"/>
        </w:rPr>
        <w:sym w:font="Symbol" w:char="F0B1"/>
      </w:r>
      <w:r>
        <w:rPr>
          <w:rFonts w:ascii="Times New Roman" w:hAnsi="Times New Roman"/>
          <w:sz w:val="16"/>
          <w:szCs w:val="16"/>
        </w:rPr>
        <w:t xml:space="preserve"> 0.78</w:t>
      </w:r>
    </w:p>
    <w:p w:rsidR="003277A2" w:rsidRDefault="003277A2">
      <w:pPr>
        <w:rPr>
          <w:b/>
        </w:rPr>
      </w:pPr>
    </w:p>
    <w:p w:rsidR="003277A2" w:rsidRDefault="003277A2">
      <w:pPr>
        <w:rPr>
          <w:b/>
        </w:rPr>
      </w:pPr>
    </w:p>
    <w:p w:rsidR="003277A2" w:rsidRDefault="003277A2">
      <w:pPr>
        <w:rPr>
          <w:b/>
        </w:rPr>
      </w:pPr>
    </w:p>
    <w:p w:rsidR="003277A2" w:rsidRDefault="003277A2">
      <w:pPr>
        <w:rPr>
          <w:b/>
        </w:rPr>
        <w:sectPr w:rsidR="003277A2" w:rsidSect="003277A2">
          <w:pgSz w:w="15840" w:h="12240" w:orient="landscape"/>
          <w:pgMar w:top="1440" w:right="1440" w:bottom="1440" w:left="1440" w:header="720" w:footer="720" w:gutter="0"/>
          <w:cols w:space="720"/>
          <w:docGrid w:linePitch="360"/>
        </w:sectPr>
      </w:pPr>
    </w:p>
    <w:p w:rsidR="00B92FBD" w:rsidRPr="003277A2" w:rsidRDefault="003277A2">
      <w:pPr>
        <w:rPr>
          <w:b/>
        </w:rPr>
      </w:pPr>
      <w:r w:rsidRPr="003277A2">
        <w:rPr>
          <w:b/>
        </w:rPr>
        <w:lastRenderedPageBreak/>
        <w:t xml:space="preserve">Table S5.  </w:t>
      </w:r>
      <w:proofErr w:type="gramStart"/>
      <w:r w:rsidRPr="003277A2">
        <w:rPr>
          <w:b/>
        </w:rPr>
        <w:t>Detailed tables for prognostic studies of outcome following surgery.</w:t>
      </w:r>
      <w:proofErr w:type="gramEnd"/>
    </w:p>
    <w:tbl>
      <w:tblPr>
        <w:tblW w:w="1413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8"/>
        <w:gridCol w:w="1741"/>
        <w:gridCol w:w="2362"/>
        <w:gridCol w:w="1478"/>
        <w:gridCol w:w="1448"/>
        <w:gridCol w:w="1415"/>
        <w:gridCol w:w="1193"/>
        <w:gridCol w:w="3245"/>
      </w:tblGrid>
      <w:tr w:rsidR="0043721E" w:rsidRPr="003E1C61" w:rsidTr="00DC4E9E">
        <w:tc>
          <w:tcPr>
            <w:tcW w:w="1248" w:type="dxa"/>
          </w:tcPr>
          <w:p w:rsidR="003277A2" w:rsidRPr="003E1C61" w:rsidRDefault="003277A2" w:rsidP="00C26909">
            <w:pPr>
              <w:ind w:right="-108"/>
              <w:rPr>
                <w:b/>
                <w:sz w:val="18"/>
                <w:szCs w:val="18"/>
              </w:rPr>
            </w:pPr>
            <w:r w:rsidRPr="003E1C61">
              <w:rPr>
                <w:b/>
                <w:sz w:val="18"/>
                <w:szCs w:val="18"/>
              </w:rPr>
              <w:t>Author (year)</w:t>
            </w:r>
          </w:p>
          <w:p w:rsidR="003277A2" w:rsidRPr="003E1C61" w:rsidRDefault="003277A2" w:rsidP="00C26909">
            <w:pPr>
              <w:ind w:right="-108"/>
              <w:rPr>
                <w:b/>
                <w:sz w:val="18"/>
                <w:szCs w:val="18"/>
              </w:rPr>
            </w:pPr>
            <w:r w:rsidRPr="003E1C61">
              <w:rPr>
                <w:b/>
                <w:sz w:val="18"/>
                <w:szCs w:val="18"/>
              </w:rPr>
              <w:t>Study design</w:t>
            </w:r>
          </w:p>
        </w:tc>
        <w:tc>
          <w:tcPr>
            <w:tcW w:w="1741" w:type="dxa"/>
          </w:tcPr>
          <w:p w:rsidR="003277A2" w:rsidRPr="003E1C61" w:rsidRDefault="003277A2" w:rsidP="00C26909">
            <w:pPr>
              <w:rPr>
                <w:b/>
                <w:sz w:val="18"/>
                <w:szCs w:val="18"/>
              </w:rPr>
            </w:pPr>
            <w:r w:rsidRPr="003E1C61">
              <w:rPr>
                <w:b/>
                <w:sz w:val="18"/>
                <w:szCs w:val="18"/>
              </w:rPr>
              <w:t>Study Objective(s)</w:t>
            </w:r>
          </w:p>
        </w:tc>
        <w:tc>
          <w:tcPr>
            <w:tcW w:w="2362" w:type="dxa"/>
          </w:tcPr>
          <w:p w:rsidR="003277A2" w:rsidRPr="003E1C61" w:rsidRDefault="003277A2" w:rsidP="00C26909">
            <w:pPr>
              <w:rPr>
                <w:b/>
                <w:sz w:val="18"/>
                <w:szCs w:val="18"/>
              </w:rPr>
            </w:pPr>
            <w:r w:rsidRPr="003E1C61">
              <w:rPr>
                <w:b/>
                <w:sz w:val="18"/>
                <w:szCs w:val="18"/>
              </w:rPr>
              <w:t>Sample and Characteristics</w:t>
            </w:r>
          </w:p>
        </w:tc>
        <w:tc>
          <w:tcPr>
            <w:tcW w:w="1478" w:type="dxa"/>
          </w:tcPr>
          <w:p w:rsidR="003277A2" w:rsidRPr="003E1C61" w:rsidRDefault="003277A2" w:rsidP="00C26909">
            <w:pPr>
              <w:rPr>
                <w:b/>
                <w:sz w:val="18"/>
                <w:szCs w:val="18"/>
              </w:rPr>
            </w:pPr>
            <w:r w:rsidRPr="003E1C61">
              <w:rPr>
                <w:b/>
                <w:sz w:val="18"/>
                <w:szCs w:val="18"/>
              </w:rPr>
              <w:t>Non-MRI factors assessed</w:t>
            </w:r>
          </w:p>
        </w:tc>
        <w:tc>
          <w:tcPr>
            <w:tcW w:w="1448" w:type="dxa"/>
          </w:tcPr>
          <w:p w:rsidR="003277A2" w:rsidRPr="003E1C61" w:rsidRDefault="003277A2" w:rsidP="00C26909">
            <w:pPr>
              <w:rPr>
                <w:b/>
                <w:sz w:val="18"/>
                <w:szCs w:val="18"/>
              </w:rPr>
            </w:pPr>
            <w:r w:rsidRPr="003E1C61">
              <w:rPr>
                <w:b/>
                <w:sz w:val="18"/>
                <w:szCs w:val="18"/>
              </w:rPr>
              <w:t>MRI factor assessed</w:t>
            </w:r>
          </w:p>
        </w:tc>
        <w:tc>
          <w:tcPr>
            <w:tcW w:w="1415" w:type="dxa"/>
          </w:tcPr>
          <w:p w:rsidR="003277A2" w:rsidRPr="003E1C61" w:rsidRDefault="003277A2" w:rsidP="00C26909">
            <w:pPr>
              <w:rPr>
                <w:b/>
                <w:sz w:val="18"/>
                <w:szCs w:val="18"/>
              </w:rPr>
            </w:pPr>
            <w:r w:rsidRPr="003E1C61">
              <w:rPr>
                <w:b/>
                <w:sz w:val="18"/>
                <w:szCs w:val="18"/>
              </w:rPr>
              <w:t>Outcome Measures</w:t>
            </w:r>
          </w:p>
        </w:tc>
        <w:tc>
          <w:tcPr>
            <w:tcW w:w="1193" w:type="dxa"/>
          </w:tcPr>
          <w:p w:rsidR="003277A2" w:rsidRPr="003E1C61" w:rsidRDefault="003277A2" w:rsidP="00C26909">
            <w:pPr>
              <w:rPr>
                <w:b/>
                <w:sz w:val="18"/>
                <w:szCs w:val="18"/>
              </w:rPr>
            </w:pPr>
            <w:r w:rsidRPr="003E1C61">
              <w:rPr>
                <w:b/>
                <w:sz w:val="18"/>
                <w:szCs w:val="18"/>
              </w:rPr>
              <w:t>Follow-up</w:t>
            </w:r>
          </w:p>
        </w:tc>
        <w:tc>
          <w:tcPr>
            <w:tcW w:w="3245" w:type="dxa"/>
          </w:tcPr>
          <w:p w:rsidR="003277A2" w:rsidRPr="003E1C61" w:rsidRDefault="003277A2" w:rsidP="00C26909">
            <w:pPr>
              <w:rPr>
                <w:b/>
                <w:sz w:val="18"/>
                <w:szCs w:val="18"/>
              </w:rPr>
            </w:pPr>
            <w:r w:rsidRPr="003E1C61">
              <w:rPr>
                <w:b/>
                <w:sz w:val="18"/>
                <w:szCs w:val="18"/>
              </w:rPr>
              <w:t>Effect and Summary of Results</w:t>
            </w:r>
            <w:r>
              <w:rPr>
                <w:b/>
                <w:sz w:val="18"/>
                <w:szCs w:val="18"/>
              </w:rPr>
              <w:t>*</w:t>
            </w:r>
          </w:p>
        </w:tc>
      </w:tr>
      <w:tr w:rsidR="0043721E" w:rsidRPr="003E1C61" w:rsidTr="00DC4E9E">
        <w:tc>
          <w:tcPr>
            <w:tcW w:w="1248" w:type="dxa"/>
          </w:tcPr>
          <w:p w:rsidR="003277A2" w:rsidRPr="00BD5185" w:rsidRDefault="003277A2" w:rsidP="00C26909">
            <w:pPr>
              <w:rPr>
                <w:sz w:val="18"/>
                <w:szCs w:val="18"/>
              </w:rPr>
            </w:pPr>
            <w:r w:rsidRPr="00BD5185">
              <w:rPr>
                <w:sz w:val="18"/>
                <w:szCs w:val="18"/>
              </w:rPr>
              <w:t>Chen et al. (2001)</w:t>
            </w:r>
          </w:p>
          <w:p w:rsidR="003277A2" w:rsidRPr="00BD5185" w:rsidRDefault="003277A2" w:rsidP="00C26909">
            <w:pPr>
              <w:rPr>
                <w:sz w:val="18"/>
                <w:szCs w:val="18"/>
              </w:rPr>
            </w:pPr>
          </w:p>
          <w:p w:rsidR="003277A2" w:rsidRPr="00BD5185" w:rsidRDefault="003277A2" w:rsidP="00C26909">
            <w:pPr>
              <w:rPr>
                <w:sz w:val="18"/>
                <w:szCs w:val="18"/>
              </w:rPr>
            </w:pPr>
            <w:r w:rsidRPr="00BD5185">
              <w:rPr>
                <w:sz w:val="18"/>
                <w:szCs w:val="18"/>
              </w:rPr>
              <w:t>Retrospective cohort</w:t>
            </w:r>
          </w:p>
        </w:tc>
        <w:tc>
          <w:tcPr>
            <w:tcW w:w="1741" w:type="dxa"/>
          </w:tcPr>
          <w:p w:rsidR="003277A2" w:rsidRPr="00BD5185" w:rsidRDefault="003277A2" w:rsidP="00C26909">
            <w:pPr>
              <w:pStyle w:val="NoSpacing"/>
              <w:rPr>
                <w:rFonts w:ascii="Times New Roman" w:hAnsi="Times New Roman"/>
                <w:sz w:val="18"/>
                <w:szCs w:val="18"/>
              </w:rPr>
            </w:pPr>
            <w:r w:rsidRPr="00BD5185">
              <w:rPr>
                <w:rFonts w:ascii="Times New Roman" w:hAnsi="Times New Roman"/>
                <w:sz w:val="18"/>
                <w:szCs w:val="18"/>
              </w:rPr>
              <w:t xml:space="preserve">To determine whether intramedullary signal intensity on T2-weighted MRI is an important predictor of outcome </w:t>
            </w:r>
          </w:p>
        </w:tc>
        <w:tc>
          <w:tcPr>
            <w:tcW w:w="2362" w:type="dxa"/>
          </w:tcPr>
          <w:p w:rsidR="003277A2" w:rsidRPr="00BD5185" w:rsidRDefault="003277A2" w:rsidP="00C26909">
            <w:pPr>
              <w:rPr>
                <w:sz w:val="18"/>
                <w:szCs w:val="18"/>
              </w:rPr>
            </w:pPr>
            <w:r w:rsidRPr="00BD5185">
              <w:rPr>
                <w:sz w:val="18"/>
                <w:szCs w:val="18"/>
              </w:rPr>
              <w:t>N</w:t>
            </w:r>
            <w:r>
              <w:rPr>
                <w:sz w:val="18"/>
                <w:szCs w:val="18"/>
              </w:rPr>
              <w:t xml:space="preserve"> </w:t>
            </w:r>
            <w:r w:rsidRPr="00BD5185">
              <w:rPr>
                <w:sz w:val="18"/>
                <w:szCs w:val="18"/>
              </w:rPr>
              <w:t>=</w:t>
            </w:r>
            <w:r>
              <w:rPr>
                <w:sz w:val="18"/>
                <w:szCs w:val="18"/>
              </w:rPr>
              <w:t xml:space="preserve"> </w:t>
            </w:r>
            <w:r w:rsidRPr="00BD5185">
              <w:rPr>
                <w:sz w:val="18"/>
                <w:szCs w:val="18"/>
              </w:rPr>
              <w:t>64</w:t>
            </w:r>
          </w:p>
          <w:p w:rsidR="003277A2" w:rsidRPr="00BD5185" w:rsidRDefault="003277A2" w:rsidP="00C26909">
            <w:pPr>
              <w:ind w:left="171"/>
              <w:rPr>
                <w:sz w:val="18"/>
                <w:szCs w:val="18"/>
              </w:rPr>
            </w:pPr>
            <w:r w:rsidRPr="00BD5185">
              <w:rPr>
                <w:sz w:val="18"/>
                <w:szCs w:val="18"/>
              </w:rPr>
              <w:t>Male: 65.6%</w:t>
            </w:r>
          </w:p>
          <w:p w:rsidR="003277A2" w:rsidRDefault="003277A2" w:rsidP="00C26909">
            <w:pPr>
              <w:ind w:left="171"/>
              <w:rPr>
                <w:sz w:val="18"/>
                <w:szCs w:val="18"/>
              </w:rPr>
            </w:pPr>
            <w:r w:rsidRPr="00BD5185">
              <w:rPr>
                <w:sz w:val="18"/>
                <w:szCs w:val="18"/>
              </w:rPr>
              <w:t>Mean age (range): 56.67 (27-86) years</w:t>
            </w:r>
          </w:p>
          <w:p w:rsidR="003277A2" w:rsidRDefault="003277A2" w:rsidP="00C26909">
            <w:pPr>
              <w:ind w:left="171"/>
              <w:rPr>
                <w:sz w:val="18"/>
                <w:szCs w:val="18"/>
              </w:rPr>
            </w:pPr>
            <w:r w:rsidRPr="00BD5185">
              <w:rPr>
                <w:sz w:val="18"/>
                <w:szCs w:val="18"/>
              </w:rPr>
              <w:t>Mean duration of symptoms</w:t>
            </w:r>
            <w:r>
              <w:rPr>
                <w:sz w:val="18"/>
                <w:szCs w:val="18"/>
              </w:rPr>
              <w:t>: NR</w:t>
            </w:r>
          </w:p>
          <w:p w:rsidR="003277A2" w:rsidRPr="00BD5185" w:rsidRDefault="003277A2" w:rsidP="00C26909">
            <w:pPr>
              <w:ind w:left="171"/>
              <w:rPr>
                <w:sz w:val="18"/>
                <w:szCs w:val="18"/>
              </w:rPr>
            </w:pPr>
          </w:p>
          <w:p w:rsidR="003277A2" w:rsidRDefault="003277A2" w:rsidP="00C26909">
            <w:pPr>
              <w:tabs>
                <w:tab w:val="num" w:pos="252"/>
              </w:tabs>
              <w:rPr>
                <w:sz w:val="18"/>
                <w:szCs w:val="20"/>
              </w:rPr>
            </w:pPr>
            <w:r w:rsidRPr="003E1C61">
              <w:rPr>
                <w:sz w:val="18"/>
                <w:szCs w:val="20"/>
                <w:u w:val="single"/>
              </w:rPr>
              <w:t>Diagnosis:</w:t>
            </w:r>
            <w:r w:rsidRPr="003E1C61">
              <w:rPr>
                <w:sz w:val="18"/>
                <w:szCs w:val="20"/>
              </w:rPr>
              <w:t xml:space="preserve"> </w:t>
            </w:r>
          </w:p>
          <w:p w:rsidR="003277A2" w:rsidRPr="00A66016" w:rsidRDefault="003277A2" w:rsidP="00C26909">
            <w:pPr>
              <w:numPr>
                <w:ilvl w:val="0"/>
                <w:numId w:val="4"/>
              </w:numPr>
              <w:tabs>
                <w:tab w:val="num" w:pos="252"/>
              </w:tabs>
              <w:ind w:left="252" w:hanging="198"/>
              <w:contextualSpacing/>
              <w:rPr>
                <w:sz w:val="18"/>
                <w:szCs w:val="20"/>
              </w:rPr>
            </w:pPr>
            <w:r>
              <w:rPr>
                <w:sz w:val="18"/>
                <w:szCs w:val="20"/>
              </w:rPr>
              <w:t>CSM</w:t>
            </w:r>
          </w:p>
          <w:p w:rsidR="003277A2" w:rsidRDefault="003277A2" w:rsidP="00C26909">
            <w:pPr>
              <w:rPr>
                <w:sz w:val="18"/>
                <w:szCs w:val="18"/>
              </w:rPr>
            </w:pPr>
          </w:p>
          <w:p w:rsidR="003277A2" w:rsidRPr="003E1C61" w:rsidRDefault="003277A2" w:rsidP="00C26909">
            <w:pPr>
              <w:rPr>
                <w:sz w:val="18"/>
                <w:szCs w:val="18"/>
              </w:rPr>
            </w:pPr>
            <w:r w:rsidRPr="003E1C61">
              <w:rPr>
                <w:sz w:val="18"/>
                <w:szCs w:val="18"/>
                <w:u w:val="single"/>
              </w:rPr>
              <w:t>Decompression surgery</w:t>
            </w:r>
            <w:r w:rsidRPr="003E1C61">
              <w:rPr>
                <w:sz w:val="18"/>
                <w:szCs w:val="18"/>
              </w:rPr>
              <w:t>:</w:t>
            </w:r>
          </w:p>
          <w:p w:rsidR="003277A2" w:rsidRDefault="003277A2" w:rsidP="00C26909">
            <w:pPr>
              <w:numPr>
                <w:ilvl w:val="0"/>
                <w:numId w:val="4"/>
              </w:numPr>
              <w:tabs>
                <w:tab w:val="num" w:pos="252"/>
              </w:tabs>
              <w:ind w:left="252" w:hanging="198"/>
              <w:contextualSpacing/>
              <w:rPr>
                <w:sz w:val="18"/>
                <w:szCs w:val="18"/>
              </w:rPr>
            </w:pPr>
            <w:r w:rsidRPr="001139FD">
              <w:rPr>
                <w:sz w:val="18"/>
                <w:szCs w:val="20"/>
              </w:rPr>
              <w:t>Type</w:t>
            </w:r>
            <w:r>
              <w:rPr>
                <w:sz w:val="18"/>
                <w:szCs w:val="18"/>
              </w:rPr>
              <w:t xml:space="preserve"> NR</w:t>
            </w:r>
          </w:p>
          <w:p w:rsidR="003277A2" w:rsidRPr="00BD5185" w:rsidRDefault="003277A2" w:rsidP="00C26909">
            <w:pPr>
              <w:rPr>
                <w:sz w:val="18"/>
                <w:szCs w:val="18"/>
              </w:rPr>
            </w:pPr>
          </w:p>
          <w:p w:rsidR="003277A2" w:rsidRPr="00BD5185" w:rsidRDefault="003277A2" w:rsidP="00C26909">
            <w:pPr>
              <w:rPr>
                <w:sz w:val="18"/>
                <w:szCs w:val="18"/>
              </w:rPr>
            </w:pPr>
            <w:r w:rsidRPr="00BD5185">
              <w:rPr>
                <w:sz w:val="18"/>
                <w:szCs w:val="18"/>
                <w:u w:val="single"/>
              </w:rPr>
              <w:t>Signal intensity (SI) grade</w:t>
            </w:r>
            <w:r w:rsidRPr="00BD5185">
              <w:rPr>
                <w:sz w:val="18"/>
                <w:szCs w:val="18"/>
              </w:rPr>
              <w:t>†</w:t>
            </w:r>
          </w:p>
          <w:p w:rsidR="003277A2" w:rsidRPr="00BD5185" w:rsidRDefault="003277A2" w:rsidP="00C26909">
            <w:pPr>
              <w:ind w:left="50"/>
              <w:rPr>
                <w:i/>
                <w:sz w:val="18"/>
                <w:szCs w:val="18"/>
              </w:rPr>
            </w:pPr>
            <w:r w:rsidRPr="00BD5185">
              <w:rPr>
                <w:i/>
                <w:sz w:val="18"/>
                <w:szCs w:val="18"/>
              </w:rPr>
              <w:t>Grade 0 (n</w:t>
            </w:r>
            <w:r>
              <w:rPr>
                <w:i/>
                <w:sz w:val="18"/>
                <w:szCs w:val="18"/>
              </w:rPr>
              <w:t xml:space="preserve"> </w:t>
            </w:r>
            <w:r w:rsidRPr="00BD5185">
              <w:rPr>
                <w:i/>
                <w:sz w:val="18"/>
                <w:szCs w:val="18"/>
              </w:rPr>
              <w:t>=</w:t>
            </w:r>
            <w:r>
              <w:rPr>
                <w:i/>
                <w:sz w:val="18"/>
                <w:szCs w:val="18"/>
              </w:rPr>
              <w:t xml:space="preserve"> </w:t>
            </w:r>
            <w:r w:rsidRPr="00BD5185">
              <w:rPr>
                <w:i/>
                <w:sz w:val="18"/>
                <w:szCs w:val="18"/>
              </w:rPr>
              <w:t>20)</w:t>
            </w:r>
          </w:p>
          <w:p w:rsidR="003277A2" w:rsidRDefault="003277A2" w:rsidP="00C26909">
            <w:pPr>
              <w:ind w:left="171"/>
              <w:rPr>
                <w:sz w:val="18"/>
                <w:szCs w:val="18"/>
              </w:rPr>
            </w:pPr>
            <w:r>
              <w:rPr>
                <w:sz w:val="18"/>
                <w:szCs w:val="18"/>
              </w:rPr>
              <w:t>Male: 60.0%</w:t>
            </w:r>
          </w:p>
          <w:p w:rsidR="003277A2" w:rsidRPr="00BD5185" w:rsidRDefault="003277A2" w:rsidP="00C26909">
            <w:pPr>
              <w:ind w:left="171"/>
              <w:rPr>
                <w:sz w:val="18"/>
                <w:szCs w:val="18"/>
              </w:rPr>
            </w:pPr>
            <w:r w:rsidRPr="00BD5185">
              <w:rPr>
                <w:sz w:val="18"/>
                <w:szCs w:val="18"/>
              </w:rPr>
              <w:t>Mean age: 61.</w:t>
            </w:r>
            <w:r>
              <w:rPr>
                <w:sz w:val="18"/>
                <w:szCs w:val="18"/>
              </w:rPr>
              <w:t>5</w:t>
            </w:r>
            <w:r w:rsidRPr="00BD5185">
              <w:rPr>
                <w:sz w:val="18"/>
                <w:szCs w:val="18"/>
              </w:rPr>
              <w:t xml:space="preserve"> </w:t>
            </w:r>
            <w:r>
              <w:rPr>
                <w:sz w:val="18"/>
                <w:szCs w:val="18"/>
              </w:rPr>
              <w:t>years</w:t>
            </w:r>
          </w:p>
          <w:p w:rsidR="003277A2" w:rsidRPr="00BD5185" w:rsidRDefault="003277A2" w:rsidP="00C26909">
            <w:pPr>
              <w:ind w:left="50"/>
              <w:rPr>
                <w:i/>
                <w:sz w:val="18"/>
                <w:szCs w:val="18"/>
              </w:rPr>
            </w:pPr>
            <w:r w:rsidRPr="00BD5185">
              <w:rPr>
                <w:i/>
                <w:sz w:val="18"/>
                <w:szCs w:val="18"/>
              </w:rPr>
              <w:t>Grade 1 (n</w:t>
            </w:r>
            <w:r>
              <w:rPr>
                <w:i/>
                <w:sz w:val="18"/>
                <w:szCs w:val="18"/>
              </w:rPr>
              <w:t xml:space="preserve"> </w:t>
            </w:r>
            <w:r w:rsidRPr="00BD5185">
              <w:rPr>
                <w:i/>
                <w:sz w:val="18"/>
                <w:szCs w:val="18"/>
              </w:rPr>
              <w:t>=</w:t>
            </w:r>
            <w:r>
              <w:rPr>
                <w:i/>
                <w:sz w:val="18"/>
                <w:szCs w:val="18"/>
              </w:rPr>
              <w:t xml:space="preserve"> </w:t>
            </w:r>
            <w:r w:rsidRPr="00BD5185">
              <w:rPr>
                <w:i/>
                <w:sz w:val="18"/>
                <w:szCs w:val="18"/>
              </w:rPr>
              <w:t>23)</w:t>
            </w:r>
          </w:p>
          <w:p w:rsidR="003277A2" w:rsidRDefault="003277A2" w:rsidP="00C26909">
            <w:pPr>
              <w:ind w:left="171"/>
              <w:rPr>
                <w:sz w:val="18"/>
                <w:szCs w:val="18"/>
              </w:rPr>
            </w:pPr>
            <w:r>
              <w:rPr>
                <w:sz w:val="18"/>
                <w:szCs w:val="18"/>
              </w:rPr>
              <w:t>Male: 65.2%</w:t>
            </w:r>
          </w:p>
          <w:p w:rsidR="003277A2" w:rsidRPr="00BD5185" w:rsidRDefault="003277A2" w:rsidP="00C26909">
            <w:pPr>
              <w:ind w:left="171"/>
              <w:rPr>
                <w:sz w:val="18"/>
                <w:szCs w:val="18"/>
              </w:rPr>
            </w:pPr>
            <w:r w:rsidRPr="00BD5185">
              <w:rPr>
                <w:sz w:val="18"/>
                <w:szCs w:val="18"/>
              </w:rPr>
              <w:t>Mean age: 54.</w:t>
            </w:r>
            <w:r>
              <w:rPr>
                <w:sz w:val="18"/>
                <w:szCs w:val="18"/>
              </w:rPr>
              <w:t>1</w:t>
            </w:r>
            <w:r w:rsidRPr="00BD5185">
              <w:rPr>
                <w:sz w:val="18"/>
                <w:szCs w:val="18"/>
              </w:rPr>
              <w:t xml:space="preserve"> </w:t>
            </w:r>
            <w:r>
              <w:rPr>
                <w:sz w:val="18"/>
                <w:szCs w:val="18"/>
              </w:rPr>
              <w:t>years</w:t>
            </w:r>
          </w:p>
          <w:p w:rsidR="003277A2" w:rsidRPr="00BD5185" w:rsidRDefault="003277A2" w:rsidP="00C26909">
            <w:pPr>
              <w:ind w:left="50"/>
              <w:rPr>
                <w:i/>
                <w:sz w:val="18"/>
                <w:szCs w:val="18"/>
              </w:rPr>
            </w:pPr>
            <w:r w:rsidRPr="00BD5185">
              <w:rPr>
                <w:i/>
                <w:sz w:val="18"/>
                <w:szCs w:val="18"/>
              </w:rPr>
              <w:t>Grade (n</w:t>
            </w:r>
            <w:r>
              <w:rPr>
                <w:i/>
                <w:sz w:val="18"/>
                <w:szCs w:val="18"/>
              </w:rPr>
              <w:t xml:space="preserve"> </w:t>
            </w:r>
            <w:r w:rsidRPr="00BD5185">
              <w:rPr>
                <w:i/>
                <w:sz w:val="18"/>
                <w:szCs w:val="18"/>
              </w:rPr>
              <w:t>=</w:t>
            </w:r>
            <w:r>
              <w:rPr>
                <w:i/>
                <w:sz w:val="18"/>
                <w:szCs w:val="18"/>
              </w:rPr>
              <w:t xml:space="preserve"> </w:t>
            </w:r>
            <w:r w:rsidRPr="00BD5185">
              <w:rPr>
                <w:i/>
                <w:sz w:val="18"/>
                <w:szCs w:val="18"/>
              </w:rPr>
              <w:t>21)</w:t>
            </w:r>
          </w:p>
          <w:p w:rsidR="003277A2" w:rsidRDefault="003277A2" w:rsidP="00C26909">
            <w:pPr>
              <w:ind w:left="171"/>
              <w:rPr>
                <w:sz w:val="18"/>
                <w:szCs w:val="18"/>
              </w:rPr>
            </w:pPr>
            <w:r>
              <w:rPr>
                <w:sz w:val="18"/>
                <w:szCs w:val="18"/>
              </w:rPr>
              <w:t>Male: 71.4%</w:t>
            </w:r>
          </w:p>
          <w:p w:rsidR="003277A2" w:rsidRPr="00BD5185" w:rsidRDefault="003277A2" w:rsidP="00C26909">
            <w:pPr>
              <w:ind w:left="171"/>
              <w:rPr>
                <w:sz w:val="18"/>
                <w:szCs w:val="18"/>
              </w:rPr>
            </w:pPr>
            <w:r w:rsidRPr="00BD5185">
              <w:rPr>
                <w:sz w:val="18"/>
                <w:szCs w:val="18"/>
              </w:rPr>
              <w:t xml:space="preserve">Mean age: </w:t>
            </w:r>
            <w:r>
              <w:rPr>
                <w:sz w:val="18"/>
                <w:szCs w:val="18"/>
              </w:rPr>
              <w:t>55.0</w:t>
            </w:r>
            <w:r w:rsidRPr="00BD5185">
              <w:rPr>
                <w:sz w:val="18"/>
                <w:szCs w:val="18"/>
              </w:rPr>
              <w:t xml:space="preserve"> </w:t>
            </w:r>
            <w:r>
              <w:rPr>
                <w:sz w:val="18"/>
                <w:szCs w:val="18"/>
              </w:rPr>
              <w:t>years</w:t>
            </w:r>
          </w:p>
          <w:p w:rsidR="003277A2" w:rsidRPr="00BD5185" w:rsidRDefault="003277A2" w:rsidP="00C26909">
            <w:pPr>
              <w:rPr>
                <w:sz w:val="18"/>
                <w:szCs w:val="18"/>
              </w:rPr>
            </w:pPr>
          </w:p>
          <w:p w:rsidR="003277A2" w:rsidRPr="00BD5185" w:rsidRDefault="003277A2" w:rsidP="00C26909">
            <w:pPr>
              <w:rPr>
                <w:sz w:val="18"/>
                <w:szCs w:val="18"/>
                <w:u w:val="single"/>
              </w:rPr>
            </w:pPr>
            <w:r w:rsidRPr="00BD5185">
              <w:rPr>
                <w:sz w:val="18"/>
                <w:szCs w:val="18"/>
                <w:u w:val="single"/>
              </w:rPr>
              <w:t>Cervical curvature</w:t>
            </w:r>
          </w:p>
          <w:p w:rsidR="003277A2" w:rsidRPr="00F334B3" w:rsidRDefault="003277A2" w:rsidP="00C26909">
            <w:pPr>
              <w:ind w:left="50"/>
              <w:rPr>
                <w:i/>
                <w:sz w:val="18"/>
                <w:szCs w:val="18"/>
              </w:rPr>
            </w:pPr>
            <w:r w:rsidRPr="00F334B3">
              <w:rPr>
                <w:i/>
                <w:sz w:val="18"/>
                <w:szCs w:val="18"/>
              </w:rPr>
              <w:t xml:space="preserve">Grade 0 </w:t>
            </w:r>
          </w:p>
          <w:p w:rsidR="003277A2" w:rsidRPr="00F334B3" w:rsidRDefault="003277A2" w:rsidP="00C26909">
            <w:pPr>
              <w:ind w:left="171"/>
              <w:rPr>
                <w:sz w:val="18"/>
                <w:szCs w:val="18"/>
              </w:rPr>
            </w:pPr>
            <w:r w:rsidRPr="00F334B3">
              <w:rPr>
                <w:sz w:val="18"/>
                <w:szCs w:val="18"/>
              </w:rPr>
              <w:t>Normal: 35% (7/20)</w:t>
            </w:r>
          </w:p>
          <w:p w:rsidR="003277A2" w:rsidRPr="001139FD" w:rsidRDefault="003277A2" w:rsidP="00C26909">
            <w:pPr>
              <w:ind w:left="171"/>
              <w:rPr>
                <w:sz w:val="18"/>
                <w:szCs w:val="20"/>
              </w:rPr>
            </w:pPr>
            <w:r w:rsidRPr="00F334B3">
              <w:rPr>
                <w:sz w:val="18"/>
                <w:szCs w:val="18"/>
              </w:rPr>
              <w:t>Ab</w:t>
            </w:r>
            <w:r>
              <w:rPr>
                <w:sz w:val="18"/>
                <w:szCs w:val="20"/>
              </w:rPr>
              <w:t>normal: 65% (13/20)</w:t>
            </w:r>
          </w:p>
          <w:p w:rsidR="003277A2" w:rsidRPr="00F334B3" w:rsidRDefault="003277A2" w:rsidP="00C26909">
            <w:pPr>
              <w:ind w:left="50"/>
              <w:rPr>
                <w:i/>
                <w:sz w:val="18"/>
                <w:szCs w:val="18"/>
              </w:rPr>
            </w:pPr>
            <w:r w:rsidRPr="00F334B3">
              <w:rPr>
                <w:i/>
                <w:sz w:val="18"/>
                <w:szCs w:val="18"/>
              </w:rPr>
              <w:t>Grade 1</w:t>
            </w:r>
          </w:p>
          <w:p w:rsidR="003277A2" w:rsidRPr="00F334B3" w:rsidRDefault="003277A2" w:rsidP="00C26909">
            <w:pPr>
              <w:ind w:left="171"/>
              <w:rPr>
                <w:sz w:val="18"/>
                <w:szCs w:val="18"/>
              </w:rPr>
            </w:pPr>
            <w:r w:rsidRPr="00F334B3">
              <w:rPr>
                <w:sz w:val="18"/>
                <w:szCs w:val="18"/>
              </w:rPr>
              <w:t>Normal: 30% (7/23)</w:t>
            </w:r>
          </w:p>
          <w:p w:rsidR="003277A2" w:rsidRDefault="003277A2" w:rsidP="00C26909">
            <w:pPr>
              <w:ind w:left="171"/>
              <w:rPr>
                <w:sz w:val="18"/>
                <w:szCs w:val="20"/>
              </w:rPr>
            </w:pPr>
            <w:r w:rsidRPr="00F334B3">
              <w:rPr>
                <w:sz w:val="18"/>
                <w:szCs w:val="18"/>
              </w:rPr>
              <w:t>Abnormal</w:t>
            </w:r>
            <w:r>
              <w:rPr>
                <w:sz w:val="18"/>
                <w:szCs w:val="20"/>
              </w:rPr>
              <w:t>: 70% (16/23)</w:t>
            </w:r>
          </w:p>
          <w:p w:rsidR="003277A2" w:rsidRPr="00F334B3" w:rsidRDefault="003277A2" w:rsidP="00C26909">
            <w:pPr>
              <w:ind w:left="50"/>
              <w:rPr>
                <w:i/>
                <w:sz w:val="18"/>
                <w:szCs w:val="18"/>
              </w:rPr>
            </w:pPr>
            <w:r w:rsidRPr="00F334B3">
              <w:rPr>
                <w:i/>
                <w:sz w:val="18"/>
                <w:szCs w:val="18"/>
              </w:rPr>
              <w:t>Grade 2</w:t>
            </w:r>
          </w:p>
          <w:p w:rsidR="003277A2" w:rsidRPr="00F334B3" w:rsidRDefault="003277A2" w:rsidP="00C26909">
            <w:pPr>
              <w:ind w:left="171"/>
              <w:rPr>
                <w:sz w:val="18"/>
                <w:szCs w:val="18"/>
              </w:rPr>
            </w:pPr>
            <w:r w:rsidRPr="00F334B3">
              <w:rPr>
                <w:sz w:val="18"/>
                <w:szCs w:val="18"/>
              </w:rPr>
              <w:t xml:space="preserve">Normal: 24% (5/21) </w:t>
            </w:r>
          </w:p>
          <w:p w:rsidR="003277A2" w:rsidRDefault="003277A2" w:rsidP="00C26909">
            <w:pPr>
              <w:ind w:left="171"/>
              <w:rPr>
                <w:sz w:val="18"/>
                <w:szCs w:val="18"/>
              </w:rPr>
            </w:pPr>
            <w:r w:rsidRPr="00F334B3">
              <w:rPr>
                <w:sz w:val="18"/>
                <w:szCs w:val="18"/>
              </w:rPr>
              <w:t>Abn</w:t>
            </w:r>
            <w:r>
              <w:rPr>
                <w:sz w:val="18"/>
                <w:szCs w:val="20"/>
              </w:rPr>
              <w:t>ormal: 76% (16/21)</w:t>
            </w:r>
          </w:p>
          <w:p w:rsidR="003277A2" w:rsidRDefault="003277A2" w:rsidP="00C26909">
            <w:pPr>
              <w:contextualSpacing/>
              <w:rPr>
                <w:sz w:val="18"/>
                <w:szCs w:val="18"/>
              </w:rPr>
            </w:pPr>
          </w:p>
          <w:p w:rsidR="003277A2" w:rsidRPr="00F334B3" w:rsidRDefault="003277A2" w:rsidP="00C26909">
            <w:pPr>
              <w:contextualSpacing/>
              <w:rPr>
                <w:sz w:val="18"/>
                <w:szCs w:val="18"/>
                <w:u w:val="single"/>
              </w:rPr>
            </w:pPr>
            <w:r w:rsidRPr="00F334B3">
              <w:rPr>
                <w:sz w:val="18"/>
                <w:szCs w:val="18"/>
                <w:u w:val="single"/>
              </w:rPr>
              <w:t>Cord compression ratio (mean)</w:t>
            </w:r>
          </w:p>
          <w:p w:rsidR="003277A2" w:rsidRDefault="003277A2" w:rsidP="00C26909">
            <w:pPr>
              <w:ind w:left="50"/>
              <w:rPr>
                <w:sz w:val="18"/>
                <w:szCs w:val="18"/>
              </w:rPr>
            </w:pPr>
            <w:r w:rsidRPr="00F334B3">
              <w:rPr>
                <w:i/>
                <w:sz w:val="18"/>
                <w:szCs w:val="18"/>
              </w:rPr>
              <w:t>Grade</w:t>
            </w:r>
            <w:r>
              <w:rPr>
                <w:sz w:val="18"/>
                <w:szCs w:val="18"/>
              </w:rPr>
              <w:t xml:space="preserve"> </w:t>
            </w:r>
            <w:r w:rsidRPr="00F334B3">
              <w:rPr>
                <w:i/>
                <w:sz w:val="18"/>
                <w:szCs w:val="18"/>
              </w:rPr>
              <w:t>0</w:t>
            </w:r>
            <w:r>
              <w:rPr>
                <w:sz w:val="18"/>
                <w:szCs w:val="18"/>
              </w:rPr>
              <w:t>: 44.0 ± 10.1</w:t>
            </w:r>
          </w:p>
          <w:p w:rsidR="003277A2" w:rsidRDefault="003277A2" w:rsidP="00C26909">
            <w:pPr>
              <w:ind w:left="50"/>
              <w:rPr>
                <w:sz w:val="18"/>
                <w:szCs w:val="18"/>
              </w:rPr>
            </w:pPr>
            <w:r w:rsidRPr="00F334B3">
              <w:rPr>
                <w:i/>
                <w:sz w:val="18"/>
                <w:szCs w:val="18"/>
              </w:rPr>
              <w:t>Grade 1</w:t>
            </w:r>
            <w:r>
              <w:rPr>
                <w:sz w:val="18"/>
                <w:szCs w:val="18"/>
              </w:rPr>
              <w:t>: 27.6 ± 11.7</w:t>
            </w:r>
          </w:p>
          <w:p w:rsidR="003277A2" w:rsidRPr="00BD5185" w:rsidRDefault="003277A2" w:rsidP="00C26909">
            <w:pPr>
              <w:ind w:left="50"/>
              <w:rPr>
                <w:sz w:val="18"/>
                <w:szCs w:val="18"/>
              </w:rPr>
            </w:pPr>
            <w:r w:rsidRPr="00F334B3">
              <w:rPr>
                <w:i/>
                <w:sz w:val="18"/>
                <w:szCs w:val="18"/>
              </w:rPr>
              <w:t>Grade 2</w:t>
            </w:r>
            <w:r>
              <w:rPr>
                <w:sz w:val="18"/>
                <w:szCs w:val="18"/>
              </w:rPr>
              <w:t>: 26.1 ± 9.2</w:t>
            </w:r>
          </w:p>
        </w:tc>
        <w:tc>
          <w:tcPr>
            <w:tcW w:w="1478" w:type="dxa"/>
          </w:tcPr>
          <w:p w:rsidR="003277A2" w:rsidRPr="00BD5185" w:rsidRDefault="003277A2" w:rsidP="00C26909">
            <w:pPr>
              <w:pStyle w:val="ListParagraph"/>
              <w:numPr>
                <w:ilvl w:val="0"/>
                <w:numId w:val="13"/>
              </w:numPr>
              <w:spacing w:after="0" w:line="240" w:lineRule="auto"/>
              <w:ind w:left="162" w:hanging="162"/>
              <w:rPr>
                <w:rFonts w:ascii="Times New Roman" w:hAnsi="Times New Roman"/>
                <w:sz w:val="18"/>
                <w:szCs w:val="18"/>
              </w:rPr>
            </w:pPr>
            <w:r w:rsidRPr="00BD5185">
              <w:rPr>
                <w:rFonts w:ascii="Times New Roman" w:hAnsi="Times New Roman"/>
                <w:sz w:val="18"/>
                <w:szCs w:val="18"/>
              </w:rPr>
              <w:t>Sex</w:t>
            </w:r>
          </w:p>
          <w:p w:rsidR="003277A2" w:rsidRPr="00BD5185" w:rsidRDefault="003277A2" w:rsidP="00C26909">
            <w:pPr>
              <w:pStyle w:val="ListParagraph"/>
              <w:numPr>
                <w:ilvl w:val="0"/>
                <w:numId w:val="13"/>
              </w:numPr>
              <w:spacing w:after="0" w:line="240" w:lineRule="auto"/>
              <w:ind w:left="162" w:hanging="162"/>
              <w:rPr>
                <w:rFonts w:ascii="Times New Roman" w:hAnsi="Times New Roman"/>
                <w:sz w:val="18"/>
                <w:szCs w:val="18"/>
              </w:rPr>
            </w:pPr>
            <w:r w:rsidRPr="00BD5185">
              <w:rPr>
                <w:rFonts w:ascii="Times New Roman" w:hAnsi="Times New Roman"/>
                <w:sz w:val="18"/>
                <w:szCs w:val="18"/>
              </w:rPr>
              <w:t>Pre-op JOA score</w:t>
            </w:r>
          </w:p>
          <w:p w:rsidR="003277A2" w:rsidRPr="00BD5185" w:rsidRDefault="003277A2" w:rsidP="00C26909">
            <w:pPr>
              <w:pStyle w:val="ListParagraph"/>
              <w:numPr>
                <w:ilvl w:val="0"/>
                <w:numId w:val="13"/>
              </w:numPr>
              <w:spacing w:after="0" w:line="240" w:lineRule="auto"/>
              <w:ind w:left="162" w:hanging="162"/>
              <w:rPr>
                <w:rFonts w:ascii="Times New Roman" w:hAnsi="Times New Roman"/>
                <w:sz w:val="18"/>
                <w:szCs w:val="18"/>
              </w:rPr>
            </w:pPr>
            <w:r w:rsidRPr="00BD5185">
              <w:rPr>
                <w:rFonts w:ascii="Times New Roman" w:hAnsi="Times New Roman"/>
                <w:sz w:val="18"/>
                <w:szCs w:val="18"/>
              </w:rPr>
              <w:t>Age</w:t>
            </w:r>
          </w:p>
        </w:tc>
        <w:tc>
          <w:tcPr>
            <w:tcW w:w="1448" w:type="dxa"/>
          </w:tcPr>
          <w:p w:rsidR="003277A2" w:rsidRDefault="003277A2" w:rsidP="00C26909">
            <w:pPr>
              <w:pStyle w:val="ListParagraph"/>
              <w:numPr>
                <w:ilvl w:val="0"/>
                <w:numId w:val="13"/>
              </w:numPr>
              <w:spacing w:after="0" w:line="240" w:lineRule="auto"/>
              <w:ind w:left="162" w:hanging="162"/>
              <w:rPr>
                <w:rFonts w:ascii="Times New Roman" w:hAnsi="Times New Roman"/>
                <w:sz w:val="18"/>
                <w:szCs w:val="18"/>
              </w:rPr>
            </w:pPr>
            <w:r w:rsidRPr="00BD5185">
              <w:rPr>
                <w:rFonts w:ascii="Times New Roman" w:hAnsi="Times New Roman"/>
                <w:sz w:val="18"/>
                <w:szCs w:val="18"/>
              </w:rPr>
              <w:t xml:space="preserve">Pattern of intramedullary high SI. </w:t>
            </w:r>
          </w:p>
          <w:p w:rsidR="003277A2" w:rsidRDefault="003277A2" w:rsidP="00C26909">
            <w:pPr>
              <w:pStyle w:val="ListParagraph"/>
              <w:numPr>
                <w:ilvl w:val="0"/>
                <w:numId w:val="13"/>
              </w:numPr>
              <w:spacing w:after="0" w:line="240" w:lineRule="auto"/>
              <w:ind w:left="162" w:hanging="162"/>
              <w:rPr>
                <w:rFonts w:ascii="Times New Roman" w:hAnsi="Times New Roman"/>
                <w:sz w:val="18"/>
                <w:szCs w:val="18"/>
              </w:rPr>
            </w:pPr>
            <w:r w:rsidRPr="00BD5185">
              <w:rPr>
                <w:rFonts w:ascii="Times New Roman" w:hAnsi="Times New Roman"/>
                <w:sz w:val="18"/>
                <w:szCs w:val="18"/>
              </w:rPr>
              <w:t>Cervical curvature</w:t>
            </w:r>
          </w:p>
          <w:p w:rsidR="003277A2" w:rsidRPr="00BD5185" w:rsidRDefault="003277A2" w:rsidP="00C26909">
            <w:pPr>
              <w:pStyle w:val="ListParagraph"/>
              <w:numPr>
                <w:ilvl w:val="0"/>
                <w:numId w:val="13"/>
              </w:numPr>
              <w:spacing w:after="0" w:line="240" w:lineRule="auto"/>
              <w:ind w:left="162" w:hanging="162"/>
              <w:rPr>
                <w:rFonts w:ascii="Times New Roman" w:hAnsi="Times New Roman"/>
                <w:sz w:val="18"/>
                <w:szCs w:val="18"/>
              </w:rPr>
            </w:pPr>
            <w:r>
              <w:rPr>
                <w:rFonts w:ascii="Times New Roman" w:hAnsi="Times New Roman"/>
                <w:sz w:val="18"/>
                <w:szCs w:val="18"/>
              </w:rPr>
              <w:t>Cord compression ratio</w:t>
            </w:r>
          </w:p>
          <w:p w:rsidR="003277A2" w:rsidRPr="00BD5185" w:rsidRDefault="003277A2" w:rsidP="00C26909">
            <w:pPr>
              <w:pStyle w:val="ListParagraph"/>
              <w:spacing w:after="0" w:line="240" w:lineRule="auto"/>
              <w:ind w:left="162"/>
              <w:rPr>
                <w:rFonts w:ascii="Times New Roman" w:hAnsi="Times New Roman"/>
                <w:sz w:val="18"/>
                <w:szCs w:val="18"/>
              </w:rPr>
            </w:pPr>
          </w:p>
          <w:p w:rsidR="003277A2" w:rsidRPr="00BD5185" w:rsidRDefault="003277A2" w:rsidP="00C26909">
            <w:pPr>
              <w:pStyle w:val="ListParagraph"/>
              <w:spacing w:after="0" w:line="240" w:lineRule="auto"/>
              <w:ind w:left="162"/>
              <w:rPr>
                <w:rFonts w:ascii="Times New Roman" w:hAnsi="Times New Roman"/>
                <w:sz w:val="18"/>
                <w:szCs w:val="18"/>
              </w:rPr>
            </w:pPr>
          </w:p>
        </w:tc>
        <w:tc>
          <w:tcPr>
            <w:tcW w:w="1415" w:type="dxa"/>
          </w:tcPr>
          <w:p w:rsidR="003277A2" w:rsidRPr="00BD5185" w:rsidRDefault="003277A2" w:rsidP="00C26909">
            <w:pPr>
              <w:pStyle w:val="ListParagraph"/>
              <w:numPr>
                <w:ilvl w:val="0"/>
                <w:numId w:val="13"/>
              </w:numPr>
              <w:spacing w:after="0" w:line="240" w:lineRule="auto"/>
              <w:ind w:left="162" w:hanging="162"/>
              <w:rPr>
                <w:rFonts w:ascii="Times New Roman" w:hAnsi="Times New Roman"/>
                <w:sz w:val="18"/>
                <w:szCs w:val="18"/>
              </w:rPr>
            </w:pPr>
            <w:r w:rsidRPr="00BD5185">
              <w:rPr>
                <w:rFonts w:ascii="Times New Roman" w:hAnsi="Times New Roman"/>
                <w:sz w:val="18"/>
                <w:szCs w:val="18"/>
              </w:rPr>
              <w:t xml:space="preserve">Recovery ratio percentage of 21 point JOA score </w:t>
            </w:r>
          </w:p>
        </w:tc>
        <w:tc>
          <w:tcPr>
            <w:tcW w:w="1193" w:type="dxa"/>
          </w:tcPr>
          <w:p w:rsidR="003277A2" w:rsidRPr="00BD5185" w:rsidRDefault="003277A2" w:rsidP="00C26909">
            <w:pPr>
              <w:rPr>
                <w:sz w:val="18"/>
                <w:szCs w:val="18"/>
              </w:rPr>
            </w:pPr>
            <w:r w:rsidRPr="00BD5185">
              <w:rPr>
                <w:sz w:val="18"/>
                <w:szCs w:val="18"/>
              </w:rPr>
              <w:t xml:space="preserve">6 months </w:t>
            </w:r>
            <w:r>
              <w:rPr>
                <w:sz w:val="18"/>
                <w:szCs w:val="18"/>
              </w:rPr>
              <w:t>(% f/u NR)</w:t>
            </w:r>
          </w:p>
        </w:tc>
        <w:tc>
          <w:tcPr>
            <w:tcW w:w="3245" w:type="dxa"/>
          </w:tcPr>
          <w:p w:rsidR="003277A2" w:rsidRPr="00BD5185" w:rsidRDefault="003277A2" w:rsidP="00C26909">
            <w:pPr>
              <w:rPr>
                <w:b/>
                <w:sz w:val="18"/>
                <w:szCs w:val="18"/>
              </w:rPr>
            </w:pPr>
            <w:r w:rsidRPr="00BD5185">
              <w:rPr>
                <w:b/>
                <w:sz w:val="18"/>
                <w:szCs w:val="18"/>
              </w:rPr>
              <w:t xml:space="preserve">SI grade and JOA recovery ratio percentage: </w:t>
            </w:r>
          </w:p>
          <w:p w:rsidR="003277A2" w:rsidRPr="00BD5185" w:rsidRDefault="003277A2" w:rsidP="00C26909">
            <w:pPr>
              <w:pStyle w:val="ListParagraph"/>
              <w:numPr>
                <w:ilvl w:val="0"/>
                <w:numId w:val="13"/>
              </w:numPr>
              <w:spacing w:after="0" w:line="240" w:lineRule="auto"/>
              <w:ind w:left="328" w:hanging="180"/>
              <w:rPr>
                <w:rFonts w:ascii="Times New Roman" w:hAnsi="Times New Roman"/>
                <w:sz w:val="18"/>
                <w:szCs w:val="18"/>
              </w:rPr>
            </w:pPr>
            <w:r w:rsidRPr="00BD5185">
              <w:rPr>
                <w:rFonts w:ascii="Times New Roman" w:hAnsi="Times New Roman"/>
                <w:sz w:val="18"/>
                <w:szCs w:val="18"/>
              </w:rPr>
              <w:t>S</w:t>
            </w:r>
            <w:r>
              <w:rPr>
                <w:rFonts w:ascii="Times New Roman" w:hAnsi="Times New Roman"/>
                <w:sz w:val="18"/>
                <w:szCs w:val="18"/>
              </w:rPr>
              <w:t>I grade 0: 58.0 ± 25.3</w:t>
            </w:r>
          </w:p>
          <w:p w:rsidR="003277A2" w:rsidRPr="00BD5185" w:rsidRDefault="003277A2" w:rsidP="00C26909">
            <w:pPr>
              <w:pStyle w:val="ListParagraph"/>
              <w:numPr>
                <w:ilvl w:val="0"/>
                <w:numId w:val="13"/>
              </w:numPr>
              <w:spacing w:after="0" w:line="240" w:lineRule="auto"/>
              <w:ind w:left="328" w:hanging="180"/>
              <w:rPr>
                <w:rFonts w:ascii="Times New Roman" w:hAnsi="Times New Roman"/>
                <w:sz w:val="18"/>
                <w:szCs w:val="18"/>
              </w:rPr>
            </w:pPr>
            <w:r w:rsidRPr="00BD5185">
              <w:rPr>
                <w:rFonts w:ascii="Times New Roman" w:hAnsi="Times New Roman"/>
                <w:sz w:val="18"/>
                <w:szCs w:val="18"/>
              </w:rPr>
              <w:t>SI grade 1: 68.</w:t>
            </w:r>
            <w:r>
              <w:rPr>
                <w:rFonts w:ascii="Times New Roman" w:hAnsi="Times New Roman"/>
                <w:sz w:val="18"/>
                <w:szCs w:val="18"/>
              </w:rPr>
              <w:t>2 ± 20.8</w:t>
            </w:r>
          </w:p>
          <w:p w:rsidR="003277A2" w:rsidRPr="00BD5185" w:rsidRDefault="003277A2" w:rsidP="00C26909">
            <w:pPr>
              <w:pStyle w:val="ListParagraph"/>
              <w:numPr>
                <w:ilvl w:val="0"/>
                <w:numId w:val="13"/>
              </w:numPr>
              <w:spacing w:after="0" w:line="240" w:lineRule="auto"/>
              <w:ind w:left="328" w:hanging="180"/>
              <w:rPr>
                <w:rFonts w:ascii="Times New Roman" w:hAnsi="Times New Roman"/>
                <w:sz w:val="18"/>
                <w:szCs w:val="18"/>
              </w:rPr>
            </w:pPr>
            <w:r>
              <w:rPr>
                <w:rFonts w:ascii="Times New Roman" w:hAnsi="Times New Roman"/>
                <w:sz w:val="18"/>
                <w:szCs w:val="18"/>
              </w:rPr>
              <w:t>SI grade 2: 29.7 ± 22.4</w:t>
            </w:r>
          </w:p>
          <w:p w:rsidR="003277A2" w:rsidRPr="00BD5185" w:rsidRDefault="003277A2" w:rsidP="00C26909">
            <w:pPr>
              <w:pStyle w:val="ListParagraph"/>
              <w:spacing w:after="0" w:line="240" w:lineRule="auto"/>
              <w:ind w:left="328"/>
              <w:rPr>
                <w:rFonts w:ascii="Times New Roman" w:hAnsi="Times New Roman"/>
                <w:sz w:val="18"/>
                <w:szCs w:val="18"/>
              </w:rPr>
            </w:pPr>
            <w:r w:rsidRPr="00393EBB">
              <w:rPr>
                <w:rFonts w:ascii="Times New Roman" w:hAnsi="Times New Roman"/>
                <w:i/>
                <w:sz w:val="18"/>
                <w:szCs w:val="18"/>
              </w:rPr>
              <w:t>grade 1 vs. 0</w:t>
            </w:r>
            <w:r>
              <w:rPr>
                <w:rFonts w:ascii="Times New Roman" w:hAnsi="Times New Roman"/>
                <w:sz w:val="18"/>
                <w:szCs w:val="18"/>
              </w:rPr>
              <w:t>: regression coefficient = 5.63; P = .490</w:t>
            </w:r>
          </w:p>
          <w:p w:rsidR="003277A2" w:rsidRDefault="003277A2" w:rsidP="00C26909">
            <w:pPr>
              <w:pStyle w:val="ListParagraph"/>
              <w:spacing w:after="0" w:line="240" w:lineRule="auto"/>
              <w:ind w:left="328"/>
              <w:rPr>
                <w:rFonts w:ascii="Times New Roman" w:hAnsi="Times New Roman"/>
                <w:i/>
                <w:sz w:val="18"/>
                <w:szCs w:val="18"/>
              </w:rPr>
            </w:pPr>
            <w:r>
              <w:rPr>
                <w:rFonts w:ascii="Times New Roman" w:hAnsi="Times New Roman"/>
                <w:i/>
                <w:sz w:val="18"/>
                <w:szCs w:val="18"/>
              </w:rPr>
              <w:t>grade 2 vs. 0:</w:t>
            </w:r>
            <w:r>
              <w:rPr>
                <w:rFonts w:ascii="Times New Roman" w:hAnsi="Times New Roman"/>
                <w:sz w:val="18"/>
                <w:szCs w:val="18"/>
              </w:rPr>
              <w:t xml:space="preserve"> regression coefficient =  –33.30;</w:t>
            </w:r>
            <w:r>
              <w:rPr>
                <w:rFonts w:ascii="Times New Roman" w:hAnsi="Times New Roman"/>
                <w:i/>
                <w:sz w:val="18"/>
                <w:szCs w:val="18"/>
              </w:rPr>
              <w:t xml:space="preserve"> P </w:t>
            </w:r>
            <w:r w:rsidRPr="00BD5185">
              <w:rPr>
                <w:rFonts w:ascii="Times New Roman" w:hAnsi="Times New Roman"/>
                <w:sz w:val="18"/>
                <w:szCs w:val="18"/>
              </w:rPr>
              <w:t>&lt; .001</w:t>
            </w:r>
            <w:r w:rsidRPr="00BD5185">
              <w:rPr>
                <w:rFonts w:ascii="Times New Roman" w:hAnsi="Times New Roman"/>
                <w:i/>
                <w:sz w:val="18"/>
                <w:szCs w:val="18"/>
              </w:rPr>
              <w:t xml:space="preserve"> </w:t>
            </w:r>
          </w:p>
          <w:p w:rsidR="003277A2" w:rsidRDefault="003277A2" w:rsidP="00C26909">
            <w:pPr>
              <w:pStyle w:val="ListParagraph"/>
              <w:spacing w:after="0" w:line="240" w:lineRule="auto"/>
              <w:ind w:left="328"/>
              <w:rPr>
                <w:rFonts w:ascii="Times New Roman" w:hAnsi="Times New Roman"/>
                <w:i/>
                <w:sz w:val="18"/>
                <w:szCs w:val="18"/>
              </w:rPr>
            </w:pPr>
            <w:r w:rsidRPr="00DE7A8C">
              <w:rPr>
                <w:rFonts w:ascii="Times New Roman" w:hAnsi="Times New Roman"/>
                <w:i/>
                <w:sz w:val="18"/>
                <w:szCs w:val="18"/>
              </w:rPr>
              <w:t>grade 2 vs. 1: P</w:t>
            </w:r>
            <w:r w:rsidRPr="00DE7A8C">
              <w:rPr>
                <w:rFonts w:ascii="Times New Roman" w:hAnsi="Times New Roman"/>
                <w:sz w:val="18"/>
                <w:szCs w:val="18"/>
              </w:rPr>
              <w:t xml:space="preserve"> &lt; .001 (no regression coefficient)</w:t>
            </w:r>
          </w:p>
          <w:p w:rsidR="003277A2" w:rsidRPr="00BD5185" w:rsidRDefault="003277A2" w:rsidP="00C26909">
            <w:pPr>
              <w:pStyle w:val="ListParagraph"/>
              <w:spacing w:after="0" w:line="240" w:lineRule="auto"/>
              <w:ind w:left="328"/>
              <w:rPr>
                <w:rFonts w:ascii="Times New Roman" w:hAnsi="Times New Roman"/>
                <w:sz w:val="18"/>
                <w:szCs w:val="18"/>
              </w:rPr>
            </w:pPr>
          </w:p>
          <w:p w:rsidR="003277A2" w:rsidRPr="00BD5185" w:rsidRDefault="003277A2" w:rsidP="00C26909">
            <w:pPr>
              <w:rPr>
                <w:b/>
                <w:sz w:val="18"/>
                <w:szCs w:val="18"/>
              </w:rPr>
            </w:pPr>
            <w:r w:rsidRPr="00BD5185">
              <w:rPr>
                <w:b/>
                <w:sz w:val="18"/>
                <w:szCs w:val="18"/>
              </w:rPr>
              <w:t>Cervical curvature and recovery rate (%) of JOA score:</w:t>
            </w:r>
          </w:p>
          <w:p w:rsidR="003277A2" w:rsidRPr="00BD5185" w:rsidRDefault="003277A2" w:rsidP="00C26909">
            <w:pPr>
              <w:rPr>
                <w:sz w:val="18"/>
                <w:szCs w:val="18"/>
              </w:rPr>
            </w:pPr>
            <w:r>
              <w:rPr>
                <w:sz w:val="18"/>
                <w:szCs w:val="18"/>
              </w:rPr>
              <w:t xml:space="preserve">Regression coefficient =   –0.77; </w:t>
            </w:r>
            <w:r w:rsidRPr="00BD5185">
              <w:rPr>
                <w:i/>
                <w:sz w:val="18"/>
                <w:szCs w:val="18"/>
              </w:rPr>
              <w:t>P</w:t>
            </w:r>
            <w:r>
              <w:rPr>
                <w:i/>
                <w:sz w:val="18"/>
                <w:szCs w:val="18"/>
              </w:rPr>
              <w:t xml:space="preserve"> </w:t>
            </w:r>
            <w:r w:rsidRPr="00BD5185">
              <w:rPr>
                <w:sz w:val="18"/>
                <w:szCs w:val="18"/>
              </w:rPr>
              <w:t>=</w:t>
            </w:r>
            <w:r>
              <w:rPr>
                <w:sz w:val="18"/>
                <w:szCs w:val="18"/>
              </w:rPr>
              <w:t xml:space="preserve"> .901</w:t>
            </w:r>
          </w:p>
          <w:p w:rsidR="003277A2" w:rsidRDefault="003277A2" w:rsidP="00C26909">
            <w:pPr>
              <w:rPr>
                <w:b/>
                <w:sz w:val="18"/>
                <w:szCs w:val="18"/>
              </w:rPr>
            </w:pPr>
          </w:p>
          <w:p w:rsidR="003277A2" w:rsidRPr="00BD5185" w:rsidRDefault="003277A2" w:rsidP="00C26909">
            <w:pPr>
              <w:rPr>
                <w:b/>
                <w:sz w:val="18"/>
                <w:szCs w:val="18"/>
              </w:rPr>
            </w:pPr>
            <w:r>
              <w:rPr>
                <w:b/>
                <w:sz w:val="18"/>
                <w:szCs w:val="18"/>
              </w:rPr>
              <w:t>Cord compression ratio</w:t>
            </w:r>
            <w:r w:rsidRPr="00BD5185">
              <w:rPr>
                <w:b/>
                <w:sz w:val="18"/>
                <w:szCs w:val="18"/>
              </w:rPr>
              <w:t xml:space="preserve"> and recovery rate (%) of JOA score:</w:t>
            </w:r>
          </w:p>
          <w:p w:rsidR="003277A2" w:rsidRPr="00BD5185" w:rsidRDefault="003277A2" w:rsidP="00C26909">
            <w:pPr>
              <w:rPr>
                <w:b/>
                <w:sz w:val="18"/>
                <w:szCs w:val="18"/>
              </w:rPr>
            </w:pPr>
            <w:r>
              <w:rPr>
                <w:sz w:val="18"/>
                <w:szCs w:val="18"/>
              </w:rPr>
              <w:t xml:space="preserve">Regression coefficient =  –0.21; </w:t>
            </w:r>
            <w:r w:rsidRPr="00BD5185">
              <w:rPr>
                <w:i/>
                <w:sz w:val="18"/>
                <w:szCs w:val="18"/>
              </w:rPr>
              <w:t>P</w:t>
            </w:r>
            <w:r>
              <w:rPr>
                <w:i/>
                <w:sz w:val="18"/>
                <w:szCs w:val="18"/>
              </w:rPr>
              <w:t xml:space="preserve"> </w:t>
            </w:r>
            <w:r w:rsidRPr="00BD5185">
              <w:rPr>
                <w:sz w:val="18"/>
                <w:szCs w:val="18"/>
              </w:rPr>
              <w:t>=</w:t>
            </w:r>
            <w:r>
              <w:rPr>
                <w:sz w:val="18"/>
                <w:szCs w:val="18"/>
              </w:rPr>
              <w:t xml:space="preserve"> .422</w:t>
            </w:r>
          </w:p>
        </w:tc>
      </w:tr>
      <w:tr w:rsidR="0043721E" w:rsidRPr="003E1C61" w:rsidTr="00DC4E9E">
        <w:tc>
          <w:tcPr>
            <w:tcW w:w="1248" w:type="dxa"/>
          </w:tcPr>
          <w:p w:rsidR="003277A2" w:rsidRPr="00BD5185" w:rsidRDefault="003277A2" w:rsidP="00C26909">
            <w:pPr>
              <w:rPr>
                <w:sz w:val="18"/>
                <w:szCs w:val="18"/>
              </w:rPr>
            </w:pPr>
            <w:proofErr w:type="spellStart"/>
            <w:r w:rsidRPr="00BD5185">
              <w:rPr>
                <w:sz w:val="18"/>
                <w:szCs w:val="18"/>
              </w:rPr>
              <w:t>Chibbaro</w:t>
            </w:r>
            <w:proofErr w:type="spellEnd"/>
            <w:r w:rsidRPr="00BD5185">
              <w:rPr>
                <w:sz w:val="18"/>
                <w:szCs w:val="18"/>
              </w:rPr>
              <w:t xml:space="preserve"> et </w:t>
            </w:r>
            <w:r w:rsidRPr="00BD5185">
              <w:rPr>
                <w:sz w:val="18"/>
                <w:szCs w:val="18"/>
              </w:rPr>
              <w:lastRenderedPageBreak/>
              <w:t>al. (2006)</w:t>
            </w:r>
          </w:p>
          <w:p w:rsidR="003277A2" w:rsidRPr="00BD5185" w:rsidRDefault="003277A2" w:rsidP="00C26909">
            <w:pPr>
              <w:rPr>
                <w:sz w:val="18"/>
                <w:szCs w:val="18"/>
              </w:rPr>
            </w:pPr>
          </w:p>
          <w:p w:rsidR="003277A2" w:rsidRDefault="003277A2" w:rsidP="00C26909">
            <w:pPr>
              <w:rPr>
                <w:sz w:val="18"/>
                <w:szCs w:val="18"/>
              </w:rPr>
            </w:pPr>
            <w:r w:rsidRPr="00BD5185">
              <w:rPr>
                <w:sz w:val="18"/>
                <w:szCs w:val="18"/>
              </w:rPr>
              <w:t>Retrospective</w:t>
            </w:r>
          </w:p>
          <w:p w:rsidR="0043721E" w:rsidRPr="00BD5185" w:rsidRDefault="0043721E" w:rsidP="00C26909">
            <w:pPr>
              <w:rPr>
                <w:sz w:val="18"/>
                <w:szCs w:val="18"/>
              </w:rPr>
            </w:pPr>
            <w:r>
              <w:rPr>
                <w:sz w:val="18"/>
                <w:szCs w:val="18"/>
              </w:rPr>
              <w:t>cohort</w:t>
            </w:r>
          </w:p>
        </w:tc>
        <w:tc>
          <w:tcPr>
            <w:tcW w:w="1741" w:type="dxa"/>
          </w:tcPr>
          <w:p w:rsidR="003277A2" w:rsidRPr="00BD5185" w:rsidRDefault="003277A2" w:rsidP="00C26909">
            <w:pPr>
              <w:rPr>
                <w:sz w:val="18"/>
                <w:szCs w:val="18"/>
              </w:rPr>
            </w:pPr>
            <w:r w:rsidRPr="00BD5185">
              <w:rPr>
                <w:sz w:val="18"/>
                <w:szCs w:val="18"/>
              </w:rPr>
              <w:lastRenderedPageBreak/>
              <w:t xml:space="preserve">To evaluate the </w:t>
            </w:r>
            <w:r w:rsidRPr="00BD5185">
              <w:rPr>
                <w:sz w:val="18"/>
                <w:szCs w:val="18"/>
              </w:rPr>
              <w:lastRenderedPageBreak/>
              <w:t>prognostic value of several clinical and imaging variables in patients undergoing anterior cervical corpectomy.</w:t>
            </w:r>
          </w:p>
        </w:tc>
        <w:tc>
          <w:tcPr>
            <w:tcW w:w="2362" w:type="dxa"/>
          </w:tcPr>
          <w:p w:rsidR="003277A2" w:rsidRPr="00BD5185" w:rsidRDefault="003277A2" w:rsidP="00C26909">
            <w:pPr>
              <w:rPr>
                <w:sz w:val="18"/>
                <w:szCs w:val="18"/>
              </w:rPr>
            </w:pPr>
            <w:r w:rsidRPr="00BD5185">
              <w:rPr>
                <w:sz w:val="18"/>
                <w:szCs w:val="18"/>
              </w:rPr>
              <w:lastRenderedPageBreak/>
              <w:t>N</w:t>
            </w:r>
            <w:r>
              <w:rPr>
                <w:sz w:val="18"/>
                <w:szCs w:val="18"/>
              </w:rPr>
              <w:t xml:space="preserve"> </w:t>
            </w:r>
            <w:r w:rsidRPr="00BD5185">
              <w:rPr>
                <w:sz w:val="18"/>
                <w:szCs w:val="18"/>
              </w:rPr>
              <w:t>=</w:t>
            </w:r>
            <w:r>
              <w:rPr>
                <w:sz w:val="18"/>
                <w:szCs w:val="18"/>
              </w:rPr>
              <w:t xml:space="preserve"> </w:t>
            </w:r>
            <w:r w:rsidRPr="00BD5185">
              <w:rPr>
                <w:sz w:val="18"/>
                <w:szCs w:val="18"/>
              </w:rPr>
              <w:t>70</w:t>
            </w:r>
          </w:p>
          <w:p w:rsidR="003277A2" w:rsidRPr="00BD5185" w:rsidRDefault="003277A2" w:rsidP="00C26909">
            <w:pPr>
              <w:ind w:left="171"/>
              <w:rPr>
                <w:sz w:val="18"/>
                <w:szCs w:val="18"/>
              </w:rPr>
            </w:pPr>
            <w:r w:rsidRPr="00BD5185">
              <w:rPr>
                <w:sz w:val="18"/>
                <w:szCs w:val="18"/>
              </w:rPr>
              <w:lastRenderedPageBreak/>
              <w:t>Male: 67.1%</w:t>
            </w:r>
          </w:p>
          <w:p w:rsidR="003277A2" w:rsidRPr="00BD5185" w:rsidRDefault="003277A2" w:rsidP="00C26909">
            <w:pPr>
              <w:ind w:left="171"/>
              <w:rPr>
                <w:sz w:val="18"/>
                <w:szCs w:val="18"/>
              </w:rPr>
            </w:pPr>
            <w:r w:rsidRPr="00BD5185">
              <w:rPr>
                <w:sz w:val="18"/>
                <w:szCs w:val="18"/>
              </w:rPr>
              <w:t>Mean age (range): 57 (29-76) years</w:t>
            </w:r>
          </w:p>
          <w:p w:rsidR="003277A2" w:rsidRPr="00BD5185" w:rsidRDefault="003277A2" w:rsidP="00C26909">
            <w:pPr>
              <w:ind w:left="171"/>
              <w:rPr>
                <w:sz w:val="18"/>
                <w:szCs w:val="18"/>
              </w:rPr>
            </w:pPr>
            <w:r w:rsidRPr="00BD5185">
              <w:rPr>
                <w:sz w:val="18"/>
                <w:szCs w:val="18"/>
              </w:rPr>
              <w:t>Mean duration of symptoms (range): 13.4 (4-120) months</w:t>
            </w:r>
          </w:p>
          <w:p w:rsidR="003277A2" w:rsidRDefault="003277A2" w:rsidP="00C26909">
            <w:pPr>
              <w:rPr>
                <w:sz w:val="18"/>
                <w:szCs w:val="18"/>
              </w:rPr>
            </w:pPr>
          </w:p>
          <w:p w:rsidR="003277A2" w:rsidRDefault="003277A2" w:rsidP="00C26909">
            <w:pPr>
              <w:tabs>
                <w:tab w:val="num" w:pos="252"/>
              </w:tabs>
              <w:rPr>
                <w:sz w:val="18"/>
                <w:szCs w:val="20"/>
              </w:rPr>
            </w:pPr>
            <w:r w:rsidRPr="003E1C61">
              <w:rPr>
                <w:sz w:val="18"/>
                <w:szCs w:val="20"/>
                <w:u w:val="single"/>
              </w:rPr>
              <w:t>Diagnosis:</w:t>
            </w:r>
            <w:r w:rsidRPr="003E1C61">
              <w:rPr>
                <w:sz w:val="18"/>
                <w:szCs w:val="20"/>
              </w:rPr>
              <w:t xml:space="preserve"> </w:t>
            </w:r>
          </w:p>
          <w:p w:rsidR="003277A2" w:rsidRPr="00A66016" w:rsidRDefault="003277A2" w:rsidP="00C26909">
            <w:pPr>
              <w:numPr>
                <w:ilvl w:val="0"/>
                <w:numId w:val="4"/>
              </w:numPr>
              <w:tabs>
                <w:tab w:val="num" w:pos="252"/>
              </w:tabs>
              <w:ind w:left="252" w:hanging="198"/>
              <w:contextualSpacing/>
              <w:rPr>
                <w:sz w:val="18"/>
                <w:szCs w:val="20"/>
              </w:rPr>
            </w:pPr>
            <w:r>
              <w:rPr>
                <w:sz w:val="18"/>
                <w:szCs w:val="20"/>
              </w:rPr>
              <w:t>CSM</w:t>
            </w:r>
          </w:p>
          <w:p w:rsidR="003277A2" w:rsidRDefault="003277A2" w:rsidP="00C26909">
            <w:pPr>
              <w:rPr>
                <w:sz w:val="18"/>
                <w:szCs w:val="18"/>
              </w:rPr>
            </w:pPr>
          </w:p>
          <w:p w:rsidR="003277A2" w:rsidRPr="00A66016" w:rsidRDefault="003277A2" w:rsidP="00C26909">
            <w:pPr>
              <w:rPr>
                <w:sz w:val="18"/>
                <w:szCs w:val="18"/>
              </w:rPr>
            </w:pPr>
            <w:r w:rsidRPr="00A66016">
              <w:rPr>
                <w:sz w:val="18"/>
                <w:szCs w:val="18"/>
                <w:u w:val="single"/>
              </w:rPr>
              <w:t>Decompression surgery</w:t>
            </w:r>
            <w:r w:rsidRPr="00A66016">
              <w:rPr>
                <w:sz w:val="18"/>
                <w:szCs w:val="18"/>
              </w:rPr>
              <w:t>:</w:t>
            </w:r>
          </w:p>
          <w:p w:rsidR="003277A2" w:rsidRPr="00BD5185" w:rsidRDefault="003277A2" w:rsidP="00C26909">
            <w:pPr>
              <w:numPr>
                <w:ilvl w:val="0"/>
                <w:numId w:val="4"/>
              </w:numPr>
              <w:ind w:left="252" w:hanging="198"/>
              <w:contextualSpacing/>
              <w:rPr>
                <w:sz w:val="18"/>
                <w:szCs w:val="18"/>
              </w:rPr>
            </w:pPr>
            <w:r w:rsidRPr="00A66016">
              <w:rPr>
                <w:sz w:val="18"/>
                <w:szCs w:val="20"/>
              </w:rPr>
              <w:t>Anterior</w:t>
            </w:r>
            <w:r>
              <w:rPr>
                <w:sz w:val="18"/>
                <w:szCs w:val="18"/>
              </w:rPr>
              <w:t xml:space="preserve"> cervical corpectomy</w:t>
            </w:r>
          </w:p>
        </w:tc>
        <w:tc>
          <w:tcPr>
            <w:tcW w:w="1478" w:type="dxa"/>
          </w:tcPr>
          <w:p w:rsidR="003277A2" w:rsidRPr="00BD5185" w:rsidRDefault="003277A2" w:rsidP="00C26909">
            <w:pPr>
              <w:pStyle w:val="ListParagraph"/>
              <w:numPr>
                <w:ilvl w:val="0"/>
                <w:numId w:val="1"/>
              </w:numPr>
              <w:spacing w:after="0" w:line="240" w:lineRule="auto"/>
              <w:ind w:left="162" w:hanging="162"/>
              <w:rPr>
                <w:rFonts w:ascii="Times New Roman" w:hAnsi="Times New Roman"/>
                <w:sz w:val="18"/>
                <w:szCs w:val="18"/>
              </w:rPr>
            </w:pPr>
            <w:r w:rsidRPr="00BD5185">
              <w:rPr>
                <w:rFonts w:ascii="Times New Roman" w:hAnsi="Times New Roman"/>
                <w:sz w:val="18"/>
                <w:szCs w:val="18"/>
              </w:rPr>
              <w:lastRenderedPageBreak/>
              <w:t>Age</w:t>
            </w:r>
          </w:p>
          <w:p w:rsidR="003277A2" w:rsidRPr="00BD5185" w:rsidRDefault="003277A2" w:rsidP="00C26909">
            <w:pPr>
              <w:pStyle w:val="ListParagraph"/>
              <w:numPr>
                <w:ilvl w:val="0"/>
                <w:numId w:val="1"/>
              </w:numPr>
              <w:spacing w:after="0" w:line="240" w:lineRule="auto"/>
              <w:ind w:left="162" w:hanging="162"/>
              <w:rPr>
                <w:rFonts w:ascii="Times New Roman" w:hAnsi="Times New Roman"/>
                <w:sz w:val="18"/>
                <w:szCs w:val="18"/>
              </w:rPr>
            </w:pPr>
            <w:r w:rsidRPr="00BD5185">
              <w:rPr>
                <w:rFonts w:ascii="Times New Roman" w:hAnsi="Times New Roman"/>
                <w:sz w:val="18"/>
                <w:szCs w:val="18"/>
              </w:rPr>
              <w:lastRenderedPageBreak/>
              <w:t>Duration of symptoms</w:t>
            </w:r>
          </w:p>
          <w:p w:rsidR="003277A2" w:rsidRPr="00BD5185" w:rsidRDefault="003277A2" w:rsidP="00C26909">
            <w:pPr>
              <w:pStyle w:val="ListParagraph"/>
              <w:numPr>
                <w:ilvl w:val="0"/>
                <w:numId w:val="1"/>
              </w:numPr>
              <w:spacing w:after="0" w:line="240" w:lineRule="auto"/>
              <w:ind w:left="162" w:hanging="162"/>
              <w:rPr>
                <w:rFonts w:ascii="Times New Roman" w:hAnsi="Times New Roman"/>
                <w:sz w:val="18"/>
                <w:szCs w:val="18"/>
              </w:rPr>
            </w:pPr>
            <w:r w:rsidRPr="00BD5185">
              <w:rPr>
                <w:rFonts w:ascii="Times New Roman" w:hAnsi="Times New Roman"/>
                <w:sz w:val="18"/>
                <w:szCs w:val="18"/>
              </w:rPr>
              <w:t>Number of levels decompressed</w:t>
            </w:r>
          </w:p>
        </w:tc>
        <w:tc>
          <w:tcPr>
            <w:tcW w:w="1448" w:type="dxa"/>
          </w:tcPr>
          <w:p w:rsidR="003277A2" w:rsidRPr="00BD5185" w:rsidRDefault="003277A2" w:rsidP="00C26909">
            <w:pPr>
              <w:pStyle w:val="ListParagraph"/>
              <w:numPr>
                <w:ilvl w:val="0"/>
                <w:numId w:val="1"/>
              </w:numPr>
              <w:spacing w:after="0" w:line="240" w:lineRule="auto"/>
              <w:ind w:left="162" w:hanging="162"/>
              <w:rPr>
                <w:rFonts w:ascii="Times New Roman" w:hAnsi="Times New Roman"/>
                <w:sz w:val="18"/>
                <w:szCs w:val="18"/>
              </w:rPr>
            </w:pPr>
            <w:r w:rsidRPr="00BD5185">
              <w:rPr>
                <w:rFonts w:ascii="Times New Roman" w:hAnsi="Times New Roman"/>
                <w:sz w:val="18"/>
                <w:szCs w:val="18"/>
              </w:rPr>
              <w:lastRenderedPageBreak/>
              <w:t xml:space="preserve">T1 and T2 </w:t>
            </w:r>
            <w:r w:rsidRPr="00BD5185">
              <w:rPr>
                <w:rFonts w:ascii="Times New Roman" w:hAnsi="Times New Roman"/>
                <w:sz w:val="18"/>
                <w:szCs w:val="18"/>
              </w:rPr>
              <w:lastRenderedPageBreak/>
              <w:t xml:space="preserve">weighted </w:t>
            </w:r>
            <w:r>
              <w:rPr>
                <w:rFonts w:ascii="Times New Roman" w:hAnsi="Times New Roman"/>
                <w:sz w:val="18"/>
                <w:szCs w:val="18"/>
              </w:rPr>
              <w:t>SI</w:t>
            </w:r>
            <w:r w:rsidRPr="00BD5185">
              <w:rPr>
                <w:rFonts w:ascii="Times New Roman" w:hAnsi="Times New Roman"/>
                <w:sz w:val="18"/>
                <w:szCs w:val="18"/>
              </w:rPr>
              <w:t xml:space="preserve"> changes </w:t>
            </w:r>
          </w:p>
        </w:tc>
        <w:tc>
          <w:tcPr>
            <w:tcW w:w="1415" w:type="dxa"/>
          </w:tcPr>
          <w:p w:rsidR="003277A2" w:rsidRPr="00BD5185" w:rsidRDefault="003277A2" w:rsidP="00C26909">
            <w:pPr>
              <w:pStyle w:val="ListParagraph"/>
              <w:numPr>
                <w:ilvl w:val="0"/>
                <w:numId w:val="1"/>
              </w:numPr>
              <w:spacing w:after="0" w:line="240" w:lineRule="auto"/>
              <w:ind w:left="162" w:hanging="162"/>
              <w:rPr>
                <w:rFonts w:ascii="Times New Roman" w:hAnsi="Times New Roman"/>
                <w:sz w:val="18"/>
                <w:szCs w:val="18"/>
              </w:rPr>
            </w:pPr>
            <w:r w:rsidRPr="00BD5185">
              <w:rPr>
                <w:rFonts w:ascii="Times New Roman" w:hAnsi="Times New Roman"/>
                <w:sz w:val="18"/>
                <w:szCs w:val="18"/>
              </w:rPr>
              <w:lastRenderedPageBreak/>
              <w:t xml:space="preserve">17 point </w:t>
            </w:r>
            <w:r w:rsidRPr="00BD5185">
              <w:rPr>
                <w:rFonts w:ascii="Times New Roman" w:hAnsi="Times New Roman"/>
                <w:sz w:val="18"/>
                <w:szCs w:val="18"/>
              </w:rPr>
              <w:lastRenderedPageBreak/>
              <w:t>mJOA</w:t>
            </w:r>
          </w:p>
        </w:tc>
        <w:tc>
          <w:tcPr>
            <w:tcW w:w="1193" w:type="dxa"/>
          </w:tcPr>
          <w:p w:rsidR="003277A2" w:rsidRPr="00BD5185" w:rsidRDefault="003277A2" w:rsidP="00C26909">
            <w:pPr>
              <w:rPr>
                <w:sz w:val="18"/>
                <w:szCs w:val="18"/>
              </w:rPr>
            </w:pPr>
            <w:r w:rsidRPr="00BD5185">
              <w:rPr>
                <w:sz w:val="18"/>
                <w:szCs w:val="18"/>
              </w:rPr>
              <w:lastRenderedPageBreak/>
              <w:t xml:space="preserve">Mean 42 </w:t>
            </w:r>
            <w:r w:rsidRPr="00BD5185">
              <w:rPr>
                <w:sz w:val="18"/>
                <w:szCs w:val="18"/>
              </w:rPr>
              <w:lastRenderedPageBreak/>
              <w:t>months (range, 12-83)</w:t>
            </w:r>
            <w:r>
              <w:rPr>
                <w:sz w:val="18"/>
                <w:szCs w:val="18"/>
              </w:rPr>
              <w:t xml:space="preserve"> (90.9% f/u; n = 70/77)</w:t>
            </w:r>
          </w:p>
        </w:tc>
        <w:tc>
          <w:tcPr>
            <w:tcW w:w="3245" w:type="dxa"/>
          </w:tcPr>
          <w:p w:rsidR="003277A2" w:rsidRPr="00BD5185" w:rsidRDefault="003277A2" w:rsidP="00C26909">
            <w:pPr>
              <w:rPr>
                <w:sz w:val="18"/>
                <w:szCs w:val="18"/>
              </w:rPr>
            </w:pPr>
            <w:r w:rsidRPr="00BD5185">
              <w:rPr>
                <w:b/>
                <w:sz w:val="18"/>
                <w:szCs w:val="18"/>
              </w:rPr>
              <w:lastRenderedPageBreak/>
              <w:t xml:space="preserve">Preoperative MRI signal change and </w:t>
            </w:r>
            <w:r w:rsidRPr="004629A3">
              <w:rPr>
                <w:b/>
                <w:sz w:val="18"/>
                <w:szCs w:val="18"/>
              </w:rPr>
              <w:lastRenderedPageBreak/>
              <w:t>postoperative mJOA score:</w:t>
            </w:r>
          </w:p>
          <w:p w:rsidR="003277A2" w:rsidRPr="004629A3" w:rsidRDefault="003277A2" w:rsidP="00C26909">
            <w:pPr>
              <w:pStyle w:val="ListParagraph"/>
              <w:numPr>
                <w:ilvl w:val="0"/>
                <w:numId w:val="13"/>
              </w:numPr>
              <w:spacing w:after="0" w:line="240" w:lineRule="auto"/>
              <w:ind w:left="328" w:hanging="180"/>
              <w:rPr>
                <w:rFonts w:ascii="Times New Roman" w:hAnsi="Times New Roman"/>
                <w:sz w:val="18"/>
                <w:szCs w:val="18"/>
              </w:rPr>
            </w:pPr>
            <w:r w:rsidRPr="00BD5185">
              <w:rPr>
                <w:rFonts w:ascii="Times New Roman" w:hAnsi="Times New Roman"/>
                <w:sz w:val="18"/>
                <w:szCs w:val="18"/>
              </w:rPr>
              <w:t>Low SI change on T1W sequences</w:t>
            </w:r>
            <w:r>
              <w:rPr>
                <w:rFonts w:ascii="Times New Roman" w:hAnsi="Times New Roman"/>
                <w:sz w:val="18"/>
                <w:szCs w:val="18"/>
              </w:rPr>
              <w:t xml:space="preserve"> </w:t>
            </w:r>
            <w:r w:rsidRPr="00BD5185">
              <w:rPr>
                <w:rFonts w:ascii="Times New Roman" w:hAnsi="Times New Roman"/>
                <w:sz w:val="18"/>
                <w:szCs w:val="18"/>
              </w:rPr>
              <w:t>= lower postoperative mJOA score (</w:t>
            </w:r>
            <w:r w:rsidRPr="004629A3">
              <w:rPr>
                <w:rFonts w:ascii="Times New Roman" w:hAnsi="Times New Roman"/>
                <w:sz w:val="18"/>
                <w:szCs w:val="18"/>
              </w:rPr>
              <w:t>P</w:t>
            </w:r>
            <w:r>
              <w:rPr>
                <w:rFonts w:ascii="Times New Roman" w:hAnsi="Times New Roman"/>
                <w:sz w:val="18"/>
                <w:szCs w:val="18"/>
              </w:rPr>
              <w:t xml:space="preserve"> &lt; </w:t>
            </w:r>
            <w:r w:rsidRPr="00BD5185">
              <w:rPr>
                <w:rFonts w:ascii="Times New Roman" w:hAnsi="Times New Roman"/>
                <w:sz w:val="18"/>
                <w:szCs w:val="18"/>
              </w:rPr>
              <w:t>.05)</w:t>
            </w:r>
          </w:p>
          <w:p w:rsidR="003277A2" w:rsidRPr="00BD5185" w:rsidRDefault="003277A2" w:rsidP="00C26909">
            <w:pPr>
              <w:pStyle w:val="ListParagraph"/>
              <w:numPr>
                <w:ilvl w:val="0"/>
                <w:numId w:val="13"/>
              </w:numPr>
              <w:spacing w:after="0" w:line="240" w:lineRule="auto"/>
              <w:ind w:left="328" w:hanging="180"/>
              <w:rPr>
                <w:rFonts w:ascii="Times New Roman" w:hAnsi="Times New Roman"/>
                <w:sz w:val="18"/>
                <w:szCs w:val="18"/>
              </w:rPr>
            </w:pPr>
            <w:r w:rsidRPr="00BD5185">
              <w:rPr>
                <w:rFonts w:ascii="Times New Roman" w:hAnsi="Times New Roman"/>
                <w:sz w:val="18"/>
                <w:szCs w:val="18"/>
              </w:rPr>
              <w:t>High SI on MRI T2W sequences = higher postoperative mJOA score (</w:t>
            </w:r>
            <w:r w:rsidRPr="00BD5185">
              <w:rPr>
                <w:rFonts w:ascii="Times New Roman" w:hAnsi="Times New Roman"/>
                <w:i/>
                <w:sz w:val="18"/>
                <w:szCs w:val="18"/>
              </w:rPr>
              <w:t>P</w:t>
            </w:r>
            <w:r>
              <w:rPr>
                <w:rFonts w:ascii="Times New Roman" w:hAnsi="Times New Roman"/>
                <w:sz w:val="18"/>
                <w:szCs w:val="18"/>
              </w:rPr>
              <w:t xml:space="preserve"> </w:t>
            </w:r>
            <w:r w:rsidRPr="00BD5185">
              <w:rPr>
                <w:rFonts w:ascii="Times New Roman" w:hAnsi="Times New Roman"/>
                <w:sz w:val="18"/>
                <w:szCs w:val="18"/>
              </w:rPr>
              <w:t>&lt;</w:t>
            </w:r>
            <w:r>
              <w:rPr>
                <w:rFonts w:ascii="Times New Roman" w:hAnsi="Times New Roman"/>
                <w:sz w:val="18"/>
                <w:szCs w:val="18"/>
              </w:rPr>
              <w:t xml:space="preserve"> </w:t>
            </w:r>
            <w:r w:rsidRPr="00BD5185">
              <w:rPr>
                <w:rFonts w:ascii="Times New Roman" w:hAnsi="Times New Roman"/>
                <w:sz w:val="18"/>
                <w:szCs w:val="18"/>
              </w:rPr>
              <w:t>.01)</w:t>
            </w:r>
          </w:p>
        </w:tc>
      </w:tr>
      <w:tr w:rsidR="0043721E" w:rsidRPr="003E1C61" w:rsidTr="00DC4E9E">
        <w:tc>
          <w:tcPr>
            <w:tcW w:w="1248" w:type="dxa"/>
          </w:tcPr>
          <w:p w:rsidR="003277A2" w:rsidRPr="003E1C61" w:rsidRDefault="003277A2" w:rsidP="00C26909">
            <w:pPr>
              <w:rPr>
                <w:sz w:val="18"/>
                <w:szCs w:val="18"/>
                <w:lang w:val="en-AU"/>
              </w:rPr>
            </w:pPr>
            <w:r w:rsidRPr="003E1C61">
              <w:rPr>
                <w:sz w:val="18"/>
                <w:szCs w:val="18"/>
                <w:lang w:val="en-AU"/>
              </w:rPr>
              <w:lastRenderedPageBreak/>
              <w:t>Kim et al. (2008)</w:t>
            </w:r>
          </w:p>
          <w:p w:rsidR="003277A2" w:rsidRPr="003E1C61" w:rsidRDefault="003277A2" w:rsidP="00C26909">
            <w:pPr>
              <w:rPr>
                <w:sz w:val="18"/>
                <w:szCs w:val="18"/>
                <w:lang w:val="en-AU"/>
              </w:rPr>
            </w:pPr>
          </w:p>
          <w:p w:rsidR="0043721E" w:rsidRDefault="0043721E" w:rsidP="00C26909">
            <w:pPr>
              <w:rPr>
                <w:sz w:val="18"/>
                <w:szCs w:val="18"/>
                <w:lang w:val="en-AU"/>
              </w:rPr>
            </w:pPr>
          </w:p>
          <w:p w:rsidR="003277A2" w:rsidRPr="003E1C61" w:rsidRDefault="0043721E" w:rsidP="00C26909">
            <w:pPr>
              <w:rPr>
                <w:sz w:val="18"/>
                <w:szCs w:val="18"/>
                <w:lang w:val="en-AU"/>
              </w:rPr>
            </w:pPr>
            <w:r>
              <w:rPr>
                <w:sz w:val="18"/>
                <w:szCs w:val="18"/>
                <w:lang w:val="en-AU"/>
              </w:rPr>
              <w:t>Retrospective cohort</w:t>
            </w:r>
            <w:bookmarkStart w:id="31" w:name="_GoBack"/>
            <w:bookmarkEnd w:id="31"/>
          </w:p>
        </w:tc>
        <w:tc>
          <w:tcPr>
            <w:tcW w:w="1741" w:type="dxa"/>
          </w:tcPr>
          <w:p w:rsidR="003277A2" w:rsidRPr="003E1C61" w:rsidRDefault="003277A2" w:rsidP="00C26909">
            <w:pPr>
              <w:rPr>
                <w:sz w:val="18"/>
                <w:szCs w:val="18"/>
              </w:rPr>
            </w:pPr>
            <w:r w:rsidRPr="003E1C61">
              <w:rPr>
                <w:sz w:val="18"/>
                <w:szCs w:val="18"/>
              </w:rPr>
              <w:t>To assess the effect of diabetes mellitus and smoking on the outcome of surgery for cervical myelopathy on the outcome of cervical laminoplasty, while also investigating the interaction between the various prognostic factors.</w:t>
            </w:r>
          </w:p>
        </w:tc>
        <w:tc>
          <w:tcPr>
            <w:tcW w:w="2362" w:type="dxa"/>
          </w:tcPr>
          <w:p w:rsidR="003277A2" w:rsidRPr="003E1C61" w:rsidRDefault="003277A2" w:rsidP="00C26909">
            <w:pPr>
              <w:rPr>
                <w:sz w:val="18"/>
                <w:szCs w:val="20"/>
              </w:rPr>
            </w:pPr>
            <w:r w:rsidRPr="003E1C61">
              <w:rPr>
                <w:sz w:val="18"/>
                <w:szCs w:val="20"/>
              </w:rPr>
              <w:t>N = 87</w:t>
            </w:r>
          </w:p>
          <w:p w:rsidR="003277A2" w:rsidRPr="003E1C61" w:rsidRDefault="003277A2" w:rsidP="00C26909">
            <w:pPr>
              <w:ind w:left="72"/>
              <w:rPr>
                <w:sz w:val="18"/>
                <w:szCs w:val="18"/>
              </w:rPr>
            </w:pPr>
            <w:r w:rsidRPr="003E1C61">
              <w:rPr>
                <w:sz w:val="18"/>
                <w:szCs w:val="18"/>
              </w:rPr>
              <w:t>Male: 57%</w:t>
            </w:r>
          </w:p>
          <w:p w:rsidR="003277A2" w:rsidRDefault="003277A2" w:rsidP="00C26909">
            <w:pPr>
              <w:ind w:left="72"/>
              <w:rPr>
                <w:sz w:val="18"/>
                <w:szCs w:val="18"/>
              </w:rPr>
            </w:pPr>
            <w:r w:rsidRPr="003E1C61">
              <w:rPr>
                <w:sz w:val="18"/>
                <w:szCs w:val="18"/>
              </w:rPr>
              <w:t>Mean age (range): 62.3 years (42–76)</w:t>
            </w:r>
          </w:p>
          <w:p w:rsidR="003277A2" w:rsidRPr="003E1C61" w:rsidRDefault="003277A2" w:rsidP="00C26909">
            <w:pPr>
              <w:ind w:left="72"/>
              <w:rPr>
                <w:sz w:val="18"/>
                <w:szCs w:val="18"/>
              </w:rPr>
            </w:pPr>
            <w:r>
              <w:rPr>
                <w:sz w:val="18"/>
                <w:szCs w:val="18"/>
              </w:rPr>
              <w:t>Mean duration of symptoms (range): 10 months (</w:t>
            </w:r>
            <w:r w:rsidRPr="003E1C61">
              <w:rPr>
                <w:sz w:val="18"/>
                <w:szCs w:val="20"/>
              </w:rPr>
              <w:t>4–36</w:t>
            </w:r>
            <w:r>
              <w:rPr>
                <w:sz w:val="18"/>
                <w:szCs w:val="20"/>
              </w:rPr>
              <w:t>)</w:t>
            </w:r>
          </w:p>
          <w:p w:rsidR="003277A2" w:rsidRPr="003E1C61" w:rsidRDefault="003277A2" w:rsidP="00C26909">
            <w:pPr>
              <w:tabs>
                <w:tab w:val="num" w:pos="252"/>
              </w:tabs>
              <w:rPr>
                <w:sz w:val="18"/>
                <w:szCs w:val="20"/>
              </w:rPr>
            </w:pPr>
          </w:p>
          <w:p w:rsidR="003277A2" w:rsidRPr="003E1C61" w:rsidRDefault="003277A2" w:rsidP="00C26909">
            <w:pPr>
              <w:tabs>
                <w:tab w:val="num" w:pos="252"/>
              </w:tabs>
              <w:rPr>
                <w:sz w:val="18"/>
                <w:szCs w:val="20"/>
              </w:rPr>
            </w:pPr>
            <w:r w:rsidRPr="003E1C61">
              <w:rPr>
                <w:sz w:val="18"/>
                <w:szCs w:val="20"/>
                <w:u w:val="single"/>
              </w:rPr>
              <w:t>Diagnosis:</w:t>
            </w:r>
            <w:r w:rsidRPr="003E1C61">
              <w:rPr>
                <w:sz w:val="18"/>
                <w:szCs w:val="20"/>
              </w:rPr>
              <w:t xml:space="preserve"> </w:t>
            </w:r>
          </w:p>
          <w:p w:rsidR="003277A2" w:rsidRPr="00E553DA" w:rsidRDefault="003277A2" w:rsidP="00C26909">
            <w:pPr>
              <w:numPr>
                <w:ilvl w:val="0"/>
                <w:numId w:val="2"/>
              </w:numPr>
              <w:tabs>
                <w:tab w:val="clear" w:pos="720"/>
                <w:tab w:val="num" w:pos="252"/>
              </w:tabs>
              <w:ind w:left="252" w:hanging="180"/>
              <w:contextualSpacing/>
              <w:rPr>
                <w:sz w:val="18"/>
                <w:szCs w:val="20"/>
              </w:rPr>
            </w:pPr>
            <w:r>
              <w:rPr>
                <w:sz w:val="18"/>
                <w:szCs w:val="20"/>
              </w:rPr>
              <w:t>CSM, OPLL</w:t>
            </w:r>
            <w:r w:rsidRPr="003E1C61">
              <w:rPr>
                <w:sz w:val="18"/>
                <w:szCs w:val="20"/>
              </w:rPr>
              <w:t xml:space="preserve"> </w:t>
            </w:r>
            <w:r>
              <w:rPr>
                <w:sz w:val="18"/>
                <w:szCs w:val="20"/>
              </w:rPr>
              <w:t>[with d</w:t>
            </w:r>
            <w:r w:rsidRPr="00E553DA">
              <w:rPr>
                <w:sz w:val="18"/>
                <w:szCs w:val="20"/>
              </w:rPr>
              <w:t>iabetes mellitus (n = 31)</w:t>
            </w:r>
            <w:r>
              <w:rPr>
                <w:sz w:val="18"/>
                <w:szCs w:val="20"/>
              </w:rPr>
              <w:t xml:space="preserve"> and c</w:t>
            </w:r>
            <w:r w:rsidRPr="00E553DA">
              <w:rPr>
                <w:sz w:val="18"/>
                <w:szCs w:val="20"/>
              </w:rPr>
              <w:t>ontrol group (n = 56)</w:t>
            </w:r>
            <w:r>
              <w:rPr>
                <w:sz w:val="18"/>
                <w:szCs w:val="20"/>
              </w:rPr>
              <w:t>]</w:t>
            </w:r>
          </w:p>
          <w:p w:rsidR="003277A2" w:rsidRPr="003E1C61" w:rsidRDefault="003277A2" w:rsidP="00C26909">
            <w:pPr>
              <w:tabs>
                <w:tab w:val="num" w:pos="252"/>
              </w:tabs>
              <w:rPr>
                <w:sz w:val="18"/>
                <w:szCs w:val="20"/>
              </w:rPr>
            </w:pPr>
          </w:p>
          <w:p w:rsidR="003277A2" w:rsidRPr="003E1C61" w:rsidRDefault="003277A2" w:rsidP="00C26909">
            <w:pPr>
              <w:rPr>
                <w:sz w:val="18"/>
                <w:szCs w:val="18"/>
              </w:rPr>
            </w:pPr>
            <w:r w:rsidRPr="003E1C61">
              <w:rPr>
                <w:sz w:val="18"/>
                <w:szCs w:val="18"/>
                <w:u w:val="single"/>
              </w:rPr>
              <w:t>Decompression surgery</w:t>
            </w:r>
            <w:r w:rsidRPr="003E1C61">
              <w:rPr>
                <w:sz w:val="18"/>
                <w:szCs w:val="18"/>
              </w:rPr>
              <w:t>:</w:t>
            </w:r>
          </w:p>
          <w:p w:rsidR="003277A2" w:rsidRPr="001A5A20" w:rsidRDefault="003277A2" w:rsidP="00C26909">
            <w:pPr>
              <w:numPr>
                <w:ilvl w:val="0"/>
                <w:numId w:val="2"/>
              </w:numPr>
              <w:tabs>
                <w:tab w:val="clear" w:pos="720"/>
                <w:tab w:val="num" w:pos="252"/>
              </w:tabs>
              <w:ind w:left="252" w:hanging="180"/>
              <w:contextualSpacing/>
              <w:rPr>
                <w:sz w:val="18"/>
                <w:szCs w:val="20"/>
              </w:rPr>
            </w:pPr>
            <w:r w:rsidRPr="003E1C61">
              <w:rPr>
                <w:sz w:val="18"/>
                <w:szCs w:val="20"/>
              </w:rPr>
              <w:t>Expansive open door laminoplasty: n = 87</w:t>
            </w:r>
          </w:p>
        </w:tc>
        <w:tc>
          <w:tcPr>
            <w:tcW w:w="1478" w:type="dxa"/>
          </w:tcPr>
          <w:p w:rsidR="003277A2" w:rsidRPr="003E1C61" w:rsidRDefault="003277A2" w:rsidP="00C26909">
            <w:pPr>
              <w:numPr>
                <w:ilvl w:val="0"/>
                <w:numId w:val="3"/>
              </w:numPr>
              <w:ind w:left="170" w:hanging="170"/>
              <w:contextualSpacing/>
              <w:rPr>
                <w:sz w:val="18"/>
                <w:szCs w:val="20"/>
              </w:rPr>
            </w:pPr>
            <w:r w:rsidRPr="003E1C61">
              <w:rPr>
                <w:sz w:val="18"/>
                <w:szCs w:val="20"/>
              </w:rPr>
              <w:t>Age</w:t>
            </w:r>
          </w:p>
          <w:p w:rsidR="003277A2" w:rsidRPr="003E1C61" w:rsidRDefault="003277A2" w:rsidP="00C26909">
            <w:pPr>
              <w:numPr>
                <w:ilvl w:val="0"/>
                <w:numId w:val="3"/>
              </w:numPr>
              <w:ind w:left="170" w:hanging="170"/>
              <w:contextualSpacing/>
              <w:rPr>
                <w:sz w:val="18"/>
                <w:szCs w:val="20"/>
              </w:rPr>
            </w:pPr>
            <w:r w:rsidRPr="003E1C61">
              <w:rPr>
                <w:sz w:val="18"/>
                <w:szCs w:val="20"/>
              </w:rPr>
              <w:t>Presence of diabetes</w:t>
            </w:r>
          </w:p>
          <w:p w:rsidR="003277A2" w:rsidRPr="003E1C61" w:rsidRDefault="003277A2" w:rsidP="00C26909">
            <w:pPr>
              <w:numPr>
                <w:ilvl w:val="0"/>
                <w:numId w:val="3"/>
              </w:numPr>
              <w:ind w:left="170" w:hanging="170"/>
              <w:contextualSpacing/>
              <w:rPr>
                <w:sz w:val="18"/>
                <w:szCs w:val="20"/>
              </w:rPr>
            </w:pPr>
            <w:r w:rsidRPr="003E1C61">
              <w:rPr>
                <w:sz w:val="18"/>
                <w:szCs w:val="20"/>
              </w:rPr>
              <w:t>Presence of diabetes and older age (interaction)</w:t>
            </w:r>
          </w:p>
          <w:p w:rsidR="003277A2" w:rsidRPr="003E1C61" w:rsidRDefault="003277A2" w:rsidP="00C26909">
            <w:pPr>
              <w:numPr>
                <w:ilvl w:val="0"/>
                <w:numId w:val="3"/>
              </w:numPr>
              <w:ind w:left="170" w:hanging="170"/>
              <w:contextualSpacing/>
              <w:rPr>
                <w:sz w:val="18"/>
                <w:szCs w:val="20"/>
              </w:rPr>
            </w:pPr>
            <w:r w:rsidRPr="003E1C61">
              <w:rPr>
                <w:sz w:val="18"/>
                <w:szCs w:val="20"/>
              </w:rPr>
              <w:t>Presence of diabetes and smoking (interaction)</w:t>
            </w:r>
          </w:p>
          <w:p w:rsidR="003277A2" w:rsidRPr="003E1C61" w:rsidRDefault="003277A2" w:rsidP="00C26909">
            <w:pPr>
              <w:numPr>
                <w:ilvl w:val="0"/>
                <w:numId w:val="3"/>
              </w:numPr>
              <w:ind w:left="170" w:hanging="170"/>
              <w:contextualSpacing/>
              <w:rPr>
                <w:sz w:val="18"/>
                <w:szCs w:val="20"/>
              </w:rPr>
            </w:pPr>
            <w:r w:rsidRPr="003E1C61">
              <w:rPr>
                <w:sz w:val="18"/>
                <w:szCs w:val="20"/>
              </w:rPr>
              <w:t>Duration of symptoms</w:t>
            </w:r>
          </w:p>
          <w:p w:rsidR="003277A2" w:rsidRPr="003E1C61" w:rsidRDefault="003277A2" w:rsidP="00C26909">
            <w:pPr>
              <w:numPr>
                <w:ilvl w:val="0"/>
                <w:numId w:val="3"/>
              </w:numPr>
              <w:ind w:left="170" w:hanging="170"/>
              <w:contextualSpacing/>
              <w:rPr>
                <w:sz w:val="18"/>
                <w:szCs w:val="20"/>
              </w:rPr>
            </w:pPr>
            <w:r w:rsidRPr="003E1C61">
              <w:rPr>
                <w:sz w:val="18"/>
                <w:szCs w:val="20"/>
              </w:rPr>
              <w:t>Preoperative JOA score</w:t>
            </w:r>
          </w:p>
        </w:tc>
        <w:tc>
          <w:tcPr>
            <w:tcW w:w="1448" w:type="dxa"/>
          </w:tcPr>
          <w:p w:rsidR="003277A2" w:rsidRDefault="003277A2" w:rsidP="00C26909">
            <w:pPr>
              <w:numPr>
                <w:ilvl w:val="0"/>
                <w:numId w:val="1"/>
              </w:numPr>
              <w:ind w:left="162" w:hanging="162"/>
              <w:contextualSpacing/>
              <w:rPr>
                <w:sz w:val="18"/>
                <w:szCs w:val="18"/>
              </w:rPr>
            </w:pPr>
            <w:r w:rsidRPr="003E1C61">
              <w:rPr>
                <w:sz w:val="18"/>
                <w:szCs w:val="20"/>
              </w:rPr>
              <w:t>Signal change</w:t>
            </w:r>
            <w:r>
              <w:rPr>
                <w:sz w:val="18"/>
                <w:szCs w:val="20"/>
              </w:rPr>
              <w:t xml:space="preserve"> (increased signal on T2 with a decreased signal on T1)</w:t>
            </w:r>
          </w:p>
          <w:p w:rsidR="003277A2" w:rsidRPr="007B5FD0" w:rsidRDefault="003277A2" w:rsidP="00C26909">
            <w:pPr>
              <w:rPr>
                <w:sz w:val="18"/>
                <w:szCs w:val="18"/>
              </w:rPr>
            </w:pPr>
            <w:r w:rsidRPr="007B5FD0">
              <w:rPr>
                <w:sz w:val="18"/>
                <w:szCs w:val="20"/>
              </w:rPr>
              <w:t xml:space="preserve"> </w:t>
            </w:r>
          </w:p>
        </w:tc>
        <w:tc>
          <w:tcPr>
            <w:tcW w:w="1415" w:type="dxa"/>
          </w:tcPr>
          <w:p w:rsidR="003277A2" w:rsidRPr="003E1C61" w:rsidRDefault="003277A2" w:rsidP="00C26909">
            <w:pPr>
              <w:numPr>
                <w:ilvl w:val="0"/>
                <w:numId w:val="1"/>
              </w:numPr>
              <w:ind w:left="162" w:hanging="162"/>
              <w:contextualSpacing/>
              <w:rPr>
                <w:sz w:val="18"/>
                <w:szCs w:val="18"/>
              </w:rPr>
            </w:pPr>
            <w:r>
              <w:rPr>
                <w:sz w:val="18"/>
                <w:szCs w:val="18"/>
              </w:rPr>
              <w:t xml:space="preserve">Recovery rate of JOA score‡  </w:t>
            </w:r>
          </w:p>
        </w:tc>
        <w:tc>
          <w:tcPr>
            <w:tcW w:w="1193" w:type="dxa"/>
          </w:tcPr>
          <w:p w:rsidR="003277A2" w:rsidRPr="003E1C61" w:rsidRDefault="003277A2" w:rsidP="00C26909">
            <w:pPr>
              <w:rPr>
                <w:sz w:val="18"/>
                <w:szCs w:val="18"/>
              </w:rPr>
            </w:pPr>
            <w:r w:rsidRPr="003E1C61">
              <w:rPr>
                <w:sz w:val="18"/>
                <w:szCs w:val="20"/>
              </w:rPr>
              <w:t xml:space="preserve"> 2 years (%f/u NR)</w:t>
            </w:r>
          </w:p>
        </w:tc>
        <w:tc>
          <w:tcPr>
            <w:tcW w:w="3245" w:type="dxa"/>
          </w:tcPr>
          <w:p w:rsidR="003277A2" w:rsidRPr="003E1C61" w:rsidRDefault="003277A2" w:rsidP="00C26909">
            <w:pPr>
              <w:rPr>
                <w:b/>
                <w:sz w:val="18"/>
                <w:szCs w:val="18"/>
                <w:u w:val="single"/>
              </w:rPr>
            </w:pPr>
            <w:r w:rsidRPr="00160E27">
              <w:rPr>
                <w:b/>
                <w:sz w:val="18"/>
                <w:szCs w:val="18"/>
                <w:u w:val="single"/>
              </w:rPr>
              <w:t>Risk of Poor Outcome (&lt; 50% in JOA recovery rate)</w:t>
            </w:r>
            <w:r>
              <w:rPr>
                <w:b/>
                <w:sz w:val="18"/>
                <w:szCs w:val="18"/>
                <w:u w:val="single"/>
              </w:rPr>
              <w:t xml:space="preserve"> in multivariate analysis</w:t>
            </w:r>
            <w:r w:rsidRPr="003E1C61">
              <w:rPr>
                <w:b/>
                <w:sz w:val="18"/>
                <w:szCs w:val="18"/>
                <w:u w:val="single"/>
              </w:rPr>
              <w:t>:</w:t>
            </w:r>
          </w:p>
          <w:p w:rsidR="003277A2" w:rsidRPr="003E1C61" w:rsidRDefault="003277A2" w:rsidP="00C26909">
            <w:pPr>
              <w:rPr>
                <w:sz w:val="18"/>
                <w:szCs w:val="18"/>
              </w:rPr>
            </w:pPr>
            <w:proofErr w:type="spellStart"/>
            <w:r w:rsidRPr="003E1C61">
              <w:rPr>
                <w:sz w:val="18"/>
                <w:szCs w:val="18"/>
              </w:rPr>
              <w:t>aOR</w:t>
            </w:r>
            <w:proofErr w:type="spellEnd"/>
            <w:r w:rsidRPr="003E1C61">
              <w:rPr>
                <w:sz w:val="18"/>
                <w:szCs w:val="18"/>
              </w:rPr>
              <w:t xml:space="preserve"> = 3.53 (95% CI, 1.67–5.95); </w:t>
            </w:r>
            <w:r w:rsidRPr="003E1C61">
              <w:rPr>
                <w:i/>
                <w:sz w:val="18"/>
                <w:szCs w:val="18"/>
              </w:rPr>
              <w:t>P</w:t>
            </w:r>
            <w:r w:rsidRPr="003E1C61">
              <w:rPr>
                <w:sz w:val="18"/>
                <w:szCs w:val="18"/>
              </w:rPr>
              <w:t xml:space="preserve"> = .01</w:t>
            </w:r>
          </w:p>
          <w:p w:rsidR="003277A2" w:rsidRDefault="003277A2" w:rsidP="00C26909">
            <w:pPr>
              <w:rPr>
                <w:sz w:val="18"/>
                <w:szCs w:val="18"/>
              </w:rPr>
            </w:pPr>
          </w:p>
          <w:p w:rsidR="003277A2" w:rsidRPr="003E1C61" w:rsidRDefault="003277A2" w:rsidP="00C26909">
            <w:pPr>
              <w:rPr>
                <w:sz w:val="18"/>
                <w:szCs w:val="18"/>
              </w:rPr>
            </w:pPr>
            <w:r>
              <w:rPr>
                <w:sz w:val="18"/>
                <w:szCs w:val="18"/>
              </w:rPr>
              <w:t>“S</w:t>
            </w:r>
            <w:r w:rsidRPr="006D4FFA">
              <w:rPr>
                <w:sz w:val="18"/>
                <w:szCs w:val="18"/>
              </w:rPr>
              <w:t>ig</w:t>
            </w:r>
            <w:r>
              <w:rPr>
                <w:sz w:val="18"/>
                <w:szCs w:val="18"/>
              </w:rPr>
              <w:t xml:space="preserve">nal changes on MRI proved to be a </w:t>
            </w:r>
            <w:r w:rsidRPr="006D4FFA">
              <w:rPr>
                <w:sz w:val="18"/>
                <w:szCs w:val="18"/>
              </w:rPr>
              <w:t>significant risk</w:t>
            </w:r>
            <w:r>
              <w:rPr>
                <w:sz w:val="18"/>
                <w:szCs w:val="18"/>
              </w:rPr>
              <w:t xml:space="preserve"> factor</w:t>
            </w:r>
            <w:r w:rsidRPr="006D4FFA">
              <w:rPr>
                <w:sz w:val="18"/>
                <w:szCs w:val="18"/>
              </w:rPr>
              <w:t xml:space="preserve"> for a poor outcome</w:t>
            </w:r>
            <w:r>
              <w:rPr>
                <w:sz w:val="18"/>
                <w:szCs w:val="18"/>
              </w:rPr>
              <w:t>”</w:t>
            </w:r>
          </w:p>
        </w:tc>
      </w:tr>
      <w:tr w:rsidR="0043721E" w:rsidRPr="003E1C61" w:rsidTr="00DC4E9E">
        <w:tc>
          <w:tcPr>
            <w:tcW w:w="1248" w:type="dxa"/>
          </w:tcPr>
          <w:p w:rsidR="003277A2" w:rsidRPr="003E1C61" w:rsidRDefault="003277A2" w:rsidP="00C26909">
            <w:pPr>
              <w:rPr>
                <w:sz w:val="18"/>
                <w:szCs w:val="18"/>
                <w:lang w:val="en-AU"/>
              </w:rPr>
            </w:pPr>
            <w:proofErr w:type="spellStart"/>
            <w:r w:rsidRPr="003E1C61">
              <w:rPr>
                <w:sz w:val="18"/>
                <w:szCs w:val="18"/>
                <w:lang w:val="en-AU"/>
              </w:rPr>
              <w:t>Morio</w:t>
            </w:r>
            <w:proofErr w:type="spellEnd"/>
            <w:r w:rsidRPr="003E1C61">
              <w:rPr>
                <w:sz w:val="18"/>
                <w:szCs w:val="18"/>
                <w:lang w:val="en-AU"/>
              </w:rPr>
              <w:t xml:space="preserve"> et al. (2001)</w:t>
            </w:r>
          </w:p>
          <w:p w:rsidR="003277A2" w:rsidRPr="003E1C61" w:rsidRDefault="003277A2" w:rsidP="00C26909">
            <w:pPr>
              <w:rPr>
                <w:sz w:val="18"/>
                <w:szCs w:val="18"/>
                <w:lang w:val="en-AU"/>
              </w:rPr>
            </w:pPr>
          </w:p>
          <w:p w:rsidR="003277A2" w:rsidRPr="003E1C61" w:rsidRDefault="003277A2" w:rsidP="00C26909">
            <w:pPr>
              <w:rPr>
                <w:sz w:val="18"/>
                <w:szCs w:val="18"/>
                <w:lang w:val="en-AU"/>
              </w:rPr>
            </w:pPr>
            <w:r w:rsidRPr="003E1C61">
              <w:rPr>
                <w:sz w:val="18"/>
                <w:szCs w:val="18"/>
                <w:lang w:val="en-AU"/>
              </w:rPr>
              <w:t>Retrospective cohort</w:t>
            </w:r>
          </w:p>
        </w:tc>
        <w:tc>
          <w:tcPr>
            <w:tcW w:w="1741" w:type="dxa"/>
          </w:tcPr>
          <w:p w:rsidR="003277A2" w:rsidRPr="006B2553" w:rsidRDefault="003277A2" w:rsidP="00C26909">
            <w:pPr>
              <w:widowControl w:val="0"/>
              <w:autoSpaceDE w:val="0"/>
              <w:autoSpaceDN w:val="0"/>
              <w:adjustRightInd w:val="0"/>
              <w:rPr>
                <w:sz w:val="18"/>
                <w:szCs w:val="20"/>
              </w:rPr>
            </w:pPr>
            <w:r w:rsidRPr="003E1C61">
              <w:rPr>
                <w:sz w:val="18"/>
                <w:szCs w:val="20"/>
              </w:rPr>
              <w:t>To reinvestigate the characteristics of MRI findings in cervical compression</w:t>
            </w:r>
            <w:r>
              <w:rPr>
                <w:sz w:val="18"/>
                <w:szCs w:val="20"/>
              </w:rPr>
              <w:t xml:space="preserve"> </w:t>
            </w:r>
            <w:r w:rsidRPr="003E1C61">
              <w:rPr>
                <w:sz w:val="18"/>
                <w:szCs w:val="20"/>
              </w:rPr>
              <w:t>myelopathy that reflect the clinical symptoms and prognosis, and to identify radiographic and clinical factors that correlate with the prognosis.</w:t>
            </w:r>
          </w:p>
        </w:tc>
        <w:tc>
          <w:tcPr>
            <w:tcW w:w="2362" w:type="dxa"/>
          </w:tcPr>
          <w:p w:rsidR="003277A2" w:rsidRPr="003E1C61" w:rsidRDefault="003277A2" w:rsidP="00C26909">
            <w:pPr>
              <w:rPr>
                <w:sz w:val="18"/>
                <w:szCs w:val="20"/>
              </w:rPr>
            </w:pPr>
            <w:r w:rsidRPr="003E1C61">
              <w:rPr>
                <w:sz w:val="18"/>
                <w:szCs w:val="20"/>
              </w:rPr>
              <w:t>N = 73</w:t>
            </w:r>
          </w:p>
          <w:p w:rsidR="003277A2" w:rsidRPr="003E1C61" w:rsidRDefault="003277A2" w:rsidP="00C26909">
            <w:pPr>
              <w:ind w:left="72"/>
              <w:rPr>
                <w:sz w:val="18"/>
                <w:szCs w:val="18"/>
              </w:rPr>
            </w:pPr>
            <w:r w:rsidRPr="003E1C61">
              <w:rPr>
                <w:sz w:val="18"/>
                <w:szCs w:val="18"/>
              </w:rPr>
              <w:t>Male: NR</w:t>
            </w:r>
          </w:p>
          <w:p w:rsidR="003277A2" w:rsidRDefault="003277A2" w:rsidP="00C26909">
            <w:pPr>
              <w:ind w:left="72"/>
              <w:rPr>
                <w:sz w:val="18"/>
                <w:szCs w:val="20"/>
              </w:rPr>
            </w:pPr>
            <w:r w:rsidRPr="003E1C61">
              <w:rPr>
                <w:sz w:val="18"/>
                <w:szCs w:val="18"/>
              </w:rPr>
              <w:t>Mean age</w:t>
            </w:r>
            <w:r w:rsidRPr="003E1C61">
              <w:rPr>
                <w:sz w:val="18"/>
                <w:szCs w:val="20"/>
              </w:rPr>
              <w:t xml:space="preserve"> (range): 64 years (43–81)</w:t>
            </w:r>
          </w:p>
          <w:p w:rsidR="003277A2" w:rsidRPr="003E1C61" w:rsidRDefault="003277A2" w:rsidP="00C26909">
            <w:pPr>
              <w:ind w:left="72"/>
              <w:rPr>
                <w:sz w:val="18"/>
                <w:szCs w:val="20"/>
              </w:rPr>
            </w:pPr>
            <w:r>
              <w:rPr>
                <w:sz w:val="18"/>
                <w:szCs w:val="20"/>
              </w:rPr>
              <w:t>Mean duration of symptoms (</w:t>
            </w:r>
            <w:r w:rsidRPr="003E1C61">
              <w:rPr>
                <w:sz w:val="18"/>
                <w:szCs w:val="20"/>
              </w:rPr>
              <w:t>group with MRI signal changes decreased postop)</w:t>
            </w:r>
            <w:r>
              <w:rPr>
                <w:sz w:val="18"/>
                <w:szCs w:val="20"/>
              </w:rPr>
              <w:t xml:space="preserve">: </w:t>
            </w:r>
            <w:r w:rsidRPr="003E1C61">
              <w:rPr>
                <w:sz w:val="18"/>
                <w:szCs w:val="20"/>
              </w:rPr>
              <w:t>14.9 ± 16.6 months</w:t>
            </w:r>
          </w:p>
          <w:p w:rsidR="003277A2" w:rsidRDefault="003277A2" w:rsidP="00C26909">
            <w:pPr>
              <w:ind w:left="72"/>
              <w:rPr>
                <w:sz w:val="18"/>
                <w:szCs w:val="20"/>
              </w:rPr>
            </w:pPr>
            <w:r>
              <w:rPr>
                <w:sz w:val="18"/>
                <w:szCs w:val="20"/>
              </w:rPr>
              <w:t xml:space="preserve">Mean duration of symptoms </w:t>
            </w:r>
            <w:r w:rsidRPr="003E1C61">
              <w:rPr>
                <w:sz w:val="18"/>
                <w:szCs w:val="20"/>
              </w:rPr>
              <w:t>(group with MRI signal changes unchanged)</w:t>
            </w:r>
            <w:r>
              <w:rPr>
                <w:sz w:val="18"/>
                <w:szCs w:val="20"/>
              </w:rPr>
              <w:t xml:space="preserve">: </w:t>
            </w:r>
            <w:r w:rsidRPr="003E1C61">
              <w:rPr>
                <w:sz w:val="18"/>
                <w:szCs w:val="20"/>
              </w:rPr>
              <w:t xml:space="preserve">32.5 ± 27.8 months </w:t>
            </w:r>
          </w:p>
          <w:p w:rsidR="003277A2" w:rsidRPr="003E1C61" w:rsidRDefault="003277A2" w:rsidP="00C26909">
            <w:pPr>
              <w:ind w:left="72"/>
              <w:rPr>
                <w:sz w:val="18"/>
                <w:szCs w:val="20"/>
              </w:rPr>
            </w:pPr>
          </w:p>
          <w:p w:rsidR="003277A2" w:rsidRPr="003E1C61" w:rsidRDefault="003277A2" w:rsidP="00C26909">
            <w:pPr>
              <w:rPr>
                <w:sz w:val="18"/>
                <w:szCs w:val="20"/>
                <w:u w:val="single"/>
              </w:rPr>
            </w:pPr>
            <w:r w:rsidRPr="003E1C61">
              <w:rPr>
                <w:sz w:val="18"/>
                <w:szCs w:val="20"/>
                <w:u w:val="single"/>
              </w:rPr>
              <w:t>Diagnosis:</w:t>
            </w:r>
          </w:p>
          <w:p w:rsidR="003277A2" w:rsidRPr="003E1C61" w:rsidRDefault="003277A2" w:rsidP="00C26909">
            <w:pPr>
              <w:numPr>
                <w:ilvl w:val="0"/>
                <w:numId w:val="4"/>
              </w:numPr>
              <w:ind w:left="252" w:hanging="198"/>
              <w:contextualSpacing/>
              <w:rPr>
                <w:sz w:val="18"/>
                <w:szCs w:val="20"/>
              </w:rPr>
            </w:pPr>
            <w:r w:rsidRPr="003E1C61">
              <w:rPr>
                <w:sz w:val="18"/>
                <w:szCs w:val="20"/>
              </w:rPr>
              <w:t xml:space="preserve">CSM (including 9 </w:t>
            </w:r>
            <w:r w:rsidRPr="003E1C61">
              <w:rPr>
                <w:sz w:val="18"/>
                <w:szCs w:val="20"/>
              </w:rPr>
              <w:lastRenderedPageBreak/>
              <w:t xml:space="preserve">patients with soft disc </w:t>
            </w:r>
            <w:proofErr w:type="spellStart"/>
            <w:r w:rsidRPr="003E1C61">
              <w:rPr>
                <w:sz w:val="18"/>
                <w:szCs w:val="20"/>
              </w:rPr>
              <w:t>herniations</w:t>
            </w:r>
            <w:proofErr w:type="spellEnd"/>
            <w:r w:rsidRPr="003E1C61">
              <w:rPr>
                <w:sz w:val="18"/>
                <w:szCs w:val="20"/>
              </w:rPr>
              <w:t xml:space="preserve"> with developmental canal stenosis) (n = 42)</w:t>
            </w:r>
          </w:p>
          <w:p w:rsidR="003277A2" w:rsidRPr="003E1C61" w:rsidRDefault="003277A2" w:rsidP="00C26909">
            <w:pPr>
              <w:numPr>
                <w:ilvl w:val="0"/>
                <w:numId w:val="4"/>
              </w:numPr>
              <w:ind w:left="252" w:hanging="198"/>
              <w:contextualSpacing/>
              <w:rPr>
                <w:sz w:val="18"/>
                <w:szCs w:val="20"/>
              </w:rPr>
            </w:pPr>
            <w:r w:rsidRPr="003E1C61">
              <w:rPr>
                <w:sz w:val="18"/>
                <w:szCs w:val="20"/>
              </w:rPr>
              <w:t>OPLL (n =  31)</w:t>
            </w:r>
          </w:p>
          <w:p w:rsidR="003277A2" w:rsidRPr="003E1C61" w:rsidRDefault="003277A2" w:rsidP="00C26909">
            <w:pPr>
              <w:rPr>
                <w:sz w:val="18"/>
                <w:szCs w:val="20"/>
              </w:rPr>
            </w:pPr>
          </w:p>
          <w:p w:rsidR="003277A2" w:rsidRPr="003E1C61" w:rsidRDefault="003277A2" w:rsidP="00C26909">
            <w:pPr>
              <w:rPr>
                <w:sz w:val="18"/>
                <w:szCs w:val="20"/>
              </w:rPr>
            </w:pPr>
            <w:r w:rsidRPr="003E1C61">
              <w:rPr>
                <w:sz w:val="18"/>
                <w:szCs w:val="20"/>
                <w:u w:val="single"/>
              </w:rPr>
              <w:t>Decompression surgery:</w:t>
            </w:r>
          </w:p>
          <w:p w:rsidR="003277A2" w:rsidRPr="003E1C61" w:rsidRDefault="003277A2" w:rsidP="00C26909">
            <w:pPr>
              <w:numPr>
                <w:ilvl w:val="0"/>
                <w:numId w:val="4"/>
              </w:numPr>
              <w:ind w:left="252" w:hanging="198"/>
              <w:contextualSpacing/>
              <w:rPr>
                <w:sz w:val="18"/>
                <w:szCs w:val="20"/>
              </w:rPr>
            </w:pPr>
            <w:r w:rsidRPr="003E1C61">
              <w:rPr>
                <w:sz w:val="18"/>
                <w:szCs w:val="20"/>
              </w:rPr>
              <w:t>Cervical expansive laminoplasty (n = 73)</w:t>
            </w:r>
          </w:p>
          <w:p w:rsidR="003277A2" w:rsidRPr="001A5A20" w:rsidRDefault="003277A2" w:rsidP="00C26909">
            <w:pPr>
              <w:numPr>
                <w:ilvl w:val="0"/>
                <w:numId w:val="4"/>
              </w:numPr>
              <w:ind w:left="252" w:hanging="198"/>
              <w:contextualSpacing/>
              <w:rPr>
                <w:sz w:val="18"/>
                <w:szCs w:val="20"/>
              </w:rPr>
            </w:pPr>
            <w:r w:rsidRPr="003E1C61">
              <w:rPr>
                <w:sz w:val="18"/>
                <w:szCs w:val="20"/>
              </w:rPr>
              <w:t>French door or modified French door and laminectomy (n = NR)</w:t>
            </w:r>
          </w:p>
        </w:tc>
        <w:tc>
          <w:tcPr>
            <w:tcW w:w="1478" w:type="dxa"/>
          </w:tcPr>
          <w:p w:rsidR="003277A2" w:rsidRPr="003E1C61" w:rsidRDefault="003277A2" w:rsidP="00C26909">
            <w:pPr>
              <w:numPr>
                <w:ilvl w:val="0"/>
                <w:numId w:val="3"/>
              </w:numPr>
              <w:ind w:left="170" w:hanging="170"/>
              <w:contextualSpacing/>
              <w:rPr>
                <w:sz w:val="18"/>
                <w:szCs w:val="20"/>
              </w:rPr>
            </w:pPr>
            <w:r w:rsidRPr="003E1C61">
              <w:rPr>
                <w:sz w:val="18"/>
                <w:szCs w:val="20"/>
              </w:rPr>
              <w:lastRenderedPageBreak/>
              <w:t>Age</w:t>
            </w:r>
          </w:p>
          <w:p w:rsidR="003277A2" w:rsidRPr="003E1C61" w:rsidRDefault="003277A2" w:rsidP="00C26909">
            <w:pPr>
              <w:numPr>
                <w:ilvl w:val="0"/>
                <w:numId w:val="3"/>
              </w:numPr>
              <w:ind w:left="170" w:hanging="170"/>
              <w:contextualSpacing/>
              <w:rPr>
                <w:sz w:val="18"/>
                <w:szCs w:val="20"/>
              </w:rPr>
            </w:pPr>
            <w:r w:rsidRPr="003E1C61">
              <w:rPr>
                <w:sz w:val="18"/>
                <w:szCs w:val="20"/>
              </w:rPr>
              <w:t>Duration of symptoms</w:t>
            </w:r>
          </w:p>
          <w:p w:rsidR="003277A2" w:rsidRPr="003E1C61" w:rsidRDefault="003277A2" w:rsidP="00C26909">
            <w:pPr>
              <w:numPr>
                <w:ilvl w:val="0"/>
                <w:numId w:val="3"/>
              </w:numPr>
              <w:ind w:left="170" w:hanging="170"/>
              <w:contextualSpacing/>
              <w:rPr>
                <w:sz w:val="18"/>
                <w:szCs w:val="20"/>
              </w:rPr>
            </w:pPr>
            <w:r w:rsidRPr="003E1C61">
              <w:rPr>
                <w:sz w:val="18"/>
                <w:szCs w:val="20"/>
              </w:rPr>
              <w:t>Severity of myelopathy (preoperative JOA score)</w:t>
            </w:r>
          </w:p>
          <w:p w:rsidR="003277A2" w:rsidRPr="003E1C61" w:rsidRDefault="003277A2" w:rsidP="00C26909">
            <w:pPr>
              <w:numPr>
                <w:ilvl w:val="0"/>
                <w:numId w:val="3"/>
              </w:numPr>
              <w:ind w:left="170" w:hanging="170"/>
              <w:contextualSpacing/>
              <w:rPr>
                <w:sz w:val="18"/>
                <w:szCs w:val="20"/>
              </w:rPr>
            </w:pPr>
            <w:r w:rsidRPr="003E1C61">
              <w:rPr>
                <w:sz w:val="18"/>
                <w:szCs w:val="20"/>
              </w:rPr>
              <w:t>Transverse area of spinal cord at site responsible for cervical myelopathy</w:t>
            </w:r>
          </w:p>
          <w:p w:rsidR="003277A2" w:rsidRPr="003E1C61" w:rsidRDefault="003277A2" w:rsidP="00C26909">
            <w:pPr>
              <w:ind w:left="162"/>
              <w:rPr>
                <w:sz w:val="18"/>
                <w:szCs w:val="18"/>
              </w:rPr>
            </w:pPr>
          </w:p>
        </w:tc>
        <w:tc>
          <w:tcPr>
            <w:tcW w:w="1448" w:type="dxa"/>
          </w:tcPr>
          <w:p w:rsidR="003277A2" w:rsidRPr="00A64646" w:rsidRDefault="003277A2" w:rsidP="00C26909">
            <w:pPr>
              <w:numPr>
                <w:ilvl w:val="0"/>
                <w:numId w:val="1"/>
              </w:numPr>
              <w:ind w:left="162" w:hanging="162"/>
              <w:contextualSpacing/>
              <w:rPr>
                <w:sz w:val="18"/>
                <w:szCs w:val="18"/>
              </w:rPr>
            </w:pPr>
            <w:r w:rsidRPr="003E1C61">
              <w:rPr>
                <w:sz w:val="18"/>
                <w:szCs w:val="20"/>
              </w:rPr>
              <w:t xml:space="preserve">Preoperative </w:t>
            </w:r>
            <w:r>
              <w:rPr>
                <w:sz w:val="18"/>
                <w:szCs w:val="20"/>
              </w:rPr>
              <w:t xml:space="preserve">SI changes (on T1-weighted sequences/T2-weighted sequences: </w:t>
            </w:r>
            <w:r w:rsidRPr="00676F10">
              <w:rPr>
                <w:b/>
                <w:sz w:val="18"/>
                <w:szCs w:val="20"/>
              </w:rPr>
              <w:t>N/N</w:t>
            </w:r>
            <w:r>
              <w:rPr>
                <w:sz w:val="18"/>
                <w:szCs w:val="20"/>
              </w:rPr>
              <w:t xml:space="preserve"> = normal SI on T1 /normal SI on T2; </w:t>
            </w:r>
            <w:r w:rsidRPr="00676F10">
              <w:rPr>
                <w:b/>
                <w:sz w:val="18"/>
                <w:szCs w:val="20"/>
              </w:rPr>
              <w:t>N/Hi</w:t>
            </w:r>
            <w:r>
              <w:rPr>
                <w:sz w:val="18"/>
                <w:szCs w:val="20"/>
              </w:rPr>
              <w:t xml:space="preserve"> = normal SI on T1/Hi SI on T2; </w:t>
            </w:r>
            <w:r w:rsidRPr="00676F10">
              <w:rPr>
                <w:b/>
                <w:sz w:val="18"/>
                <w:szCs w:val="20"/>
              </w:rPr>
              <w:t>Lo/Hi</w:t>
            </w:r>
            <w:r>
              <w:rPr>
                <w:sz w:val="18"/>
                <w:szCs w:val="20"/>
              </w:rPr>
              <w:t xml:space="preserve"> = low SI on T1/Hi SI on </w:t>
            </w:r>
            <w:r>
              <w:rPr>
                <w:sz w:val="18"/>
                <w:szCs w:val="20"/>
              </w:rPr>
              <w:lastRenderedPageBreak/>
              <w:t xml:space="preserve">T2) </w:t>
            </w:r>
          </w:p>
          <w:p w:rsidR="003277A2" w:rsidRDefault="003277A2" w:rsidP="00C26909">
            <w:pPr>
              <w:rPr>
                <w:sz w:val="18"/>
                <w:szCs w:val="20"/>
              </w:rPr>
            </w:pPr>
          </w:p>
          <w:p w:rsidR="003277A2" w:rsidRPr="003E1C61" w:rsidRDefault="003277A2" w:rsidP="00C26909">
            <w:pPr>
              <w:contextualSpacing/>
              <w:rPr>
                <w:sz w:val="18"/>
                <w:szCs w:val="18"/>
              </w:rPr>
            </w:pPr>
          </w:p>
        </w:tc>
        <w:tc>
          <w:tcPr>
            <w:tcW w:w="1415" w:type="dxa"/>
          </w:tcPr>
          <w:p w:rsidR="003277A2" w:rsidRDefault="003277A2" w:rsidP="00C26909">
            <w:pPr>
              <w:numPr>
                <w:ilvl w:val="0"/>
                <w:numId w:val="1"/>
              </w:numPr>
              <w:ind w:left="162" w:hanging="162"/>
              <w:contextualSpacing/>
              <w:rPr>
                <w:sz w:val="18"/>
                <w:szCs w:val="18"/>
              </w:rPr>
            </w:pPr>
            <w:r w:rsidRPr="00BB497D">
              <w:rPr>
                <w:sz w:val="18"/>
                <w:szCs w:val="18"/>
              </w:rPr>
              <w:lastRenderedPageBreak/>
              <w:t>Recovery rate of JOA sco</w:t>
            </w:r>
            <w:r>
              <w:rPr>
                <w:sz w:val="18"/>
                <w:szCs w:val="18"/>
              </w:rPr>
              <w:t>re‡</w:t>
            </w:r>
          </w:p>
          <w:p w:rsidR="003277A2" w:rsidRDefault="003277A2" w:rsidP="00C26909">
            <w:pPr>
              <w:numPr>
                <w:ilvl w:val="0"/>
                <w:numId w:val="1"/>
              </w:numPr>
              <w:ind w:left="162" w:hanging="162"/>
              <w:contextualSpacing/>
              <w:rPr>
                <w:sz w:val="18"/>
                <w:szCs w:val="18"/>
              </w:rPr>
            </w:pPr>
            <w:r w:rsidRPr="003E1C61">
              <w:rPr>
                <w:sz w:val="18"/>
                <w:szCs w:val="18"/>
              </w:rPr>
              <w:t>JOA</w:t>
            </w:r>
            <w:r>
              <w:rPr>
                <w:sz w:val="18"/>
                <w:szCs w:val="18"/>
              </w:rPr>
              <w:t xml:space="preserve"> score</w:t>
            </w:r>
          </w:p>
          <w:p w:rsidR="003277A2" w:rsidRDefault="003277A2" w:rsidP="00C26909">
            <w:pPr>
              <w:rPr>
                <w:sz w:val="18"/>
                <w:szCs w:val="18"/>
              </w:rPr>
            </w:pPr>
          </w:p>
          <w:p w:rsidR="003277A2" w:rsidRDefault="003277A2" w:rsidP="00C26909">
            <w:pPr>
              <w:rPr>
                <w:sz w:val="18"/>
                <w:szCs w:val="18"/>
              </w:rPr>
            </w:pPr>
          </w:p>
          <w:p w:rsidR="003277A2" w:rsidRPr="003E1C61" w:rsidRDefault="003277A2" w:rsidP="00C26909">
            <w:pPr>
              <w:rPr>
                <w:sz w:val="18"/>
                <w:szCs w:val="18"/>
              </w:rPr>
            </w:pPr>
          </w:p>
        </w:tc>
        <w:tc>
          <w:tcPr>
            <w:tcW w:w="1193" w:type="dxa"/>
          </w:tcPr>
          <w:p w:rsidR="003277A2" w:rsidRPr="003E1C61" w:rsidRDefault="003277A2" w:rsidP="00C26909">
            <w:pPr>
              <w:rPr>
                <w:sz w:val="18"/>
                <w:szCs w:val="18"/>
              </w:rPr>
            </w:pPr>
            <w:r w:rsidRPr="003E1C61">
              <w:rPr>
                <w:sz w:val="18"/>
                <w:szCs w:val="20"/>
              </w:rPr>
              <w:t>3.4 years (range 0.5 – 10 years) (% f/u NR)</w:t>
            </w:r>
          </w:p>
        </w:tc>
        <w:tc>
          <w:tcPr>
            <w:tcW w:w="3245" w:type="dxa"/>
          </w:tcPr>
          <w:p w:rsidR="003277A2" w:rsidRPr="003E1C61" w:rsidRDefault="003277A2" w:rsidP="00C26909">
            <w:pPr>
              <w:rPr>
                <w:b/>
                <w:sz w:val="18"/>
                <w:szCs w:val="18"/>
                <w:u w:val="single"/>
              </w:rPr>
            </w:pPr>
            <w:proofErr w:type="spellStart"/>
            <w:r>
              <w:rPr>
                <w:b/>
                <w:sz w:val="18"/>
                <w:szCs w:val="18"/>
                <w:u w:val="single"/>
              </w:rPr>
              <w:t>Preop</w:t>
            </w:r>
            <w:proofErr w:type="spellEnd"/>
            <w:r>
              <w:rPr>
                <w:b/>
                <w:sz w:val="18"/>
                <w:szCs w:val="18"/>
                <w:u w:val="single"/>
              </w:rPr>
              <w:t xml:space="preserve"> </w:t>
            </w:r>
            <w:r w:rsidRPr="003E1C61">
              <w:rPr>
                <w:b/>
                <w:sz w:val="18"/>
                <w:szCs w:val="18"/>
                <w:u w:val="single"/>
              </w:rPr>
              <w:t>MRI Signal Change</w:t>
            </w:r>
            <w:r>
              <w:rPr>
                <w:b/>
                <w:sz w:val="18"/>
                <w:szCs w:val="18"/>
                <w:u w:val="single"/>
              </w:rPr>
              <w:t xml:space="preserve"> in multivariate analysis</w:t>
            </w:r>
            <w:r w:rsidRPr="003E1C61">
              <w:rPr>
                <w:b/>
                <w:sz w:val="18"/>
                <w:szCs w:val="18"/>
                <w:u w:val="single"/>
              </w:rPr>
              <w:t>:</w:t>
            </w:r>
          </w:p>
          <w:p w:rsidR="003277A2" w:rsidRPr="00DE7A8C" w:rsidRDefault="003277A2" w:rsidP="00C26909">
            <w:pPr>
              <w:ind w:left="77"/>
              <w:rPr>
                <w:b/>
                <w:sz w:val="18"/>
                <w:szCs w:val="18"/>
              </w:rPr>
            </w:pPr>
            <w:r w:rsidRPr="00DE7A8C">
              <w:rPr>
                <w:b/>
                <w:sz w:val="18"/>
                <w:szCs w:val="18"/>
              </w:rPr>
              <w:t>JOA recovery rate</w:t>
            </w:r>
          </w:p>
          <w:p w:rsidR="003277A2" w:rsidRPr="00DE7A8C" w:rsidRDefault="003277A2" w:rsidP="00C26909">
            <w:pPr>
              <w:ind w:left="167"/>
              <w:rPr>
                <w:sz w:val="18"/>
                <w:szCs w:val="18"/>
              </w:rPr>
            </w:pPr>
            <w:r w:rsidRPr="00DE7A8C">
              <w:rPr>
                <w:sz w:val="18"/>
                <w:szCs w:val="18"/>
              </w:rPr>
              <w:t>Adjusted R</w:t>
            </w:r>
            <w:r w:rsidRPr="00DE7A8C">
              <w:rPr>
                <w:sz w:val="18"/>
                <w:szCs w:val="18"/>
                <w:vertAlign w:val="superscript"/>
              </w:rPr>
              <w:t>2</w:t>
            </w:r>
            <w:r w:rsidRPr="00DE7A8C">
              <w:rPr>
                <w:sz w:val="18"/>
                <w:szCs w:val="18"/>
              </w:rPr>
              <w:t xml:space="preserve"> = 0.297; </w:t>
            </w:r>
            <w:r w:rsidRPr="00DE7A8C">
              <w:rPr>
                <w:i/>
                <w:sz w:val="18"/>
                <w:szCs w:val="18"/>
              </w:rPr>
              <w:t xml:space="preserve">P </w:t>
            </w:r>
            <w:r w:rsidRPr="00DE7A8C">
              <w:rPr>
                <w:sz w:val="18"/>
                <w:szCs w:val="18"/>
              </w:rPr>
              <w:t xml:space="preserve">= .0002 </w:t>
            </w:r>
          </w:p>
          <w:p w:rsidR="003277A2" w:rsidRPr="00DE7A8C" w:rsidRDefault="003277A2" w:rsidP="00C26909">
            <w:pPr>
              <w:ind w:left="77"/>
              <w:rPr>
                <w:b/>
                <w:sz w:val="18"/>
                <w:szCs w:val="18"/>
              </w:rPr>
            </w:pPr>
            <w:r w:rsidRPr="00DE7A8C">
              <w:rPr>
                <w:b/>
                <w:sz w:val="18"/>
                <w:szCs w:val="18"/>
              </w:rPr>
              <w:t>Postop JOA score</w:t>
            </w:r>
          </w:p>
          <w:p w:rsidR="003277A2" w:rsidRDefault="003277A2" w:rsidP="00C26909">
            <w:pPr>
              <w:ind w:left="167"/>
              <w:rPr>
                <w:sz w:val="18"/>
                <w:szCs w:val="18"/>
              </w:rPr>
            </w:pPr>
            <w:r w:rsidRPr="00DE7A8C">
              <w:rPr>
                <w:sz w:val="18"/>
                <w:szCs w:val="18"/>
              </w:rPr>
              <w:t>Adjusted R</w:t>
            </w:r>
            <w:r w:rsidRPr="00DE7A8C">
              <w:rPr>
                <w:sz w:val="18"/>
                <w:szCs w:val="18"/>
                <w:vertAlign w:val="superscript"/>
              </w:rPr>
              <w:t>2</w:t>
            </w:r>
            <w:r w:rsidRPr="00DE7A8C">
              <w:rPr>
                <w:sz w:val="18"/>
                <w:szCs w:val="18"/>
              </w:rPr>
              <w:t xml:space="preserve"> = 0.703; </w:t>
            </w:r>
            <w:r w:rsidRPr="00DE7A8C">
              <w:rPr>
                <w:i/>
                <w:iCs/>
                <w:sz w:val="18"/>
                <w:szCs w:val="18"/>
              </w:rPr>
              <w:t xml:space="preserve">P </w:t>
            </w:r>
            <w:r w:rsidRPr="00DE7A8C">
              <w:rPr>
                <w:sz w:val="18"/>
                <w:szCs w:val="18"/>
              </w:rPr>
              <w:t>&lt; .0001</w:t>
            </w:r>
          </w:p>
          <w:p w:rsidR="003277A2" w:rsidRDefault="003277A2" w:rsidP="00C26909">
            <w:pPr>
              <w:rPr>
                <w:sz w:val="18"/>
                <w:szCs w:val="18"/>
              </w:rPr>
            </w:pPr>
          </w:p>
          <w:p w:rsidR="003277A2" w:rsidRPr="009E26F3" w:rsidRDefault="003277A2" w:rsidP="00C26909">
            <w:pPr>
              <w:rPr>
                <w:sz w:val="18"/>
                <w:szCs w:val="18"/>
              </w:rPr>
            </w:pPr>
            <w:r>
              <w:rPr>
                <w:sz w:val="18"/>
                <w:szCs w:val="18"/>
              </w:rPr>
              <w:t>“</w:t>
            </w:r>
            <w:r w:rsidRPr="009E26F3">
              <w:rPr>
                <w:sz w:val="18"/>
                <w:szCs w:val="18"/>
              </w:rPr>
              <w:t>Low-signal intensity changes on T1-weighted sequences</w:t>
            </w:r>
            <w:r>
              <w:rPr>
                <w:sz w:val="18"/>
                <w:szCs w:val="18"/>
              </w:rPr>
              <w:t xml:space="preserve"> </w:t>
            </w:r>
            <w:r w:rsidRPr="009E26F3">
              <w:rPr>
                <w:sz w:val="18"/>
                <w:szCs w:val="18"/>
              </w:rPr>
              <w:t>indicate a poor prognosis.</w:t>
            </w:r>
            <w:r>
              <w:rPr>
                <w:sz w:val="18"/>
                <w:szCs w:val="18"/>
              </w:rPr>
              <w:t xml:space="preserve"> </w:t>
            </w:r>
            <w:r w:rsidRPr="009E26F3">
              <w:rPr>
                <w:sz w:val="18"/>
                <w:szCs w:val="18"/>
              </w:rPr>
              <w:t>High-signal intensity changes on T2-weighted</w:t>
            </w:r>
            <w:r>
              <w:rPr>
                <w:sz w:val="18"/>
                <w:szCs w:val="18"/>
              </w:rPr>
              <w:t xml:space="preserve"> </w:t>
            </w:r>
            <w:r w:rsidRPr="009E26F3">
              <w:rPr>
                <w:sz w:val="18"/>
                <w:szCs w:val="18"/>
              </w:rPr>
              <w:t>images include a broad spectrum of compressive</w:t>
            </w:r>
            <w:r>
              <w:rPr>
                <w:sz w:val="18"/>
                <w:szCs w:val="18"/>
              </w:rPr>
              <w:t xml:space="preserve"> </w:t>
            </w:r>
            <w:proofErr w:type="spellStart"/>
            <w:r w:rsidRPr="009E26F3">
              <w:rPr>
                <w:sz w:val="18"/>
                <w:szCs w:val="18"/>
              </w:rPr>
              <w:t>myelomalacic</w:t>
            </w:r>
            <w:proofErr w:type="spellEnd"/>
            <w:r w:rsidRPr="009E26F3">
              <w:rPr>
                <w:sz w:val="18"/>
                <w:szCs w:val="18"/>
              </w:rPr>
              <w:t xml:space="preserve"> pathologies and reflect a broad spectrum</w:t>
            </w:r>
            <w:r>
              <w:rPr>
                <w:sz w:val="18"/>
                <w:szCs w:val="18"/>
              </w:rPr>
              <w:t xml:space="preserve"> </w:t>
            </w:r>
            <w:r w:rsidRPr="009E26F3">
              <w:rPr>
                <w:sz w:val="18"/>
                <w:szCs w:val="18"/>
              </w:rPr>
              <w:t>of spinal cord recuperative potentials.</w:t>
            </w:r>
            <w:r>
              <w:rPr>
                <w:sz w:val="18"/>
                <w:szCs w:val="18"/>
              </w:rPr>
              <w:t>”</w:t>
            </w:r>
          </w:p>
        </w:tc>
      </w:tr>
      <w:tr w:rsidR="0043721E" w:rsidRPr="003E1C61" w:rsidTr="00DC4E9E">
        <w:tc>
          <w:tcPr>
            <w:tcW w:w="1248" w:type="dxa"/>
          </w:tcPr>
          <w:p w:rsidR="003277A2" w:rsidRDefault="003277A2" w:rsidP="00C26909">
            <w:pPr>
              <w:rPr>
                <w:sz w:val="18"/>
                <w:szCs w:val="18"/>
                <w:lang w:val="en-AU"/>
              </w:rPr>
            </w:pPr>
            <w:r>
              <w:rPr>
                <w:sz w:val="18"/>
                <w:szCs w:val="18"/>
                <w:lang w:val="en-AU"/>
              </w:rPr>
              <w:lastRenderedPageBreak/>
              <w:t>Nakashima (2012)</w:t>
            </w:r>
          </w:p>
          <w:p w:rsidR="003277A2" w:rsidRDefault="003277A2" w:rsidP="00C26909">
            <w:pPr>
              <w:rPr>
                <w:sz w:val="18"/>
                <w:szCs w:val="18"/>
                <w:lang w:val="en-AU"/>
              </w:rPr>
            </w:pPr>
          </w:p>
          <w:p w:rsidR="003277A2" w:rsidRDefault="003277A2" w:rsidP="00C26909">
            <w:pPr>
              <w:rPr>
                <w:sz w:val="18"/>
                <w:szCs w:val="18"/>
                <w:lang w:val="en-AU"/>
              </w:rPr>
            </w:pPr>
            <w:r>
              <w:rPr>
                <w:sz w:val="18"/>
                <w:szCs w:val="18"/>
                <w:lang w:val="en-AU"/>
              </w:rPr>
              <w:t>Prospective</w:t>
            </w:r>
          </w:p>
          <w:p w:rsidR="003277A2" w:rsidRPr="003E1C61" w:rsidRDefault="00B939A0" w:rsidP="00C26909">
            <w:pPr>
              <w:rPr>
                <w:sz w:val="18"/>
                <w:szCs w:val="18"/>
                <w:lang w:val="en-AU"/>
              </w:rPr>
            </w:pPr>
            <w:r>
              <w:rPr>
                <w:sz w:val="18"/>
                <w:szCs w:val="18"/>
                <w:lang w:val="en-AU"/>
              </w:rPr>
              <w:t>c</w:t>
            </w:r>
            <w:r w:rsidR="003277A2">
              <w:rPr>
                <w:sz w:val="18"/>
                <w:szCs w:val="18"/>
                <w:lang w:val="en-AU"/>
              </w:rPr>
              <w:t>ohort</w:t>
            </w:r>
          </w:p>
        </w:tc>
        <w:tc>
          <w:tcPr>
            <w:tcW w:w="1741" w:type="dxa"/>
          </w:tcPr>
          <w:p w:rsidR="003277A2" w:rsidRPr="006947DB" w:rsidRDefault="003277A2" w:rsidP="00C26909">
            <w:pPr>
              <w:rPr>
                <w:sz w:val="18"/>
                <w:szCs w:val="18"/>
              </w:rPr>
            </w:pPr>
            <w:r>
              <w:rPr>
                <w:sz w:val="18"/>
                <w:szCs w:val="18"/>
              </w:rPr>
              <w:t>T</w:t>
            </w:r>
            <w:r w:rsidRPr="006947DB">
              <w:rPr>
                <w:sz w:val="18"/>
                <w:szCs w:val="18"/>
              </w:rPr>
              <w:t>o investigate the relationship</w:t>
            </w:r>
            <w:r>
              <w:rPr>
                <w:sz w:val="18"/>
                <w:szCs w:val="18"/>
              </w:rPr>
              <w:t xml:space="preserve"> between </w:t>
            </w:r>
            <w:proofErr w:type="spellStart"/>
            <w:r w:rsidRPr="006947DB">
              <w:rPr>
                <w:sz w:val="18"/>
                <w:szCs w:val="18"/>
              </w:rPr>
              <w:t>preop</w:t>
            </w:r>
            <w:proofErr w:type="spellEnd"/>
            <w:r w:rsidRPr="006947DB">
              <w:rPr>
                <w:sz w:val="18"/>
                <w:szCs w:val="18"/>
              </w:rPr>
              <w:t xml:space="preserve"> step test results and postop</w:t>
            </w:r>
            <w:r>
              <w:rPr>
                <w:sz w:val="18"/>
                <w:szCs w:val="18"/>
              </w:rPr>
              <w:t xml:space="preserve"> neurological recovery </w:t>
            </w:r>
            <w:r w:rsidRPr="006947DB">
              <w:rPr>
                <w:sz w:val="18"/>
                <w:szCs w:val="18"/>
              </w:rPr>
              <w:t>(particularly for lower</w:t>
            </w:r>
            <w:r>
              <w:rPr>
                <w:sz w:val="18"/>
                <w:szCs w:val="18"/>
              </w:rPr>
              <w:t xml:space="preserve"> limb </w:t>
            </w:r>
            <w:r w:rsidRPr="006947DB">
              <w:rPr>
                <w:sz w:val="18"/>
                <w:szCs w:val="18"/>
              </w:rPr>
              <w:t>funct</w:t>
            </w:r>
            <w:r>
              <w:rPr>
                <w:sz w:val="18"/>
                <w:szCs w:val="18"/>
              </w:rPr>
              <w:t xml:space="preserve">ion), and ascertain the crucial </w:t>
            </w:r>
            <w:r w:rsidRPr="006947DB">
              <w:rPr>
                <w:sz w:val="18"/>
                <w:szCs w:val="18"/>
              </w:rPr>
              <w:t>determinants of</w:t>
            </w:r>
            <w:r>
              <w:rPr>
                <w:sz w:val="18"/>
                <w:szCs w:val="18"/>
              </w:rPr>
              <w:t xml:space="preserve"> </w:t>
            </w:r>
            <w:r w:rsidRPr="006947DB">
              <w:rPr>
                <w:sz w:val="18"/>
                <w:szCs w:val="18"/>
              </w:rPr>
              <w:t>surgical outcomes using statistical analyses.</w:t>
            </w:r>
          </w:p>
        </w:tc>
        <w:tc>
          <w:tcPr>
            <w:tcW w:w="2362" w:type="dxa"/>
          </w:tcPr>
          <w:p w:rsidR="003277A2" w:rsidRDefault="003277A2" w:rsidP="00C26909">
            <w:pPr>
              <w:rPr>
                <w:sz w:val="18"/>
                <w:szCs w:val="18"/>
              </w:rPr>
            </w:pPr>
            <w:r>
              <w:rPr>
                <w:sz w:val="18"/>
                <w:szCs w:val="18"/>
              </w:rPr>
              <w:t>N = 101</w:t>
            </w:r>
          </w:p>
          <w:p w:rsidR="003277A2" w:rsidRDefault="003277A2" w:rsidP="00C26909">
            <w:pPr>
              <w:ind w:left="72"/>
              <w:rPr>
                <w:sz w:val="18"/>
                <w:szCs w:val="18"/>
              </w:rPr>
            </w:pPr>
            <w:r>
              <w:rPr>
                <w:sz w:val="18"/>
                <w:szCs w:val="18"/>
              </w:rPr>
              <w:t>Male: 60.4%</w:t>
            </w:r>
          </w:p>
          <w:p w:rsidR="003277A2" w:rsidRDefault="003277A2" w:rsidP="00C26909">
            <w:pPr>
              <w:ind w:left="72"/>
              <w:rPr>
                <w:sz w:val="18"/>
                <w:szCs w:val="18"/>
              </w:rPr>
            </w:pPr>
            <w:r>
              <w:rPr>
                <w:sz w:val="18"/>
                <w:szCs w:val="18"/>
              </w:rPr>
              <w:t>Mean age (±SD): 63.6 ± 11.8 years</w:t>
            </w:r>
          </w:p>
          <w:p w:rsidR="003277A2" w:rsidRDefault="003277A2" w:rsidP="00C26909">
            <w:pPr>
              <w:ind w:left="72"/>
              <w:rPr>
                <w:sz w:val="18"/>
                <w:szCs w:val="18"/>
              </w:rPr>
            </w:pPr>
            <w:r>
              <w:rPr>
                <w:sz w:val="18"/>
                <w:szCs w:val="18"/>
              </w:rPr>
              <w:t>Mean duration of symptoms (±SD): 2.6 ± 3.6 years</w:t>
            </w:r>
          </w:p>
          <w:p w:rsidR="003277A2" w:rsidRDefault="003277A2" w:rsidP="00C26909">
            <w:pPr>
              <w:ind w:left="72"/>
              <w:rPr>
                <w:sz w:val="18"/>
                <w:szCs w:val="18"/>
              </w:rPr>
            </w:pPr>
          </w:p>
          <w:p w:rsidR="003277A2" w:rsidRPr="003E1C61" w:rsidRDefault="003277A2" w:rsidP="00C26909">
            <w:pPr>
              <w:rPr>
                <w:sz w:val="18"/>
                <w:szCs w:val="18"/>
              </w:rPr>
            </w:pPr>
            <w:r w:rsidRPr="003E1C61">
              <w:rPr>
                <w:sz w:val="18"/>
                <w:szCs w:val="18"/>
                <w:u w:val="single"/>
              </w:rPr>
              <w:t>Diagnosis</w:t>
            </w:r>
            <w:r w:rsidRPr="003E1C61">
              <w:rPr>
                <w:sz w:val="18"/>
                <w:szCs w:val="18"/>
              </w:rPr>
              <w:t>:</w:t>
            </w:r>
          </w:p>
          <w:p w:rsidR="003277A2" w:rsidRPr="00994604" w:rsidRDefault="003277A2" w:rsidP="00C26909">
            <w:pPr>
              <w:numPr>
                <w:ilvl w:val="0"/>
                <w:numId w:val="2"/>
              </w:numPr>
              <w:tabs>
                <w:tab w:val="clear" w:pos="720"/>
                <w:tab w:val="num" w:pos="252"/>
              </w:tabs>
              <w:ind w:left="252" w:hanging="180"/>
              <w:contextualSpacing/>
              <w:rPr>
                <w:sz w:val="18"/>
                <w:szCs w:val="20"/>
              </w:rPr>
            </w:pPr>
            <w:r w:rsidRPr="00994604">
              <w:rPr>
                <w:sz w:val="18"/>
                <w:szCs w:val="20"/>
              </w:rPr>
              <w:t>CSM: n = 87</w:t>
            </w:r>
          </w:p>
          <w:p w:rsidR="003277A2" w:rsidRDefault="003277A2" w:rsidP="00C26909">
            <w:pPr>
              <w:numPr>
                <w:ilvl w:val="0"/>
                <w:numId w:val="2"/>
              </w:numPr>
              <w:tabs>
                <w:tab w:val="clear" w:pos="720"/>
                <w:tab w:val="num" w:pos="252"/>
              </w:tabs>
              <w:ind w:left="252" w:hanging="180"/>
              <w:contextualSpacing/>
              <w:rPr>
                <w:sz w:val="18"/>
                <w:szCs w:val="18"/>
              </w:rPr>
            </w:pPr>
            <w:r w:rsidRPr="00994604">
              <w:rPr>
                <w:sz w:val="18"/>
                <w:szCs w:val="20"/>
              </w:rPr>
              <w:t>O</w:t>
            </w:r>
            <w:r>
              <w:rPr>
                <w:sz w:val="18"/>
                <w:szCs w:val="18"/>
              </w:rPr>
              <w:t>PLL: n = 14</w:t>
            </w:r>
          </w:p>
          <w:p w:rsidR="003277A2" w:rsidRDefault="003277A2" w:rsidP="00C26909">
            <w:pPr>
              <w:rPr>
                <w:sz w:val="18"/>
                <w:szCs w:val="18"/>
              </w:rPr>
            </w:pPr>
          </w:p>
          <w:p w:rsidR="003277A2" w:rsidRPr="006947DB" w:rsidRDefault="003277A2" w:rsidP="00C26909">
            <w:pPr>
              <w:rPr>
                <w:sz w:val="18"/>
                <w:szCs w:val="18"/>
              </w:rPr>
            </w:pPr>
            <w:r w:rsidRPr="006947DB">
              <w:rPr>
                <w:sz w:val="18"/>
                <w:szCs w:val="18"/>
                <w:u w:val="single"/>
              </w:rPr>
              <w:t>Decompression surgery</w:t>
            </w:r>
            <w:r w:rsidRPr="006947DB">
              <w:rPr>
                <w:sz w:val="18"/>
                <w:szCs w:val="18"/>
              </w:rPr>
              <w:t>:</w:t>
            </w:r>
          </w:p>
          <w:p w:rsidR="003277A2" w:rsidRPr="003E1C61" w:rsidRDefault="003277A2" w:rsidP="00C26909">
            <w:pPr>
              <w:numPr>
                <w:ilvl w:val="0"/>
                <w:numId w:val="2"/>
              </w:numPr>
              <w:tabs>
                <w:tab w:val="clear" w:pos="720"/>
                <w:tab w:val="num" w:pos="252"/>
              </w:tabs>
              <w:ind w:left="252" w:hanging="180"/>
              <w:contextualSpacing/>
              <w:rPr>
                <w:sz w:val="18"/>
                <w:szCs w:val="18"/>
              </w:rPr>
            </w:pPr>
            <w:r w:rsidRPr="00994604">
              <w:rPr>
                <w:sz w:val="18"/>
                <w:szCs w:val="20"/>
              </w:rPr>
              <w:t>Double</w:t>
            </w:r>
            <w:r>
              <w:rPr>
                <w:sz w:val="18"/>
                <w:szCs w:val="18"/>
              </w:rPr>
              <w:t xml:space="preserve"> door laminoplasty (</w:t>
            </w:r>
            <w:proofErr w:type="spellStart"/>
            <w:r>
              <w:rPr>
                <w:sz w:val="18"/>
                <w:szCs w:val="18"/>
              </w:rPr>
              <w:t>Kurokawa’s</w:t>
            </w:r>
            <w:proofErr w:type="spellEnd"/>
            <w:r>
              <w:rPr>
                <w:sz w:val="18"/>
                <w:szCs w:val="18"/>
              </w:rPr>
              <w:t xml:space="preserve"> method)</w:t>
            </w:r>
          </w:p>
        </w:tc>
        <w:tc>
          <w:tcPr>
            <w:tcW w:w="1478" w:type="dxa"/>
          </w:tcPr>
          <w:p w:rsidR="003277A2" w:rsidRDefault="003277A2" w:rsidP="00C26909">
            <w:pPr>
              <w:numPr>
                <w:ilvl w:val="0"/>
                <w:numId w:val="1"/>
              </w:numPr>
              <w:ind w:left="162" w:hanging="162"/>
              <w:contextualSpacing/>
              <w:rPr>
                <w:sz w:val="18"/>
                <w:szCs w:val="18"/>
              </w:rPr>
            </w:pPr>
            <w:proofErr w:type="spellStart"/>
            <w:r>
              <w:rPr>
                <w:sz w:val="18"/>
                <w:szCs w:val="18"/>
              </w:rPr>
              <w:t>Preop</w:t>
            </w:r>
            <w:proofErr w:type="spellEnd"/>
            <w:r>
              <w:rPr>
                <w:sz w:val="18"/>
                <w:szCs w:val="18"/>
              </w:rPr>
              <w:t xml:space="preserve"> step test ≥ 14.5</w:t>
            </w:r>
          </w:p>
          <w:p w:rsidR="003277A2" w:rsidRDefault="003277A2" w:rsidP="00C26909">
            <w:pPr>
              <w:numPr>
                <w:ilvl w:val="0"/>
                <w:numId w:val="1"/>
              </w:numPr>
              <w:ind w:left="162" w:hanging="162"/>
              <w:contextualSpacing/>
              <w:rPr>
                <w:sz w:val="18"/>
                <w:szCs w:val="18"/>
              </w:rPr>
            </w:pPr>
            <w:r>
              <w:rPr>
                <w:sz w:val="18"/>
                <w:szCs w:val="18"/>
              </w:rPr>
              <w:t>Age</w:t>
            </w:r>
          </w:p>
          <w:p w:rsidR="003277A2" w:rsidRDefault="003277A2" w:rsidP="00C26909">
            <w:pPr>
              <w:numPr>
                <w:ilvl w:val="0"/>
                <w:numId w:val="1"/>
              </w:numPr>
              <w:ind w:left="162" w:hanging="162"/>
              <w:contextualSpacing/>
              <w:rPr>
                <w:sz w:val="18"/>
                <w:szCs w:val="18"/>
              </w:rPr>
            </w:pPr>
            <w:r>
              <w:rPr>
                <w:sz w:val="18"/>
                <w:szCs w:val="18"/>
              </w:rPr>
              <w:t>Sex</w:t>
            </w:r>
          </w:p>
          <w:p w:rsidR="003277A2" w:rsidRDefault="003277A2" w:rsidP="00C26909">
            <w:pPr>
              <w:numPr>
                <w:ilvl w:val="0"/>
                <w:numId w:val="1"/>
              </w:numPr>
              <w:ind w:left="162" w:hanging="162"/>
              <w:contextualSpacing/>
              <w:rPr>
                <w:sz w:val="18"/>
                <w:szCs w:val="18"/>
              </w:rPr>
            </w:pPr>
            <w:r>
              <w:rPr>
                <w:sz w:val="18"/>
                <w:szCs w:val="18"/>
              </w:rPr>
              <w:t>Duration of symptoms</w:t>
            </w:r>
          </w:p>
          <w:p w:rsidR="003277A2" w:rsidRDefault="003277A2" w:rsidP="00C26909">
            <w:pPr>
              <w:numPr>
                <w:ilvl w:val="0"/>
                <w:numId w:val="1"/>
              </w:numPr>
              <w:ind w:left="162" w:hanging="162"/>
              <w:contextualSpacing/>
              <w:rPr>
                <w:sz w:val="18"/>
                <w:szCs w:val="18"/>
              </w:rPr>
            </w:pPr>
            <w:proofErr w:type="spellStart"/>
            <w:r>
              <w:rPr>
                <w:sz w:val="18"/>
                <w:szCs w:val="18"/>
              </w:rPr>
              <w:t>Preop</w:t>
            </w:r>
            <w:proofErr w:type="spellEnd"/>
            <w:r>
              <w:rPr>
                <w:sz w:val="18"/>
                <w:szCs w:val="18"/>
              </w:rPr>
              <w:t xml:space="preserve"> JOA score</w:t>
            </w:r>
          </w:p>
          <w:p w:rsidR="003277A2" w:rsidRDefault="003277A2" w:rsidP="00C26909">
            <w:pPr>
              <w:numPr>
                <w:ilvl w:val="0"/>
                <w:numId w:val="1"/>
              </w:numPr>
              <w:ind w:left="162" w:hanging="162"/>
              <w:contextualSpacing/>
              <w:rPr>
                <w:sz w:val="18"/>
                <w:szCs w:val="18"/>
              </w:rPr>
            </w:pPr>
            <w:r>
              <w:rPr>
                <w:sz w:val="18"/>
                <w:szCs w:val="18"/>
              </w:rPr>
              <w:t>C2-C7 angle on lateral radiographs</w:t>
            </w:r>
          </w:p>
          <w:p w:rsidR="003277A2" w:rsidRPr="003E1C61" w:rsidRDefault="003277A2" w:rsidP="00C26909">
            <w:pPr>
              <w:numPr>
                <w:ilvl w:val="0"/>
                <w:numId w:val="1"/>
              </w:numPr>
              <w:ind w:left="162" w:hanging="162"/>
              <w:contextualSpacing/>
              <w:rPr>
                <w:sz w:val="18"/>
                <w:szCs w:val="18"/>
              </w:rPr>
            </w:pPr>
            <w:r>
              <w:rPr>
                <w:sz w:val="18"/>
                <w:szCs w:val="18"/>
              </w:rPr>
              <w:t>C7 plumb line on whole spinal lateral radiographs</w:t>
            </w:r>
          </w:p>
        </w:tc>
        <w:tc>
          <w:tcPr>
            <w:tcW w:w="1448" w:type="dxa"/>
          </w:tcPr>
          <w:p w:rsidR="003277A2" w:rsidRPr="003E1C61" w:rsidRDefault="003277A2" w:rsidP="00C26909">
            <w:pPr>
              <w:numPr>
                <w:ilvl w:val="0"/>
                <w:numId w:val="1"/>
              </w:numPr>
              <w:ind w:left="162" w:hanging="162"/>
              <w:contextualSpacing/>
              <w:rPr>
                <w:sz w:val="18"/>
                <w:szCs w:val="18"/>
              </w:rPr>
            </w:pPr>
            <w:r>
              <w:rPr>
                <w:sz w:val="18"/>
                <w:szCs w:val="18"/>
              </w:rPr>
              <w:t>SI change on T2-weighted images in sagittal and axial planes</w:t>
            </w:r>
          </w:p>
        </w:tc>
        <w:tc>
          <w:tcPr>
            <w:tcW w:w="1415" w:type="dxa"/>
          </w:tcPr>
          <w:p w:rsidR="003277A2" w:rsidRDefault="003277A2" w:rsidP="00C26909">
            <w:pPr>
              <w:numPr>
                <w:ilvl w:val="0"/>
                <w:numId w:val="1"/>
              </w:numPr>
              <w:ind w:left="162" w:hanging="162"/>
              <w:contextualSpacing/>
              <w:rPr>
                <w:sz w:val="18"/>
                <w:szCs w:val="18"/>
              </w:rPr>
            </w:pPr>
            <w:r>
              <w:rPr>
                <w:sz w:val="18"/>
                <w:szCs w:val="18"/>
              </w:rPr>
              <w:t>Effective clinical results in JOA score (&gt; 50% JOA recovery rate)</w:t>
            </w:r>
          </w:p>
          <w:p w:rsidR="003277A2" w:rsidRPr="009B158E" w:rsidRDefault="003277A2" w:rsidP="00C26909">
            <w:pPr>
              <w:numPr>
                <w:ilvl w:val="0"/>
                <w:numId w:val="1"/>
              </w:numPr>
              <w:ind w:left="162" w:hanging="162"/>
              <w:contextualSpacing/>
              <w:rPr>
                <w:sz w:val="18"/>
                <w:szCs w:val="18"/>
              </w:rPr>
            </w:pPr>
            <w:r>
              <w:rPr>
                <w:sz w:val="18"/>
                <w:szCs w:val="18"/>
              </w:rPr>
              <w:t>“Effective” clinical results on JOACMEQ-L (either condition met: 1)</w:t>
            </w:r>
            <w:r w:rsidRPr="009B158E">
              <w:rPr>
                <w:sz w:val="18"/>
                <w:szCs w:val="18"/>
              </w:rPr>
              <w:t xml:space="preserve"> the post</w:t>
            </w:r>
            <w:r>
              <w:rPr>
                <w:sz w:val="18"/>
                <w:szCs w:val="18"/>
              </w:rPr>
              <w:t xml:space="preserve">op </w:t>
            </w:r>
            <w:r w:rsidRPr="009B158E">
              <w:rPr>
                <w:sz w:val="18"/>
                <w:szCs w:val="18"/>
              </w:rPr>
              <w:t>score was higher than</w:t>
            </w:r>
            <w:r>
              <w:rPr>
                <w:sz w:val="18"/>
                <w:szCs w:val="18"/>
              </w:rPr>
              <w:t xml:space="preserve"> the </w:t>
            </w:r>
            <w:proofErr w:type="spellStart"/>
            <w:r w:rsidRPr="009B158E">
              <w:rPr>
                <w:sz w:val="18"/>
                <w:szCs w:val="18"/>
              </w:rPr>
              <w:t>pre</w:t>
            </w:r>
            <w:r>
              <w:rPr>
                <w:sz w:val="18"/>
                <w:szCs w:val="18"/>
              </w:rPr>
              <w:t>op</w:t>
            </w:r>
            <w:proofErr w:type="spellEnd"/>
            <w:r w:rsidRPr="009B158E">
              <w:rPr>
                <w:sz w:val="18"/>
                <w:szCs w:val="18"/>
              </w:rPr>
              <w:t xml:space="preserve"> score by </w:t>
            </w:r>
            <w:r>
              <w:rPr>
                <w:sz w:val="18"/>
                <w:szCs w:val="18"/>
              </w:rPr>
              <w:t xml:space="preserve">≥ </w:t>
            </w:r>
            <w:r w:rsidRPr="009B158E">
              <w:rPr>
                <w:sz w:val="18"/>
                <w:szCs w:val="18"/>
              </w:rPr>
              <w:t>20 points</w:t>
            </w:r>
            <w:r>
              <w:rPr>
                <w:sz w:val="18"/>
                <w:szCs w:val="18"/>
              </w:rPr>
              <w:t xml:space="preserve"> or, 2)</w:t>
            </w:r>
            <w:r w:rsidRPr="009B158E">
              <w:rPr>
                <w:sz w:val="18"/>
                <w:szCs w:val="18"/>
              </w:rPr>
              <w:t xml:space="preserve"> </w:t>
            </w:r>
            <w:r>
              <w:rPr>
                <w:sz w:val="18"/>
                <w:szCs w:val="18"/>
              </w:rPr>
              <w:t>t</w:t>
            </w:r>
            <w:r w:rsidRPr="009B158E">
              <w:rPr>
                <w:sz w:val="18"/>
                <w:szCs w:val="18"/>
              </w:rPr>
              <w:t>he</w:t>
            </w:r>
            <w:r>
              <w:rPr>
                <w:sz w:val="18"/>
                <w:szCs w:val="18"/>
              </w:rPr>
              <w:t xml:space="preserve"> </w:t>
            </w:r>
            <w:proofErr w:type="spellStart"/>
            <w:r>
              <w:rPr>
                <w:sz w:val="18"/>
                <w:szCs w:val="18"/>
              </w:rPr>
              <w:t>preop</w:t>
            </w:r>
            <w:proofErr w:type="spellEnd"/>
            <w:r w:rsidRPr="009B158E">
              <w:rPr>
                <w:sz w:val="18"/>
                <w:szCs w:val="18"/>
              </w:rPr>
              <w:t xml:space="preserve"> score was less than 90, and the post</w:t>
            </w:r>
            <w:r>
              <w:rPr>
                <w:sz w:val="18"/>
                <w:szCs w:val="18"/>
              </w:rPr>
              <w:t xml:space="preserve">op </w:t>
            </w:r>
            <w:r w:rsidRPr="009B158E">
              <w:rPr>
                <w:sz w:val="18"/>
                <w:szCs w:val="18"/>
              </w:rPr>
              <w:t>score reached 90 points or more</w:t>
            </w:r>
            <w:r>
              <w:rPr>
                <w:sz w:val="18"/>
                <w:szCs w:val="18"/>
              </w:rPr>
              <w:t>)</w:t>
            </w:r>
          </w:p>
        </w:tc>
        <w:tc>
          <w:tcPr>
            <w:tcW w:w="1193" w:type="dxa"/>
          </w:tcPr>
          <w:p w:rsidR="003277A2" w:rsidRPr="003E1C61" w:rsidRDefault="003277A2" w:rsidP="00C26909">
            <w:pPr>
              <w:rPr>
                <w:sz w:val="18"/>
                <w:szCs w:val="18"/>
              </w:rPr>
            </w:pPr>
            <w:r w:rsidRPr="00E926A4">
              <w:rPr>
                <w:sz w:val="18"/>
                <w:szCs w:val="18"/>
              </w:rPr>
              <w:t>&gt;</w:t>
            </w:r>
            <w:r>
              <w:rPr>
                <w:sz w:val="18"/>
                <w:szCs w:val="18"/>
              </w:rPr>
              <w:t xml:space="preserve"> 1 year (range NR) (78.9% f/u; n = 101/128)</w:t>
            </w:r>
          </w:p>
        </w:tc>
        <w:tc>
          <w:tcPr>
            <w:tcW w:w="3245" w:type="dxa"/>
          </w:tcPr>
          <w:p w:rsidR="003277A2" w:rsidRDefault="003277A2" w:rsidP="00C26909">
            <w:pPr>
              <w:rPr>
                <w:b/>
                <w:sz w:val="18"/>
                <w:szCs w:val="18"/>
              </w:rPr>
            </w:pPr>
            <w:r>
              <w:rPr>
                <w:b/>
                <w:sz w:val="18"/>
                <w:szCs w:val="18"/>
              </w:rPr>
              <w:t>JOA recovery rate &gt; 50%</w:t>
            </w:r>
          </w:p>
          <w:p w:rsidR="003277A2" w:rsidRDefault="003277A2" w:rsidP="00C26909">
            <w:pPr>
              <w:ind w:left="87"/>
              <w:rPr>
                <w:sz w:val="18"/>
                <w:szCs w:val="18"/>
              </w:rPr>
            </w:pPr>
            <w:r w:rsidRPr="006947DB">
              <w:rPr>
                <w:i/>
                <w:sz w:val="18"/>
                <w:szCs w:val="18"/>
              </w:rPr>
              <w:t>P</w:t>
            </w:r>
            <w:r>
              <w:rPr>
                <w:sz w:val="18"/>
                <w:szCs w:val="18"/>
              </w:rPr>
              <w:t xml:space="preserve"> = ns on univariate analysis so variable was not included in multivariate analysis</w:t>
            </w:r>
          </w:p>
          <w:p w:rsidR="003277A2" w:rsidRDefault="003277A2" w:rsidP="00C26909">
            <w:pPr>
              <w:rPr>
                <w:sz w:val="18"/>
                <w:szCs w:val="18"/>
              </w:rPr>
            </w:pPr>
          </w:p>
          <w:p w:rsidR="003277A2" w:rsidRDefault="003277A2" w:rsidP="00C26909">
            <w:pPr>
              <w:rPr>
                <w:b/>
                <w:sz w:val="18"/>
                <w:szCs w:val="18"/>
              </w:rPr>
            </w:pPr>
            <w:r w:rsidRPr="000F4CE1">
              <w:rPr>
                <w:b/>
                <w:sz w:val="18"/>
                <w:szCs w:val="18"/>
              </w:rPr>
              <w:t>Effective clinical results on JOA</w:t>
            </w:r>
            <w:r>
              <w:rPr>
                <w:b/>
                <w:sz w:val="18"/>
                <w:szCs w:val="18"/>
              </w:rPr>
              <w:t xml:space="preserve">CMEQ-L, </w:t>
            </w:r>
            <w:r w:rsidRPr="000F4CE1">
              <w:rPr>
                <w:i/>
                <w:sz w:val="18"/>
                <w:szCs w:val="18"/>
              </w:rPr>
              <w:t>multivariate analysis</w:t>
            </w:r>
          </w:p>
          <w:p w:rsidR="003277A2" w:rsidRPr="000F4CE1" w:rsidRDefault="003277A2" w:rsidP="00C26909">
            <w:pPr>
              <w:ind w:left="87"/>
              <w:rPr>
                <w:sz w:val="18"/>
                <w:szCs w:val="18"/>
              </w:rPr>
            </w:pPr>
            <w:r w:rsidRPr="000F4CE1">
              <w:rPr>
                <w:sz w:val="18"/>
                <w:szCs w:val="18"/>
              </w:rPr>
              <w:t xml:space="preserve">HR = 0.39 (0.13-1.18); </w:t>
            </w:r>
            <w:r w:rsidRPr="000F4CE1">
              <w:rPr>
                <w:i/>
                <w:sz w:val="18"/>
                <w:szCs w:val="18"/>
              </w:rPr>
              <w:t>P</w:t>
            </w:r>
            <w:r w:rsidRPr="000F4CE1">
              <w:rPr>
                <w:sz w:val="18"/>
                <w:szCs w:val="18"/>
              </w:rPr>
              <w:t xml:space="preserve"> = .98</w:t>
            </w:r>
          </w:p>
          <w:p w:rsidR="003277A2" w:rsidRDefault="003277A2" w:rsidP="00C26909">
            <w:pPr>
              <w:rPr>
                <w:sz w:val="18"/>
                <w:szCs w:val="18"/>
              </w:rPr>
            </w:pPr>
          </w:p>
          <w:p w:rsidR="003277A2" w:rsidRPr="000F4CE1" w:rsidRDefault="003277A2" w:rsidP="00C26909">
            <w:pPr>
              <w:rPr>
                <w:sz w:val="18"/>
                <w:szCs w:val="18"/>
              </w:rPr>
            </w:pPr>
          </w:p>
        </w:tc>
      </w:tr>
      <w:tr w:rsidR="0043721E" w:rsidRPr="003E1C61" w:rsidTr="00DC4E9E">
        <w:tc>
          <w:tcPr>
            <w:tcW w:w="1248" w:type="dxa"/>
          </w:tcPr>
          <w:p w:rsidR="003277A2" w:rsidRPr="003E1C61" w:rsidRDefault="003277A2" w:rsidP="00C26909">
            <w:pPr>
              <w:rPr>
                <w:sz w:val="18"/>
                <w:szCs w:val="18"/>
                <w:lang w:val="en-AU"/>
              </w:rPr>
            </w:pPr>
            <w:r w:rsidRPr="003E1C61">
              <w:rPr>
                <w:sz w:val="18"/>
                <w:szCs w:val="18"/>
                <w:lang w:val="en-AU"/>
              </w:rPr>
              <w:t>Okada et al. (1993)</w:t>
            </w:r>
          </w:p>
          <w:p w:rsidR="003277A2" w:rsidRPr="003E1C61" w:rsidRDefault="003277A2" w:rsidP="00C26909">
            <w:pPr>
              <w:rPr>
                <w:sz w:val="18"/>
                <w:szCs w:val="18"/>
                <w:lang w:val="en-AU"/>
              </w:rPr>
            </w:pPr>
          </w:p>
          <w:p w:rsidR="003277A2" w:rsidRPr="003E1C61" w:rsidRDefault="003277A2" w:rsidP="00C26909">
            <w:pPr>
              <w:rPr>
                <w:sz w:val="18"/>
                <w:szCs w:val="18"/>
              </w:rPr>
            </w:pPr>
            <w:r>
              <w:rPr>
                <w:sz w:val="18"/>
                <w:szCs w:val="18"/>
                <w:lang w:val="en-AU"/>
              </w:rPr>
              <w:t>R</w:t>
            </w:r>
            <w:r w:rsidRPr="003E1C61">
              <w:rPr>
                <w:sz w:val="18"/>
                <w:szCs w:val="18"/>
                <w:lang w:val="en-AU"/>
              </w:rPr>
              <w:t>etrospective cohort</w:t>
            </w:r>
          </w:p>
        </w:tc>
        <w:tc>
          <w:tcPr>
            <w:tcW w:w="1741" w:type="dxa"/>
          </w:tcPr>
          <w:p w:rsidR="003277A2" w:rsidRPr="003E1C61" w:rsidRDefault="003277A2" w:rsidP="00C26909">
            <w:pPr>
              <w:rPr>
                <w:sz w:val="18"/>
                <w:szCs w:val="18"/>
              </w:rPr>
            </w:pPr>
            <w:r w:rsidRPr="003E1C61">
              <w:rPr>
                <w:sz w:val="18"/>
                <w:szCs w:val="18"/>
                <w:lang w:val="en-AU"/>
              </w:rPr>
              <w:t>To determine whether spinal cord plasticity and intramedullary signal intensity are predictive of surgical outcome.</w:t>
            </w:r>
          </w:p>
        </w:tc>
        <w:tc>
          <w:tcPr>
            <w:tcW w:w="2362" w:type="dxa"/>
          </w:tcPr>
          <w:p w:rsidR="003277A2" w:rsidRPr="003E1C61" w:rsidRDefault="003277A2" w:rsidP="00C26909">
            <w:pPr>
              <w:rPr>
                <w:sz w:val="18"/>
                <w:szCs w:val="18"/>
              </w:rPr>
            </w:pPr>
            <w:r w:rsidRPr="003E1C61">
              <w:rPr>
                <w:sz w:val="18"/>
                <w:szCs w:val="18"/>
              </w:rPr>
              <w:t>N = 74</w:t>
            </w:r>
          </w:p>
          <w:p w:rsidR="003277A2" w:rsidRPr="003E1C61" w:rsidRDefault="003277A2" w:rsidP="00C26909">
            <w:pPr>
              <w:ind w:left="72"/>
              <w:rPr>
                <w:sz w:val="18"/>
                <w:szCs w:val="18"/>
              </w:rPr>
            </w:pPr>
            <w:r w:rsidRPr="003E1C61">
              <w:rPr>
                <w:sz w:val="18"/>
                <w:szCs w:val="18"/>
              </w:rPr>
              <w:t xml:space="preserve">Male: 70.3% </w:t>
            </w:r>
          </w:p>
          <w:p w:rsidR="003277A2" w:rsidRPr="003E1C61" w:rsidRDefault="003277A2" w:rsidP="00C26909">
            <w:pPr>
              <w:ind w:left="72"/>
              <w:rPr>
                <w:sz w:val="18"/>
                <w:szCs w:val="18"/>
              </w:rPr>
            </w:pPr>
            <w:r w:rsidRPr="003E1C61">
              <w:rPr>
                <w:sz w:val="18"/>
                <w:szCs w:val="18"/>
              </w:rPr>
              <w:t>Mean age (range): 58.9 years (35–83)</w:t>
            </w:r>
          </w:p>
          <w:p w:rsidR="003277A2" w:rsidRDefault="003277A2" w:rsidP="00C26909">
            <w:pPr>
              <w:ind w:left="72"/>
              <w:rPr>
                <w:sz w:val="18"/>
                <w:szCs w:val="18"/>
                <w:lang w:val="en-AU"/>
              </w:rPr>
            </w:pPr>
            <w:r w:rsidRPr="00D630DA">
              <w:rPr>
                <w:sz w:val="18"/>
                <w:szCs w:val="18"/>
              </w:rPr>
              <w:t>Mean</w:t>
            </w:r>
            <w:r w:rsidRPr="00BD5185">
              <w:rPr>
                <w:sz w:val="18"/>
                <w:szCs w:val="18"/>
                <w:lang w:val="en-AU"/>
              </w:rPr>
              <w:t xml:space="preserve"> duration of symptoms</w:t>
            </w:r>
            <w:r>
              <w:rPr>
                <w:sz w:val="18"/>
                <w:szCs w:val="18"/>
                <w:lang w:val="en-AU"/>
              </w:rPr>
              <w:t>: NR</w:t>
            </w:r>
          </w:p>
          <w:p w:rsidR="003277A2" w:rsidRPr="003E1C61" w:rsidRDefault="003277A2" w:rsidP="00C26909">
            <w:pPr>
              <w:ind w:left="72"/>
              <w:rPr>
                <w:sz w:val="18"/>
                <w:szCs w:val="18"/>
              </w:rPr>
            </w:pPr>
          </w:p>
          <w:p w:rsidR="003277A2" w:rsidRPr="003E1C61" w:rsidRDefault="003277A2" w:rsidP="00C26909">
            <w:pPr>
              <w:rPr>
                <w:sz w:val="18"/>
                <w:szCs w:val="18"/>
              </w:rPr>
            </w:pPr>
            <w:r w:rsidRPr="003E1C61">
              <w:rPr>
                <w:sz w:val="18"/>
                <w:szCs w:val="18"/>
                <w:u w:val="single"/>
              </w:rPr>
              <w:lastRenderedPageBreak/>
              <w:t>Diagnosis</w:t>
            </w:r>
            <w:r w:rsidRPr="003E1C61">
              <w:rPr>
                <w:sz w:val="18"/>
                <w:szCs w:val="18"/>
              </w:rPr>
              <w:t>:</w:t>
            </w:r>
          </w:p>
          <w:p w:rsidR="003277A2" w:rsidRPr="003E1C61" w:rsidRDefault="003277A2" w:rsidP="00C26909">
            <w:pPr>
              <w:ind w:left="72"/>
              <w:rPr>
                <w:sz w:val="18"/>
                <w:szCs w:val="18"/>
              </w:rPr>
            </w:pPr>
            <w:r w:rsidRPr="003E1C61">
              <w:rPr>
                <w:sz w:val="18"/>
                <w:szCs w:val="18"/>
              </w:rPr>
              <w:t>OPLL (n = 23)</w:t>
            </w:r>
          </w:p>
          <w:p w:rsidR="003277A2" w:rsidRPr="003E1C61" w:rsidRDefault="003277A2" w:rsidP="00C26909">
            <w:pPr>
              <w:ind w:left="72"/>
              <w:rPr>
                <w:sz w:val="18"/>
                <w:szCs w:val="18"/>
              </w:rPr>
            </w:pPr>
            <w:r w:rsidRPr="003E1C61">
              <w:rPr>
                <w:sz w:val="18"/>
                <w:szCs w:val="18"/>
              </w:rPr>
              <w:t>CSM (n = 34)</w:t>
            </w:r>
          </w:p>
          <w:p w:rsidR="003277A2" w:rsidRPr="003E1C61" w:rsidRDefault="003277A2" w:rsidP="00C26909">
            <w:pPr>
              <w:ind w:left="72"/>
              <w:rPr>
                <w:sz w:val="18"/>
                <w:szCs w:val="18"/>
              </w:rPr>
            </w:pPr>
            <w:r w:rsidRPr="003E1C61">
              <w:rPr>
                <w:sz w:val="18"/>
                <w:szCs w:val="18"/>
              </w:rPr>
              <w:t>CDH (n = 17)</w:t>
            </w:r>
          </w:p>
          <w:p w:rsidR="003277A2" w:rsidRPr="003E1C61" w:rsidRDefault="003277A2" w:rsidP="00C26909">
            <w:pPr>
              <w:ind w:left="72"/>
              <w:rPr>
                <w:sz w:val="18"/>
                <w:szCs w:val="18"/>
              </w:rPr>
            </w:pPr>
          </w:p>
          <w:p w:rsidR="003277A2" w:rsidRPr="003E1C61" w:rsidRDefault="003277A2" w:rsidP="00C26909">
            <w:pPr>
              <w:rPr>
                <w:sz w:val="18"/>
                <w:szCs w:val="18"/>
              </w:rPr>
            </w:pPr>
            <w:r w:rsidRPr="003E1C61">
              <w:rPr>
                <w:sz w:val="18"/>
                <w:szCs w:val="18"/>
                <w:u w:val="single"/>
              </w:rPr>
              <w:t>Decompression surgery</w:t>
            </w:r>
            <w:r w:rsidRPr="003E1C61">
              <w:rPr>
                <w:sz w:val="18"/>
                <w:szCs w:val="18"/>
              </w:rPr>
              <w:t>:</w:t>
            </w:r>
          </w:p>
          <w:p w:rsidR="003277A2" w:rsidRPr="003E1C61" w:rsidRDefault="003277A2" w:rsidP="00C26909">
            <w:pPr>
              <w:ind w:left="72"/>
              <w:rPr>
                <w:sz w:val="18"/>
                <w:szCs w:val="18"/>
              </w:rPr>
            </w:pPr>
            <w:r w:rsidRPr="003E1C61">
              <w:rPr>
                <w:sz w:val="18"/>
                <w:szCs w:val="18"/>
              </w:rPr>
              <w:t>Anterior (n = 20)</w:t>
            </w:r>
          </w:p>
          <w:p w:rsidR="003277A2" w:rsidRPr="003E1C61" w:rsidRDefault="003277A2" w:rsidP="00C26909">
            <w:pPr>
              <w:ind w:left="72"/>
              <w:rPr>
                <w:sz w:val="18"/>
                <w:szCs w:val="18"/>
              </w:rPr>
            </w:pPr>
            <w:r w:rsidRPr="003E1C61">
              <w:rPr>
                <w:sz w:val="18"/>
                <w:szCs w:val="18"/>
              </w:rPr>
              <w:t>Posterior (n = 54)</w:t>
            </w:r>
          </w:p>
        </w:tc>
        <w:tc>
          <w:tcPr>
            <w:tcW w:w="1478" w:type="dxa"/>
          </w:tcPr>
          <w:p w:rsidR="003277A2" w:rsidRDefault="003277A2" w:rsidP="00C26909">
            <w:pPr>
              <w:numPr>
                <w:ilvl w:val="0"/>
                <w:numId w:val="1"/>
              </w:numPr>
              <w:ind w:left="162" w:hanging="162"/>
              <w:contextualSpacing/>
              <w:rPr>
                <w:sz w:val="18"/>
                <w:szCs w:val="18"/>
              </w:rPr>
            </w:pPr>
            <w:r w:rsidRPr="003E1C61">
              <w:rPr>
                <w:sz w:val="18"/>
                <w:szCs w:val="18"/>
              </w:rPr>
              <w:lastRenderedPageBreak/>
              <w:t>Age</w:t>
            </w:r>
          </w:p>
          <w:p w:rsidR="003277A2" w:rsidRPr="003E1C61" w:rsidRDefault="003277A2" w:rsidP="00C26909">
            <w:pPr>
              <w:numPr>
                <w:ilvl w:val="0"/>
                <w:numId w:val="1"/>
              </w:numPr>
              <w:ind w:left="162" w:hanging="162"/>
              <w:contextualSpacing/>
              <w:rPr>
                <w:sz w:val="18"/>
                <w:szCs w:val="18"/>
              </w:rPr>
            </w:pPr>
            <w:r>
              <w:rPr>
                <w:sz w:val="18"/>
                <w:szCs w:val="18"/>
              </w:rPr>
              <w:t>Duration of symptoms</w:t>
            </w:r>
          </w:p>
          <w:p w:rsidR="003277A2" w:rsidRPr="003E1C61" w:rsidRDefault="003277A2" w:rsidP="00C26909">
            <w:pPr>
              <w:numPr>
                <w:ilvl w:val="0"/>
                <w:numId w:val="1"/>
              </w:numPr>
              <w:ind w:left="162" w:hanging="162"/>
              <w:contextualSpacing/>
              <w:rPr>
                <w:sz w:val="18"/>
                <w:szCs w:val="18"/>
              </w:rPr>
            </w:pPr>
            <w:r w:rsidRPr="003E1C61">
              <w:rPr>
                <w:sz w:val="18"/>
                <w:szCs w:val="18"/>
              </w:rPr>
              <w:t>Preoperative JOA</w:t>
            </w:r>
          </w:p>
        </w:tc>
        <w:tc>
          <w:tcPr>
            <w:tcW w:w="1448" w:type="dxa"/>
          </w:tcPr>
          <w:p w:rsidR="003277A2" w:rsidRPr="003E1C61" w:rsidRDefault="003277A2" w:rsidP="00C26909">
            <w:pPr>
              <w:numPr>
                <w:ilvl w:val="0"/>
                <w:numId w:val="1"/>
              </w:numPr>
              <w:ind w:left="162" w:hanging="162"/>
              <w:contextualSpacing/>
              <w:rPr>
                <w:sz w:val="18"/>
                <w:szCs w:val="18"/>
              </w:rPr>
            </w:pPr>
            <w:r w:rsidRPr="003E1C61">
              <w:rPr>
                <w:sz w:val="18"/>
                <w:szCs w:val="18"/>
              </w:rPr>
              <w:t>Transverse area</w:t>
            </w:r>
          </w:p>
          <w:p w:rsidR="003277A2" w:rsidRPr="003E1C61" w:rsidRDefault="003277A2" w:rsidP="00C26909">
            <w:pPr>
              <w:numPr>
                <w:ilvl w:val="0"/>
                <w:numId w:val="1"/>
              </w:numPr>
              <w:ind w:left="162" w:hanging="162"/>
              <w:contextualSpacing/>
              <w:rPr>
                <w:sz w:val="18"/>
                <w:szCs w:val="18"/>
              </w:rPr>
            </w:pPr>
            <w:r>
              <w:rPr>
                <w:sz w:val="18"/>
                <w:szCs w:val="18"/>
              </w:rPr>
              <w:t>SI</w:t>
            </w:r>
            <w:r w:rsidRPr="003E1C61">
              <w:rPr>
                <w:sz w:val="18"/>
                <w:szCs w:val="18"/>
              </w:rPr>
              <w:t xml:space="preserve"> Ratio</w:t>
            </w:r>
          </w:p>
          <w:p w:rsidR="003277A2" w:rsidRPr="003E1C61" w:rsidRDefault="003277A2" w:rsidP="00C26909">
            <w:pPr>
              <w:numPr>
                <w:ilvl w:val="0"/>
                <w:numId w:val="1"/>
              </w:numPr>
              <w:ind w:left="162" w:hanging="162"/>
              <w:contextualSpacing/>
              <w:rPr>
                <w:sz w:val="18"/>
                <w:szCs w:val="18"/>
              </w:rPr>
            </w:pPr>
            <w:r w:rsidRPr="003E1C61">
              <w:rPr>
                <w:sz w:val="18"/>
                <w:szCs w:val="18"/>
              </w:rPr>
              <w:t>Compression ratio</w:t>
            </w:r>
          </w:p>
          <w:p w:rsidR="003277A2" w:rsidRPr="003E1C61" w:rsidRDefault="003277A2" w:rsidP="00C26909">
            <w:pPr>
              <w:rPr>
                <w:sz w:val="18"/>
                <w:szCs w:val="18"/>
              </w:rPr>
            </w:pPr>
          </w:p>
        </w:tc>
        <w:tc>
          <w:tcPr>
            <w:tcW w:w="1415" w:type="dxa"/>
          </w:tcPr>
          <w:p w:rsidR="003277A2" w:rsidRPr="003E1C61" w:rsidRDefault="003277A2" w:rsidP="00C26909">
            <w:pPr>
              <w:numPr>
                <w:ilvl w:val="0"/>
                <w:numId w:val="1"/>
              </w:numPr>
              <w:ind w:left="162" w:hanging="162"/>
              <w:contextualSpacing/>
              <w:rPr>
                <w:sz w:val="18"/>
                <w:szCs w:val="18"/>
              </w:rPr>
            </w:pPr>
            <w:r>
              <w:rPr>
                <w:sz w:val="18"/>
                <w:szCs w:val="18"/>
              </w:rPr>
              <w:t>Recovery rate of JOA score‡</w:t>
            </w:r>
          </w:p>
        </w:tc>
        <w:tc>
          <w:tcPr>
            <w:tcW w:w="1193" w:type="dxa"/>
          </w:tcPr>
          <w:p w:rsidR="003277A2" w:rsidRPr="003E1C61" w:rsidRDefault="003277A2" w:rsidP="00C26909">
            <w:pPr>
              <w:rPr>
                <w:sz w:val="18"/>
                <w:szCs w:val="18"/>
              </w:rPr>
            </w:pPr>
            <w:r w:rsidRPr="003E1C61">
              <w:rPr>
                <w:sz w:val="18"/>
                <w:szCs w:val="18"/>
              </w:rPr>
              <w:t>NR</w:t>
            </w:r>
            <w:r>
              <w:rPr>
                <w:sz w:val="18"/>
                <w:szCs w:val="18"/>
              </w:rPr>
              <w:t xml:space="preserve"> (% f/u NR)</w:t>
            </w:r>
          </w:p>
        </w:tc>
        <w:tc>
          <w:tcPr>
            <w:tcW w:w="3245" w:type="dxa"/>
          </w:tcPr>
          <w:p w:rsidR="003277A2" w:rsidRPr="003E1C61" w:rsidRDefault="003277A2" w:rsidP="00C26909">
            <w:pPr>
              <w:rPr>
                <w:b/>
                <w:sz w:val="18"/>
                <w:szCs w:val="18"/>
              </w:rPr>
            </w:pPr>
            <w:r w:rsidRPr="003E1C61">
              <w:rPr>
                <w:b/>
                <w:sz w:val="18"/>
                <w:szCs w:val="18"/>
              </w:rPr>
              <w:t>Correlation of MRI factor with recovery rate (%) of JOA score</w:t>
            </w:r>
            <w:r>
              <w:rPr>
                <w:b/>
                <w:sz w:val="18"/>
                <w:szCs w:val="18"/>
              </w:rPr>
              <w:t xml:space="preserve"> (univariate analysis)</w:t>
            </w:r>
          </w:p>
          <w:p w:rsidR="003277A2" w:rsidRPr="003E1C61" w:rsidRDefault="003277A2" w:rsidP="00C26909">
            <w:pPr>
              <w:rPr>
                <w:i/>
                <w:sz w:val="18"/>
                <w:szCs w:val="18"/>
              </w:rPr>
            </w:pPr>
            <w:r w:rsidRPr="003E1C61">
              <w:rPr>
                <w:i/>
                <w:sz w:val="18"/>
                <w:szCs w:val="18"/>
              </w:rPr>
              <w:t>Preoperative transverse area</w:t>
            </w:r>
          </w:p>
          <w:p w:rsidR="003277A2" w:rsidRPr="003E1C61" w:rsidRDefault="003277A2" w:rsidP="00C26909">
            <w:pPr>
              <w:numPr>
                <w:ilvl w:val="0"/>
                <w:numId w:val="1"/>
              </w:numPr>
              <w:ind w:left="328" w:hanging="180"/>
              <w:contextualSpacing/>
              <w:rPr>
                <w:sz w:val="18"/>
                <w:szCs w:val="18"/>
              </w:rPr>
            </w:pPr>
            <w:r w:rsidRPr="003E1C61">
              <w:rPr>
                <w:sz w:val="18"/>
                <w:szCs w:val="18"/>
              </w:rPr>
              <w:t>OPLL: r = 0.678 (</w:t>
            </w:r>
            <w:r w:rsidRPr="003E1C61">
              <w:rPr>
                <w:i/>
                <w:sz w:val="18"/>
                <w:szCs w:val="18"/>
              </w:rPr>
              <w:t>P</w:t>
            </w:r>
            <w:r w:rsidRPr="003E1C61">
              <w:rPr>
                <w:sz w:val="18"/>
                <w:szCs w:val="18"/>
              </w:rPr>
              <w:t xml:space="preserve"> &lt; .01)</w:t>
            </w:r>
          </w:p>
          <w:p w:rsidR="003277A2" w:rsidRPr="003E1C61" w:rsidRDefault="003277A2" w:rsidP="00C26909">
            <w:pPr>
              <w:numPr>
                <w:ilvl w:val="0"/>
                <w:numId w:val="1"/>
              </w:numPr>
              <w:ind w:left="328" w:hanging="180"/>
              <w:contextualSpacing/>
              <w:rPr>
                <w:sz w:val="18"/>
                <w:szCs w:val="18"/>
              </w:rPr>
            </w:pPr>
            <w:r w:rsidRPr="003E1C61">
              <w:rPr>
                <w:sz w:val="18"/>
                <w:szCs w:val="18"/>
              </w:rPr>
              <w:t>CSM: r = 0.586 (P &lt; .01)</w:t>
            </w:r>
          </w:p>
          <w:p w:rsidR="003277A2" w:rsidRPr="003E1C61" w:rsidRDefault="003277A2" w:rsidP="00C26909">
            <w:pPr>
              <w:numPr>
                <w:ilvl w:val="0"/>
                <w:numId w:val="1"/>
              </w:numPr>
              <w:ind w:left="328" w:hanging="180"/>
              <w:contextualSpacing/>
              <w:rPr>
                <w:sz w:val="18"/>
                <w:szCs w:val="18"/>
              </w:rPr>
            </w:pPr>
            <w:r w:rsidRPr="003E1C61">
              <w:rPr>
                <w:sz w:val="18"/>
                <w:szCs w:val="18"/>
              </w:rPr>
              <w:t>CDH: NS</w:t>
            </w:r>
          </w:p>
          <w:p w:rsidR="003277A2" w:rsidRPr="003E1C61" w:rsidRDefault="003277A2" w:rsidP="00C26909">
            <w:pPr>
              <w:rPr>
                <w:i/>
                <w:sz w:val="18"/>
                <w:szCs w:val="18"/>
              </w:rPr>
            </w:pPr>
            <w:r w:rsidRPr="003E1C61">
              <w:rPr>
                <w:i/>
                <w:sz w:val="18"/>
                <w:szCs w:val="18"/>
              </w:rPr>
              <w:lastRenderedPageBreak/>
              <w:t>Signal intensity ratio</w:t>
            </w:r>
          </w:p>
          <w:p w:rsidR="003277A2" w:rsidRPr="003E1C61" w:rsidRDefault="003277A2" w:rsidP="00C26909">
            <w:pPr>
              <w:numPr>
                <w:ilvl w:val="0"/>
                <w:numId w:val="1"/>
              </w:numPr>
              <w:ind w:left="328" w:hanging="180"/>
              <w:contextualSpacing/>
              <w:rPr>
                <w:sz w:val="18"/>
                <w:szCs w:val="18"/>
              </w:rPr>
            </w:pPr>
            <w:r w:rsidRPr="003E1C61">
              <w:rPr>
                <w:sz w:val="18"/>
                <w:szCs w:val="18"/>
              </w:rPr>
              <w:t>OPLL: r = 0.537 (</w:t>
            </w:r>
            <w:r w:rsidRPr="003E1C61">
              <w:rPr>
                <w:i/>
                <w:sz w:val="18"/>
                <w:szCs w:val="18"/>
              </w:rPr>
              <w:t>P</w:t>
            </w:r>
            <w:r w:rsidRPr="003E1C61">
              <w:rPr>
                <w:sz w:val="18"/>
                <w:szCs w:val="18"/>
              </w:rPr>
              <w:t xml:space="preserve"> &lt; .01)</w:t>
            </w:r>
          </w:p>
          <w:p w:rsidR="003277A2" w:rsidRPr="003E1C61" w:rsidRDefault="003277A2" w:rsidP="00C26909">
            <w:pPr>
              <w:numPr>
                <w:ilvl w:val="0"/>
                <w:numId w:val="1"/>
              </w:numPr>
              <w:ind w:left="328" w:hanging="180"/>
              <w:contextualSpacing/>
              <w:rPr>
                <w:sz w:val="18"/>
                <w:szCs w:val="18"/>
              </w:rPr>
            </w:pPr>
            <w:r w:rsidRPr="003E1C61">
              <w:rPr>
                <w:sz w:val="18"/>
                <w:szCs w:val="18"/>
              </w:rPr>
              <w:t>CSM: r = 0.426 (</w:t>
            </w:r>
            <w:r w:rsidRPr="003E1C61">
              <w:rPr>
                <w:i/>
                <w:sz w:val="18"/>
                <w:szCs w:val="18"/>
              </w:rPr>
              <w:t>P</w:t>
            </w:r>
            <w:r w:rsidRPr="003E1C61">
              <w:rPr>
                <w:sz w:val="18"/>
                <w:szCs w:val="18"/>
              </w:rPr>
              <w:t xml:space="preserve"> &lt; .01)</w:t>
            </w:r>
          </w:p>
          <w:p w:rsidR="003277A2" w:rsidRPr="003E1C61" w:rsidRDefault="003277A2" w:rsidP="00C26909">
            <w:pPr>
              <w:numPr>
                <w:ilvl w:val="0"/>
                <w:numId w:val="1"/>
              </w:numPr>
              <w:ind w:left="328" w:hanging="180"/>
              <w:contextualSpacing/>
              <w:rPr>
                <w:sz w:val="18"/>
                <w:szCs w:val="18"/>
              </w:rPr>
            </w:pPr>
            <w:r w:rsidRPr="003E1C61">
              <w:rPr>
                <w:sz w:val="18"/>
                <w:szCs w:val="18"/>
              </w:rPr>
              <w:t>CDH: NS</w:t>
            </w:r>
          </w:p>
          <w:p w:rsidR="003277A2" w:rsidRPr="003E1C61" w:rsidRDefault="003277A2" w:rsidP="00C26909">
            <w:pPr>
              <w:rPr>
                <w:sz w:val="18"/>
                <w:szCs w:val="18"/>
              </w:rPr>
            </w:pPr>
            <w:r w:rsidRPr="003E1C61">
              <w:rPr>
                <w:sz w:val="18"/>
                <w:szCs w:val="18"/>
              </w:rPr>
              <w:t>Compression ratio</w:t>
            </w:r>
          </w:p>
          <w:p w:rsidR="003277A2" w:rsidRDefault="003277A2" w:rsidP="00C26909">
            <w:pPr>
              <w:numPr>
                <w:ilvl w:val="0"/>
                <w:numId w:val="1"/>
              </w:numPr>
              <w:ind w:left="328" w:hanging="180"/>
              <w:contextualSpacing/>
              <w:rPr>
                <w:sz w:val="18"/>
                <w:szCs w:val="18"/>
              </w:rPr>
            </w:pPr>
            <w:r w:rsidRPr="003E1C61">
              <w:rPr>
                <w:sz w:val="18"/>
                <w:szCs w:val="18"/>
              </w:rPr>
              <w:t>NS for all diagnoses</w:t>
            </w:r>
          </w:p>
          <w:p w:rsidR="003277A2" w:rsidRDefault="003277A2" w:rsidP="00C26909">
            <w:pPr>
              <w:rPr>
                <w:sz w:val="18"/>
                <w:szCs w:val="18"/>
              </w:rPr>
            </w:pPr>
          </w:p>
          <w:p w:rsidR="003277A2" w:rsidRPr="003E1C61" w:rsidRDefault="003277A2" w:rsidP="00C26909">
            <w:pPr>
              <w:rPr>
                <w:sz w:val="18"/>
                <w:szCs w:val="18"/>
              </w:rPr>
            </w:pPr>
            <w:r>
              <w:rPr>
                <w:sz w:val="18"/>
                <w:szCs w:val="18"/>
              </w:rPr>
              <w:t>“T</w:t>
            </w:r>
            <w:r w:rsidRPr="00B71B07">
              <w:rPr>
                <w:sz w:val="18"/>
                <w:szCs w:val="18"/>
              </w:rPr>
              <w:t>he increased intramedullary</w:t>
            </w:r>
            <w:r>
              <w:rPr>
                <w:sz w:val="18"/>
                <w:szCs w:val="18"/>
              </w:rPr>
              <w:t xml:space="preserve"> </w:t>
            </w:r>
            <w:r w:rsidRPr="00B71B07">
              <w:rPr>
                <w:sz w:val="18"/>
                <w:szCs w:val="18"/>
              </w:rPr>
              <w:t xml:space="preserve">T2-weighted </w:t>
            </w:r>
            <w:r>
              <w:rPr>
                <w:sz w:val="18"/>
                <w:szCs w:val="18"/>
              </w:rPr>
              <w:t>MRI</w:t>
            </w:r>
            <w:r w:rsidRPr="00B71B07">
              <w:rPr>
                <w:sz w:val="18"/>
                <w:szCs w:val="18"/>
              </w:rPr>
              <w:t xml:space="preserve"> signal at the</w:t>
            </w:r>
            <w:r>
              <w:rPr>
                <w:sz w:val="18"/>
                <w:szCs w:val="18"/>
              </w:rPr>
              <w:t xml:space="preserve"> </w:t>
            </w:r>
            <w:r w:rsidRPr="00B71B07">
              <w:rPr>
                <w:sz w:val="18"/>
                <w:szCs w:val="18"/>
              </w:rPr>
              <w:t>site of maximal cord compression significantly influenced the</w:t>
            </w:r>
            <w:r>
              <w:rPr>
                <w:sz w:val="18"/>
                <w:szCs w:val="18"/>
              </w:rPr>
              <w:t xml:space="preserve"> </w:t>
            </w:r>
            <w:r w:rsidRPr="00B71B07">
              <w:rPr>
                <w:sz w:val="18"/>
                <w:szCs w:val="18"/>
              </w:rPr>
              <w:t>rate of recovery</w:t>
            </w:r>
            <w:r>
              <w:rPr>
                <w:sz w:val="18"/>
                <w:szCs w:val="18"/>
              </w:rPr>
              <w:t>”</w:t>
            </w:r>
          </w:p>
        </w:tc>
      </w:tr>
      <w:tr w:rsidR="0043721E" w:rsidRPr="003E1C61" w:rsidTr="00DC4E9E">
        <w:tc>
          <w:tcPr>
            <w:tcW w:w="1248" w:type="dxa"/>
          </w:tcPr>
          <w:p w:rsidR="003277A2" w:rsidRPr="00BD5185" w:rsidRDefault="003277A2" w:rsidP="00C26909">
            <w:pPr>
              <w:rPr>
                <w:sz w:val="18"/>
                <w:szCs w:val="18"/>
                <w:lang w:val="en-AU"/>
              </w:rPr>
            </w:pPr>
            <w:r w:rsidRPr="00BD5185">
              <w:rPr>
                <w:sz w:val="18"/>
                <w:szCs w:val="18"/>
                <w:lang w:val="en-AU"/>
              </w:rPr>
              <w:lastRenderedPageBreak/>
              <w:t>Park et al. (2006)</w:t>
            </w:r>
          </w:p>
          <w:p w:rsidR="003277A2" w:rsidRPr="00BD5185" w:rsidRDefault="003277A2" w:rsidP="00C26909">
            <w:pPr>
              <w:rPr>
                <w:sz w:val="18"/>
                <w:szCs w:val="18"/>
                <w:lang w:val="en-AU"/>
              </w:rPr>
            </w:pPr>
          </w:p>
          <w:p w:rsidR="003277A2" w:rsidRPr="00BD5185" w:rsidRDefault="003277A2" w:rsidP="00C26909">
            <w:pPr>
              <w:rPr>
                <w:sz w:val="18"/>
                <w:szCs w:val="18"/>
                <w:lang w:val="en-AU"/>
              </w:rPr>
            </w:pPr>
            <w:r w:rsidRPr="00BD5185">
              <w:rPr>
                <w:sz w:val="18"/>
                <w:szCs w:val="18"/>
                <w:lang w:val="en-AU"/>
              </w:rPr>
              <w:t>Retrospective</w:t>
            </w:r>
            <w:r w:rsidR="00B939A0">
              <w:rPr>
                <w:sz w:val="18"/>
                <w:szCs w:val="18"/>
                <w:lang w:val="en-AU"/>
              </w:rPr>
              <w:t xml:space="preserve"> cohort</w:t>
            </w:r>
          </w:p>
        </w:tc>
        <w:tc>
          <w:tcPr>
            <w:tcW w:w="1741" w:type="dxa"/>
          </w:tcPr>
          <w:p w:rsidR="003277A2" w:rsidRPr="00BD5185" w:rsidRDefault="003277A2" w:rsidP="00C26909">
            <w:pPr>
              <w:rPr>
                <w:sz w:val="18"/>
                <w:szCs w:val="18"/>
                <w:lang w:val="en-AU"/>
              </w:rPr>
            </w:pPr>
            <w:r w:rsidRPr="00BD5185">
              <w:rPr>
                <w:sz w:val="18"/>
                <w:szCs w:val="18"/>
                <w:lang w:val="en-AU"/>
              </w:rPr>
              <w:t>To determine any clinical or imaging factors that are predictive of surgical outcome and to formulate a multiple regression equation incorporating all of these factors.</w:t>
            </w:r>
          </w:p>
        </w:tc>
        <w:tc>
          <w:tcPr>
            <w:tcW w:w="2362" w:type="dxa"/>
          </w:tcPr>
          <w:p w:rsidR="003277A2" w:rsidRPr="00BD5185" w:rsidRDefault="003277A2" w:rsidP="00C26909">
            <w:pPr>
              <w:rPr>
                <w:sz w:val="18"/>
                <w:szCs w:val="18"/>
                <w:lang w:val="en-AU"/>
              </w:rPr>
            </w:pPr>
            <w:r w:rsidRPr="00BD5185">
              <w:rPr>
                <w:sz w:val="18"/>
                <w:szCs w:val="18"/>
                <w:lang w:val="en-AU"/>
              </w:rPr>
              <w:t>N</w:t>
            </w:r>
            <w:r>
              <w:rPr>
                <w:sz w:val="18"/>
                <w:szCs w:val="18"/>
                <w:lang w:val="en-AU"/>
              </w:rPr>
              <w:t xml:space="preserve"> </w:t>
            </w:r>
            <w:r w:rsidRPr="00BD5185">
              <w:rPr>
                <w:sz w:val="18"/>
                <w:szCs w:val="18"/>
                <w:lang w:val="en-AU"/>
              </w:rPr>
              <w:t>=</w:t>
            </w:r>
            <w:r>
              <w:rPr>
                <w:sz w:val="18"/>
                <w:szCs w:val="18"/>
                <w:lang w:val="en-AU"/>
              </w:rPr>
              <w:t xml:space="preserve"> </w:t>
            </w:r>
            <w:r w:rsidRPr="00BD5185">
              <w:rPr>
                <w:sz w:val="18"/>
                <w:szCs w:val="18"/>
                <w:lang w:val="en-AU"/>
              </w:rPr>
              <w:t>80</w:t>
            </w:r>
          </w:p>
          <w:p w:rsidR="003277A2" w:rsidRPr="00BD5185" w:rsidRDefault="003277A2" w:rsidP="00C26909">
            <w:pPr>
              <w:ind w:left="171"/>
              <w:rPr>
                <w:sz w:val="18"/>
                <w:szCs w:val="18"/>
                <w:lang w:val="en-AU"/>
              </w:rPr>
            </w:pPr>
            <w:r w:rsidRPr="00BD5185">
              <w:rPr>
                <w:sz w:val="18"/>
                <w:szCs w:val="18"/>
                <w:lang w:val="en-AU"/>
              </w:rPr>
              <w:t>Male: 62.5%</w:t>
            </w:r>
          </w:p>
          <w:p w:rsidR="003277A2" w:rsidRPr="00BD5185" w:rsidRDefault="003277A2" w:rsidP="00C26909">
            <w:pPr>
              <w:ind w:left="171"/>
              <w:rPr>
                <w:sz w:val="18"/>
                <w:szCs w:val="18"/>
                <w:lang w:val="en-AU"/>
              </w:rPr>
            </w:pPr>
            <w:r w:rsidRPr="00BD5185">
              <w:rPr>
                <w:sz w:val="18"/>
                <w:szCs w:val="18"/>
                <w:lang w:val="en-AU"/>
              </w:rPr>
              <w:t>Mean age (range): 62.1 (36-86) years</w:t>
            </w:r>
          </w:p>
          <w:p w:rsidR="003277A2" w:rsidRDefault="003277A2" w:rsidP="00C26909">
            <w:pPr>
              <w:ind w:left="171"/>
              <w:rPr>
                <w:sz w:val="18"/>
                <w:szCs w:val="18"/>
                <w:lang w:val="en-AU"/>
              </w:rPr>
            </w:pPr>
            <w:r w:rsidRPr="00BD5185">
              <w:rPr>
                <w:sz w:val="18"/>
                <w:szCs w:val="18"/>
                <w:lang w:val="en-AU"/>
              </w:rPr>
              <w:t>Mean duration of symptoms</w:t>
            </w:r>
            <w:r>
              <w:rPr>
                <w:sz w:val="18"/>
                <w:szCs w:val="18"/>
                <w:lang w:val="en-AU"/>
              </w:rPr>
              <w:t xml:space="preserve"> (± SD)</w:t>
            </w:r>
            <w:r w:rsidRPr="00BD5185">
              <w:rPr>
                <w:sz w:val="18"/>
                <w:szCs w:val="18"/>
                <w:lang w:val="en-AU"/>
              </w:rPr>
              <w:t>: 19.1 ± 21.1 months</w:t>
            </w:r>
          </w:p>
          <w:p w:rsidR="003277A2" w:rsidRPr="00BD5185" w:rsidRDefault="003277A2" w:rsidP="00C26909">
            <w:pPr>
              <w:ind w:left="171"/>
              <w:rPr>
                <w:sz w:val="18"/>
                <w:szCs w:val="18"/>
                <w:lang w:val="en-AU"/>
              </w:rPr>
            </w:pPr>
          </w:p>
          <w:p w:rsidR="003277A2" w:rsidRDefault="003277A2" w:rsidP="00C26909">
            <w:pPr>
              <w:rPr>
                <w:sz w:val="18"/>
                <w:szCs w:val="18"/>
              </w:rPr>
            </w:pPr>
            <w:r w:rsidRPr="003E1C61">
              <w:rPr>
                <w:sz w:val="18"/>
                <w:szCs w:val="18"/>
                <w:u w:val="single"/>
              </w:rPr>
              <w:t>Diagnosis</w:t>
            </w:r>
            <w:r>
              <w:rPr>
                <w:sz w:val="18"/>
                <w:szCs w:val="18"/>
              </w:rPr>
              <w:t>:</w:t>
            </w:r>
          </w:p>
          <w:p w:rsidR="003277A2" w:rsidRPr="00FF165B" w:rsidRDefault="003277A2" w:rsidP="00C26909">
            <w:pPr>
              <w:numPr>
                <w:ilvl w:val="0"/>
                <w:numId w:val="2"/>
              </w:numPr>
              <w:tabs>
                <w:tab w:val="clear" w:pos="720"/>
                <w:tab w:val="num" w:pos="252"/>
              </w:tabs>
              <w:ind w:left="252" w:hanging="180"/>
              <w:contextualSpacing/>
              <w:rPr>
                <w:sz w:val="18"/>
                <w:szCs w:val="18"/>
              </w:rPr>
            </w:pPr>
            <w:r w:rsidRPr="00E553DA">
              <w:rPr>
                <w:sz w:val="18"/>
                <w:szCs w:val="20"/>
              </w:rPr>
              <w:t>CSM</w:t>
            </w:r>
            <w:r>
              <w:rPr>
                <w:sz w:val="18"/>
                <w:szCs w:val="20"/>
              </w:rPr>
              <w:t xml:space="preserve"> (n = 61)</w:t>
            </w:r>
          </w:p>
          <w:p w:rsidR="003277A2" w:rsidRPr="00FF165B" w:rsidRDefault="003277A2" w:rsidP="00C26909">
            <w:pPr>
              <w:numPr>
                <w:ilvl w:val="0"/>
                <w:numId w:val="2"/>
              </w:numPr>
              <w:tabs>
                <w:tab w:val="clear" w:pos="720"/>
                <w:tab w:val="num" w:pos="252"/>
              </w:tabs>
              <w:ind w:left="252" w:hanging="180"/>
              <w:contextualSpacing/>
              <w:rPr>
                <w:sz w:val="18"/>
                <w:szCs w:val="18"/>
              </w:rPr>
            </w:pPr>
            <w:r>
              <w:rPr>
                <w:sz w:val="18"/>
                <w:szCs w:val="20"/>
              </w:rPr>
              <w:t>OPLL (n = 11)</w:t>
            </w:r>
          </w:p>
          <w:p w:rsidR="003277A2" w:rsidRPr="003E1C61" w:rsidRDefault="003277A2" w:rsidP="00C26909">
            <w:pPr>
              <w:numPr>
                <w:ilvl w:val="0"/>
                <w:numId w:val="2"/>
              </w:numPr>
              <w:tabs>
                <w:tab w:val="clear" w:pos="720"/>
                <w:tab w:val="num" w:pos="252"/>
              </w:tabs>
              <w:ind w:left="252" w:hanging="180"/>
              <w:contextualSpacing/>
              <w:rPr>
                <w:sz w:val="18"/>
                <w:szCs w:val="18"/>
              </w:rPr>
            </w:pPr>
            <w:r>
              <w:rPr>
                <w:sz w:val="18"/>
                <w:szCs w:val="20"/>
              </w:rPr>
              <w:t>CDH (n = 8)</w:t>
            </w:r>
          </w:p>
          <w:p w:rsidR="003277A2" w:rsidRDefault="003277A2" w:rsidP="00C26909">
            <w:pPr>
              <w:rPr>
                <w:sz w:val="18"/>
                <w:szCs w:val="18"/>
              </w:rPr>
            </w:pPr>
          </w:p>
          <w:p w:rsidR="003277A2" w:rsidRPr="003E1C61" w:rsidRDefault="003277A2" w:rsidP="00C26909">
            <w:pPr>
              <w:contextualSpacing/>
              <w:rPr>
                <w:sz w:val="18"/>
                <w:szCs w:val="18"/>
              </w:rPr>
            </w:pPr>
            <w:r w:rsidRPr="003E1C61">
              <w:rPr>
                <w:sz w:val="18"/>
                <w:szCs w:val="18"/>
                <w:u w:val="single"/>
              </w:rPr>
              <w:t>Decompression surgery</w:t>
            </w:r>
            <w:r w:rsidRPr="003E1C61">
              <w:rPr>
                <w:sz w:val="18"/>
                <w:szCs w:val="18"/>
              </w:rPr>
              <w:t>:</w:t>
            </w:r>
          </w:p>
          <w:p w:rsidR="003277A2" w:rsidRDefault="003277A2" w:rsidP="00C26909">
            <w:pPr>
              <w:numPr>
                <w:ilvl w:val="0"/>
                <w:numId w:val="2"/>
              </w:numPr>
              <w:tabs>
                <w:tab w:val="clear" w:pos="720"/>
                <w:tab w:val="num" w:pos="252"/>
              </w:tabs>
              <w:ind w:left="252" w:hanging="180"/>
              <w:contextualSpacing/>
              <w:rPr>
                <w:sz w:val="18"/>
                <w:szCs w:val="18"/>
              </w:rPr>
            </w:pPr>
            <w:r>
              <w:rPr>
                <w:sz w:val="18"/>
                <w:szCs w:val="20"/>
              </w:rPr>
              <w:t>Various methods</w:t>
            </w:r>
          </w:p>
          <w:p w:rsidR="003277A2" w:rsidRPr="00BD5185" w:rsidRDefault="003277A2" w:rsidP="00C26909">
            <w:pPr>
              <w:ind w:left="171"/>
              <w:rPr>
                <w:sz w:val="18"/>
                <w:szCs w:val="18"/>
                <w:lang w:val="en-AU"/>
              </w:rPr>
            </w:pPr>
          </w:p>
          <w:p w:rsidR="003277A2" w:rsidRPr="00BD5185" w:rsidRDefault="003277A2" w:rsidP="00C26909">
            <w:pPr>
              <w:rPr>
                <w:sz w:val="18"/>
                <w:szCs w:val="18"/>
                <w:u w:val="single"/>
                <w:lang w:val="en-AU"/>
              </w:rPr>
            </w:pPr>
            <w:r w:rsidRPr="00BD5185">
              <w:rPr>
                <w:sz w:val="18"/>
                <w:szCs w:val="18"/>
                <w:u w:val="single"/>
                <w:lang w:val="en-AU"/>
              </w:rPr>
              <w:t>High intensity signal changes on T2-WI</w:t>
            </w:r>
            <w:r w:rsidRPr="001B4124">
              <w:rPr>
                <w:sz w:val="18"/>
                <w:szCs w:val="18"/>
                <w:lang w:val="en-AU"/>
              </w:rPr>
              <w:t>**</w:t>
            </w:r>
          </w:p>
          <w:p w:rsidR="003277A2" w:rsidRPr="001139FD" w:rsidRDefault="003277A2" w:rsidP="00C26909">
            <w:pPr>
              <w:ind w:left="50"/>
              <w:rPr>
                <w:i/>
                <w:sz w:val="18"/>
                <w:szCs w:val="18"/>
                <w:lang w:val="en-AU"/>
              </w:rPr>
            </w:pPr>
            <w:r w:rsidRPr="001139FD">
              <w:rPr>
                <w:i/>
                <w:sz w:val="18"/>
                <w:szCs w:val="18"/>
                <w:lang w:val="en-AU"/>
              </w:rPr>
              <w:t>Group A (n = 41)</w:t>
            </w:r>
          </w:p>
          <w:p w:rsidR="003277A2" w:rsidRPr="00BD5185" w:rsidRDefault="003277A2" w:rsidP="00C26909">
            <w:pPr>
              <w:ind w:left="171"/>
              <w:rPr>
                <w:sz w:val="18"/>
                <w:szCs w:val="18"/>
                <w:lang w:val="en-AU"/>
              </w:rPr>
            </w:pPr>
            <w:r w:rsidRPr="00BD5185">
              <w:rPr>
                <w:sz w:val="18"/>
                <w:szCs w:val="18"/>
                <w:lang w:val="en-AU"/>
              </w:rPr>
              <w:t>Mean age: 64.4 ± 10.9</w:t>
            </w:r>
          </w:p>
          <w:p w:rsidR="003277A2" w:rsidRPr="00BD5185" w:rsidRDefault="003277A2" w:rsidP="00C26909">
            <w:pPr>
              <w:ind w:left="171"/>
              <w:rPr>
                <w:sz w:val="18"/>
                <w:szCs w:val="18"/>
                <w:lang w:val="en-AU"/>
              </w:rPr>
            </w:pPr>
            <w:r w:rsidRPr="00BD5185">
              <w:rPr>
                <w:sz w:val="18"/>
                <w:szCs w:val="18"/>
                <w:lang w:val="en-AU"/>
              </w:rPr>
              <w:t>Mean duration of symptoms: 18.2 ± 22.6 months</w:t>
            </w:r>
          </w:p>
          <w:p w:rsidR="003277A2" w:rsidRPr="001139FD" w:rsidRDefault="003277A2" w:rsidP="00C26909">
            <w:pPr>
              <w:ind w:left="50"/>
              <w:rPr>
                <w:i/>
                <w:sz w:val="18"/>
                <w:szCs w:val="18"/>
                <w:lang w:val="en-AU"/>
              </w:rPr>
            </w:pPr>
            <w:r w:rsidRPr="001139FD">
              <w:rPr>
                <w:i/>
                <w:sz w:val="18"/>
                <w:szCs w:val="18"/>
                <w:lang w:val="en-AU"/>
              </w:rPr>
              <w:t>Group B (n = 32)</w:t>
            </w:r>
          </w:p>
          <w:p w:rsidR="003277A2" w:rsidRPr="00BD5185" w:rsidRDefault="003277A2" w:rsidP="00C26909">
            <w:pPr>
              <w:ind w:left="171"/>
              <w:rPr>
                <w:sz w:val="18"/>
                <w:szCs w:val="18"/>
                <w:lang w:val="en-AU"/>
              </w:rPr>
            </w:pPr>
            <w:r w:rsidRPr="00BD5185">
              <w:rPr>
                <w:sz w:val="18"/>
                <w:szCs w:val="18"/>
                <w:lang w:val="en-AU"/>
              </w:rPr>
              <w:t>Mean age: 58.0 ± 10.5</w:t>
            </w:r>
          </w:p>
          <w:p w:rsidR="003277A2" w:rsidRPr="00BD5185" w:rsidRDefault="003277A2" w:rsidP="00C26909">
            <w:pPr>
              <w:ind w:left="171"/>
              <w:rPr>
                <w:sz w:val="18"/>
                <w:szCs w:val="18"/>
                <w:lang w:val="en-AU"/>
              </w:rPr>
            </w:pPr>
            <w:r w:rsidRPr="00BD5185">
              <w:rPr>
                <w:sz w:val="18"/>
                <w:szCs w:val="18"/>
                <w:lang w:val="en-AU"/>
              </w:rPr>
              <w:t>Mean duration of symptoms: 18.1 ± 17.1 months</w:t>
            </w:r>
          </w:p>
          <w:p w:rsidR="003277A2" w:rsidRPr="001139FD" w:rsidRDefault="003277A2" w:rsidP="00C26909">
            <w:pPr>
              <w:ind w:left="50"/>
              <w:rPr>
                <w:i/>
                <w:sz w:val="18"/>
                <w:szCs w:val="18"/>
                <w:lang w:val="en-AU"/>
              </w:rPr>
            </w:pPr>
            <w:r w:rsidRPr="001139FD">
              <w:rPr>
                <w:i/>
                <w:sz w:val="18"/>
                <w:szCs w:val="18"/>
                <w:lang w:val="en-AU"/>
              </w:rPr>
              <w:t>Group C (n = 7)</w:t>
            </w:r>
          </w:p>
          <w:p w:rsidR="003277A2" w:rsidRPr="00BD5185" w:rsidRDefault="003277A2" w:rsidP="00C26909">
            <w:pPr>
              <w:ind w:left="171"/>
              <w:rPr>
                <w:sz w:val="18"/>
                <w:szCs w:val="18"/>
                <w:lang w:val="en-AU"/>
              </w:rPr>
            </w:pPr>
            <w:r w:rsidRPr="00BD5185">
              <w:rPr>
                <w:sz w:val="18"/>
                <w:szCs w:val="18"/>
                <w:lang w:val="en-AU"/>
              </w:rPr>
              <w:t>Mean age: 67.3 ± 9.6</w:t>
            </w:r>
          </w:p>
          <w:p w:rsidR="003277A2" w:rsidRPr="00BD5185" w:rsidRDefault="003277A2" w:rsidP="00C26909">
            <w:pPr>
              <w:ind w:left="171"/>
              <w:rPr>
                <w:sz w:val="18"/>
                <w:szCs w:val="18"/>
                <w:lang w:val="en-AU"/>
              </w:rPr>
            </w:pPr>
            <w:r w:rsidRPr="00BD5185">
              <w:rPr>
                <w:sz w:val="18"/>
                <w:szCs w:val="18"/>
                <w:lang w:val="en-AU"/>
              </w:rPr>
              <w:t xml:space="preserve">Mean duration of symptoms: 28.3 ± 29.1 </w:t>
            </w:r>
          </w:p>
        </w:tc>
        <w:tc>
          <w:tcPr>
            <w:tcW w:w="1478" w:type="dxa"/>
          </w:tcPr>
          <w:p w:rsidR="003277A2" w:rsidRPr="00BD5185" w:rsidRDefault="003277A2" w:rsidP="00C26909">
            <w:pPr>
              <w:pStyle w:val="ListParagraph"/>
              <w:numPr>
                <w:ilvl w:val="0"/>
                <w:numId w:val="1"/>
              </w:numPr>
              <w:spacing w:after="0" w:line="240" w:lineRule="auto"/>
              <w:ind w:left="162" w:hanging="162"/>
              <w:rPr>
                <w:rFonts w:ascii="Times New Roman" w:hAnsi="Times New Roman"/>
                <w:sz w:val="18"/>
                <w:szCs w:val="18"/>
                <w:lang w:val="en-AU"/>
              </w:rPr>
            </w:pPr>
            <w:r w:rsidRPr="00BD5185">
              <w:rPr>
                <w:rFonts w:ascii="Times New Roman" w:hAnsi="Times New Roman"/>
                <w:sz w:val="18"/>
                <w:szCs w:val="18"/>
                <w:lang w:val="en-AU"/>
              </w:rPr>
              <w:t>Age</w:t>
            </w:r>
          </w:p>
          <w:p w:rsidR="003277A2" w:rsidRPr="00BD5185" w:rsidRDefault="003277A2" w:rsidP="00C26909">
            <w:pPr>
              <w:pStyle w:val="ListParagraph"/>
              <w:numPr>
                <w:ilvl w:val="0"/>
                <w:numId w:val="1"/>
              </w:numPr>
              <w:spacing w:after="0" w:line="240" w:lineRule="auto"/>
              <w:ind w:left="162" w:hanging="162"/>
              <w:rPr>
                <w:rFonts w:ascii="Times New Roman" w:hAnsi="Times New Roman"/>
                <w:sz w:val="18"/>
                <w:szCs w:val="18"/>
                <w:lang w:val="en-AU"/>
              </w:rPr>
            </w:pPr>
            <w:r w:rsidRPr="00BD5185">
              <w:rPr>
                <w:rFonts w:ascii="Times New Roman" w:hAnsi="Times New Roman"/>
                <w:sz w:val="18"/>
                <w:szCs w:val="18"/>
                <w:lang w:val="en-AU"/>
              </w:rPr>
              <w:t>Duration of symptoms</w:t>
            </w:r>
          </w:p>
          <w:p w:rsidR="003277A2" w:rsidRPr="00BD5185" w:rsidRDefault="003277A2" w:rsidP="00C26909">
            <w:pPr>
              <w:pStyle w:val="ListParagraph"/>
              <w:numPr>
                <w:ilvl w:val="0"/>
                <w:numId w:val="1"/>
              </w:numPr>
              <w:spacing w:after="0" w:line="240" w:lineRule="auto"/>
              <w:ind w:left="162" w:hanging="162"/>
              <w:rPr>
                <w:rFonts w:ascii="Times New Roman" w:hAnsi="Times New Roman"/>
                <w:sz w:val="18"/>
                <w:szCs w:val="18"/>
                <w:lang w:val="en-AU"/>
              </w:rPr>
            </w:pPr>
            <w:r w:rsidRPr="00BD5185">
              <w:rPr>
                <w:rFonts w:ascii="Times New Roman" w:hAnsi="Times New Roman"/>
                <w:sz w:val="18"/>
                <w:szCs w:val="18"/>
                <w:lang w:val="en-AU"/>
              </w:rPr>
              <w:t>Pre-op severity</w:t>
            </w:r>
          </w:p>
          <w:p w:rsidR="003277A2" w:rsidRPr="00BD5185" w:rsidRDefault="003277A2" w:rsidP="00C26909">
            <w:pPr>
              <w:pStyle w:val="ListParagraph"/>
              <w:numPr>
                <w:ilvl w:val="0"/>
                <w:numId w:val="1"/>
              </w:numPr>
              <w:spacing w:after="0" w:line="240" w:lineRule="auto"/>
              <w:ind w:left="162" w:hanging="162"/>
              <w:rPr>
                <w:rFonts w:ascii="Times New Roman" w:hAnsi="Times New Roman"/>
                <w:sz w:val="18"/>
                <w:szCs w:val="18"/>
                <w:lang w:val="en-AU"/>
              </w:rPr>
            </w:pPr>
            <w:r w:rsidRPr="00BD5185">
              <w:rPr>
                <w:rFonts w:ascii="Times New Roman" w:hAnsi="Times New Roman"/>
                <w:sz w:val="18"/>
                <w:szCs w:val="18"/>
                <w:lang w:val="en-AU"/>
              </w:rPr>
              <w:t>Surgical method</w:t>
            </w:r>
          </w:p>
          <w:p w:rsidR="003277A2" w:rsidRPr="00BD5185" w:rsidRDefault="003277A2" w:rsidP="00C26909">
            <w:pPr>
              <w:pStyle w:val="ListParagraph"/>
              <w:numPr>
                <w:ilvl w:val="0"/>
                <w:numId w:val="1"/>
              </w:numPr>
              <w:spacing w:after="0" w:line="240" w:lineRule="auto"/>
              <w:ind w:left="162" w:hanging="162"/>
              <w:rPr>
                <w:rFonts w:ascii="Times New Roman" w:hAnsi="Times New Roman"/>
                <w:sz w:val="18"/>
                <w:szCs w:val="18"/>
                <w:lang w:val="en-AU"/>
              </w:rPr>
            </w:pPr>
            <w:r w:rsidRPr="00BD5185">
              <w:rPr>
                <w:rFonts w:ascii="Times New Roman" w:hAnsi="Times New Roman"/>
                <w:sz w:val="18"/>
                <w:szCs w:val="18"/>
                <w:lang w:val="en-AU"/>
              </w:rPr>
              <w:t>Type of disease</w:t>
            </w:r>
          </w:p>
        </w:tc>
        <w:tc>
          <w:tcPr>
            <w:tcW w:w="1448" w:type="dxa"/>
          </w:tcPr>
          <w:p w:rsidR="003277A2" w:rsidRPr="00BD5185" w:rsidRDefault="003277A2" w:rsidP="00C26909">
            <w:pPr>
              <w:pStyle w:val="ListParagraph"/>
              <w:numPr>
                <w:ilvl w:val="0"/>
                <w:numId w:val="1"/>
              </w:numPr>
              <w:spacing w:after="0" w:line="240" w:lineRule="auto"/>
              <w:ind w:left="162" w:hanging="162"/>
              <w:rPr>
                <w:rFonts w:ascii="Times New Roman" w:hAnsi="Times New Roman"/>
                <w:sz w:val="18"/>
                <w:szCs w:val="18"/>
                <w:lang w:val="en-AU"/>
              </w:rPr>
            </w:pPr>
            <w:r w:rsidRPr="00BD5185">
              <w:rPr>
                <w:rFonts w:ascii="Times New Roman" w:hAnsi="Times New Roman"/>
                <w:sz w:val="18"/>
                <w:szCs w:val="18"/>
                <w:lang w:val="en-AU"/>
              </w:rPr>
              <w:t>Number of compressed segments</w:t>
            </w:r>
            <w:r>
              <w:rPr>
                <w:rFonts w:ascii="Times New Roman" w:hAnsi="Times New Roman"/>
                <w:sz w:val="18"/>
                <w:szCs w:val="18"/>
                <w:lang w:val="en-AU"/>
              </w:rPr>
              <w:t>§</w:t>
            </w:r>
          </w:p>
          <w:p w:rsidR="003277A2" w:rsidRPr="00BD5185" w:rsidRDefault="003277A2" w:rsidP="00C26909">
            <w:pPr>
              <w:pStyle w:val="ListParagraph"/>
              <w:numPr>
                <w:ilvl w:val="0"/>
                <w:numId w:val="1"/>
              </w:numPr>
              <w:spacing w:after="0" w:line="240" w:lineRule="auto"/>
              <w:ind w:left="162" w:hanging="162"/>
              <w:rPr>
                <w:rFonts w:ascii="Times New Roman" w:hAnsi="Times New Roman"/>
                <w:sz w:val="18"/>
                <w:szCs w:val="18"/>
                <w:lang w:val="en-AU"/>
              </w:rPr>
            </w:pPr>
            <w:r w:rsidRPr="00BD5185">
              <w:rPr>
                <w:rFonts w:ascii="Times New Roman" w:hAnsi="Times New Roman"/>
                <w:sz w:val="18"/>
                <w:szCs w:val="18"/>
                <w:lang w:val="en-AU"/>
              </w:rPr>
              <w:t xml:space="preserve">Presence of intramedullary high intensity segments on T2WI </w:t>
            </w:r>
          </w:p>
          <w:p w:rsidR="003277A2" w:rsidRPr="00BD5185" w:rsidRDefault="003277A2" w:rsidP="00C26909">
            <w:pPr>
              <w:pStyle w:val="ListParagraph"/>
              <w:numPr>
                <w:ilvl w:val="0"/>
                <w:numId w:val="1"/>
              </w:numPr>
              <w:spacing w:after="0" w:line="240" w:lineRule="auto"/>
              <w:ind w:left="162" w:hanging="162"/>
              <w:rPr>
                <w:rFonts w:ascii="Times New Roman" w:hAnsi="Times New Roman"/>
                <w:sz w:val="18"/>
                <w:szCs w:val="18"/>
                <w:lang w:val="en-AU"/>
              </w:rPr>
            </w:pPr>
            <w:r w:rsidRPr="00BD5185">
              <w:rPr>
                <w:rFonts w:ascii="Times New Roman" w:hAnsi="Times New Roman"/>
                <w:sz w:val="18"/>
                <w:szCs w:val="18"/>
                <w:lang w:val="en-AU"/>
              </w:rPr>
              <w:t>Number of intramedullary high intensity segments on T2WI</w:t>
            </w:r>
            <w:r>
              <w:rPr>
                <w:rFonts w:ascii="Times New Roman" w:hAnsi="Times New Roman"/>
                <w:sz w:val="18"/>
                <w:szCs w:val="18"/>
                <w:lang w:val="en-AU"/>
              </w:rPr>
              <w:t xml:space="preserve"> (Group vs. Group B vs. Group C)</w:t>
            </w:r>
          </w:p>
          <w:p w:rsidR="003277A2" w:rsidRPr="00BD5185" w:rsidRDefault="003277A2" w:rsidP="00C26909">
            <w:pPr>
              <w:pStyle w:val="ListParagraph"/>
              <w:spacing w:after="0" w:line="240" w:lineRule="auto"/>
              <w:ind w:left="162"/>
              <w:rPr>
                <w:rFonts w:ascii="Times New Roman" w:hAnsi="Times New Roman"/>
                <w:sz w:val="18"/>
                <w:szCs w:val="18"/>
                <w:lang w:val="en-AU"/>
              </w:rPr>
            </w:pPr>
          </w:p>
        </w:tc>
        <w:tc>
          <w:tcPr>
            <w:tcW w:w="1415" w:type="dxa"/>
          </w:tcPr>
          <w:p w:rsidR="003277A2" w:rsidRPr="00BD5185" w:rsidRDefault="003277A2" w:rsidP="00C26909">
            <w:pPr>
              <w:pStyle w:val="ListParagraph"/>
              <w:numPr>
                <w:ilvl w:val="0"/>
                <w:numId w:val="1"/>
              </w:numPr>
              <w:spacing w:after="0" w:line="240" w:lineRule="auto"/>
              <w:ind w:left="162" w:hanging="162"/>
              <w:rPr>
                <w:rFonts w:ascii="Times New Roman" w:hAnsi="Times New Roman"/>
                <w:sz w:val="18"/>
                <w:szCs w:val="18"/>
                <w:lang w:val="en-AU"/>
              </w:rPr>
            </w:pPr>
            <w:r w:rsidRPr="00BD5185">
              <w:rPr>
                <w:rFonts w:ascii="Times New Roman" w:hAnsi="Times New Roman"/>
                <w:sz w:val="18"/>
                <w:szCs w:val="18"/>
                <w:lang w:val="en-AU"/>
              </w:rPr>
              <w:t>Recovery rate of NCSS</w:t>
            </w:r>
          </w:p>
          <w:p w:rsidR="003277A2" w:rsidRPr="00BD5185" w:rsidRDefault="003277A2" w:rsidP="00C26909">
            <w:pPr>
              <w:rPr>
                <w:sz w:val="18"/>
                <w:szCs w:val="18"/>
                <w:lang w:val="en-AU"/>
              </w:rPr>
            </w:pPr>
          </w:p>
        </w:tc>
        <w:tc>
          <w:tcPr>
            <w:tcW w:w="1193" w:type="dxa"/>
          </w:tcPr>
          <w:p w:rsidR="003277A2" w:rsidRPr="00BD5185" w:rsidRDefault="003277A2" w:rsidP="00C26909">
            <w:pPr>
              <w:rPr>
                <w:sz w:val="18"/>
                <w:szCs w:val="18"/>
                <w:lang w:val="en-AU"/>
              </w:rPr>
            </w:pPr>
            <w:r w:rsidRPr="00BD5185">
              <w:rPr>
                <w:sz w:val="18"/>
                <w:szCs w:val="18"/>
                <w:lang w:val="en-AU"/>
              </w:rPr>
              <w:t xml:space="preserve">3 months </w:t>
            </w:r>
            <w:r>
              <w:rPr>
                <w:sz w:val="18"/>
                <w:szCs w:val="18"/>
                <w:lang w:val="en-AU"/>
              </w:rPr>
              <w:t>(% f/u NR)</w:t>
            </w:r>
          </w:p>
        </w:tc>
        <w:tc>
          <w:tcPr>
            <w:tcW w:w="3245" w:type="dxa"/>
          </w:tcPr>
          <w:p w:rsidR="003277A2" w:rsidRPr="00BD5185" w:rsidRDefault="003277A2" w:rsidP="00C26909">
            <w:pPr>
              <w:rPr>
                <w:b/>
                <w:sz w:val="18"/>
                <w:szCs w:val="18"/>
                <w:lang w:val="en-AU"/>
              </w:rPr>
            </w:pPr>
            <w:r w:rsidRPr="00BD5185">
              <w:rPr>
                <w:b/>
                <w:sz w:val="18"/>
                <w:szCs w:val="18"/>
                <w:lang w:val="en-AU"/>
              </w:rPr>
              <w:t>Correlation of MRI factor with recovery rate (%) of NCSS:</w:t>
            </w:r>
          </w:p>
          <w:p w:rsidR="003277A2" w:rsidRPr="00BD5185" w:rsidRDefault="003277A2" w:rsidP="00C26909">
            <w:pPr>
              <w:numPr>
                <w:ilvl w:val="0"/>
                <w:numId w:val="1"/>
              </w:numPr>
              <w:ind w:left="328" w:hanging="180"/>
              <w:contextualSpacing/>
              <w:rPr>
                <w:sz w:val="18"/>
                <w:szCs w:val="18"/>
              </w:rPr>
            </w:pPr>
            <w:r w:rsidRPr="00BD5185">
              <w:rPr>
                <w:sz w:val="18"/>
                <w:szCs w:val="18"/>
              </w:rPr>
              <w:t>Presence of high intensity segments on T2WI (</w:t>
            </w:r>
            <w:r w:rsidRPr="00932EE0">
              <w:rPr>
                <w:i/>
                <w:sz w:val="18"/>
                <w:szCs w:val="18"/>
              </w:rPr>
              <w:t>P</w:t>
            </w:r>
            <w:r w:rsidRPr="00BD5185">
              <w:rPr>
                <w:sz w:val="18"/>
                <w:szCs w:val="18"/>
              </w:rPr>
              <w:t xml:space="preserve"> = .03</w:t>
            </w:r>
            <w:r>
              <w:rPr>
                <w:sz w:val="18"/>
                <w:szCs w:val="18"/>
              </w:rPr>
              <w:t>1</w:t>
            </w:r>
            <w:r w:rsidRPr="00BD5185">
              <w:rPr>
                <w:sz w:val="18"/>
                <w:szCs w:val="18"/>
              </w:rPr>
              <w:t>)</w:t>
            </w:r>
          </w:p>
          <w:p w:rsidR="003277A2" w:rsidRPr="00BD5185" w:rsidRDefault="003277A2" w:rsidP="00C26909">
            <w:pPr>
              <w:numPr>
                <w:ilvl w:val="0"/>
                <w:numId w:val="1"/>
              </w:numPr>
              <w:ind w:left="328" w:hanging="180"/>
              <w:contextualSpacing/>
              <w:rPr>
                <w:sz w:val="18"/>
                <w:szCs w:val="18"/>
                <w:lang w:val="en-AU"/>
              </w:rPr>
            </w:pPr>
            <w:r w:rsidRPr="00BD5185">
              <w:rPr>
                <w:sz w:val="18"/>
                <w:szCs w:val="18"/>
              </w:rPr>
              <w:t>Number</w:t>
            </w:r>
            <w:r>
              <w:rPr>
                <w:sz w:val="18"/>
                <w:szCs w:val="18"/>
                <w:lang w:val="en-AU"/>
              </w:rPr>
              <w:t xml:space="preserve"> of compressed segments (NS, </w:t>
            </w:r>
            <w:r w:rsidRPr="00BD5185">
              <w:rPr>
                <w:i/>
                <w:sz w:val="18"/>
                <w:szCs w:val="18"/>
                <w:lang w:val="en-AU"/>
              </w:rPr>
              <w:t>P</w:t>
            </w:r>
            <w:r>
              <w:rPr>
                <w:sz w:val="18"/>
                <w:szCs w:val="18"/>
                <w:lang w:val="en-AU"/>
              </w:rPr>
              <w:t xml:space="preserve"> = .791</w:t>
            </w:r>
            <w:r w:rsidRPr="00BD5185">
              <w:rPr>
                <w:sz w:val="18"/>
                <w:szCs w:val="18"/>
                <w:lang w:val="en-AU"/>
              </w:rPr>
              <w:t>)</w:t>
            </w:r>
          </w:p>
          <w:p w:rsidR="003277A2" w:rsidRPr="00BD5185" w:rsidRDefault="003277A2" w:rsidP="00C26909">
            <w:pPr>
              <w:rPr>
                <w:sz w:val="18"/>
                <w:szCs w:val="18"/>
                <w:lang w:val="en-AU"/>
              </w:rPr>
            </w:pPr>
          </w:p>
          <w:p w:rsidR="003277A2" w:rsidRPr="00BD5185" w:rsidRDefault="003277A2" w:rsidP="00C26909">
            <w:pPr>
              <w:rPr>
                <w:b/>
                <w:sz w:val="18"/>
                <w:szCs w:val="18"/>
                <w:lang w:val="en-AU"/>
              </w:rPr>
            </w:pPr>
            <w:r w:rsidRPr="00BD5185">
              <w:rPr>
                <w:b/>
                <w:sz w:val="18"/>
                <w:szCs w:val="18"/>
                <w:lang w:val="en-AU"/>
              </w:rPr>
              <w:t xml:space="preserve">High intensity segments on T2-WI and recovery rate (%) of NCSS score: </w:t>
            </w:r>
          </w:p>
          <w:p w:rsidR="003277A2" w:rsidRPr="00BD5185" w:rsidRDefault="003277A2" w:rsidP="00C26909">
            <w:pPr>
              <w:pStyle w:val="ListParagraph"/>
              <w:numPr>
                <w:ilvl w:val="0"/>
                <w:numId w:val="1"/>
              </w:numPr>
              <w:spacing w:after="0" w:line="240" w:lineRule="auto"/>
              <w:ind w:left="328" w:hanging="180"/>
              <w:rPr>
                <w:rFonts w:ascii="Times New Roman" w:hAnsi="Times New Roman"/>
                <w:sz w:val="18"/>
                <w:szCs w:val="18"/>
                <w:lang w:val="en-AU"/>
              </w:rPr>
            </w:pPr>
            <w:r w:rsidRPr="00BD5185">
              <w:rPr>
                <w:rFonts w:ascii="Times New Roman" w:hAnsi="Times New Roman"/>
                <w:sz w:val="18"/>
                <w:szCs w:val="18"/>
                <w:lang w:val="en-AU"/>
              </w:rPr>
              <w:t>Group A: 58.2 ± 32.1</w:t>
            </w:r>
          </w:p>
          <w:p w:rsidR="003277A2" w:rsidRPr="00BD5185" w:rsidRDefault="003277A2" w:rsidP="00C26909">
            <w:pPr>
              <w:pStyle w:val="ListParagraph"/>
              <w:numPr>
                <w:ilvl w:val="0"/>
                <w:numId w:val="1"/>
              </w:numPr>
              <w:spacing w:after="0" w:line="240" w:lineRule="auto"/>
              <w:ind w:left="328" w:hanging="180"/>
              <w:rPr>
                <w:rFonts w:ascii="Times New Roman" w:hAnsi="Times New Roman"/>
                <w:sz w:val="18"/>
                <w:szCs w:val="18"/>
                <w:lang w:val="en-AU"/>
              </w:rPr>
            </w:pPr>
            <w:r w:rsidRPr="00BD5185">
              <w:rPr>
                <w:rFonts w:ascii="Times New Roman" w:hAnsi="Times New Roman"/>
                <w:sz w:val="18"/>
                <w:szCs w:val="18"/>
                <w:lang w:val="en-AU"/>
              </w:rPr>
              <w:t>Group B: 40.5 ± 31.0</w:t>
            </w:r>
          </w:p>
          <w:p w:rsidR="003277A2" w:rsidRPr="00BD5185" w:rsidRDefault="003277A2" w:rsidP="00C26909">
            <w:pPr>
              <w:pStyle w:val="ListParagraph"/>
              <w:numPr>
                <w:ilvl w:val="0"/>
                <w:numId w:val="1"/>
              </w:numPr>
              <w:spacing w:after="0" w:line="240" w:lineRule="auto"/>
              <w:ind w:left="328" w:hanging="180"/>
              <w:rPr>
                <w:rFonts w:ascii="Times New Roman" w:hAnsi="Times New Roman"/>
                <w:sz w:val="18"/>
                <w:szCs w:val="18"/>
                <w:lang w:val="en-AU"/>
              </w:rPr>
            </w:pPr>
            <w:r w:rsidRPr="00BD5185">
              <w:rPr>
                <w:rFonts w:ascii="Times New Roman" w:hAnsi="Times New Roman"/>
                <w:sz w:val="18"/>
                <w:szCs w:val="18"/>
                <w:lang w:val="en-AU"/>
              </w:rPr>
              <w:t>Group C: 32.7 ± 37.0</w:t>
            </w:r>
          </w:p>
          <w:p w:rsidR="003277A2" w:rsidRPr="00BD5185" w:rsidRDefault="003277A2" w:rsidP="00C26909">
            <w:pPr>
              <w:pStyle w:val="ListParagraph"/>
              <w:spacing w:after="0" w:line="240" w:lineRule="auto"/>
              <w:ind w:left="328"/>
              <w:rPr>
                <w:rFonts w:ascii="Times New Roman" w:hAnsi="Times New Roman"/>
                <w:sz w:val="18"/>
                <w:szCs w:val="18"/>
                <w:lang w:val="en-AU"/>
              </w:rPr>
            </w:pPr>
            <w:r w:rsidRPr="00932EE0">
              <w:rPr>
                <w:rFonts w:ascii="Times New Roman" w:hAnsi="Times New Roman"/>
                <w:i/>
                <w:sz w:val="18"/>
                <w:szCs w:val="18"/>
                <w:lang w:val="en-AU"/>
              </w:rPr>
              <w:t>P</w:t>
            </w:r>
            <w:r w:rsidRPr="00BD5185">
              <w:rPr>
                <w:rFonts w:ascii="Times New Roman" w:hAnsi="Times New Roman"/>
                <w:sz w:val="18"/>
                <w:szCs w:val="18"/>
                <w:lang w:val="en-AU"/>
              </w:rPr>
              <w:t xml:space="preserve"> = .018 (A, B and C)</w:t>
            </w:r>
          </w:p>
          <w:p w:rsidR="003277A2" w:rsidRPr="00BD5185" w:rsidRDefault="003277A2" w:rsidP="00C26909">
            <w:pPr>
              <w:pStyle w:val="ListParagraph"/>
              <w:spacing w:after="0" w:line="240" w:lineRule="auto"/>
              <w:ind w:left="328"/>
              <w:rPr>
                <w:rFonts w:ascii="Times New Roman" w:hAnsi="Times New Roman"/>
                <w:sz w:val="18"/>
                <w:szCs w:val="18"/>
                <w:lang w:val="en-AU"/>
              </w:rPr>
            </w:pPr>
            <w:r w:rsidRPr="00932EE0">
              <w:rPr>
                <w:rFonts w:ascii="Times New Roman" w:hAnsi="Times New Roman"/>
                <w:i/>
                <w:sz w:val="18"/>
                <w:szCs w:val="18"/>
                <w:lang w:val="en-AU"/>
              </w:rPr>
              <w:t>P</w:t>
            </w:r>
            <w:r>
              <w:rPr>
                <w:rFonts w:ascii="Times New Roman" w:hAnsi="Times New Roman"/>
                <w:sz w:val="18"/>
                <w:szCs w:val="18"/>
                <w:lang w:val="en-AU"/>
              </w:rPr>
              <w:t xml:space="preserve"> </w:t>
            </w:r>
            <w:r w:rsidRPr="00BD5185">
              <w:rPr>
                <w:rFonts w:ascii="Times New Roman" w:hAnsi="Times New Roman"/>
                <w:sz w:val="18"/>
                <w:szCs w:val="18"/>
                <w:lang w:val="en-AU"/>
              </w:rPr>
              <w:t>=</w:t>
            </w:r>
            <w:r>
              <w:rPr>
                <w:rFonts w:ascii="Times New Roman" w:hAnsi="Times New Roman"/>
                <w:sz w:val="18"/>
                <w:szCs w:val="18"/>
                <w:lang w:val="en-AU"/>
              </w:rPr>
              <w:t xml:space="preserve"> </w:t>
            </w:r>
            <w:r w:rsidRPr="00BD5185">
              <w:rPr>
                <w:rFonts w:ascii="Times New Roman" w:hAnsi="Times New Roman"/>
                <w:sz w:val="18"/>
                <w:szCs w:val="18"/>
                <w:lang w:val="en-AU"/>
              </w:rPr>
              <w:t>.012 (A and B)</w:t>
            </w:r>
          </w:p>
          <w:p w:rsidR="003277A2" w:rsidRPr="00BD5185" w:rsidRDefault="003277A2" w:rsidP="00C26909">
            <w:pPr>
              <w:pStyle w:val="ListParagraph"/>
              <w:spacing w:after="0" w:line="240" w:lineRule="auto"/>
              <w:ind w:left="328"/>
              <w:rPr>
                <w:rFonts w:ascii="Times New Roman" w:hAnsi="Times New Roman"/>
                <w:sz w:val="18"/>
                <w:szCs w:val="18"/>
                <w:lang w:val="en-AU"/>
              </w:rPr>
            </w:pPr>
            <w:r w:rsidRPr="00932EE0">
              <w:rPr>
                <w:rFonts w:ascii="Times New Roman" w:hAnsi="Times New Roman"/>
                <w:i/>
                <w:sz w:val="18"/>
                <w:szCs w:val="18"/>
                <w:lang w:val="en-AU"/>
              </w:rPr>
              <w:t>P</w:t>
            </w:r>
            <w:r>
              <w:rPr>
                <w:rFonts w:ascii="Times New Roman" w:hAnsi="Times New Roman"/>
                <w:sz w:val="18"/>
                <w:szCs w:val="18"/>
                <w:lang w:val="en-AU"/>
              </w:rPr>
              <w:t xml:space="preserve"> = </w:t>
            </w:r>
            <w:r w:rsidRPr="00BD5185">
              <w:rPr>
                <w:rFonts w:ascii="Times New Roman" w:hAnsi="Times New Roman"/>
                <w:sz w:val="18"/>
                <w:szCs w:val="18"/>
                <w:lang w:val="en-AU"/>
              </w:rPr>
              <w:t>.096 (A and C)</w:t>
            </w:r>
          </w:p>
          <w:p w:rsidR="003277A2" w:rsidRPr="00BD5185" w:rsidRDefault="003277A2" w:rsidP="00C26909">
            <w:pPr>
              <w:pStyle w:val="ListParagraph"/>
              <w:spacing w:after="0" w:line="240" w:lineRule="auto"/>
              <w:ind w:left="328"/>
              <w:rPr>
                <w:rFonts w:ascii="Times New Roman" w:hAnsi="Times New Roman"/>
                <w:sz w:val="18"/>
                <w:szCs w:val="18"/>
                <w:lang w:val="en-AU"/>
              </w:rPr>
            </w:pPr>
          </w:p>
          <w:p w:rsidR="003277A2" w:rsidRPr="00BD5185" w:rsidRDefault="003277A2" w:rsidP="00C26909">
            <w:pPr>
              <w:ind w:left="112"/>
              <w:rPr>
                <w:sz w:val="18"/>
                <w:szCs w:val="18"/>
                <w:lang w:val="en-AU"/>
              </w:rPr>
            </w:pPr>
            <w:r>
              <w:rPr>
                <w:sz w:val="18"/>
                <w:szCs w:val="18"/>
                <w:lang w:val="en-AU"/>
              </w:rPr>
              <w:t>“</w:t>
            </w:r>
            <w:r w:rsidRPr="00BD5185">
              <w:rPr>
                <w:sz w:val="18"/>
                <w:szCs w:val="18"/>
                <w:lang w:val="en-AU"/>
              </w:rPr>
              <w:t xml:space="preserve">In multivariate analysis, number of high intensity segments on T2WI was found to correlated with recovery rate; R=-0.289, </w:t>
            </w:r>
            <w:r w:rsidRPr="00BD5185">
              <w:rPr>
                <w:i/>
                <w:sz w:val="18"/>
                <w:szCs w:val="18"/>
                <w:lang w:val="en-AU"/>
              </w:rPr>
              <w:t>P</w:t>
            </w:r>
            <w:r>
              <w:rPr>
                <w:sz w:val="18"/>
                <w:szCs w:val="18"/>
                <w:lang w:val="en-AU"/>
              </w:rPr>
              <w:t xml:space="preserve"> </w:t>
            </w:r>
            <w:r w:rsidRPr="00BD5185">
              <w:rPr>
                <w:sz w:val="18"/>
                <w:szCs w:val="18"/>
                <w:lang w:val="en-AU"/>
              </w:rPr>
              <w:t>&lt;</w:t>
            </w:r>
            <w:r>
              <w:rPr>
                <w:sz w:val="18"/>
                <w:szCs w:val="18"/>
                <w:lang w:val="en-AU"/>
              </w:rPr>
              <w:t xml:space="preserve"> </w:t>
            </w:r>
            <w:r w:rsidRPr="00BD5185">
              <w:rPr>
                <w:sz w:val="18"/>
                <w:szCs w:val="18"/>
                <w:lang w:val="en-AU"/>
              </w:rPr>
              <w:t>.01</w:t>
            </w:r>
            <w:r>
              <w:rPr>
                <w:sz w:val="18"/>
                <w:szCs w:val="18"/>
                <w:lang w:val="en-AU"/>
              </w:rPr>
              <w:t>”</w:t>
            </w:r>
          </w:p>
          <w:p w:rsidR="003277A2" w:rsidRPr="00BD5185" w:rsidRDefault="003277A2" w:rsidP="00C26909">
            <w:pPr>
              <w:ind w:left="112"/>
              <w:rPr>
                <w:sz w:val="18"/>
                <w:szCs w:val="18"/>
                <w:lang w:val="en-AU"/>
              </w:rPr>
            </w:pPr>
          </w:p>
          <w:p w:rsidR="003277A2" w:rsidRPr="00BD5185" w:rsidRDefault="003277A2" w:rsidP="00C26909">
            <w:pPr>
              <w:rPr>
                <w:sz w:val="18"/>
                <w:szCs w:val="18"/>
                <w:lang w:val="en-AU"/>
              </w:rPr>
            </w:pPr>
          </w:p>
          <w:p w:rsidR="003277A2" w:rsidRPr="00BD5185" w:rsidRDefault="003277A2" w:rsidP="00C26909">
            <w:pPr>
              <w:rPr>
                <w:sz w:val="18"/>
                <w:szCs w:val="18"/>
                <w:lang w:val="en-AU"/>
              </w:rPr>
            </w:pPr>
          </w:p>
        </w:tc>
      </w:tr>
      <w:tr w:rsidR="0043721E" w:rsidRPr="003E1C61" w:rsidTr="00DC4E9E">
        <w:tc>
          <w:tcPr>
            <w:tcW w:w="1248" w:type="dxa"/>
          </w:tcPr>
          <w:p w:rsidR="00DC4E9E" w:rsidRDefault="00DC4E9E" w:rsidP="00C26909">
            <w:pPr>
              <w:rPr>
                <w:sz w:val="18"/>
                <w:szCs w:val="18"/>
                <w:lang w:val="en-AU"/>
              </w:rPr>
            </w:pPr>
            <w:proofErr w:type="spellStart"/>
            <w:r>
              <w:rPr>
                <w:sz w:val="18"/>
                <w:szCs w:val="18"/>
                <w:lang w:val="en-AU"/>
              </w:rPr>
              <w:t>Setzer</w:t>
            </w:r>
            <w:proofErr w:type="spellEnd"/>
            <w:r>
              <w:rPr>
                <w:sz w:val="18"/>
                <w:szCs w:val="18"/>
                <w:lang w:val="en-AU"/>
              </w:rPr>
              <w:t xml:space="preserve"> (2009)</w:t>
            </w:r>
          </w:p>
          <w:p w:rsidR="00B939A0" w:rsidRDefault="00B939A0" w:rsidP="00C26909">
            <w:pPr>
              <w:rPr>
                <w:sz w:val="18"/>
                <w:szCs w:val="18"/>
                <w:lang w:val="en-AU"/>
              </w:rPr>
            </w:pPr>
          </w:p>
          <w:p w:rsidR="00B939A0" w:rsidRPr="003E1C61" w:rsidRDefault="00B939A0" w:rsidP="00C26909">
            <w:pPr>
              <w:rPr>
                <w:sz w:val="18"/>
                <w:szCs w:val="18"/>
                <w:lang w:val="en-AU"/>
              </w:rPr>
            </w:pPr>
            <w:r>
              <w:rPr>
                <w:sz w:val="18"/>
                <w:szCs w:val="18"/>
                <w:lang w:val="en-AU"/>
              </w:rPr>
              <w:t>Prospective cohort</w:t>
            </w:r>
          </w:p>
        </w:tc>
        <w:tc>
          <w:tcPr>
            <w:tcW w:w="1741" w:type="dxa"/>
          </w:tcPr>
          <w:p w:rsidR="00DC4E9E" w:rsidRPr="003E1C61" w:rsidRDefault="00DC4E9E" w:rsidP="00C26909">
            <w:pPr>
              <w:rPr>
                <w:sz w:val="18"/>
                <w:szCs w:val="18"/>
                <w:lang w:val="en-AU"/>
              </w:rPr>
            </w:pPr>
            <w:r>
              <w:rPr>
                <w:sz w:val="18"/>
                <w:szCs w:val="18"/>
                <w:lang w:val="en-AU"/>
              </w:rPr>
              <w:lastRenderedPageBreak/>
              <w:t xml:space="preserve">To evaluate the </w:t>
            </w:r>
            <w:r>
              <w:rPr>
                <w:sz w:val="18"/>
                <w:szCs w:val="18"/>
                <w:lang w:val="en-AU"/>
              </w:rPr>
              <w:lastRenderedPageBreak/>
              <w:t>association of APOE polymorphism and the outcome of CSM patients after an ACDF and anterior cervical corpectomy</w:t>
            </w:r>
          </w:p>
        </w:tc>
        <w:tc>
          <w:tcPr>
            <w:tcW w:w="2362" w:type="dxa"/>
          </w:tcPr>
          <w:p w:rsidR="00DC4E9E" w:rsidRDefault="00DC4E9E" w:rsidP="0043721E">
            <w:pPr>
              <w:rPr>
                <w:sz w:val="18"/>
                <w:szCs w:val="18"/>
              </w:rPr>
            </w:pPr>
            <w:r>
              <w:rPr>
                <w:sz w:val="18"/>
                <w:szCs w:val="18"/>
              </w:rPr>
              <w:lastRenderedPageBreak/>
              <w:t>N = 60</w:t>
            </w:r>
          </w:p>
          <w:p w:rsidR="00DC4E9E" w:rsidRDefault="00DC4E9E" w:rsidP="0043721E">
            <w:pPr>
              <w:ind w:left="72"/>
              <w:rPr>
                <w:sz w:val="18"/>
                <w:szCs w:val="18"/>
              </w:rPr>
            </w:pPr>
            <w:r>
              <w:rPr>
                <w:sz w:val="18"/>
                <w:szCs w:val="18"/>
              </w:rPr>
              <w:lastRenderedPageBreak/>
              <w:t>Male: 66.7%</w:t>
            </w:r>
          </w:p>
          <w:p w:rsidR="00DC4E9E" w:rsidRPr="001C57B8" w:rsidRDefault="00DC4E9E" w:rsidP="0043721E">
            <w:pPr>
              <w:ind w:left="72"/>
              <w:rPr>
                <w:sz w:val="18"/>
                <w:szCs w:val="18"/>
              </w:rPr>
            </w:pPr>
            <w:r w:rsidRPr="001C57B8">
              <w:rPr>
                <w:sz w:val="18"/>
                <w:szCs w:val="18"/>
              </w:rPr>
              <w:t xml:space="preserve">Mean age (range): </w:t>
            </w:r>
            <w:r>
              <w:rPr>
                <w:sz w:val="18"/>
                <w:szCs w:val="18"/>
              </w:rPr>
              <w:t>61.5</w:t>
            </w:r>
            <w:r w:rsidRPr="001C57B8">
              <w:rPr>
                <w:sz w:val="18"/>
                <w:szCs w:val="18"/>
              </w:rPr>
              <w:t xml:space="preserve"> (26–</w:t>
            </w:r>
            <w:r>
              <w:rPr>
                <w:sz w:val="18"/>
                <w:szCs w:val="18"/>
              </w:rPr>
              <w:t>86</w:t>
            </w:r>
            <w:r w:rsidRPr="001C57B8">
              <w:rPr>
                <w:sz w:val="18"/>
                <w:szCs w:val="18"/>
              </w:rPr>
              <w:t>) years</w:t>
            </w:r>
          </w:p>
          <w:p w:rsidR="00DC4E9E" w:rsidRPr="001C57B8" w:rsidRDefault="00DC4E9E" w:rsidP="0043721E">
            <w:pPr>
              <w:ind w:left="72"/>
              <w:rPr>
                <w:sz w:val="18"/>
                <w:szCs w:val="18"/>
              </w:rPr>
            </w:pPr>
            <w:r w:rsidRPr="001C57B8">
              <w:rPr>
                <w:sz w:val="18"/>
                <w:szCs w:val="18"/>
              </w:rPr>
              <w:t>Mean duration of symptoms (</w:t>
            </w:r>
            <w:r>
              <w:rPr>
                <w:sz w:val="18"/>
                <w:szCs w:val="18"/>
              </w:rPr>
              <w:t>± SD</w:t>
            </w:r>
            <w:r w:rsidRPr="001C57B8">
              <w:rPr>
                <w:sz w:val="18"/>
                <w:szCs w:val="18"/>
              </w:rPr>
              <w:t xml:space="preserve">): </w:t>
            </w:r>
            <w:r>
              <w:rPr>
                <w:sz w:val="18"/>
                <w:szCs w:val="18"/>
              </w:rPr>
              <w:t>22.0</w:t>
            </w:r>
            <w:r w:rsidRPr="001C57B8">
              <w:rPr>
                <w:sz w:val="18"/>
                <w:szCs w:val="18"/>
              </w:rPr>
              <w:t xml:space="preserve"> </w:t>
            </w:r>
            <w:r>
              <w:rPr>
                <w:sz w:val="18"/>
                <w:szCs w:val="18"/>
              </w:rPr>
              <w:t>± 30.5 months</w:t>
            </w:r>
            <w:r w:rsidRPr="001C57B8">
              <w:rPr>
                <w:sz w:val="18"/>
                <w:szCs w:val="18"/>
              </w:rPr>
              <w:t xml:space="preserve"> </w:t>
            </w:r>
          </w:p>
          <w:p w:rsidR="00DC4E9E" w:rsidRDefault="00DC4E9E" w:rsidP="0043721E">
            <w:pPr>
              <w:rPr>
                <w:sz w:val="18"/>
                <w:szCs w:val="18"/>
              </w:rPr>
            </w:pPr>
          </w:p>
          <w:p w:rsidR="00DC4E9E" w:rsidRDefault="00DC4E9E" w:rsidP="0043721E">
            <w:pPr>
              <w:rPr>
                <w:sz w:val="18"/>
                <w:szCs w:val="18"/>
              </w:rPr>
            </w:pPr>
            <w:r w:rsidRPr="003E1C61">
              <w:rPr>
                <w:sz w:val="18"/>
                <w:szCs w:val="18"/>
                <w:u w:val="single"/>
              </w:rPr>
              <w:t>Diagnosis</w:t>
            </w:r>
            <w:r>
              <w:rPr>
                <w:sz w:val="18"/>
                <w:szCs w:val="18"/>
              </w:rPr>
              <w:t>:</w:t>
            </w:r>
          </w:p>
          <w:p w:rsidR="00DC4E9E" w:rsidRPr="003E1C61" w:rsidRDefault="00DC4E9E" w:rsidP="0043721E">
            <w:pPr>
              <w:numPr>
                <w:ilvl w:val="0"/>
                <w:numId w:val="2"/>
              </w:numPr>
              <w:tabs>
                <w:tab w:val="clear" w:pos="720"/>
                <w:tab w:val="num" w:pos="252"/>
              </w:tabs>
              <w:ind w:left="252" w:hanging="180"/>
              <w:contextualSpacing/>
              <w:rPr>
                <w:sz w:val="18"/>
                <w:szCs w:val="18"/>
              </w:rPr>
            </w:pPr>
            <w:r w:rsidRPr="00E553DA">
              <w:rPr>
                <w:sz w:val="18"/>
                <w:szCs w:val="20"/>
              </w:rPr>
              <w:t>CSM</w:t>
            </w:r>
          </w:p>
          <w:p w:rsidR="00DC4E9E" w:rsidRDefault="00DC4E9E" w:rsidP="0043721E">
            <w:pPr>
              <w:rPr>
                <w:sz w:val="18"/>
                <w:szCs w:val="18"/>
              </w:rPr>
            </w:pPr>
          </w:p>
          <w:p w:rsidR="00DC4E9E" w:rsidRPr="004A0C29" w:rsidRDefault="00DC4E9E" w:rsidP="0043721E">
            <w:pPr>
              <w:rPr>
                <w:sz w:val="18"/>
                <w:szCs w:val="18"/>
              </w:rPr>
            </w:pPr>
            <w:r w:rsidRPr="004A0C29">
              <w:rPr>
                <w:sz w:val="18"/>
                <w:szCs w:val="18"/>
                <w:u w:val="single"/>
              </w:rPr>
              <w:t>Decompression surgery</w:t>
            </w:r>
            <w:r w:rsidRPr="004A0C29">
              <w:rPr>
                <w:sz w:val="18"/>
                <w:szCs w:val="18"/>
              </w:rPr>
              <w:t>:</w:t>
            </w:r>
          </w:p>
          <w:p w:rsidR="00DC4E9E" w:rsidRDefault="00DC4E9E" w:rsidP="0043721E">
            <w:pPr>
              <w:numPr>
                <w:ilvl w:val="0"/>
                <w:numId w:val="2"/>
              </w:numPr>
              <w:tabs>
                <w:tab w:val="clear" w:pos="720"/>
                <w:tab w:val="num" w:pos="252"/>
              </w:tabs>
              <w:ind w:left="252" w:hanging="180"/>
              <w:contextualSpacing/>
              <w:rPr>
                <w:sz w:val="18"/>
                <w:szCs w:val="18"/>
              </w:rPr>
            </w:pPr>
            <w:r w:rsidRPr="004A0C29">
              <w:rPr>
                <w:sz w:val="18"/>
                <w:szCs w:val="18"/>
              </w:rPr>
              <w:t>ACDF</w:t>
            </w:r>
            <w:r>
              <w:rPr>
                <w:sz w:val="18"/>
                <w:szCs w:val="18"/>
              </w:rPr>
              <w:t xml:space="preserve"> (n = 41)</w:t>
            </w:r>
          </w:p>
          <w:p w:rsidR="00DC4E9E" w:rsidRPr="003E1C61" w:rsidRDefault="00DC4E9E" w:rsidP="00C26909">
            <w:pPr>
              <w:rPr>
                <w:sz w:val="18"/>
                <w:szCs w:val="18"/>
              </w:rPr>
            </w:pPr>
            <w:r>
              <w:rPr>
                <w:sz w:val="18"/>
                <w:szCs w:val="18"/>
              </w:rPr>
              <w:t>Corpectomy (n = 19)</w:t>
            </w:r>
          </w:p>
        </w:tc>
        <w:tc>
          <w:tcPr>
            <w:tcW w:w="1478" w:type="dxa"/>
          </w:tcPr>
          <w:p w:rsidR="00DC4E9E" w:rsidRDefault="00DC4E9E" w:rsidP="0043721E">
            <w:pPr>
              <w:numPr>
                <w:ilvl w:val="0"/>
                <w:numId w:val="1"/>
              </w:numPr>
              <w:ind w:left="162" w:hanging="162"/>
              <w:contextualSpacing/>
              <w:rPr>
                <w:sz w:val="18"/>
                <w:szCs w:val="18"/>
              </w:rPr>
            </w:pPr>
            <w:r>
              <w:rPr>
                <w:sz w:val="18"/>
                <w:szCs w:val="18"/>
              </w:rPr>
              <w:lastRenderedPageBreak/>
              <w:t>Age</w:t>
            </w:r>
          </w:p>
          <w:p w:rsidR="00DC4E9E" w:rsidRDefault="00DC4E9E" w:rsidP="0043721E">
            <w:pPr>
              <w:numPr>
                <w:ilvl w:val="0"/>
                <w:numId w:val="1"/>
              </w:numPr>
              <w:ind w:left="162" w:hanging="162"/>
              <w:contextualSpacing/>
              <w:rPr>
                <w:sz w:val="18"/>
                <w:szCs w:val="18"/>
              </w:rPr>
            </w:pPr>
            <w:r>
              <w:rPr>
                <w:sz w:val="18"/>
                <w:szCs w:val="18"/>
              </w:rPr>
              <w:lastRenderedPageBreak/>
              <w:t>Symptom duration</w:t>
            </w:r>
          </w:p>
          <w:p w:rsidR="00DC4E9E" w:rsidRDefault="00DC4E9E" w:rsidP="0043721E">
            <w:pPr>
              <w:numPr>
                <w:ilvl w:val="0"/>
                <w:numId w:val="1"/>
              </w:numPr>
              <w:ind w:left="162" w:hanging="162"/>
              <w:contextualSpacing/>
              <w:rPr>
                <w:sz w:val="18"/>
                <w:szCs w:val="18"/>
              </w:rPr>
            </w:pPr>
            <w:proofErr w:type="spellStart"/>
            <w:r>
              <w:rPr>
                <w:sz w:val="18"/>
                <w:szCs w:val="18"/>
              </w:rPr>
              <w:t>Preop</w:t>
            </w:r>
            <w:proofErr w:type="spellEnd"/>
            <w:r>
              <w:rPr>
                <w:sz w:val="18"/>
                <w:szCs w:val="18"/>
              </w:rPr>
              <w:t xml:space="preserve"> mJOA score</w:t>
            </w:r>
          </w:p>
          <w:p w:rsidR="00DC4E9E" w:rsidRPr="003E1C61" w:rsidRDefault="00DC4E9E" w:rsidP="00C26909">
            <w:pPr>
              <w:numPr>
                <w:ilvl w:val="0"/>
                <w:numId w:val="1"/>
              </w:numPr>
              <w:ind w:left="162" w:hanging="162"/>
              <w:contextualSpacing/>
              <w:rPr>
                <w:sz w:val="18"/>
                <w:szCs w:val="18"/>
              </w:rPr>
            </w:pPr>
            <w:r>
              <w:rPr>
                <w:sz w:val="18"/>
                <w:szCs w:val="18"/>
              </w:rPr>
              <w:t>APOE ε4 carrier status</w:t>
            </w:r>
          </w:p>
        </w:tc>
        <w:tc>
          <w:tcPr>
            <w:tcW w:w="1448" w:type="dxa"/>
          </w:tcPr>
          <w:p w:rsidR="00DC4E9E" w:rsidRDefault="00DC4E9E" w:rsidP="0043721E">
            <w:pPr>
              <w:pStyle w:val="ListParagraph"/>
              <w:numPr>
                <w:ilvl w:val="0"/>
                <w:numId w:val="1"/>
              </w:numPr>
              <w:spacing w:after="0" w:line="240" w:lineRule="auto"/>
              <w:ind w:left="162" w:hanging="162"/>
              <w:rPr>
                <w:rFonts w:ascii="Times New Roman" w:hAnsi="Times New Roman"/>
                <w:sz w:val="18"/>
                <w:szCs w:val="18"/>
              </w:rPr>
            </w:pPr>
            <w:r>
              <w:rPr>
                <w:rFonts w:ascii="Times New Roman" w:hAnsi="Times New Roman"/>
                <w:sz w:val="18"/>
                <w:szCs w:val="18"/>
              </w:rPr>
              <w:lastRenderedPageBreak/>
              <w:t xml:space="preserve">Diameter of </w:t>
            </w:r>
            <w:r>
              <w:rPr>
                <w:rFonts w:ascii="Times New Roman" w:hAnsi="Times New Roman"/>
                <w:sz w:val="18"/>
                <w:szCs w:val="18"/>
              </w:rPr>
              <w:lastRenderedPageBreak/>
              <w:t>the most effected segment of the spinal cord</w:t>
            </w:r>
          </w:p>
          <w:p w:rsidR="00DC4E9E" w:rsidRDefault="00DC4E9E" w:rsidP="0043721E">
            <w:pPr>
              <w:pStyle w:val="ListParagraph"/>
              <w:numPr>
                <w:ilvl w:val="0"/>
                <w:numId w:val="1"/>
              </w:numPr>
              <w:spacing w:after="0" w:line="240" w:lineRule="auto"/>
              <w:ind w:left="162" w:hanging="162"/>
              <w:rPr>
                <w:rFonts w:ascii="Times New Roman" w:hAnsi="Times New Roman"/>
                <w:sz w:val="18"/>
                <w:szCs w:val="18"/>
              </w:rPr>
            </w:pPr>
            <w:r>
              <w:rPr>
                <w:rFonts w:ascii="Times New Roman" w:hAnsi="Times New Roman"/>
                <w:sz w:val="18"/>
                <w:szCs w:val="18"/>
              </w:rPr>
              <w:t>Number of affected segments</w:t>
            </w:r>
          </w:p>
          <w:p w:rsidR="00DC4E9E" w:rsidRPr="00DC71FE" w:rsidRDefault="00DC4E9E" w:rsidP="00C26909">
            <w:pPr>
              <w:pStyle w:val="ListParagraph"/>
              <w:numPr>
                <w:ilvl w:val="0"/>
                <w:numId w:val="1"/>
              </w:numPr>
              <w:spacing w:after="0" w:line="240" w:lineRule="auto"/>
              <w:ind w:left="162" w:hanging="162"/>
              <w:rPr>
                <w:rFonts w:ascii="Times New Roman" w:hAnsi="Times New Roman"/>
                <w:sz w:val="18"/>
                <w:szCs w:val="18"/>
              </w:rPr>
            </w:pPr>
            <w:r>
              <w:rPr>
                <w:rFonts w:ascii="Times New Roman" w:hAnsi="Times New Roman"/>
                <w:sz w:val="18"/>
                <w:szCs w:val="18"/>
              </w:rPr>
              <w:t>SI on T2-weighted images</w:t>
            </w:r>
          </w:p>
        </w:tc>
        <w:tc>
          <w:tcPr>
            <w:tcW w:w="1415" w:type="dxa"/>
          </w:tcPr>
          <w:p w:rsidR="00DC4E9E" w:rsidRDefault="00DC4E9E" w:rsidP="00C26909">
            <w:pPr>
              <w:pStyle w:val="ListParagraph"/>
              <w:numPr>
                <w:ilvl w:val="0"/>
                <w:numId w:val="1"/>
              </w:numPr>
              <w:spacing w:after="0" w:line="240" w:lineRule="auto"/>
              <w:ind w:left="162" w:hanging="162"/>
              <w:rPr>
                <w:rFonts w:ascii="Times New Roman" w:hAnsi="Times New Roman"/>
                <w:sz w:val="18"/>
                <w:szCs w:val="18"/>
              </w:rPr>
            </w:pPr>
            <w:r>
              <w:rPr>
                <w:rFonts w:ascii="Times New Roman" w:hAnsi="Times New Roman"/>
                <w:sz w:val="18"/>
                <w:szCs w:val="18"/>
              </w:rPr>
              <w:lastRenderedPageBreak/>
              <w:t>mJOA</w:t>
            </w:r>
          </w:p>
        </w:tc>
        <w:tc>
          <w:tcPr>
            <w:tcW w:w="1193" w:type="dxa"/>
          </w:tcPr>
          <w:p w:rsidR="00DC4E9E" w:rsidRPr="00DC71FE" w:rsidRDefault="00DC4E9E" w:rsidP="00C26909">
            <w:pPr>
              <w:rPr>
                <w:sz w:val="18"/>
                <w:szCs w:val="18"/>
              </w:rPr>
            </w:pPr>
            <w:r>
              <w:rPr>
                <w:sz w:val="18"/>
                <w:szCs w:val="18"/>
              </w:rPr>
              <w:t xml:space="preserve">Mean 18.8 ± </w:t>
            </w:r>
            <w:r>
              <w:rPr>
                <w:sz w:val="18"/>
                <w:szCs w:val="18"/>
              </w:rPr>
              <w:lastRenderedPageBreak/>
              <w:t>4.6 months</w:t>
            </w:r>
          </w:p>
        </w:tc>
        <w:tc>
          <w:tcPr>
            <w:tcW w:w="3245" w:type="dxa"/>
          </w:tcPr>
          <w:p w:rsidR="00DC4E9E" w:rsidRDefault="00DC4E9E" w:rsidP="0043721E">
            <w:pPr>
              <w:pStyle w:val="NoSpacing"/>
              <w:rPr>
                <w:rFonts w:ascii="Times New Roman" w:hAnsi="Times New Roman"/>
                <w:b/>
                <w:sz w:val="18"/>
                <w:szCs w:val="18"/>
              </w:rPr>
            </w:pPr>
            <w:r>
              <w:rPr>
                <w:rFonts w:ascii="Times New Roman" w:hAnsi="Times New Roman"/>
                <w:b/>
                <w:sz w:val="18"/>
                <w:szCs w:val="18"/>
              </w:rPr>
              <w:lastRenderedPageBreak/>
              <w:t>No improvement in mJOA</w:t>
            </w:r>
          </w:p>
          <w:p w:rsidR="00DC4E9E" w:rsidRPr="00DC71FE" w:rsidRDefault="00DC4E9E" w:rsidP="00C26909">
            <w:pPr>
              <w:pStyle w:val="NoSpacing"/>
              <w:rPr>
                <w:rFonts w:ascii="Times New Roman" w:hAnsi="Times New Roman"/>
                <w:b/>
                <w:sz w:val="18"/>
                <w:szCs w:val="18"/>
              </w:rPr>
            </w:pPr>
            <w:r>
              <w:rPr>
                <w:rFonts w:ascii="Times New Roman" w:hAnsi="Times New Roman"/>
                <w:sz w:val="18"/>
                <w:szCs w:val="18"/>
              </w:rPr>
              <w:lastRenderedPageBreak/>
              <w:t xml:space="preserve">All MRI factors assessed were </w:t>
            </w:r>
            <w:r w:rsidRPr="004A0C29">
              <w:rPr>
                <w:rFonts w:ascii="Times New Roman" w:hAnsi="Times New Roman"/>
                <w:i/>
                <w:sz w:val="18"/>
                <w:szCs w:val="18"/>
              </w:rPr>
              <w:t>P</w:t>
            </w:r>
            <w:r>
              <w:rPr>
                <w:rFonts w:ascii="Times New Roman" w:hAnsi="Times New Roman"/>
                <w:sz w:val="18"/>
                <w:szCs w:val="18"/>
              </w:rPr>
              <w:t xml:space="preserve"> = ns in the multivariate analysis</w:t>
            </w:r>
          </w:p>
        </w:tc>
      </w:tr>
      <w:tr w:rsidR="0043721E" w:rsidRPr="003E1C61" w:rsidTr="00DC4E9E">
        <w:tc>
          <w:tcPr>
            <w:tcW w:w="1248" w:type="dxa"/>
          </w:tcPr>
          <w:p w:rsidR="003277A2" w:rsidRPr="003E1C61" w:rsidRDefault="003277A2" w:rsidP="00C26909">
            <w:pPr>
              <w:rPr>
                <w:sz w:val="18"/>
                <w:szCs w:val="18"/>
                <w:lang w:val="en-AU"/>
              </w:rPr>
            </w:pPr>
            <w:r w:rsidRPr="003E1C61">
              <w:rPr>
                <w:sz w:val="18"/>
                <w:szCs w:val="18"/>
                <w:lang w:val="en-AU"/>
              </w:rPr>
              <w:lastRenderedPageBreak/>
              <w:t>Shin (2010)</w:t>
            </w:r>
          </w:p>
          <w:p w:rsidR="003277A2" w:rsidRPr="003E1C61" w:rsidRDefault="003277A2" w:rsidP="00C26909">
            <w:pPr>
              <w:rPr>
                <w:sz w:val="18"/>
                <w:szCs w:val="18"/>
                <w:lang w:val="en-AU"/>
              </w:rPr>
            </w:pPr>
          </w:p>
          <w:p w:rsidR="003277A2" w:rsidRPr="003E1C61" w:rsidRDefault="00DC4E9E" w:rsidP="00C26909">
            <w:pPr>
              <w:rPr>
                <w:sz w:val="18"/>
                <w:szCs w:val="18"/>
                <w:lang w:val="en-AU"/>
              </w:rPr>
            </w:pPr>
            <w:r>
              <w:rPr>
                <w:sz w:val="18"/>
                <w:szCs w:val="18"/>
                <w:lang w:val="en-AU"/>
              </w:rPr>
              <w:t xml:space="preserve">Retrospective </w:t>
            </w:r>
            <w:r w:rsidR="003277A2" w:rsidRPr="003E1C61">
              <w:rPr>
                <w:sz w:val="18"/>
                <w:szCs w:val="18"/>
                <w:lang w:val="en-AU"/>
              </w:rPr>
              <w:t>cohort</w:t>
            </w:r>
          </w:p>
        </w:tc>
        <w:tc>
          <w:tcPr>
            <w:tcW w:w="1741" w:type="dxa"/>
          </w:tcPr>
          <w:p w:rsidR="003277A2" w:rsidRPr="003E1C61" w:rsidRDefault="003277A2" w:rsidP="00C26909">
            <w:pPr>
              <w:rPr>
                <w:sz w:val="18"/>
                <w:szCs w:val="18"/>
                <w:lang w:val="en-AU"/>
              </w:rPr>
            </w:pPr>
            <w:r w:rsidRPr="003E1C61">
              <w:rPr>
                <w:sz w:val="18"/>
                <w:szCs w:val="18"/>
                <w:lang w:val="en-AU"/>
              </w:rPr>
              <w:t xml:space="preserve">To determine any radiological or clinical factors </w:t>
            </w:r>
            <w:proofErr w:type="gramStart"/>
            <w:r w:rsidRPr="003E1C61">
              <w:rPr>
                <w:sz w:val="18"/>
                <w:szCs w:val="18"/>
                <w:lang w:val="en-AU"/>
              </w:rPr>
              <w:t>that are</w:t>
            </w:r>
            <w:proofErr w:type="gramEnd"/>
            <w:r w:rsidRPr="003E1C61">
              <w:rPr>
                <w:sz w:val="18"/>
                <w:szCs w:val="18"/>
                <w:lang w:val="en-AU"/>
              </w:rPr>
              <w:t xml:space="preserve"> predictive of outcome following ACDF for the treatment of CSM.</w:t>
            </w:r>
          </w:p>
        </w:tc>
        <w:tc>
          <w:tcPr>
            <w:tcW w:w="2362" w:type="dxa"/>
          </w:tcPr>
          <w:p w:rsidR="003277A2" w:rsidRPr="003E1C61" w:rsidRDefault="003277A2" w:rsidP="00C26909">
            <w:pPr>
              <w:rPr>
                <w:sz w:val="18"/>
                <w:szCs w:val="18"/>
              </w:rPr>
            </w:pPr>
            <w:r w:rsidRPr="003E1C61">
              <w:rPr>
                <w:sz w:val="18"/>
                <w:szCs w:val="18"/>
              </w:rPr>
              <w:t>N = 70</w:t>
            </w:r>
          </w:p>
          <w:p w:rsidR="003277A2" w:rsidRPr="003E1C61" w:rsidRDefault="003277A2" w:rsidP="00C26909">
            <w:pPr>
              <w:ind w:left="72"/>
              <w:rPr>
                <w:sz w:val="18"/>
                <w:szCs w:val="18"/>
              </w:rPr>
            </w:pPr>
            <w:r w:rsidRPr="003E1C61">
              <w:rPr>
                <w:sz w:val="18"/>
                <w:szCs w:val="18"/>
              </w:rPr>
              <w:t>Male: 64.3%</w:t>
            </w:r>
          </w:p>
          <w:p w:rsidR="003277A2" w:rsidRDefault="003277A2" w:rsidP="00C26909">
            <w:pPr>
              <w:ind w:left="72"/>
              <w:rPr>
                <w:sz w:val="18"/>
                <w:szCs w:val="18"/>
              </w:rPr>
            </w:pPr>
            <w:r w:rsidRPr="003E1C61">
              <w:rPr>
                <w:sz w:val="18"/>
                <w:szCs w:val="18"/>
              </w:rPr>
              <w:t>Mean age (range): 51.1 (26–69) years</w:t>
            </w:r>
          </w:p>
          <w:p w:rsidR="003277A2" w:rsidRPr="003E1C61" w:rsidRDefault="003277A2" w:rsidP="00C26909">
            <w:pPr>
              <w:ind w:left="72"/>
              <w:rPr>
                <w:sz w:val="18"/>
                <w:szCs w:val="18"/>
              </w:rPr>
            </w:pPr>
            <w:r>
              <w:rPr>
                <w:sz w:val="18"/>
                <w:szCs w:val="18"/>
              </w:rPr>
              <w:t>Mean duration of symptoms (</w:t>
            </w:r>
            <w:r w:rsidRPr="00A87D43">
              <w:rPr>
                <w:sz w:val="18"/>
                <w:szCs w:val="18"/>
              </w:rPr>
              <w:t>range):</w:t>
            </w:r>
            <w:r w:rsidRPr="003E1C61">
              <w:rPr>
                <w:sz w:val="18"/>
                <w:szCs w:val="18"/>
              </w:rPr>
              <w:t xml:space="preserve"> 9.9 weeks (1–60)</w:t>
            </w:r>
          </w:p>
          <w:p w:rsidR="003277A2" w:rsidRPr="003E1C61" w:rsidRDefault="003277A2" w:rsidP="00C26909">
            <w:pPr>
              <w:ind w:left="72"/>
              <w:rPr>
                <w:sz w:val="18"/>
                <w:szCs w:val="18"/>
              </w:rPr>
            </w:pPr>
          </w:p>
          <w:p w:rsidR="003277A2" w:rsidRDefault="003277A2" w:rsidP="00C26909">
            <w:pPr>
              <w:rPr>
                <w:sz w:val="18"/>
                <w:szCs w:val="18"/>
              </w:rPr>
            </w:pPr>
            <w:r w:rsidRPr="003E1C61">
              <w:rPr>
                <w:sz w:val="18"/>
                <w:szCs w:val="18"/>
                <w:u w:val="single"/>
              </w:rPr>
              <w:t>Diagnosis</w:t>
            </w:r>
            <w:r>
              <w:rPr>
                <w:sz w:val="18"/>
                <w:szCs w:val="18"/>
              </w:rPr>
              <w:t>:</w:t>
            </w:r>
          </w:p>
          <w:p w:rsidR="003277A2" w:rsidRPr="003E1C61" w:rsidRDefault="003277A2" w:rsidP="00C26909">
            <w:pPr>
              <w:numPr>
                <w:ilvl w:val="0"/>
                <w:numId w:val="2"/>
              </w:numPr>
              <w:tabs>
                <w:tab w:val="clear" w:pos="720"/>
                <w:tab w:val="num" w:pos="252"/>
              </w:tabs>
              <w:ind w:left="252" w:hanging="180"/>
              <w:contextualSpacing/>
              <w:rPr>
                <w:sz w:val="18"/>
                <w:szCs w:val="18"/>
              </w:rPr>
            </w:pPr>
            <w:r w:rsidRPr="00E553DA">
              <w:rPr>
                <w:sz w:val="18"/>
                <w:szCs w:val="20"/>
              </w:rPr>
              <w:t>CSM</w:t>
            </w:r>
          </w:p>
          <w:p w:rsidR="003277A2" w:rsidRDefault="003277A2" w:rsidP="00C26909">
            <w:pPr>
              <w:rPr>
                <w:sz w:val="18"/>
                <w:szCs w:val="18"/>
              </w:rPr>
            </w:pPr>
          </w:p>
          <w:p w:rsidR="003277A2" w:rsidRPr="003E1C61" w:rsidRDefault="003277A2" w:rsidP="00C26909">
            <w:pPr>
              <w:contextualSpacing/>
              <w:rPr>
                <w:sz w:val="18"/>
                <w:szCs w:val="18"/>
              </w:rPr>
            </w:pPr>
            <w:r w:rsidRPr="003E1C61">
              <w:rPr>
                <w:sz w:val="18"/>
                <w:szCs w:val="18"/>
                <w:u w:val="single"/>
              </w:rPr>
              <w:t>Decompression surgery</w:t>
            </w:r>
            <w:r w:rsidRPr="003E1C61">
              <w:rPr>
                <w:sz w:val="18"/>
                <w:szCs w:val="18"/>
              </w:rPr>
              <w:t>:</w:t>
            </w:r>
          </w:p>
          <w:p w:rsidR="003277A2" w:rsidRDefault="003277A2" w:rsidP="00C26909">
            <w:pPr>
              <w:numPr>
                <w:ilvl w:val="0"/>
                <w:numId w:val="2"/>
              </w:numPr>
              <w:tabs>
                <w:tab w:val="clear" w:pos="720"/>
                <w:tab w:val="num" w:pos="252"/>
              </w:tabs>
              <w:ind w:left="252" w:hanging="180"/>
              <w:contextualSpacing/>
              <w:rPr>
                <w:sz w:val="18"/>
                <w:szCs w:val="18"/>
              </w:rPr>
            </w:pPr>
            <w:r w:rsidRPr="00E553DA">
              <w:rPr>
                <w:sz w:val="18"/>
                <w:szCs w:val="20"/>
              </w:rPr>
              <w:t>Anterior</w:t>
            </w:r>
            <w:r>
              <w:rPr>
                <w:sz w:val="18"/>
                <w:szCs w:val="18"/>
              </w:rPr>
              <w:t xml:space="preserve"> cervical discectomy and fusion (ACDF) </w:t>
            </w:r>
            <w:r w:rsidRPr="003E1C61">
              <w:rPr>
                <w:sz w:val="18"/>
                <w:szCs w:val="18"/>
                <w:lang w:val="en-AU"/>
              </w:rPr>
              <w:t>at one (n = 43) or two (n = 27) levels</w:t>
            </w:r>
          </w:p>
          <w:p w:rsidR="003277A2" w:rsidRPr="003E1C61" w:rsidRDefault="003277A2" w:rsidP="00C26909">
            <w:pPr>
              <w:rPr>
                <w:sz w:val="18"/>
                <w:szCs w:val="18"/>
              </w:rPr>
            </w:pPr>
          </w:p>
          <w:p w:rsidR="003277A2" w:rsidRPr="003E1C61" w:rsidRDefault="003277A2" w:rsidP="00C26909">
            <w:pPr>
              <w:rPr>
                <w:sz w:val="18"/>
                <w:szCs w:val="18"/>
              </w:rPr>
            </w:pPr>
            <w:r w:rsidRPr="003E1C61">
              <w:rPr>
                <w:sz w:val="18"/>
                <w:szCs w:val="18"/>
                <w:u w:val="single"/>
              </w:rPr>
              <w:t>Signal intensity (SI) grade</w:t>
            </w:r>
            <w:r>
              <w:rPr>
                <w:sz w:val="18"/>
                <w:szCs w:val="18"/>
              </w:rPr>
              <w:t>†</w:t>
            </w:r>
          </w:p>
          <w:p w:rsidR="003277A2" w:rsidRPr="003E1C61" w:rsidRDefault="003277A2" w:rsidP="00C26909">
            <w:pPr>
              <w:ind w:left="50"/>
              <w:rPr>
                <w:i/>
                <w:sz w:val="18"/>
                <w:szCs w:val="18"/>
              </w:rPr>
            </w:pPr>
            <w:r w:rsidRPr="003E1C61">
              <w:rPr>
                <w:i/>
                <w:sz w:val="18"/>
                <w:szCs w:val="18"/>
              </w:rPr>
              <w:t>Grade 0 (n = 20)</w:t>
            </w:r>
          </w:p>
          <w:p w:rsidR="003277A2" w:rsidRPr="003E1C61" w:rsidRDefault="003277A2" w:rsidP="00C26909">
            <w:pPr>
              <w:ind w:left="140"/>
              <w:rPr>
                <w:sz w:val="18"/>
                <w:szCs w:val="18"/>
              </w:rPr>
            </w:pPr>
            <w:r w:rsidRPr="003E1C61">
              <w:rPr>
                <w:sz w:val="18"/>
                <w:szCs w:val="18"/>
              </w:rPr>
              <w:t>Mean age: 49.3 ± 8.8 years</w:t>
            </w:r>
          </w:p>
          <w:p w:rsidR="003277A2" w:rsidRPr="003E1C61" w:rsidRDefault="003277A2" w:rsidP="00C26909">
            <w:pPr>
              <w:ind w:left="140"/>
              <w:rPr>
                <w:sz w:val="18"/>
                <w:szCs w:val="18"/>
              </w:rPr>
            </w:pPr>
            <w:r w:rsidRPr="003E1C61">
              <w:rPr>
                <w:sz w:val="18"/>
                <w:szCs w:val="18"/>
              </w:rPr>
              <w:t xml:space="preserve">Mean duration of symptoms: 5.8 ± 8.8 weeks </w:t>
            </w:r>
          </w:p>
          <w:p w:rsidR="003277A2" w:rsidRPr="003E1C61" w:rsidRDefault="003277A2" w:rsidP="00C26909">
            <w:pPr>
              <w:ind w:left="50"/>
              <w:rPr>
                <w:i/>
                <w:sz w:val="18"/>
                <w:szCs w:val="18"/>
              </w:rPr>
            </w:pPr>
            <w:r w:rsidRPr="003E1C61">
              <w:rPr>
                <w:i/>
                <w:sz w:val="18"/>
                <w:szCs w:val="18"/>
              </w:rPr>
              <w:t>Grade 1 (n = 25)</w:t>
            </w:r>
          </w:p>
          <w:p w:rsidR="003277A2" w:rsidRPr="003E1C61" w:rsidRDefault="003277A2" w:rsidP="00C26909">
            <w:pPr>
              <w:ind w:left="140"/>
              <w:rPr>
                <w:sz w:val="18"/>
                <w:szCs w:val="18"/>
              </w:rPr>
            </w:pPr>
            <w:r w:rsidRPr="003E1C61">
              <w:rPr>
                <w:sz w:val="18"/>
                <w:szCs w:val="18"/>
              </w:rPr>
              <w:t>Mean age: 53.7 ± 9.2</w:t>
            </w:r>
          </w:p>
          <w:p w:rsidR="003277A2" w:rsidRPr="003E1C61" w:rsidRDefault="003277A2" w:rsidP="00C26909">
            <w:pPr>
              <w:ind w:left="140"/>
              <w:rPr>
                <w:sz w:val="18"/>
                <w:szCs w:val="18"/>
              </w:rPr>
            </w:pPr>
            <w:r w:rsidRPr="003E1C61">
              <w:rPr>
                <w:sz w:val="18"/>
                <w:szCs w:val="18"/>
              </w:rPr>
              <w:t xml:space="preserve">Mean duration of symptoms: 10.4 ± 12.9 weeks </w:t>
            </w:r>
          </w:p>
          <w:p w:rsidR="003277A2" w:rsidRPr="003E1C61" w:rsidRDefault="003277A2" w:rsidP="00C26909">
            <w:pPr>
              <w:ind w:left="50"/>
              <w:rPr>
                <w:i/>
                <w:sz w:val="18"/>
                <w:szCs w:val="18"/>
              </w:rPr>
            </w:pPr>
            <w:r w:rsidRPr="003E1C61">
              <w:rPr>
                <w:i/>
                <w:sz w:val="18"/>
                <w:szCs w:val="18"/>
              </w:rPr>
              <w:t>Grade 2 (n = 25)</w:t>
            </w:r>
          </w:p>
          <w:p w:rsidR="003277A2" w:rsidRPr="003E1C61" w:rsidRDefault="003277A2" w:rsidP="00C26909">
            <w:pPr>
              <w:ind w:left="140"/>
              <w:rPr>
                <w:sz w:val="18"/>
                <w:szCs w:val="18"/>
              </w:rPr>
            </w:pPr>
            <w:r w:rsidRPr="003E1C61">
              <w:rPr>
                <w:sz w:val="18"/>
                <w:szCs w:val="18"/>
              </w:rPr>
              <w:t>Mean age: 50.0 ± 10.3</w:t>
            </w:r>
          </w:p>
          <w:p w:rsidR="003277A2" w:rsidRDefault="003277A2" w:rsidP="00C26909">
            <w:pPr>
              <w:ind w:left="140"/>
              <w:rPr>
                <w:sz w:val="18"/>
                <w:szCs w:val="18"/>
              </w:rPr>
            </w:pPr>
            <w:r w:rsidRPr="003E1C61">
              <w:rPr>
                <w:sz w:val="18"/>
                <w:szCs w:val="18"/>
              </w:rPr>
              <w:t>Mean duration of symptoms: 12.6 ± 9.5 weeks</w:t>
            </w:r>
          </w:p>
          <w:p w:rsidR="003277A2" w:rsidRDefault="003277A2" w:rsidP="00C26909">
            <w:pPr>
              <w:rPr>
                <w:sz w:val="18"/>
                <w:szCs w:val="18"/>
              </w:rPr>
            </w:pPr>
          </w:p>
          <w:p w:rsidR="003277A2" w:rsidRPr="00691A04" w:rsidRDefault="003277A2" w:rsidP="00C26909">
            <w:pPr>
              <w:rPr>
                <w:sz w:val="18"/>
                <w:szCs w:val="18"/>
                <w:u w:val="single"/>
              </w:rPr>
            </w:pPr>
            <w:r w:rsidRPr="00691A04">
              <w:rPr>
                <w:sz w:val="18"/>
                <w:szCs w:val="18"/>
                <w:u w:val="single"/>
              </w:rPr>
              <w:lastRenderedPageBreak/>
              <w:t>Compression ratio (%)</w:t>
            </w:r>
          </w:p>
          <w:p w:rsidR="003277A2" w:rsidRDefault="003277A2" w:rsidP="00C26909">
            <w:pPr>
              <w:ind w:left="50"/>
              <w:rPr>
                <w:sz w:val="18"/>
                <w:szCs w:val="18"/>
              </w:rPr>
            </w:pPr>
            <w:r w:rsidRPr="00A87D43">
              <w:rPr>
                <w:i/>
                <w:sz w:val="18"/>
                <w:szCs w:val="18"/>
              </w:rPr>
              <w:t>Grade 0</w:t>
            </w:r>
            <w:r>
              <w:rPr>
                <w:sz w:val="18"/>
                <w:szCs w:val="18"/>
              </w:rPr>
              <w:t>: 35.6 ± 7.5</w:t>
            </w:r>
          </w:p>
          <w:p w:rsidR="003277A2" w:rsidRDefault="003277A2" w:rsidP="00C26909">
            <w:pPr>
              <w:ind w:left="50"/>
              <w:rPr>
                <w:sz w:val="18"/>
                <w:szCs w:val="18"/>
              </w:rPr>
            </w:pPr>
            <w:r w:rsidRPr="00A87D43">
              <w:rPr>
                <w:i/>
                <w:sz w:val="18"/>
                <w:szCs w:val="18"/>
              </w:rPr>
              <w:t>Grade 1</w:t>
            </w:r>
            <w:r>
              <w:rPr>
                <w:sz w:val="18"/>
                <w:szCs w:val="18"/>
              </w:rPr>
              <w:t>: 32.7 ± 6.7</w:t>
            </w:r>
          </w:p>
          <w:p w:rsidR="003277A2" w:rsidRPr="003E1C61" w:rsidRDefault="003277A2" w:rsidP="00C26909">
            <w:pPr>
              <w:ind w:left="50"/>
              <w:rPr>
                <w:sz w:val="18"/>
                <w:szCs w:val="18"/>
              </w:rPr>
            </w:pPr>
            <w:r w:rsidRPr="00A87D43">
              <w:rPr>
                <w:i/>
                <w:sz w:val="18"/>
                <w:szCs w:val="18"/>
              </w:rPr>
              <w:t>Grade 2</w:t>
            </w:r>
            <w:r>
              <w:rPr>
                <w:sz w:val="18"/>
                <w:szCs w:val="18"/>
              </w:rPr>
              <w:t>: 31.9 ± 10.4</w:t>
            </w:r>
          </w:p>
        </w:tc>
        <w:tc>
          <w:tcPr>
            <w:tcW w:w="1478" w:type="dxa"/>
          </w:tcPr>
          <w:p w:rsidR="003277A2" w:rsidRPr="003E1C61" w:rsidRDefault="003277A2" w:rsidP="00C26909">
            <w:pPr>
              <w:numPr>
                <w:ilvl w:val="0"/>
                <w:numId w:val="1"/>
              </w:numPr>
              <w:ind w:left="162" w:hanging="162"/>
              <w:contextualSpacing/>
              <w:rPr>
                <w:sz w:val="18"/>
                <w:szCs w:val="18"/>
              </w:rPr>
            </w:pPr>
            <w:r w:rsidRPr="003E1C61">
              <w:rPr>
                <w:sz w:val="18"/>
                <w:szCs w:val="18"/>
              </w:rPr>
              <w:lastRenderedPageBreak/>
              <w:t>Age</w:t>
            </w:r>
          </w:p>
          <w:p w:rsidR="003277A2" w:rsidRPr="003E1C61" w:rsidRDefault="003277A2" w:rsidP="00C26909">
            <w:pPr>
              <w:numPr>
                <w:ilvl w:val="0"/>
                <w:numId w:val="1"/>
              </w:numPr>
              <w:ind w:left="162" w:hanging="162"/>
              <w:contextualSpacing/>
              <w:rPr>
                <w:sz w:val="18"/>
                <w:szCs w:val="18"/>
              </w:rPr>
            </w:pPr>
            <w:r w:rsidRPr="003E1C61">
              <w:rPr>
                <w:sz w:val="18"/>
                <w:szCs w:val="18"/>
              </w:rPr>
              <w:t>Symptom duration</w:t>
            </w:r>
          </w:p>
          <w:p w:rsidR="003277A2" w:rsidRPr="003E1C61" w:rsidRDefault="003277A2" w:rsidP="00C26909">
            <w:pPr>
              <w:numPr>
                <w:ilvl w:val="0"/>
                <w:numId w:val="1"/>
              </w:numPr>
              <w:ind w:left="162" w:hanging="162"/>
              <w:contextualSpacing/>
              <w:rPr>
                <w:sz w:val="18"/>
                <w:szCs w:val="18"/>
              </w:rPr>
            </w:pPr>
            <w:r w:rsidRPr="003E1C61">
              <w:rPr>
                <w:sz w:val="18"/>
                <w:szCs w:val="18"/>
              </w:rPr>
              <w:t>Cervical curvature</w:t>
            </w:r>
          </w:p>
          <w:p w:rsidR="003277A2" w:rsidRPr="003E1C61" w:rsidRDefault="003277A2" w:rsidP="00C26909">
            <w:pPr>
              <w:numPr>
                <w:ilvl w:val="0"/>
                <w:numId w:val="1"/>
              </w:numPr>
              <w:ind w:left="162" w:hanging="162"/>
              <w:contextualSpacing/>
              <w:rPr>
                <w:sz w:val="18"/>
                <w:szCs w:val="18"/>
              </w:rPr>
            </w:pPr>
            <w:r w:rsidRPr="003E1C61">
              <w:rPr>
                <w:sz w:val="18"/>
                <w:szCs w:val="18"/>
              </w:rPr>
              <w:t>Cervical stenosis</w:t>
            </w:r>
          </w:p>
          <w:p w:rsidR="003277A2" w:rsidRPr="003E1C61" w:rsidRDefault="003277A2" w:rsidP="00C26909">
            <w:pPr>
              <w:numPr>
                <w:ilvl w:val="0"/>
                <w:numId w:val="1"/>
              </w:numPr>
              <w:ind w:left="162" w:hanging="162"/>
              <w:contextualSpacing/>
              <w:rPr>
                <w:sz w:val="18"/>
                <w:szCs w:val="18"/>
              </w:rPr>
            </w:pPr>
            <w:r w:rsidRPr="003E1C61">
              <w:rPr>
                <w:sz w:val="18"/>
                <w:szCs w:val="18"/>
              </w:rPr>
              <w:t>Preoperative JOA</w:t>
            </w:r>
          </w:p>
          <w:p w:rsidR="003277A2" w:rsidRPr="003E1C61" w:rsidRDefault="003277A2" w:rsidP="00C26909">
            <w:pPr>
              <w:numPr>
                <w:ilvl w:val="0"/>
                <w:numId w:val="1"/>
              </w:numPr>
              <w:ind w:left="162" w:hanging="162"/>
              <w:contextualSpacing/>
              <w:rPr>
                <w:sz w:val="18"/>
                <w:szCs w:val="18"/>
              </w:rPr>
            </w:pPr>
            <w:r w:rsidRPr="003E1C61">
              <w:rPr>
                <w:sz w:val="18"/>
                <w:szCs w:val="18"/>
              </w:rPr>
              <w:t>Postoperative JOA</w:t>
            </w:r>
          </w:p>
        </w:tc>
        <w:tc>
          <w:tcPr>
            <w:tcW w:w="1448" w:type="dxa"/>
          </w:tcPr>
          <w:p w:rsidR="003277A2" w:rsidRPr="00DC71FE" w:rsidRDefault="003277A2" w:rsidP="00C26909">
            <w:pPr>
              <w:pStyle w:val="ListParagraph"/>
              <w:numPr>
                <w:ilvl w:val="0"/>
                <w:numId w:val="1"/>
              </w:numPr>
              <w:spacing w:after="0" w:line="240" w:lineRule="auto"/>
              <w:ind w:left="162" w:hanging="162"/>
              <w:rPr>
                <w:rFonts w:ascii="Times New Roman" w:hAnsi="Times New Roman"/>
                <w:sz w:val="18"/>
                <w:szCs w:val="18"/>
              </w:rPr>
            </w:pPr>
            <w:r w:rsidRPr="00DC71FE">
              <w:rPr>
                <w:rFonts w:ascii="Times New Roman" w:hAnsi="Times New Roman"/>
                <w:sz w:val="18"/>
                <w:szCs w:val="18"/>
              </w:rPr>
              <w:t xml:space="preserve">Grade of </w:t>
            </w:r>
            <w:r>
              <w:rPr>
                <w:rFonts w:ascii="Times New Roman" w:hAnsi="Times New Roman"/>
                <w:sz w:val="18"/>
                <w:szCs w:val="18"/>
              </w:rPr>
              <w:t>SI</w:t>
            </w:r>
            <w:r w:rsidRPr="00DC71FE">
              <w:rPr>
                <w:rFonts w:ascii="Times New Roman" w:hAnsi="Times New Roman"/>
                <w:sz w:val="18"/>
                <w:szCs w:val="18"/>
              </w:rPr>
              <w:t xml:space="preserve"> on T2-weighted images</w:t>
            </w:r>
          </w:p>
          <w:p w:rsidR="003277A2" w:rsidRPr="00DC71FE" w:rsidRDefault="003277A2" w:rsidP="00C26909">
            <w:pPr>
              <w:pStyle w:val="ListParagraph"/>
              <w:numPr>
                <w:ilvl w:val="0"/>
                <w:numId w:val="1"/>
              </w:numPr>
              <w:spacing w:after="0" w:line="240" w:lineRule="auto"/>
              <w:ind w:left="162" w:hanging="162"/>
              <w:rPr>
                <w:rFonts w:ascii="Times New Roman" w:hAnsi="Times New Roman"/>
                <w:sz w:val="18"/>
                <w:szCs w:val="18"/>
              </w:rPr>
            </w:pPr>
            <w:r w:rsidRPr="00DC71FE">
              <w:rPr>
                <w:rFonts w:ascii="Times New Roman" w:hAnsi="Times New Roman"/>
                <w:sz w:val="18"/>
                <w:szCs w:val="18"/>
              </w:rPr>
              <w:t xml:space="preserve">Length of </w:t>
            </w:r>
            <w:r>
              <w:rPr>
                <w:rFonts w:ascii="Times New Roman" w:hAnsi="Times New Roman"/>
                <w:sz w:val="18"/>
                <w:szCs w:val="18"/>
              </w:rPr>
              <w:t>SI</w:t>
            </w:r>
            <w:r w:rsidRPr="00DC71FE">
              <w:rPr>
                <w:rFonts w:ascii="Times New Roman" w:hAnsi="Times New Roman"/>
                <w:sz w:val="18"/>
                <w:szCs w:val="18"/>
              </w:rPr>
              <w:t xml:space="preserve"> change on T2-weighted images</w:t>
            </w:r>
          </w:p>
          <w:p w:rsidR="003277A2" w:rsidRPr="00DC71FE" w:rsidRDefault="003277A2" w:rsidP="00C26909">
            <w:pPr>
              <w:pStyle w:val="ListParagraph"/>
              <w:numPr>
                <w:ilvl w:val="0"/>
                <w:numId w:val="1"/>
              </w:numPr>
              <w:spacing w:after="0" w:line="240" w:lineRule="auto"/>
              <w:ind w:left="162" w:hanging="162"/>
              <w:rPr>
                <w:rFonts w:ascii="Times New Roman" w:hAnsi="Times New Roman"/>
                <w:sz w:val="18"/>
                <w:szCs w:val="18"/>
              </w:rPr>
            </w:pPr>
            <w:r w:rsidRPr="00DC71FE">
              <w:rPr>
                <w:rFonts w:ascii="Times New Roman" w:hAnsi="Times New Roman"/>
                <w:sz w:val="18"/>
                <w:szCs w:val="18"/>
              </w:rPr>
              <w:t>Compression ratio of spinal cord</w:t>
            </w:r>
          </w:p>
          <w:p w:rsidR="003277A2" w:rsidRPr="003E1C61" w:rsidRDefault="003277A2" w:rsidP="00C26909">
            <w:pPr>
              <w:ind w:left="162"/>
              <w:rPr>
                <w:sz w:val="18"/>
                <w:szCs w:val="18"/>
              </w:rPr>
            </w:pPr>
          </w:p>
        </w:tc>
        <w:tc>
          <w:tcPr>
            <w:tcW w:w="1415" w:type="dxa"/>
          </w:tcPr>
          <w:p w:rsidR="003277A2" w:rsidRPr="00A20EE5" w:rsidRDefault="003277A2" w:rsidP="00C26909">
            <w:pPr>
              <w:pStyle w:val="ListParagraph"/>
              <w:numPr>
                <w:ilvl w:val="0"/>
                <w:numId w:val="1"/>
              </w:numPr>
              <w:spacing w:after="0" w:line="240" w:lineRule="auto"/>
              <w:ind w:left="162" w:hanging="162"/>
              <w:rPr>
                <w:rFonts w:ascii="Times New Roman" w:hAnsi="Times New Roman"/>
                <w:sz w:val="18"/>
                <w:szCs w:val="18"/>
              </w:rPr>
            </w:pPr>
            <w:r>
              <w:rPr>
                <w:rFonts w:ascii="Times New Roman" w:hAnsi="Times New Roman"/>
                <w:sz w:val="18"/>
                <w:szCs w:val="18"/>
              </w:rPr>
              <w:t>Recovery rate of JOA score‡</w:t>
            </w:r>
          </w:p>
        </w:tc>
        <w:tc>
          <w:tcPr>
            <w:tcW w:w="1193" w:type="dxa"/>
          </w:tcPr>
          <w:p w:rsidR="003277A2" w:rsidRPr="00DC71FE" w:rsidRDefault="003277A2" w:rsidP="00C26909">
            <w:pPr>
              <w:rPr>
                <w:sz w:val="18"/>
                <w:szCs w:val="18"/>
              </w:rPr>
            </w:pPr>
            <w:r w:rsidRPr="00DC71FE">
              <w:rPr>
                <w:sz w:val="18"/>
                <w:szCs w:val="18"/>
              </w:rPr>
              <w:t>Mean 32.7 months (range, 10.4-50.5)</w:t>
            </w:r>
            <w:r>
              <w:rPr>
                <w:sz w:val="18"/>
                <w:szCs w:val="18"/>
              </w:rPr>
              <w:t xml:space="preserve"> (f/u NR)</w:t>
            </w:r>
          </w:p>
        </w:tc>
        <w:tc>
          <w:tcPr>
            <w:tcW w:w="3245" w:type="dxa"/>
          </w:tcPr>
          <w:p w:rsidR="003277A2" w:rsidRDefault="003277A2" w:rsidP="00C26909">
            <w:pPr>
              <w:pStyle w:val="NoSpacing"/>
              <w:rPr>
                <w:rFonts w:ascii="Times New Roman" w:hAnsi="Times New Roman"/>
                <w:b/>
                <w:sz w:val="18"/>
                <w:szCs w:val="18"/>
              </w:rPr>
            </w:pPr>
            <w:r w:rsidRPr="00DC71FE">
              <w:rPr>
                <w:rFonts w:ascii="Times New Roman" w:hAnsi="Times New Roman"/>
                <w:b/>
                <w:sz w:val="18"/>
                <w:szCs w:val="18"/>
              </w:rPr>
              <w:t>SI grade and recovery rate (%) of JOA score</w:t>
            </w:r>
            <w:r>
              <w:rPr>
                <w:rFonts w:ascii="Times New Roman" w:hAnsi="Times New Roman"/>
                <w:b/>
                <w:sz w:val="18"/>
                <w:szCs w:val="18"/>
              </w:rPr>
              <w:t xml:space="preserve"> (regression analysis)</w:t>
            </w:r>
            <w:r w:rsidRPr="00DC71FE">
              <w:rPr>
                <w:rFonts w:ascii="Times New Roman" w:hAnsi="Times New Roman"/>
                <w:b/>
                <w:sz w:val="18"/>
                <w:szCs w:val="18"/>
              </w:rPr>
              <w:t xml:space="preserve">: </w:t>
            </w:r>
          </w:p>
          <w:p w:rsidR="003277A2" w:rsidRPr="00A20EE5" w:rsidRDefault="003277A2" w:rsidP="00C26909">
            <w:pPr>
              <w:pStyle w:val="NoSpacing"/>
              <w:rPr>
                <w:rFonts w:ascii="Times New Roman" w:hAnsi="Times New Roman"/>
                <w:b/>
                <w:sz w:val="18"/>
                <w:szCs w:val="18"/>
              </w:rPr>
            </w:pPr>
            <w:r>
              <w:rPr>
                <w:rFonts w:ascii="Times New Roman" w:hAnsi="Times New Roman"/>
                <w:sz w:val="18"/>
                <w:szCs w:val="18"/>
              </w:rPr>
              <w:t>“</w:t>
            </w:r>
            <w:r w:rsidRPr="00253625">
              <w:rPr>
                <w:rFonts w:ascii="Times New Roman" w:hAnsi="Times New Roman"/>
                <w:sz w:val="18"/>
                <w:szCs w:val="18"/>
              </w:rPr>
              <w:t>In regression analysis, SI grade was found to be prognostic of neurological outcome</w:t>
            </w:r>
            <w:r>
              <w:rPr>
                <w:rFonts w:ascii="Times New Roman" w:hAnsi="Times New Roman"/>
                <w:sz w:val="18"/>
                <w:szCs w:val="18"/>
              </w:rPr>
              <w:t xml:space="preserve">” </w:t>
            </w:r>
            <w:r w:rsidRPr="00253625">
              <w:rPr>
                <w:rFonts w:ascii="Times New Roman" w:hAnsi="Times New Roman"/>
                <w:i/>
                <w:sz w:val="18"/>
                <w:szCs w:val="18"/>
              </w:rPr>
              <w:t>P</w:t>
            </w:r>
            <w:r w:rsidRPr="00253625">
              <w:rPr>
                <w:rFonts w:ascii="Times New Roman" w:hAnsi="Times New Roman"/>
                <w:sz w:val="18"/>
                <w:szCs w:val="18"/>
              </w:rPr>
              <w:t xml:space="preserve"> = .027</w:t>
            </w:r>
          </w:p>
          <w:p w:rsidR="003277A2" w:rsidRPr="00DC71FE" w:rsidRDefault="003277A2" w:rsidP="00C26909">
            <w:pPr>
              <w:pStyle w:val="NoSpacing"/>
              <w:ind w:left="177"/>
              <w:rPr>
                <w:rFonts w:ascii="Times New Roman" w:hAnsi="Times New Roman"/>
                <w:b/>
                <w:sz w:val="18"/>
                <w:szCs w:val="18"/>
              </w:rPr>
            </w:pPr>
            <w:r w:rsidRPr="00A20EE5">
              <w:rPr>
                <w:rFonts w:ascii="Times New Roman" w:hAnsi="Times New Roman"/>
                <w:i/>
                <w:sz w:val="18"/>
                <w:szCs w:val="18"/>
              </w:rPr>
              <w:t>Univariate analysis</w:t>
            </w:r>
            <w:r>
              <w:rPr>
                <w:rFonts w:ascii="Times New Roman" w:hAnsi="Times New Roman"/>
                <w:sz w:val="18"/>
                <w:szCs w:val="18"/>
              </w:rPr>
              <w:t>:</w:t>
            </w:r>
          </w:p>
          <w:p w:rsidR="003277A2" w:rsidRPr="000D18F2" w:rsidRDefault="003277A2" w:rsidP="00C26909">
            <w:pPr>
              <w:numPr>
                <w:ilvl w:val="0"/>
                <w:numId w:val="1"/>
              </w:numPr>
              <w:ind w:left="447" w:hanging="180"/>
              <w:contextualSpacing/>
              <w:rPr>
                <w:sz w:val="18"/>
                <w:szCs w:val="18"/>
              </w:rPr>
            </w:pPr>
            <w:r w:rsidRPr="000D18F2">
              <w:rPr>
                <w:sz w:val="18"/>
                <w:szCs w:val="18"/>
              </w:rPr>
              <w:t>SI grade 0: 81.5 ± 17.0</w:t>
            </w:r>
          </w:p>
          <w:p w:rsidR="003277A2" w:rsidRPr="000D18F2" w:rsidRDefault="003277A2" w:rsidP="00C26909">
            <w:pPr>
              <w:numPr>
                <w:ilvl w:val="0"/>
                <w:numId w:val="1"/>
              </w:numPr>
              <w:ind w:left="447" w:hanging="180"/>
              <w:contextualSpacing/>
              <w:rPr>
                <w:sz w:val="18"/>
                <w:szCs w:val="18"/>
              </w:rPr>
            </w:pPr>
            <w:r w:rsidRPr="000D18F2">
              <w:rPr>
                <w:sz w:val="18"/>
                <w:szCs w:val="18"/>
              </w:rPr>
              <w:t>SI grade 1: 70.1 ± 17.3</w:t>
            </w:r>
          </w:p>
          <w:p w:rsidR="003277A2" w:rsidRPr="000D18F2" w:rsidRDefault="003277A2" w:rsidP="00C26909">
            <w:pPr>
              <w:numPr>
                <w:ilvl w:val="0"/>
                <w:numId w:val="1"/>
              </w:numPr>
              <w:ind w:left="447" w:hanging="180"/>
              <w:contextualSpacing/>
              <w:rPr>
                <w:sz w:val="18"/>
                <w:szCs w:val="18"/>
              </w:rPr>
            </w:pPr>
            <w:r w:rsidRPr="000D18F2">
              <w:rPr>
                <w:sz w:val="18"/>
                <w:szCs w:val="18"/>
              </w:rPr>
              <w:t>SI grade 2: 60.7 ± 20.9</w:t>
            </w:r>
          </w:p>
          <w:p w:rsidR="003277A2" w:rsidRDefault="003277A2" w:rsidP="00C26909">
            <w:pPr>
              <w:pStyle w:val="NoSpacing"/>
              <w:ind w:left="357"/>
              <w:rPr>
                <w:rFonts w:ascii="Times New Roman" w:hAnsi="Times New Roman"/>
                <w:sz w:val="18"/>
                <w:szCs w:val="18"/>
              </w:rPr>
            </w:pPr>
            <w:r w:rsidRPr="00253625">
              <w:rPr>
                <w:rFonts w:ascii="Times New Roman" w:hAnsi="Times New Roman"/>
                <w:i/>
                <w:sz w:val="18"/>
                <w:szCs w:val="18"/>
              </w:rPr>
              <w:t>P</w:t>
            </w:r>
            <w:r w:rsidRPr="00253625">
              <w:rPr>
                <w:rFonts w:ascii="Times New Roman" w:hAnsi="Times New Roman"/>
                <w:sz w:val="18"/>
                <w:szCs w:val="18"/>
              </w:rPr>
              <w:t xml:space="preserve"> = .002 for comparisons between SI grades</w:t>
            </w:r>
          </w:p>
          <w:p w:rsidR="003277A2" w:rsidRPr="00A20EE5" w:rsidRDefault="003277A2" w:rsidP="00C26909">
            <w:pPr>
              <w:numPr>
                <w:ilvl w:val="0"/>
                <w:numId w:val="9"/>
              </w:numPr>
              <w:ind w:left="627" w:hanging="180"/>
              <w:contextualSpacing/>
              <w:rPr>
                <w:i/>
                <w:sz w:val="18"/>
                <w:szCs w:val="18"/>
              </w:rPr>
            </w:pPr>
            <w:r w:rsidRPr="00A20EE5">
              <w:rPr>
                <w:i/>
                <w:sz w:val="18"/>
                <w:szCs w:val="18"/>
              </w:rPr>
              <w:t>SI grade 1 vs. 0: NR</w:t>
            </w:r>
          </w:p>
          <w:p w:rsidR="003277A2" w:rsidRPr="00A20EE5" w:rsidRDefault="003277A2" w:rsidP="00C26909">
            <w:pPr>
              <w:numPr>
                <w:ilvl w:val="0"/>
                <w:numId w:val="9"/>
              </w:numPr>
              <w:ind w:left="627" w:hanging="180"/>
              <w:contextualSpacing/>
              <w:rPr>
                <w:i/>
                <w:sz w:val="18"/>
                <w:szCs w:val="18"/>
              </w:rPr>
            </w:pPr>
            <w:r w:rsidRPr="00A20EE5">
              <w:rPr>
                <w:i/>
                <w:sz w:val="18"/>
                <w:szCs w:val="18"/>
              </w:rPr>
              <w:t>SI grade 2 vs. 0: NR</w:t>
            </w:r>
          </w:p>
          <w:p w:rsidR="003277A2" w:rsidRPr="00253625" w:rsidRDefault="003277A2" w:rsidP="00C26909">
            <w:pPr>
              <w:pStyle w:val="NoSpacing"/>
              <w:ind w:left="357"/>
              <w:rPr>
                <w:rFonts w:ascii="Times New Roman" w:hAnsi="Times New Roman"/>
                <w:sz w:val="18"/>
                <w:szCs w:val="18"/>
              </w:rPr>
            </w:pPr>
          </w:p>
          <w:p w:rsidR="003277A2" w:rsidRPr="00253625" w:rsidRDefault="003277A2" w:rsidP="00C26909">
            <w:pPr>
              <w:pStyle w:val="NoSpacing"/>
              <w:rPr>
                <w:rFonts w:ascii="Times New Roman" w:hAnsi="Times New Roman"/>
                <w:b/>
                <w:sz w:val="18"/>
                <w:szCs w:val="18"/>
              </w:rPr>
            </w:pPr>
            <w:r w:rsidRPr="00253625">
              <w:rPr>
                <w:rFonts w:ascii="Times New Roman" w:hAnsi="Times New Roman"/>
                <w:b/>
                <w:sz w:val="18"/>
                <w:szCs w:val="18"/>
              </w:rPr>
              <w:t xml:space="preserve">Length of SI change and </w:t>
            </w:r>
            <w:r w:rsidRPr="005639C8">
              <w:rPr>
                <w:rFonts w:ascii="Times New Roman" w:hAnsi="Times New Roman"/>
                <w:b/>
                <w:sz w:val="18"/>
                <w:szCs w:val="18"/>
              </w:rPr>
              <w:t>recovery rate (%) of JOA score</w:t>
            </w:r>
            <w:r>
              <w:rPr>
                <w:rFonts w:ascii="Times New Roman" w:hAnsi="Times New Roman"/>
                <w:b/>
                <w:sz w:val="18"/>
                <w:szCs w:val="18"/>
              </w:rPr>
              <w:t xml:space="preserve"> (</w:t>
            </w:r>
            <w:r w:rsidRPr="00A20EE5">
              <w:rPr>
                <w:rFonts w:ascii="Times New Roman" w:hAnsi="Times New Roman"/>
                <w:b/>
                <w:sz w:val="18"/>
                <w:szCs w:val="18"/>
              </w:rPr>
              <w:t>regression analysis</w:t>
            </w:r>
            <w:r>
              <w:rPr>
                <w:rFonts w:ascii="Times New Roman" w:hAnsi="Times New Roman"/>
                <w:b/>
                <w:sz w:val="18"/>
                <w:szCs w:val="18"/>
              </w:rPr>
              <w:t>)</w:t>
            </w:r>
            <w:r w:rsidRPr="00DC71FE">
              <w:rPr>
                <w:rFonts w:ascii="Times New Roman" w:hAnsi="Times New Roman"/>
                <w:b/>
                <w:sz w:val="18"/>
                <w:szCs w:val="18"/>
              </w:rPr>
              <w:t>:</w:t>
            </w:r>
          </w:p>
          <w:p w:rsidR="003277A2" w:rsidRDefault="003277A2" w:rsidP="00C26909">
            <w:pPr>
              <w:pStyle w:val="NoSpacing"/>
              <w:rPr>
                <w:rFonts w:ascii="Times New Roman" w:hAnsi="Times New Roman"/>
                <w:sz w:val="18"/>
                <w:szCs w:val="18"/>
              </w:rPr>
            </w:pPr>
            <w:r w:rsidRPr="00253625">
              <w:rPr>
                <w:rFonts w:ascii="Times New Roman" w:hAnsi="Times New Roman"/>
                <w:sz w:val="18"/>
                <w:szCs w:val="18"/>
              </w:rPr>
              <w:t>NS (</w:t>
            </w:r>
            <w:r w:rsidRPr="00253625">
              <w:rPr>
                <w:rFonts w:ascii="Times New Roman" w:hAnsi="Times New Roman"/>
                <w:i/>
                <w:sz w:val="18"/>
                <w:szCs w:val="18"/>
              </w:rPr>
              <w:t>P</w:t>
            </w:r>
            <w:r w:rsidRPr="00253625">
              <w:rPr>
                <w:rFonts w:ascii="Times New Roman" w:hAnsi="Times New Roman"/>
                <w:sz w:val="18"/>
                <w:szCs w:val="18"/>
              </w:rPr>
              <w:t xml:space="preserve"> = .096) </w:t>
            </w:r>
          </w:p>
          <w:p w:rsidR="003277A2" w:rsidRPr="00253625" w:rsidRDefault="003277A2" w:rsidP="00C26909">
            <w:pPr>
              <w:pStyle w:val="NoSpacing"/>
              <w:rPr>
                <w:rFonts w:ascii="Times New Roman" w:hAnsi="Times New Roman"/>
                <w:sz w:val="18"/>
                <w:szCs w:val="18"/>
              </w:rPr>
            </w:pPr>
          </w:p>
          <w:p w:rsidR="003277A2" w:rsidRDefault="003277A2" w:rsidP="00C26909">
            <w:pPr>
              <w:pStyle w:val="NoSpacing"/>
              <w:rPr>
                <w:rFonts w:ascii="Times New Roman" w:hAnsi="Times New Roman"/>
                <w:b/>
                <w:sz w:val="18"/>
                <w:szCs w:val="18"/>
              </w:rPr>
            </w:pPr>
            <w:r w:rsidRPr="00253625">
              <w:rPr>
                <w:rFonts w:ascii="Times New Roman" w:hAnsi="Times New Roman"/>
                <w:b/>
                <w:sz w:val="18"/>
                <w:szCs w:val="18"/>
              </w:rPr>
              <w:t xml:space="preserve">Cord compression ratio and </w:t>
            </w:r>
            <w:r w:rsidRPr="005639C8">
              <w:rPr>
                <w:rFonts w:ascii="Times New Roman" w:hAnsi="Times New Roman"/>
                <w:b/>
                <w:sz w:val="18"/>
                <w:szCs w:val="18"/>
              </w:rPr>
              <w:t xml:space="preserve">recovery rate (%) of JOA score </w:t>
            </w:r>
            <w:r>
              <w:rPr>
                <w:rFonts w:ascii="Times New Roman" w:hAnsi="Times New Roman"/>
                <w:b/>
                <w:sz w:val="18"/>
                <w:szCs w:val="18"/>
              </w:rPr>
              <w:t>(</w:t>
            </w:r>
            <w:r w:rsidRPr="00A20EE5">
              <w:rPr>
                <w:rFonts w:ascii="Times New Roman" w:hAnsi="Times New Roman"/>
                <w:b/>
                <w:sz w:val="18"/>
                <w:szCs w:val="18"/>
              </w:rPr>
              <w:t>regression analysis</w:t>
            </w:r>
            <w:r>
              <w:rPr>
                <w:rFonts w:ascii="Times New Roman" w:hAnsi="Times New Roman"/>
                <w:b/>
                <w:sz w:val="18"/>
                <w:szCs w:val="18"/>
              </w:rPr>
              <w:t>)</w:t>
            </w:r>
            <w:r w:rsidRPr="00DC71FE">
              <w:rPr>
                <w:rFonts w:ascii="Times New Roman" w:hAnsi="Times New Roman"/>
                <w:b/>
                <w:sz w:val="18"/>
                <w:szCs w:val="18"/>
              </w:rPr>
              <w:t>:</w:t>
            </w:r>
            <w:r>
              <w:rPr>
                <w:rFonts w:ascii="Times New Roman" w:hAnsi="Times New Roman"/>
                <w:b/>
                <w:sz w:val="18"/>
                <w:szCs w:val="18"/>
              </w:rPr>
              <w:t xml:space="preserve"> </w:t>
            </w:r>
          </w:p>
          <w:p w:rsidR="003277A2" w:rsidRDefault="003277A2" w:rsidP="00C26909">
            <w:pPr>
              <w:pStyle w:val="NoSpacing"/>
              <w:rPr>
                <w:rFonts w:ascii="Times New Roman" w:hAnsi="Times New Roman"/>
                <w:sz w:val="18"/>
                <w:szCs w:val="18"/>
              </w:rPr>
            </w:pPr>
            <w:r w:rsidRPr="00253625">
              <w:rPr>
                <w:rFonts w:ascii="Times New Roman" w:hAnsi="Times New Roman"/>
                <w:sz w:val="18"/>
                <w:szCs w:val="18"/>
              </w:rPr>
              <w:t>NS (</w:t>
            </w:r>
            <w:r w:rsidRPr="00253625">
              <w:rPr>
                <w:rFonts w:ascii="Times New Roman" w:hAnsi="Times New Roman"/>
                <w:i/>
                <w:sz w:val="18"/>
                <w:szCs w:val="18"/>
              </w:rPr>
              <w:t>P</w:t>
            </w:r>
            <w:r w:rsidRPr="00253625">
              <w:rPr>
                <w:rFonts w:ascii="Times New Roman" w:hAnsi="Times New Roman"/>
                <w:sz w:val="18"/>
                <w:szCs w:val="18"/>
              </w:rPr>
              <w:t xml:space="preserve"> = .595) </w:t>
            </w:r>
          </w:p>
          <w:p w:rsidR="003277A2" w:rsidRDefault="003277A2" w:rsidP="00C26909">
            <w:pPr>
              <w:pStyle w:val="NoSpacing"/>
              <w:rPr>
                <w:rFonts w:ascii="Times New Roman" w:hAnsi="Times New Roman"/>
                <w:sz w:val="18"/>
                <w:szCs w:val="18"/>
              </w:rPr>
            </w:pPr>
          </w:p>
          <w:p w:rsidR="003277A2" w:rsidRPr="00A20EE5" w:rsidRDefault="003277A2" w:rsidP="00C26909">
            <w:pPr>
              <w:pStyle w:val="NoSpacing"/>
              <w:rPr>
                <w:rFonts w:ascii="Times New Roman" w:hAnsi="Times New Roman"/>
                <w:b/>
                <w:sz w:val="18"/>
                <w:szCs w:val="18"/>
              </w:rPr>
            </w:pPr>
            <w:r>
              <w:rPr>
                <w:rFonts w:ascii="Times New Roman" w:hAnsi="Times New Roman"/>
                <w:sz w:val="18"/>
                <w:szCs w:val="18"/>
              </w:rPr>
              <w:t xml:space="preserve">“The SI grade on the </w:t>
            </w:r>
            <w:r w:rsidRPr="00B9399E">
              <w:rPr>
                <w:rFonts w:ascii="Times New Roman" w:hAnsi="Times New Roman"/>
                <w:sz w:val="18"/>
                <w:szCs w:val="18"/>
              </w:rPr>
              <w:t>preoperative T2WI was negatively related to neurological</w:t>
            </w:r>
            <w:r>
              <w:rPr>
                <w:rFonts w:ascii="Times New Roman" w:hAnsi="Times New Roman"/>
                <w:sz w:val="18"/>
                <w:szCs w:val="18"/>
              </w:rPr>
              <w:t xml:space="preserve"> </w:t>
            </w:r>
            <w:r w:rsidRPr="00B9399E">
              <w:rPr>
                <w:rFonts w:ascii="Times New Roman" w:hAnsi="Times New Roman"/>
                <w:sz w:val="18"/>
                <w:szCs w:val="18"/>
              </w:rPr>
              <w:t>outcome. Hence, the severi</w:t>
            </w:r>
            <w:r>
              <w:rPr>
                <w:rFonts w:ascii="Times New Roman" w:hAnsi="Times New Roman"/>
                <w:sz w:val="18"/>
                <w:szCs w:val="18"/>
              </w:rPr>
              <w:t>ty of SI change…</w:t>
            </w:r>
            <w:r w:rsidRPr="00B9399E">
              <w:rPr>
                <w:rFonts w:ascii="Times New Roman" w:hAnsi="Times New Roman"/>
                <w:sz w:val="18"/>
                <w:szCs w:val="18"/>
              </w:rPr>
              <w:t xml:space="preserve">emerged as </w:t>
            </w:r>
            <w:r>
              <w:rPr>
                <w:rFonts w:ascii="Times New Roman" w:hAnsi="Times New Roman"/>
                <w:sz w:val="18"/>
                <w:szCs w:val="18"/>
              </w:rPr>
              <w:t xml:space="preserve">a </w:t>
            </w:r>
            <w:r w:rsidRPr="00B9399E">
              <w:rPr>
                <w:rFonts w:ascii="Times New Roman" w:hAnsi="Times New Roman"/>
                <w:sz w:val="18"/>
                <w:szCs w:val="18"/>
              </w:rPr>
              <w:t>significant prognostic</w:t>
            </w:r>
            <w:r>
              <w:rPr>
                <w:rFonts w:ascii="Times New Roman" w:hAnsi="Times New Roman"/>
                <w:sz w:val="18"/>
                <w:szCs w:val="18"/>
              </w:rPr>
              <w:t xml:space="preserve"> factor</w:t>
            </w:r>
            <w:r w:rsidRPr="00B9399E">
              <w:rPr>
                <w:rFonts w:ascii="Times New Roman" w:hAnsi="Times New Roman"/>
                <w:sz w:val="18"/>
                <w:szCs w:val="18"/>
              </w:rPr>
              <w:t xml:space="preserve"> in post-operative CSM.</w:t>
            </w:r>
            <w:r>
              <w:rPr>
                <w:rFonts w:ascii="Times New Roman" w:hAnsi="Times New Roman"/>
                <w:sz w:val="18"/>
                <w:szCs w:val="18"/>
              </w:rPr>
              <w:t>”</w:t>
            </w:r>
          </w:p>
        </w:tc>
      </w:tr>
      <w:tr w:rsidR="0043721E" w:rsidRPr="003E1C61" w:rsidTr="00DC4E9E">
        <w:tc>
          <w:tcPr>
            <w:tcW w:w="1248" w:type="dxa"/>
          </w:tcPr>
          <w:p w:rsidR="003277A2" w:rsidRPr="003E1C61" w:rsidRDefault="003277A2" w:rsidP="00C26909">
            <w:pPr>
              <w:rPr>
                <w:sz w:val="18"/>
                <w:szCs w:val="18"/>
                <w:lang w:val="en-AU"/>
              </w:rPr>
            </w:pPr>
            <w:proofErr w:type="spellStart"/>
            <w:r w:rsidRPr="003E1C61">
              <w:rPr>
                <w:sz w:val="18"/>
                <w:szCs w:val="18"/>
                <w:lang w:val="en-AU"/>
              </w:rPr>
              <w:lastRenderedPageBreak/>
              <w:t>Suda</w:t>
            </w:r>
            <w:proofErr w:type="spellEnd"/>
            <w:r w:rsidRPr="003E1C61">
              <w:rPr>
                <w:sz w:val="18"/>
                <w:szCs w:val="18"/>
                <w:lang w:val="en-AU"/>
              </w:rPr>
              <w:t xml:space="preserve"> (2003)</w:t>
            </w:r>
          </w:p>
          <w:p w:rsidR="003277A2" w:rsidRPr="003E1C61" w:rsidRDefault="003277A2" w:rsidP="00C26909">
            <w:pPr>
              <w:rPr>
                <w:sz w:val="18"/>
                <w:szCs w:val="18"/>
                <w:lang w:val="en-AU"/>
              </w:rPr>
            </w:pPr>
          </w:p>
          <w:p w:rsidR="003277A2" w:rsidRPr="003E1C61" w:rsidRDefault="003277A2" w:rsidP="00C26909">
            <w:pPr>
              <w:rPr>
                <w:sz w:val="18"/>
                <w:szCs w:val="18"/>
                <w:lang w:val="en-AU"/>
              </w:rPr>
            </w:pPr>
            <w:r w:rsidRPr="003E1C61">
              <w:rPr>
                <w:sz w:val="18"/>
                <w:szCs w:val="18"/>
                <w:lang w:val="en-AU"/>
              </w:rPr>
              <w:t>Retrospective cohort</w:t>
            </w:r>
          </w:p>
        </w:tc>
        <w:tc>
          <w:tcPr>
            <w:tcW w:w="1741" w:type="dxa"/>
          </w:tcPr>
          <w:p w:rsidR="003277A2" w:rsidRPr="003E1C61" w:rsidRDefault="003277A2" w:rsidP="00C26909">
            <w:pPr>
              <w:rPr>
                <w:sz w:val="18"/>
                <w:szCs w:val="18"/>
              </w:rPr>
            </w:pPr>
            <w:r w:rsidRPr="003E1C61">
              <w:rPr>
                <w:sz w:val="18"/>
                <w:szCs w:val="18"/>
              </w:rPr>
              <w:t>To investigate the influence of preoperative cervical alignment on postoperative</w:t>
            </w:r>
            <w:r>
              <w:rPr>
                <w:sz w:val="18"/>
                <w:szCs w:val="18"/>
              </w:rPr>
              <w:t xml:space="preserve"> </w:t>
            </w:r>
            <w:r w:rsidRPr="003E1C61">
              <w:rPr>
                <w:sz w:val="18"/>
                <w:szCs w:val="18"/>
              </w:rPr>
              <w:t>neurologic recovery, and to determine the crucial determinants of postoperative clinical results using statistical measures.</w:t>
            </w:r>
          </w:p>
        </w:tc>
        <w:tc>
          <w:tcPr>
            <w:tcW w:w="2362" w:type="dxa"/>
          </w:tcPr>
          <w:p w:rsidR="003277A2" w:rsidRPr="003E1C61" w:rsidRDefault="003277A2" w:rsidP="00C26909">
            <w:pPr>
              <w:rPr>
                <w:sz w:val="18"/>
                <w:szCs w:val="18"/>
              </w:rPr>
            </w:pPr>
            <w:r w:rsidRPr="003E1C61">
              <w:rPr>
                <w:sz w:val="18"/>
                <w:szCs w:val="18"/>
              </w:rPr>
              <w:t>N = 1</w:t>
            </w:r>
            <w:r>
              <w:rPr>
                <w:sz w:val="18"/>
                <w:szCs w:val="18"/>
              </w:rPr>
              <w:t>14</w:t>
            </w:r>
          </w:p>
          <w:p w:rsidR="003277A2" w:rsidRPr="003E1C61" w:rsidRDefault="003277A2" w:rsidP="00C26909">
            <w:pPr>
              <w:ind w:left="72"/>
              <w:rPr>
                <w:sz w:val="18"/>
                <w:szCs w:val="18"/>
              </w:rPr>
            </w:pPr>
            <w:r w:rsidRPr="003E1C61">
              <w:rPr>
                <w:sz w:val="18"/>
                <w:szCs w:val="18"/>
              </w:rPr>
              <w:t>Male: 79%</w:t>
            </w:r>
          </w:p>
          <w:p w:rsidR="003277A2" w:rsidRDefault="003277A2" w:rsidP="00C26909">
            <w:pPr>
              <w:ind w:left="72"/>
              <w:rPr>
                <w:sz w:val="18"/>
                <w:szCs w:val="18"/>
              </w:rPr>
            </w:pPr>
            <w:r w:rsidRPr="003E1C61">
              <w:rPr>
                <w:sz w:val="18"/>
                <w:szCs w:val="18"/>
              </w:rPr>
              <w:t>Mean age: 60 years (range 30–81 years)</w:t>
            </w:r>
          </w:p>
          <w:p w:rsidR="003277A2" w:rsidRPr="003E1C61" w:rsidRDefault="003277A2" w:rsidP="00C26909">
            <w:pPr>
              <w:ind w:left="72"/>
              <w:rPr>
                <w:sz w:val="18"/>
                <w:szCs w:val="18"/>
              </w:rPr>
            </w:pPr>
            <w:r>
              <w:rPr>
                <w:sz w:val="18"/>
                <w:szCs w:val="18"/>
              </w:rPr>
              <w:t>Mean duration of symptoms: NR</w:t>
            </w:r>
          </w:p>
          <w:p w:rsidR="003277A2" w:rsidRPr="003E1C61" w:rsidRDefault="003277A2" w:rsidP="00C26909">
            <w:pPr>
              <w:ind w:left="72"/>
              <w:rPr>
                <w:sz w:val="18"/>
                <w:szCs w:val="18"/>
              </w:rPr>
            </w:pPr>
          </w:p>
          <w:p w:rsidR="003277A2" w:rsidRPr="003E1C61" w:rsidRDefault="003277A2" w:rsidP="00C26909">
            <w:pPr>
              <w:rPr>
                <w:sz w:val="18"/>
                <w:szCs w:val="18"/>
                <w:u w:val="single"/>
              </w:rPr>
            </w:pPr>
            <w:r w:rsidRPr="003E1C61">
              <w:rPr>
                <w:sz w:val="18"/>
                <w:szCs w:val="18"/>
                <w:u w:val="single"/>
              </w:rPr>
              <w:t>Diagnosis:</w:t>
            </w:r>
          </w:p>
          <w:p w:rsidR="003277A2" w:rsidRPr="003E1C61" w:rsidRDefault="003277A2" w:rsidP="00C26909">
            <w:pPr>
              <w:numPr>
                <w:ilvl w:val="0"/>
                <w:numId w:val="2"/>
              </w:numPr>
              <w:tabs>
                <w:tab w:val="clear" w:pos="720"/>
                <w:tab w:val="num" w:pos="252"/>
              </w:tabs>
              <w:ind w:left="252" w:hanging="180"/>
              <w:contextualSpacing/>
              <w:rPr>
                <w:sz w:val="18"/>
                <w:szCs w:val="18"/>
              </w:rPr>
            </w:pPr>
            <w:r w:rsidRPr="003E1C61">
              <w:rPr>
                <w:sz w:val="18"/>
                <w:szCs w:val="20"/>
              </w:rPr>
              <w:t>CSM</w:t>
            </w:r>
            <w:r w:rsidRPr="003E1C61">
              <w:rPr>
                <w:sz w:val="18"/>
                <w:szCs w:val="18"/>
              </w:rPr>
              <w:t xml:space="preserve"> with non-traumatic cervical lesions (n = 154)</w:t>
            </w:r>
          </w:p>
          <w:p w:rsidR="003277A2" w:rsidRPr="003E1C61" w:rsidRDefault="003277A2" w:rsidP="00C26909">
            <w:pPr>
              <w:contextualSpacing/>
              <w:rPr>
                <w:sz w:val="18"/>
                <w:szCs w:val="18"/>
              </w:rPr>
            </w:pPr>
          </w:p>
          <w:p w:rsidR="003277A2" w:rsidRPr="003E1C61" w:rsidRDefault="003277A2" w:rsidP="00C26909">
            <w:pPr>
              <w:contextualSpacing/>
              <w:rPr>
                <w:sz w:val="18"/>
                <w:szCs w:val="18"/>
              </w:rPr>
            </w:pPr>
            <w:r w:rsidRPr="003E1C61">
              <w:rPr>
                <w:sz w:val="18"/>
                <w:szCs w:val="18"/>
                <w:u w:val="single"/>
              </w:rPr>
              <w:t>Decompression surgery</w:t>
            </w:r>
            <w:r w:rsidRPr="003E1C61">
              <w:rPr>
                <w:sz w:val="18"/>
                <w:szCs w:val="18"/>
              </w:rPr>
              <w:t>:</w:t>
            </w:r>
          </w:p>
          <w:p w:rsidR="003277A2" w:rsidRPr="003E1C61" w:rsidRDefault="003277A2" w:rsidP="00C26909">
            <w:pPr>
              <w:numPr>
                <w:ilvl w:val="0"/>
                <w:numId w:val="2"/>
              </w:numPr>
              <w:tabs>
                <w:tab w:val="clear" w:pos="720"/>
                <w:tab w:val="num" w:pos="252"/>
              </w:tabs>
              <w:ind w:left="252" w:hanging="180"/>
              <w:contextualSpacing/>
              <w:rPr>
                <w:sz w:val="18"/>
                <w:szCs w:val="18"/>
              </w:rPr>
            </w:pPr>
            <w:r w:rsidRPr="003E1C61">
              <w:rPr>
                <w:sz w:val="18"/>
                <w:szCs w:val="20"/>
              </w:rPr>
              <w:t>Bilateral</w:t>
            </w:r>
            <w:r w:rsidRPr="003E1C61">
              <w:rPr>
                <w:sz w:val="18"/>
                <w:szCs w:val="18"/>
              </w:rPr>
              <w:t xml:space="preserve"> open-door laminoplasty (n = 154)</w:t>
            </w:r>
          </w:p>
        </w:tc>
        <w:tc>
          <w:tcPr>
            <w:tcW w:w="1478" w:type="dxa"/>
          </w:tcPr>
          <w:p w:rsidR="003277A2" w:rsidRPr="003E1C61" w:rsidRDefault="003277A2" w:rsidP="00C26909">
            <w:pPr>
              <w:numPr>
                <w:ilvl w:val="0"/>
                <w:numId w:val="1"/>
              </w:numPr>
              <w:ind w:left="162" w:hanging="162"/>
              <w:contextualSpacing/>
              <w:rPr>
                <w:sz w:val="18"/>
                <w:szCs w:val="18"/>
              </w:rPr>
            </w:pPr>
            <w:r w:rsidRPr="003E1C61">
              <w:rPr>
                <w:sz w:val="18"/>
                <w:szCs w:val="18"/>
              </w:rPr>
              <w:t>Age</w:t>
            </w:r>
          </w:p>
          <w:p w:rsidR="003277A2" w:rsidRPr="003E1C61" w:rsidRDefault="003277A2" w:rsidP="00C26909">
            <w:pPr>
              <w:numPr>
                <w:ilvl w:val="0"/>
                <w:numId w:val="1"/>
              </w:numPr>
              <w:ind w:left="162" w:hanging="162"/>
              <w:contextualSpacing/>
              <w:rPr>
                <w:sz w:val="18"/>
                <w:szCs w:val="18"/>
              </w:rPr>
            </w:pPr>
            <w:r w:rsidRPr="003E1C61">
              <w:rPr>
                <w:sz w:val="18"/>
                <w:szCs w:val="18"/>
              </w:rPr>
              <w:t xml:space="preserve">Sex </w:t>
            </w:r>
          </w:p>
          <w:p w:rsidR="003277A2" w:rsidRPr="003E1C61" w:rsidRDefault="003277A2" w:rsidP="00C26909">
            <w:pPr>
              <w:numPr>
                <w:ilvl w:val="0"/>
                <w:numId w:val="1"/>
              </w:numPr>
              <w:ind w:left="162" w:hanging="162"/>
              <w:contextualSpacing/>
              <w:rPr>
                <w:sz w:val="18"/>
                <w:szCs w:val="18"/>
              </w:rPr>
            </w:pPr>
            <w:r w:rsidRPr="003E1C61">
              <w:rPr>
                <w:sz w:val="18"/>
                <w:szCs w:val="18"/>
              </w:rPr>
              <w:t>Preoperative JOA score</w:t>
            </w:r>
          </w:p>
          <w:p w:rsidR="003277A2" w:rsidRPr="003E1C61" w:rsidRDefault="003277A2" w:rsidP="00C26909">
            <w:pPr>
              <w:numPr>
                <w:ilvl w:val="0"/>
                <w:numId w:val="1"/>
              </w:numPr>
              <w:ind w:left="162" w:hanging="162"/>
              <w:contextualSpacing/>
              <w:rPr>
                <w:sz w:val="18"/>
                <w:szCs w:val="18"/>
              </w:rPr>
            </w:pPr>
            <w:r w:rsidRPr="003E1C61">
              <w:rPr>
                <w:sz w:val="18"/>
                <w:szCs w:val="18"/>
              </w:rPr>
              <w:t>Local kyphosis angle</w:t>
            </w:r>
          </w:p>
          <w:p w:rsidR="003277A2" w:rsidRPr="003E1C61" w:rsidRDefault="003277A2" w:rsidP="00C26909">
            <w:pPr>
              <w:numPr>
                <w:ilvl w:val="0"/>
                <w:numId w:val="1"/>
              </w:numPr>
              <w:ind w:left="162" w:hanging="162"/>
              <w:contextualSpacing/>
              <w:rPr>
                <w:sz w:val="18"/>
                <w:szCs w:val="18"/>
              </w:rPr>
            </w:pPr>
            <w:r w:rsidRPr="003E1C61">
              <w:rPr>
                <w:sz w:val="18"/>
                <w:szCs w:val="18"/>
              </w:rPr>
              <w:t xml:space="preserve">Number of enlarged </w:t>
            </w:r>
            <w:proofErr w:type="spellStart"/>
            <w:r w:rsidRPr="003E1C61">
              <w:rPr>
                <w:sz w:val="18"/>
                <w:szCs w:val="18"/>
              </w:rPr>
              <w:t>laminae</w:t>
            </w:r>
            <w:proofErr w:type="spellEnd"/>
          </w:p>
          <w:p w:rsidR="003277A2" w:rsidRPr="003E1C61" w:rsidRDefault="003277A2" w:rsidP="00C26909">
            <w:pPr>
              <w:numPr>
                <w:ilvl w:val="0"/>
                <w:numId w:val="1"/>
              </w:numPr>
              <w:ind w:left="162" w:hanging="162"/>
              <w:contextualSpacing/>
              <w:rPr>
                <w:sz w:val="18"/>
                <w:szCs w:val="18"/>
              </w:rPr>
            </w:pPr>
            <w:r w:rsidRPr="003E1C61">
              <w:rPr>
                <w:sz w:val="18"/>
                <w:szCs w:val="18"/>
              </w:rPr>
              <w:t>Overall cervical alignment (C2-C7 angle)</w:t>
            </w:r>
          </w:p>
        </w:tc>
        <w:tc>
          <w:tcPr>
            <w:tcW w:w="1448" w:type="dxa"/>
          </w:tcPr>
          <w:p w:rsidR="003277A2" w:rsidRPr="003E1C61" w:rsidRDefault="003277A2" w:rsidP="00C26909">
            <w:pPr>
              <w:numPr>
                <w:ilvl w:val="0"/>
                <w:numId w:val="1"/>
              </w:numPr>
              <w:ind w:left="162" w:hanging="162"/>
              <w:contextualSpacing/>
              <w:rPr>
                <w:sz w:val="18"/>
                <w:szCs w:val="18"/>
              </w:rPr>
            </w:pPr>
            <w:r w:rsidRPr="003E1C61">
              <w:rPr>
                <w:sz w:val="18"/>
                <w:szCs w:val="18"/>
              </w:rPr>
              <w:t>Signal change on T1- and T2-weighted imaging in both sagittal and axial planes</w:t>
            </w:r>
          </w:p>
        </w:tc>
        <w:tc>
          <w:tcPr>
            <w:tcW w:w="1415" w:type="dxa"/>
          </w:tcPr>
          <w:p w:rsidR="003277A2" w:rsidRPr="003E1C61" w:rsidRDefault="003277A2" w:rsidP="00C26909">
            <w:pPr>
              <w:numPr>
                <w:ilvl w:val="0"/>
                <w:numId w:val="1"/>
              </w:numPr>
              <w:ind w:left="162" w:hanging="162"/>
              <w:contextualSpacing/>
              <w:rPr>
                <w:sz w:val="18"/>
                <w:szCs w:val="18"/>
              </w:rPr>
            </w:pPr>
            <w:r w:rsidRPr="003E1C61">
              <w:rPr>
                <w:sz w:val="18"/>
                <w:szCs w:val="18"/>
              </w:rPr>
              <w:t>Recovery rate of JOA score</w:t>
            </w:r>
            <w:r>
              <w:rPr>
                <w:sz w:val="18"/>
                <w:szCs w:val="18"/>
              </w:rPr>
              <w:t>‡</w:t>
            </w:r>
          </w:p>
        </w:tc>
        <w:tc>
          <w:tcPr>
            <w:tcW w:w="1193" w:type="dxa"/>
          </w:tcPr>
          <w:p w:rsidR="003277A2" w:rsidRPr="003E1C61" w:rsidRDefault="003277A2" w:rsidP="00C26909">
            <w:pPr>
              <w:rPr>
                <w:sz w:val="18"/>
                <w:szCs w:val="18"/>
              </w:rPr>
            </w:pPr>
            <w:r w:rsidRPr="003E1C61">
              <w:rPr>
                <w:sz w:val="18"/>
                <w:szCs w:val="18"/>
              </w:rPr>
              <w:t>5 years (range 2–13 years) (74% f/u</w:t>
            </w:r>
            <w:r>
              <w:rPr>
                <w:sz w:val="18"/>
                <w:szCs w:val="18"/>
              </w:rPr>
              <w:t>; n = 114/154</w:t>
            </w:r>
            <w:r w:rsidRPr="003E1C61">
              <w:rPr>
                <w:sz w:val="18"/>
                <w:szCs w:val="18"/>
              </w:rPr>
              <w:t>)</w:t>
            </w:r>
          </w:p>
        </w:tc>
        <w:tc>
          <w:tcPr>
            <w:tcW w:w="3245" w:type="dxa"/>
          </w:tcPr>
          <w:p w:rsidR="003277A2" w:rsidRPr="008B74E0" w:rsidRDefault="003277A2" w:rsidP="00C26909">
            <w:pPr>
              <w:rPr>
                <w:b/>
                <w:sz w:val="18"/>
                <w:szCs w:val="18"/>
                <w:u w:val="single"/>
              </w:rPr>
            </w:pPr>
            <w:r w:rsidRPr="008B74E0">
              <w:rPr>
                <w:b/>
                <w:sz w:val="18"/>
                <w:szCs w:val="18"/>
                <w:u w:val="single"/>
              </w:rPr>
              <w:t>Risk of Poor Outcome (&lt; 50% in JOA recovery rate) in multivariate analysis</w:t>
            </w:r>
          </w:p>
          <w:p w:rsidR="003277A2" w:rsidRPr="003E1C61" w:rsidRDefault="003277A2" w:rsidP="00C26909">
            <w:pPr>
              <w:rPr>
                <w:sz w:val="18"/>
                <w:szCs w:val="18"/>
              </w:rPr>
            </w:pPr>
            <w:r w:rsidRPr="003E1C61">
              <w:rPr>
                <w:sz w:val="18"/>
                <w:szCs w:val="18"/>
              </w:rPr>
              <w:t xml:space="preserve">OR = 4.10 (95% CI, 1.51-11.12); </w:t>
            </w:r>
            <w:r w:rsidRPr="003E1C61">
              <w:rPr>
                <w:i/>
                <w:sz w:val="18"/>
                <w:szCs w:val="18"/>
              </w:rPr>
              <w:t>P</w:t>
            </w:r>
            <w:r w:rsidRPr="003E1C61">
              <w:rPr>
                <w:sz w:val="18"/>
                <w:szCs w:val="18"/>
              </w:rPr>
              <w:t xml:space="preserve"> &lt; .01</w:t>
            </w:r>
          </w:p>
          <w:p w:rsidR="003277A2" w:rsidRDefault="003277A2" w:rsidP="00C26909">
            <w:pPr>
              <w:rPr>
                <w:sz w:val="18"/>
                <w:szCs w:val="18"/>
              </w:rPr>
            </w:pPr>
          </w:p>
          <w:p w:rsidR="003277A2" w:rsidRPr="003E1C61" w:rsidRDefault="003277A2" w:rsidP="00C26909">
            <w:pPr>
              <w:rPr>
                <w:sz w:val="18"/>
                <w:szCs w:val="18"/>
              </w:rPr>
            </w:pPr>
            <w:r>
              <w:rPr>
                <w:sz w:val="18"/>
                <w:szCs w:val="18"/>
              </w:rPr>
              <w:t xml:space="preserve">“Signal intensity </w:t>
            </w:r>
            <w:r w:rsidRPr="008B74E0">
              <w:rPr>
                <w:sz w:val="18"/>
                <w:szCs w:val="18"/>
              </w:rPr>
              <w:t>change in the spinal cord on MRI also was another</w:t>
            </w:r>
            <w:r>
              <w:rPr>
                <w:sz w:val="18"/>
                <w:szCs w:val="18"/>
              </w:rPr>
              <w:t xml:space="preserve"> </w:t>
            </w:r>
            <w:r w:rsidRPr="008B74E0">
              <w:rPr>
                <w:sz w:val="18"/>
                <w:szCs w:val="18"/>
              </w:rPr>
              <w:t>factor associated with poor surgical outcomes.</w:t>
            </w:r>
            <w:r>
              <w:rPr>
                <w:sz w:val="18"/>
                <w:szCs w:val="18"/>
              </w:rPr>
              <w:t xml:space="preserve"> The patients with signal intensity changes showed poor neurological recovery, even after sufficient decompression surgery.”</w:t>
            </w:r>
          </w:p>
        </w:tc>
      </w:tr>
      <w:tr w:rsidR="0043721E" w:rsidRPr="003E1C61" w:rsidTr="00DC4E9E">
        <w:tc>
          <w:tcPr>
            <w:tcW w:w="1248" w:type="dxa"/>
          </w:tcPr>
          <w:p w:rsidR="003277A2" w:rsidRPr="00BD5185" w:rsidRDefault="003277A2" w:rsidP="00C26909">
            <w:pPr>
              <w:rPr>
                <w:sz w:val="18"/>
                <w:szCs w:val="18"/>
                <w:lang w:val="en-AU"/>
              </w:rPr>
            </w:pPr>
            <w:proofErr w:type="spellStart"/>
            <w:r w:rsidRPr="00BD5185">
              <w:rPr>
                <w:sz w:val="18"/>
                <w:szCs w:val="18"/>
                <w:lang w:val="en-AU"/>
              </w:rPr>
              <w:t>Suri</w:t>
            </w:r>
            <w:proofErr w:type="spellEnd"/>
            <w:r w:rsidRPr="00BD5185">
              <w:rPr>
                <w:sz w:val="18"/>
                <w:szCs w:val="18"/>
                <w:lang w:val="en-AU"/>
              </w:rPr>
              <w:t xml:space="preserve"> et al. (2003)</w:t>
            </w:r>
          </w:p>
          <w:p w:rsidR="003277A2" w:rsidRPr="00BD5185" w:rsidRDefault="003277A2" w:rsidP="00C26909">
            <w:pPr>
              <w:rPr>
                <w:sz w:val="18"/>
                <w:szCs w:val="18"/>
                <w:lang w:val="en-AU"/>
              </w:rPr>
            </w:pPr>
          </w:p>
          <w:p w:rsidR="003277A2" w:rsidRPr="00BD5185" w:rsidRDefault="003277A2" w:rsidP="00B939A0">
            <w:pPr>
              <w:rPr>
                <w:sz w:val="18"/>
                <w:szCs w:val="18"/>
                <w:lang w:val="en-AU"/>
              </w:rPr>
            </w:pPr>
            <w:r w:rsidRPr="00BD5185">
              <w:rPr>
                <w:sz w:val="18"/>
                <w:szCs w:val="18"/>
                <w:lang w:val="en-AU"/>
              </w:rPr>
              <w:t xml:space="preserve">Retrospective </w:t>
            </w:r>
            <w:r w:rsidR="00B939A0">
              <w:rPr>
                <w:sz w:val="18"/>
                <w:szCs w:val="18"/>
                <w:lang w:val="en-AU"/>
              </w:rPr>
              <w:t>cohort</w:t>
            </w:r>
          </w:p>
        </w:tc>
        <w:tc>
          <w:tcPr>
            <w:tcW w:w="1741" w:type="dxa"/>
          </w:tcPr>
          <w:p w:rsidR="003277A2" w:rsidRPr="00BD5185" w:rsidRDefault="003277A2" w:rsidP="00C26909">
            <w:pPr>
              <w:pStyle w:val="NoSpacing"/>
              <w:rPr>
                <w:rFonts w:ascii="Times New Roman" w:hAnsi="Times New Roman"/>
                <w:sz w:val="18"/>
                <w:szCs w:val="18"/>
                <w:lang w:val="en-AU"/>
              </w:rPr>
            </w:pPr>
            <w:r w:rsidRPr="00BD5185">
              <w:rPr>
                <w:rFonts w:ascii="Times New Roman" w:hAnsi="Times New Roman"/>
                <w:sz w:val="18"/>
                <w:szCs w:val="18"/>
                <w:lang w:val="en-AU"/>
              </w:rPr>
              <w:t xml:space="preserve">To assess the prognostic value of various clinical and MRI factors </w:t>
            </w:r>
          </w:p>
        </w:tc>
        <w:tc>
          <w:tcPr>
            <w:tcW w:w="2362" w:type="dxa"/>
          </w:tcPr>
          <w:p w:rsidR="003277A2" w:rsidRPr="00BD5185" w:rsidRDefault="003277A2" w:rsidP="00C26909">
            <w:pPr>
              <w:rPr>
                <w:sz w:val="18"/>
                <w:szCs w:val="18"/>
                <w:lang w:val="en-AU"/>
              </w:rPr>
            </w:pPr>
            <w:r w:rsidRPr="00BD5185">
              <w:rPr>
                <w:sz w:val="18"/>
                <w:szCs w:val="18"/>
                <w:lang w:val="en-AU"/>
              </w:rPr>
              <w:t>N</w:t>
            </w:r>
            <w:r>
              <w:rPr>
                <w:sz w:val="18"/>
                <w:szCs w:val="18"/>
                <w:lang w:val="en-AU"/>
              </w:rPr>
              <w:t xml:space="preserve"> </w:t>
            </w:r>
            <w:r w:rsidRPr="00BD5185">
              <w:rPr>
                <w:sz w:val="18"/>
                <w:szCs w:val="18"/>
                <w:lang w:val="en-AU"/>
              </w:rPr>
              <w:t>=</w:t>
            </w:r>
            <w:r>
              <w:rPr>
                <w:sz w:val="18"/>
                <w:szCs w:val="18"/>
                <w:lang w:val="en-AU"/>
              </w:rPr>
              <w:t xml:space="preserve"> </w:t>
            </w:r>
            <w:r w:rsidRPr="00BD5185">
              <w:rPr>
                <w:sz w:val="18"/>
                <w:szCs w:val="18"/>
                <w:lang w:val="en-AU"/>
              </w:rPr>
              <w:t>146</w:t>
            </w:r>
          </w:p>
          <w:p w:rsidR="003277A2" w:rsidRPr="00BD5185" w:rsidRDefault="003277A2" w:rsidP="00C26909">
            <w:pPr>
              <w:ind w:left="171"/>
              <w:rPr>
                <w:sz w:val="18"/>
                <w:szCs w:val="18"/>
                <w:lang w:val="en-AU"/>
              </w:rPr>
            </w:pPr>
            <w:r w:rsidRPr="00BD5185">
              <w:rPr>
                <w:sz w:val="18"/>
                <w:szCs w:val="18"/>
                <w:lang w:val="en-AU"/>
              </w:rPr>
              <w:t>Male: 79.5%</w:t>
            </w:r>
          </w:p>
          <w:p w:rsidR="003277A2" w:rsidRPr="00BD5185" w:rsidRDefault="003277A2" w:rsidP="00C26909">
            <w:pPr>
              <w:ind w:left="171"/>
              <w:rPr>
                <w:sz w:val="18"/>
                <w:szCs w:val="18"/>
                <w:lang w:val="en-AU"/>
              </w:rPr>
            </w:pPr>
            <w:r w:rsidRPr="00BD5185">
              <w:rPr>
                <w:sz w:val="18"/>
                <w:szCs w:val="18"/>
                <w:lang w:val="en-AU"/>
              </w:rPr>
              <w:t>Mean age (range): 47.1 (17-76) years</w:t>
            </w:r>
          </w:p>
          <w:p w:rsidR="003277A2" w:rsidRPr="00BD5185" w:rsidRDefault="003277A2" w:rsidP="00C26909">
            <w:pPr>
              <w:ind w:left="171"/>
              <w:rPr>
                <w:sz w:val="18"/>
                <w:szCs w:val="18"/>
                <w:lang w:val="en-AU"/>
              </w:rPr>
            </w:pPr>
            <w:r w:rsidRPr="00BD5185">
              <w:rPr>
                <w:sz w:val="18"/>
                <w:szCs w:val="18"/>
                <w:lang w:val="en-AU"/>
              </w:rPr>
              <w:t>Mean duration of symptoms (range): 11.7 (1.5-120) months</w:t>
            </w:r>
          </w:p>
          <w:p w:rsidR="003277A2" w:rsidRDefault="003277A2" w:rsidP="00C26909">
            <w:pPr>
              <w:rPr>
                <w:sz w:val="18"/>
                <w:szCs w:val="18"/>
                <w:lang w:val="en-AU"/>
              </w:rPr>
            </w:pPr>
          </w:p>
          <w:p w:rsidR="003277A2" w:rsidRDefault="003277A2" w:rsidP="00C26909">
            <w:pPr>
              <w:rPr>
                <w:sz w:val="18"/>
                <w:szCs w:val="18"/>
                <w:u w:val="single"/>
              </w:rPr>
            </w:pPr>
            <w:r w:rsidRPr="003E1C61">
              <w:rPr>
                <w:sz w:val="18"/>
                <w:szCs w:val="18"/>
                <w:u w:val="single"/>
              </w:rPr>
              <w:t>Diagnosis:</w:t>
            </w:r>
          </w:p>
          <w:p w:rsidR="003277A2" w:rsidRPr="000C64D2" w:rsidRDefault="003277A2" w:rsidP="00C26909">
            <w:pPr>
              <w:numPr>
                <w:ilvl w:val="0"/>
                <w:numId w:val="2"/>
              </w:numPr>
              <w:tabs>
                <w:tab w:val="clear" w:pos="720"/>
                <w:tab w:val="num" w:pos="252"/>
              </w:tabs>
              <w:ind w:left="252" w:hanging="180"/>
              <w:contextualSpacing/>
              <w:rPr>
                <w:sz w:val="18"/>
                <w:szCs w:val="18"/>
              </w:rPr>
            </w:pPr>
            <w:r w:rsidRPr="000C64D2">
              <w:rPr>
                <w:sz w:val="18"/>
                <w:szCs w:val="20"/>
              </w:rPr>
              <w:t>CSM</w:t>
            </w:r>
          </w:p>
          <w:p w:rsidR="003277A2" w:rsidRPr="003E1C61" w:rsidRDefault="003277A2" w:rsidP="00C26909">
            <w:pPr>
              <w:contextualSpacing/>
              <w:rPr>
                <w:sz w:val="18"/>
                <w:szCs w:val="18"/>
              </w:rPr>
            </w:pPr>
          </w:p>
          <w:p w:rsidR="003277A2" w:rsidRPr="003E1C61" w:rsidRDefault="003277A2" w:rsidP="00C26909">
            <w:pPr>
              <w:contextualSpacing/>
              <w:rPr>
                <w:sz w:val="18"/>
                <w:szCs w:val="18"/>
              </w:rPr>
            </w:pPr>
            <w:r w:rsidRPr="003E1C61">
              <w:rPr>
                <w:sz w:val="18"/>
                <w:szCs w:val="18"/>
                <w:u w:val="single"/>
              </w:rPr>
              <w:t>Decompression surgery</w:t>
            </w:r>
            <w:r w:rsidRPr="003E1C61">
              <w:rPr>
                <w:sz w:val="18"/>
                <w:szCs w:val="18"/>
              </w:rPr>
              <w:t>:</w:t>
            </w:r>
          </w:p>
          <w:p w:rsidR="003277A2" w:rsidRPr="00BD5185" w:rsidRDefault="003277A2" w:rsidP="00C26909">
            <w:pPr>
              <w:numPr>
                <w:ilvl w:val="0"/>
                <w:numId w:val="2"/>
              </w:numPr>
              <w:tabs>
                <w:tab w:val="clear" w:pos="720"/>
                <w:tab w:val="num" w:pos="252"/>
              </w:tabs>
              <w:ind w:left="252" w:hanging="180"/>
              <w:contextualSpacing/>
              <w:rPr>
                <w:sz w:val="18"/>
                <w:szCs w:val="18"/>
                <w:lang w:val="en-AU"/>
              </w:rPr>
            </w:pPr>
            <w:r>
              <w:rPr>
                <w:sz w:val="18"/>
                <w:szCs w:val="20"/>
              </w:rPr>
              <w:t>Anterior cervical discectomy, corpectomy, laminectomy, or laminoplasty</w:t>
            </w:r>
          </w:p>
        </w:tc>
        <w:tc>
          <w:tcPr>
            <w:tcW w:w="1478" w:type="dxa"/>
          </w:tcPr>
          <w:p w:rsidR="003277A2" w:rsidRPr="00BD5185" w:rsidRDefault="003277A2" w:rsidP="00C26909">
            <w:pPr>
              <w:pStyle w:val="ListParagraph"/>
              <w:numPr>
                <w:ilvl w:val="0"/>
                <w:numId w:val="1"/>
              </w:numPr>
              <w:spacing w:after="0" w:line="240" w:lineRule="auto"/>
              <w:ind w:left="162" w:hanging="162"/>
              <w:rPr>
                <w:rFonts w:ascii="Times New Roman" w:hAnsi="Times New Roman"/>
                <w:sz w:val="18"/>
                <w:szCs w:val="18"/>
                <w:lang w:val="en-AU"/>
              </w:rPr>
            </w:pPr>
            <w:r w:rsidRPr="00BD5185">
              <w:rPr>
                <w:rFonts w:ascii="Times New Roman" w:hAnsi="Times New Roman"/>
                <w:sz w:val="18"/>
                <w:szCs w:val="18"/>
                <w:lang w:val="en-AU"/>
              </w:rPr>
              <w:t>Age</w:t>
            </w:r>
          </w:p>
          <w:p w:rsidR="003277A2" w:rsidRPr="00BD5185" w:rsidRDefault="003277A2" w:rsidP="00C26909">
            <w:pPr>
              <w:pStyle w:val="ListParagraph"/>
              <w:numPr>
                <w:ilvl w:val="0"/>
                <w:numId w:val="1"/>
              </w:numPr>
              <w:spacing w:after="0" w:line="240" w:lineRule="auto"/>
              <w:ind w:left="162" w:hanging="162"/>
              <w:rPr>
                <w:rFonts w:ascii="Times New Roman" w:hAnsi="Times New Roman"/>
                <w:sz w:val="18"/>
                <w:szCs w:val="18"/>
                <w:lang w:val="en-AU"/>
              </w:rPr>
            </w:pPr>
            <w:r w:rsidRPr="00BD5185">
              <w:rPr>
                <w:rFonts w:ascii="Times New Roman" w:hAnsi="Times New Roman"/>
                <w:sz w:val="18"/>
                <w:szCs w:val="18"/>
                <w:lang w:val="en-AU"/>
              </w:rPr>
              <w:t>Duration of symptoms</w:t>
            </w:r>
          </w:p>
          <w:p w:rsidR="003277A2" w:rsidRPr="00BD5185" w:rsidRDefault="003277A2" w:rsidP="00C26909">
            <w:pPr>
              <w:pStyle w:val="ListParagraph"/>
              <w:numPr>
                <w:ilvl w:val="0"/>
                <w:numId w:val="1"/>
              </w:numPr>
              <w:spacing w:after="0" w:line="240" w:lineRule="auto"/>
              <w:ind w:left="162" w:hanging="162"/>
              <w:rPr>
                <w:rFonts w:ascii="Times New Roman" w:hAnsi="Times New Roman"/>
                <w:sz w:val="18"/>
                <w:szCs w:val="18"/>
                <w:lang w:val="en-AU"/>
              </w:rPr>
            </w:pPr>
            <w:r w:rsidRPr="00BD5185">
              <w:rPr>
                <w:rFonts w:ascii="Times New Roman" w:hAnsi="Times New Roman"/>
                <w:sz w:val="18"/>
                <w:szCs w:val="18"/>
                <w:lang w:val="en-AU"/>
              </w:rPr>
              <w:t>Surgical approach</w:t>
            </w:r>
          </w:p>
        </w:tc>
        <w:tc>
          <w:tcPr>
            <w:tcW w:w="1448" w:type="dxa"/>
          </w:tcPr>
          <w:p w:rsidR="003277A2" w:rsidRPr="00BD5185" w:rsidRDefault="003277A2" w:rsidP="00C26909">
            <w:pPr>
              <w:pStyle w:val="ListParagraph"/>
              <w:numPr>
                <w:ilvl w:val="0"/>
                <w:numId w:val="1"/>
              </w:numPr>
              <w:spacing w:after="0" w:line="240" w:lineRule="auto"/>
              <w:ind w:left="162" w:hanging="162"/>
              <w:rPr>
                <w:rFonts w:ascii="Times New Roman" w:hAnsi="Times New Roman"/>
                <w:sz w:val="18"/>
                <w:szCs w:val="18"/>
                <w:lang w:val="en-AU"/>
              </w:rPr>
            </w:pPr>
            <w:r w:rsidRPr="00BD5185">
              <w:rPr>
                <w:rFonts w:ascii="Times New Roman" w:hAnsi="Times New Roman"/>
                <w:sz w:val="18"/>
                <w:szCs w:val="18"/>
                <w:lang w:val="en-AU"/>
              </w:rPr>
              <w:t>Number of prolapsed intervertebral discs</w:t>
            </w:r>
            <w:r>
              <w:rPr>
                <w:rFonts w:ascii="Times New Roman" w:hAnsi="Times New Roman"/>
                <w:sz w:val="18"/>
                <w:szCs w:val="18"/>
                <w:lang w:val="en-AU"/>
              </w:rPr>
              <w:t xml:space="preserve"> (PIVDs)</w:t>
            </w:r>
          </w:p>
          <w:p w:rsidR="003277A2" w:rsidRDefault="003277A2" w:rsidP="00C26909">
            <w:pPr>
              <w:pStyle w:val="ListParagraph"/>
              <w:numPr>
                <w:ilvl w:val="0"/>
                <w:numId w:val="1"/>
              </w:numPr>
              <w:spacing w:after="0" w:line="240" w:lineRule="auto"/>
              <w:ind w:left="162" w:hanging="162"/>
              <w:rPr>
                <w:rFonts w:ascii="Times New Roman" w:hAnsi="Times New Roman"/>
                <w:sz w:val="18"/>
                <w:szCs w:val="18"/>
                <w:lang w:val="en-AU"/>
              </w:rPr>
            </w:pPr>
            <w:r>
              <w:rPr>
                <w:rFonts w:ascii="Times New Roman" w:hAnsi="Times New Roman"/>
                <w:sz w:val="18"/>
                <w:szCs w:val="18"/>
                <w:lang w:val="en-AU"/>
              </w:rPr>
              <w:t>Intramedullary s</w:t>
            </w:r>
            <w:r w:rsidRPr="00BD5185">
              <w:rPr>
                <w:rFonts w:ascii="Times New Roman" w:hAnsi="Times New Roman"/>
                <w:sz w:val="18"/>
                <w:szCs w:val="18"/>
                <w:lang w:val="en-AU"/>
              </w:rPr>
              <w:t>ignal changes</w:t>
            </w:r>
            <w:r>
              <w:rPr>
                <w:rFonts w:ascii="Times New Roman" w:hAnsi="Times New Roman"/>
                <w:sz w:val="18"/>
                <w:szCs w:val="18"/>
                <w:lang w:val="en-AU"/>
              </w:rPr>
              <w:t xml:space="preserve"> (ISCs)</w:t>
            </w:r>
            <w:r w:rsidRPr="00BD5185">
              <w:rPr>
                <w:rFonts w:ascii="Times New Roman" w:hAnsi="Times New Roman"/>
                <w:sz w:val="18"/>
                <w:szCs w:val="18"/>
                <w:lang w:val="en-AU"/>
              </w:rPr>
              <w:t xml:space="preserve"> on T1WI and T2WI</w:t>
            </w:r>
          </w:p>
          <w:p w:rsidR="003277A2" w:rsidRDefault="003277A2" w:rsidP="00C26909">
            <w:pPr>
              <w:pStyle w:val="ListParagraph"/>
              <w:spacing w:after="0" w:line="240" w:lineRule="auto"/>
              <w:rPr>
                <w:rFonts w:ascii="Times New Roman" w:hAnsi="Times New Roman"/>
                <w:sz w:val="18"/>
                <w:szCs w:val="18"/>
                <w:lang w:val="en-AU"/>
              </w:rPr>
            </w:pPr>
          </w:p>
          <w:p w:rsidR="003277A2" w:rsidRPr="00BD5185" w:rsidRDefault="003277A2" w:rsidP="00C26909">
            <w:pPr>
              <w:pStyle w:val="ListParagraph"/>
              <w:spacing w:after="0" w:line="240" w:lineRule="auto"/>
              <w:rPr>
                <w:rFonts w:ascii="Times New Roman" w:hAnsi="Times New Roman"/>
                <w:sz w:val="18"/>
                <w:szCs w:val="18"/>
                <w:lang w:val="en-AU"/>
              </w:rPr>
            </w:pPr>
          </w:p>
        </w:tc>
        <w:tc>
          <w:tcPr>
            <w:tcW w:w="1415" w:type="dxa"/>
          </w:tcPr>
          <w:p w:rsidR="003277A2" w:rsidRPr="00BD5185" w:rsidRDefault="003277A2" w:rsidP="00C26909">
            <w:pPr>
              <w:pStyle w:val="ListParagraph"/>
              <w:numPr>
                <w:ilvl w:val="0"/>
                <w:numId w:val="1"/>
              </w:numPr>
              <w:spacing w:after="0" w:line="240" w:lineRule="auto"/>
              <w:ind w:left="162" w:hanging="162"/>
              <w:rPr>
                <w:rFonts w:ascii="Times New Roman" w:hAnsi="Times New Roman"/>
                <w:sz w:val="18"/>
                <w:szCs w:val="18"/>
                <w:lang w:val="en-AU"/>
              </w:rPr>
            </w:pPr>
            <w:r w:rsidRPr="00BD5185">
              <w:rPr>
                <w:rFonts w:ascii="Times New Roman" w:hAnsi="Times New Roman"/>
                <w:sz w:val="18"/>
                <w:szCs w:val="18"/>
                <w:lang w:val="en-AU"/>
              </w:rPr>
              <w:t>Motor Improvement</w:t>
            </w:r>
          </w:p>
          <w:p w:rsidR="003277A2" w:rsidRPr="00BD5185" w:rsidRDefault="003277A2" w:rsidP="00C26909">
            <w:pPr>
              <w:pStyle w:val="ListParagraph"/>
              <w:numPr>
                <w:ilvl w:val="0"/>
                <w:numId w:val="1"/>
              </w:numPr>
              <w:spacing w:after="0" w:line="240" w:lineRule="auto"/>
              <w:ind w:left="162" w:hanging="162"/>
              <w:rPr>
                <w:rFonts w:ascii="Times New Roman" w:hAnsi="Times New Roman"/>
                <w:sz w:val="18"/>
                <w:szCs w:val="18"/>
                <w:lang w:val="en-AU"/>
              </w:rPr>
            </w:pPr>
            <w:r w:rsidRPr="00BD5185">
              <w:rPr>
                <w:rFonts w:ascii="Times New Roman" w:hAnsi="Times New Roman"/>
                <w:sz w:val="18"/>
                <w:szCs w:val="18"/>
                <w:lang w:val="en-AU"/>
              </w:rPr>
              <w:t xml:space="preserve">Nurick grade </w:t>
            </w:r>
          </w:p>
        </w:tc>
        <w:tc>
          <w:tcPr>
            <w:tcW w:w="1193" w:type="dxa"/>
          </w:tcPr>
          <w:p w:rsidR="003277A2" w:rsidRDefault="003277A2" w:rsidP="00C26909">
            <w:pPr>
              <w:rPr>
                <w:sz w:val="18"/>
                <w:szCs w:val="18"/>
                <w:lang w:val="en-AU"/>
              </w:rPr>
            </w:pPr>
            <w:r w:rsidRPr="00BD5185">
              <w:rPr>
                <w:sz w:val="18"/>
                <w:szCs w:val="18"/>
                <w:lang w:val="en-AU"/>
              </w:rPr>
              <w:t xml:space="preserve">3 and 6 months </w:t>
            </w:r>
          </w:p>
          <w:p w:rsidR="003277A2" w:rsidRPr="00BD5185" w:rsidRDefault="003277A2" w:rsidP="00C26909">
            <w:pPr>
              <w:rPr>
                <w:sz w:val="18"/>
                <w:szCs w:val="18"/>
                <w:lang w:val="en-AU"/>
              </w:rPr>
            </w:pPr>
            <w:r>
              <w:rPr>
                <w:sz w:val="18"/>
                <w:szCs w:val="18"/>
                <w:lang w:val="en-AU"/>
              </w:rPr>
              <w:t xml:space="preserve">(Postop MRI was obtained in 44 of 121 (36.4%) patients with ISCs on </w:t>
            </w:r>
            <w:proofErr w:type="spellStart"/>
            <w:r>
              <w:rPr>
                <w:sz w:val="18"/>
                <w:szCs w:val="18"/>
                <w:lang w:val="en-AU"/>
              </w:rPr>
              <w:t>preop</w:t>
            </w:r>
            <w:proofErr w:type="spellEnd"/>
            <w:r>
              <w:rPr>
                <w:sz w:val="18"/>
                <w:szCs w:val="18"/>
                <w:lang w:val="en-AU"/>
              </w:rPr>
              <w:t xml:space="preserve"> MRI)</w:t>
            </w:r>
          </w:p>
        </w:tc>
        <w:tc>
          <w:tcPr>
            <w:tcW w:w="3245" w:type="dxa"/>
          </w:tcPr>
          <w:p w:rsidR="003277A2" w:rsidRPr="00BD5185" w:rsidRDefault="003277A2" w:rsidP="00C26909">
            <w:pPr>
              <w:rPr>
                <w:i/>
                <w:sz w:val="18"/>
                <w:szCs w:val="18"/>
                <w:lang w:val="en-AU"/>
              </w:rPr>
            </w:pPr>
            <w:r w:rsidRPr="00BD5185">
              <w:rPr>
                <w:b/>
                <w:sz w:val="18"/>
                <w:szCs w:val="18"/>
                <w:lang w:val="en-AU"/>
              </w:rPr>
              <w:t>Motor improvement</w:t>
            </w:r>
            <w:r w:rsidRPr="00BD5185">
              <w:rPr>
                <w:sz w:val="18"/>
                <w:szCs w:val="18"/>
                <w:lang w:val="en-AU"/>
              </w:rPr>
              <w:t xml:space="preserve">  </w:t>
            </w:r>
            <w:proofErr w:type="spellStart"/>
            <w:r w:rsidRPr="00BD5185">
              <w:rPr>
                <w:i/>
                <w:sz w:val="18"/>
                <w:szCs w:val="18"/>
                <w:lang w:val="en-AU"/>
              </w:rPr>
              <w:t>aOR</w:t>
            </w:r>
            <w:proofErr w:type="spellEnd"/>
            <w:r w:rsidRPr="00BD5185">
              <w:rPr>
                <w:i/>
                <w:sz w:val="18"/>
                <w:szCs w:val="18"/>
                <w:lang w:val="en-AU"/>
              </w:rPr>
              <w:t xml:space="preserve"> (95% CI)</w:t>
            </w:r>
          </w:p>
          <w:p w:rsidR="003277A2" w:rsidRPr="00BD5185" w:rsidRDefault="003277A2" w:rsidP="00C26909">
            <w:pPr>
              <w:ind w:left="87"/>
              <w:rPr>
                <w:sz w:val="18"/>
                <w:szCs w:val="18"/>
                <w:u w:val="single"/>
                <w:lang w:val="en-AU"/>
              </w:rPr>
            </w:pPr>
            <w:r w:rsidRPr="00BD5185">
              <w:rPr>
                <w:sz w:val="18"/>
                <w:szCs w:val="18"/>
                <w:u w:val="single"/>
                <w:lang w:val="en-AU"/>
              </w:rPr>
              <w:t xml:space="preserve">Number of  PIVDs  </w:t>
            </w:r>
          </w:p>
          <w:p w:rsidR="003277A2" w:rsidRPr="00BD5185" w:rsidRDefault="003277A2" w:rsidP="00C26909">
            <w:pPr>
              <w:numPr>
                <w:ilvl w:val="0"/>
                <w:numId w:val="1"/>
              </w:numPr>
              <w:ind w:left="357" w:hanging="180"/>
              <w:contextualSpacing/>
              <w:rPr>
                <w:sz w:val="18"/>
                <w:szCs w:val="18"/>
              </w:rPr>
            </w:pPr>
            <w:r w:rsidRPr="00BD5185">
              <w:rPr>
                <w:sz w:val="18"/>
                <w:szCs w:val="18"/>
                <w:lang w:val="en-AU"/>
              </w:rPr>
              <w:t xml:space="preserve">1 </w:t>
            </w:r>
            <w:r w:rsidRPr="00BD5185">
              <w:rPr>
                <w:sz w:val="18"/>
                <w:szCs w:val="18"/>
              </w:rPr>
              <w:t>vs. ≥</w:t>
            </w:r>
            <w:r>
              <w:rPr>
                <w:sz w:val="18"/>
                <w:szCs w:val="18"/>
              </w:rPr>
              <w:t xml:space="preserve"> </w:t>
            </w:r>
            <w:r w:rsidRPr="00BD5185">
              <w:rPr>
                <w:sz w:val="18"/>
                <w:szCs w:val="18"/>
              </w:rPr>
              <w:t xml:space="preserve">3 levels: 2.12  (0.7, 10.4)  </w:t>
            </w:r>
          </w:p>
          <w:p w:rsidR="003277A2" w:rsidRPr="00BD5185" w:rsidRDefault="003277A2" w:rsidP="00C26909">
            <w:pPr>
              <w:numPr>
                <w:ilvl w:val="0"/>
                <w:numId w:val="1"/>
              </w:numPr>
              <w:ind w:left="357" w:hanging="180"/>
              <w:contextualSpacing/>
              <w:rPr>
                <w:sz w:val="18"/>
                <w:szCs w:val="18"/>
                <w:lang w:val="en-AU"/>
              </w:rPr>
            </w:pPr>
            <w:r w:rsidRPr="00BD5185">
              <w:rPr>
                <w:sz w:val="18"/>
                <w:szCs w:val="18"/>
              </w:rPr>
              <w:t>2 v</w:t>
            </w:r>
            <w:r w:rsidRPr="00BD5185">
              <w:rPr>
                <w:sz w:val="18"/>
                <w:szCs w:val="18"/>
                <w:lang w:val="en-AU"/>
              </w:rPr>
              <w:t>s. ≥</w:t>
            </w:r>
            <w:r>
              <w:rPr>
                <w:sz w:val="18"/>
                <w:szCs w:val="18"/>
                <w:lang w:val="en-AU"/>
              </w:rPr>
              <w:t xml:space="preserve"> </w:t>
            </w:r>
            <w:r w:rsidRPr="00BD5185">
              <w:rPr>
                <w:sz w:val="18"/>
                <w:szCs w:val="18"/>
                <w:lang w:val="en-AU"/>
              </w:rPr>
              <w:t xml:space="preserve">3 levels: 0.72 (0.22, 1.32)  </w:t>
            </w:r>
          </w:p>
          <w:p w:rsidR="003277A2" w:rsidRPr="00BD5185" w:rsidRDefault="003277A2" w:rsidP="00C26909">
            <w:pPr>
              <w:ind w:left="267"/>
              <w:rPr>
                <w:sz w:val="18"/>
                <w:szCs w:val="18"/>
                <w:lang w:val="en-AU"/>
              </w:rPr>
            </w:pPr>
            <w:r w:rsidRPr="00BD5185">
              <w:rPr>
                <w:i/>
                <w:sz w:val="18"/>
                <w:szCs w:val="18"/>
                <w:lang w:val="en-AU"/>
              </w:rPr>
              <w:t>P</w:t>
            </w:r>
            <w:r w:rsidRPr="00BD5185">
              <w:rPr>
                <w:sz w:val="18"/>
                <w:szCs w:val="18"/>
                <w:lang w:val="en-AU"/>
              </w:rPr>
              <w:t xml:space="preserve"> = NS</w:t>
            </w:r>
          </w:p>
          <w:p w:rsidR="003277A2" w:rsidRPr="00BD5185" w:rsidRDefault="003277A2" w:rsidP="00C26909">
            <w:pPr>
              <w:ind w:left="87"/>
              <w:rPr>
                <w:sz w:val="18"/>
                <w:szCs w:val="18"/>
                <w:u w:val="single"/>
                <w:lang w:val="en-AU"/>
              </w:rPr>
            </w:pPr>
            <w:r w:rsidRPr="00BD5185">
              <w:rPr>
                <w:sz w:val="18"/>
                <w:szCs w:val="18"/>
                <w:u w:val="single"/>
                <w:lang w:val="en-AU"/>
              </w:rPr>
              <w:t xml:space="preserve">Signal changes </w:t>
            </w:r>
          </w:p>
          <w:p w:rsidR="003277A2" w:rsidRPr="00BD5185" w:rsidRDefault="003277A2" w:rsidP="00C26909">
            <w:pPr>
              <w:numPr>
                <w:ilvl w:val="0"/>
                <w:numId w:val="1"/>
              </w:numPr>
              <w:ind w:left="357" w:hanging="180"/>
              <w:contextualSpacing/>
              <w:rPr>
                <w:sz w:val="18"/>
                <w:szCs w:val="18"/>
                <w:lang w:val="en-AU"/>
              </w:rPr>
            </w:pPr>
            <w:r w:rsidRPr="00B131A4">
              <w:rPr>
                <w:sz w:val="18"/>
                <w:szCs w:val="18"/>
                <w:lang w:val="en-AU"/>
              </w:rPr>
              <w:t>None</w:t>
            </w:r>
            <w:r w:rsidRPr="00BD5185">
              <w:rPr>
                <w:sz w:val="18"/>
                <w:szCs w:val="18"/>
                <w:lang w:val="en-AU"/>
              </w:rPr>
              <w:t xml:space="preserve"> vs. T1 + T2: 5.1 (1.87, 25.1)</w:t>
            </w:r>
          </w:p>
          <w:p w:rsidR="003277A2" w:rsidRPr="00BD5185" w:rsidRDefault="003277A2" w:rsidP="00C26909">
            <w:pPr>
              <w:ind w:left="267"/>
              <w:rPr>
                <w:sz w:val="18"/>
                <w:szCs w:val="18"/>
                <w:lang w:val="en-AU"/>
              </w:rPr>
            </w:pPr>
            <w:r w:rsidRPr="00BD5185">
              <w:rPr>
                <w:i/>
                <w:sz w:val="18"/>
                <w:szCs w:val="18"/>
                <w:lang w:val="en-AU"/>
              </w:rPr>
              <w:t>P</w:t>
            </w:r>
            <w:r w:rsidRPr="00BD5185">
              <w:rPr>
                <w:sz w:val="18"/>
                <w:szCs w:val="18"/>
                <w:lang w:val="en-AU"/>
              </w:rPr>
              <w:t xml:space="preserve"> </w:t>
            </w:r>
            <w:r>
              <w:rPr>
                <w:sz w:val="18"/>
                <w:szCs w:val="18"/>
                <w:lang w:val="en-AU"/>
              </w:rPr>
              <w:t xml:space="preserve">≤ </w:t>
            </w:r>
            <w:r w:rsidRPr="00BD5185">
              <w:rPr>
                <w:sz w:val="18"/>
                <w:szCs w:val="18"/>
                <w:lang w:val="en-AU"/>
              </w:rPr>
              <w:t>.001</w:t>
            </w:r>
          </w:p>
          <w:p w:rsidR="003277A2" w:rsidRPr="00BD5185" w:rsidRDefault="003277A2" w:rsidP="00C26909">
            <w:pPr>
              <w:numPr>
                <w:ilvl w:val="0"/>
                <w:numId w:val="1"/>
              </w:numPr>
              <w:ind w:left="357" w:hanging="180"/>
              <w:contextualSpacing/>
              <w:rPr>
                <w:sz w:val="18"/>
                <w:szCs w:val="18"/>
                <w:lang w:val="en-AU"/>
              </w:rPr>
            </w:pPr>
            <w:r w:rsidRPr="00BD5185">
              <w:rPr>
                <w:sz w:val="18"/>
                <w:szCs w:val="18"/>
                <w:lang w:val="en-AU"/>
              </w:rPr>
              <w:t>T2 vs. T1 + T2: 2.9 (1.4, 9.19)</w:t>
            </w:r>
          </w:p>
          <w:p w:rsidR="003277A2" w:rsidRDefault="003277A2" w:rsidP="00C26909">
            <w:pPr>
              <w:ind w:left="267"/>
              <w:rPr>
                <w:sz w:val="18"/>
                <w:szCs w:val="18"/>
                <w:lang w:val="en-AU"/>
              </w:rPr>
            </w:pPr>
            <w:r w:rsidRPr="00BD5185">
              <w:rPr>
                <w:i/>
                <w:sz w:val="18"/>
                <w:szCs w:val="18"/>
                <w:lang w:val="en-AU"/>
              </w:rPr>
              <w:t>P</w:t>
            </w:r>
            <w:r w:rsidRPr="00BD5185">
              <w:rPr>
                <w:sz w:val="18"/>
                <w:szCs w:val="18"/>
                <w:lang w:val="en-AU"/>
              </w:rPr>
              <w:t xml:space="preserve"> </w:t>
            </w:r>
            <w:r>
              <w:rPr>
                <w:sz w:val="18"/>
                <w:szCs w:val="18"/>
                <w:lang w:val="en-AU"/>
              </w:rPr>
              <w:t xml:space="preserve">≤ </w:t>
            </w:r>
            <w:r w:rsidRPr="00BD5185">
              <w:rPr>
                <w:sz w:val="18"/>
                <w:szCs w:val="18"/>
                <w:lang w:val="en-AU"/>
              </w:rPr>
              <w:t>.05</w:t>
            </w:r>
          </w:p>
          <w:p w:rsidR="003277A2" w:rsidRPr="00BD5185" w:rsidRDefault="003277A2" w:rsidP="00C26909">
            <w:pPr>
              <w:rPr>
                <w:sz w:val="18"/>
                <w:szCs w:val="18"/>
                <w:lang w:val="en-AU"/>
              </w:rPr>
            </w:pPr>
          </w:p>
          <w:p w:rsidR="003277A2" w:rsidRPr="00BD5185" w:rsidRDefault="003277A2" w:rsidP="00C26909">
            <w:pPr>
              <w:ind w:right="-73"/>
              <w:rPr>
                <w:sz w:val="18"/>
                <w:szCs w:val="18"/>
                <w:lang w:val="en-AU"/>
              </w:rPr>
            </w:pPr>
            <w:r w:rsidRPr="00BD5185">
              <w:rPr>
                <w:b/>
                <w:sz w:val="18"/>
                <w:szCs w:val="18"/>
                <w:lang w:val="en-AU"/>
              </w:rPr>
              <w:t>Nurick grade</w:t>
            </w:r>
            <w:r w:rsidRPr="00BD5185">
              <w:rPr>
                <w:sz w:val="18"/>
                <w:szCs w:val="18"/>
                <w:lang w:val="en-AU"/>
              </w:rPr>
              <w:t xml:space="preserve">  </w:t>
            </w:r>
            <w:proofErr w:type="spellStart"/>
            <w:r w:rsidRPr="00BD5185">
              <w:rPr>
                <w:i/>
                <w:sz w:val="18"/>
                <w:szCs w:val="18"/>
                <w:lang w:val="en-AU"/>
              </w:rPr>
              <w:t>aOR</w:t>
            </w:r>
            <w:proofErr w:type="spellEnd"/>
            <w:r w:rsidRPr="00BD5185">
              <w:rPr>
                <w:i/>
                <w:sz w:val="18"/>
                <w:szCs w:val="18"/>
                <w:lang w:val="en-AU"/>
              </w:rPr>
              <w:t xml:space="preserve"> (95% CI)</w:t>
            </w:r>
          </w:p>
          <w:p w:rsidR="003277A2" w:rsidRPr="00BD5185" w:rsidRDefault="003277A2" w:rsidP="00C26909">
            <w:pPr>
              <w:ind w:left="87"/>
              <w:rPr>
                <w:sz w:val="18"/>
                <w:szCs w:val="18"/>
                <w:u w:val="single"/>
                <w:lang w:val="en-AU"/>
              </w:rPr>
            </w:pPr>
            <w:r w:rsidRPr="00BD5185">
              <w:rPr>
                <w:sz w:val="18"/>
                <w:szCs w:val="18"/>
                <w:u w:val="single"/>
                <w:lang w:val="en-AU"/>
              </w:rPr>
              <w:t xml:space="preserve">Number of PIVDs  </w:t>
            </w:r>
          </w:p>
          <w:p w:rsidR="003277A2" w:rsidRPr="00BD5185" w:rsidRDefault="003277A2" w:rsidP="00C26909">
            <w:pPr>
              <w:numPr>
                <w:ilvl w:val="0"/>
                <w:numId w:val="1"/>
              </w:numPr>
              <w:ind w:left="357" w:hanging="180"/>
              <w:contextualSpacing/>
              <w:rPr>
                <w:sz w:val="18"/>
                <w:szCs w:val="18"/>
              </w:rPr>
            </w:pPr>
            <w:r w:rsidRPr="00BD5185">
              <w:rPr>
                <w:sz w:val="18"/>
                <w:szCs w:val="18"/>
                <w:lang w:val="en-AU"/>
              </w:rPr>
              <w:t xml:space="preserve">1 </w:t>
            </w:r>
            <w:r w:rsidRPr="00BD5185">
              <w:rPr>
                <w:sz w:val="18"/>
                <w:szCs w:val="18"/>
              </w:rPr>
              <w:t>vs. ≥</w:t>
            </w:r>
            <w:r>
              <w:rPr>
                <w:sz w:val="18"/>
                <w:szCs w:val="18"/>
              </w:rPr>
              <w:t xml:space="preserve"> </w:t>
            </w:r>
            <w:r w:rsidRPr="00BD5185">
              <w:rPr>
                <w:sz w:val="18"/>
                <w:szCs w:val="18"/>
              </w:rPr>
              <w:t xml:space="preserve">3 levels: 2.91  (0.7, 10.4)  </w:t>
            </w:r>
          </w:p>
          <w:p w:rsidR="003277A2" w:rsidRPr="00BD5185" w:rsidRDefault="003277A2" w:rsidP="00C26909">
            <w:pPr>
              <w:numPr>
                <w:ilvl w:val="0"/>
                <w:numId w:val="1"/>
              </w:numPr>
              <w:ind w:left="357" w:hanging="180"/>
              <w:contextualSpacing/>
              <w:rPr>
                <w:sz w:val="18"/>
                <w:szCs w:val="18"/>
                <w:lang w:val="en-AU"/>
              </w:rPr>
            </w:pPr>
            <w:r w:rsidRPr="00BD5185">
              <w:rPr>
                <w:sz w:val="18"/>
                <w:szCs w:val="18"/>
              </w:rPr>
              <w:t>2 v</w:t>
            </w:r>
            <w:r w:rsidRPr="00BD5185">
              <w:rPr>
                <w:sz w:val="18"/>
                <w:szCs w:val="18"/>
                <w:lang w:val="en-AU"/>
              </w:rPr>
              <w:t>s. ≥</w:t>
            </w:r>
            <w:r>
              <w:rPr>
                <w:sz w:val="18"/>
                <w:szCs w:val="18"/>
                <w:lang w:val="en-AU"/>
              </w:rPr>
              <w:t xml:space="preserve"> </w:t>
            </w:r>
            <w:r w:rsidRPr="00BD5185">
              <w:rPr>
                <w:sz w:val="18"/>
                <w:szCs w:val="18"/>
                <w:lang w:val="en-AU"/>
              </w:rPr>
              <w:t xml:space="preserve">3 levels: 2.61 (0.4, 8.9) </w:t>
            </w:r>
          </w:p>
          <w:p w:rsidR="003277A2" w:rsidRPr="00BD5185" w:rsidRDefault="003277A2" w:rsidP="00C26909">
            <w:pPr>
              <w:ind w:left="267"/>
              <w:rPr>
                <w:sz w:val="18"/>
                <w:szCs w:val="18"/>
                <w:lang w:val="en-AU"/>
              </w:rPr>
            </w:pPr>
            <w:r w:rsidRPr="00B131A4">
              <w:rPr>
                <w:i/>
                <w:sz w:val="18"/>
                <w:szCs w:val="18"/>
                <w:lang w:val="en-AU"/>
              </w:rPr>
              <w:t>P</w:t>
            </w:r>
            <w:r w:rsidRPr="00BD5185">
              <w:rPr>
                <w:sz w:val="18"/>
                <w:szCs w:val="18"/>
                <w:lang w:val="en-AU"/>
              </w:rPr>
              <w:t xml:space="preserve"> &lt; .001</w:t>
            </w:r>
          </w:p>
          <w:p w:rsidR="003277A2" w:rsidRPr="00BD5185" w:rsidRDefault="003277A2" w:rsidP="00C26909">
            <w:pPr>
              <w:ind w:left="87"/>
              <w:rPr>
                <w:sz w:val="18"/>
                <w:szCs w:val="18"/>
                <w:u w:val="single"/>
                <w:lang w:val="en-AU"/>
              </w:rPr>
            </w:pPr>
            <w:r w:rsidRPr="00BD5185">
              <w:rPr>
                <w:sz w:val="18"/>
                <w:szCs w:val="18"/>
                <w:u w:val="single"/>
                <w:lang w:val="en-AU"/>
              </w:rPr>
              <w:t xml:space="preserve">Signal changes </w:t>
            </w:r>
          </w:p>
          <w:p w:rsidR="003277A2" w:rsidRPr="00BD5185" w:rsidRDefault="003277A2" w:rsidP="00C26909">
            <w:pPr>
              <w:numPr>
                <w:ilvl w:val="0"/>
                <w:numId w:val="1"/>
              </w:numPr>
              <w:ind w:left="357" w:hanging="180"/>
              <w:contextualSpacing/>
              <w:rPr>
                <w:sz w:val="18"/>
                <w:szCs w:val="18"/>
              </w:rPr>
            </w:pPr>
            <w:r w:rsidRPr="00BD5185">
              <w:rPr>
                <w:sz w:val="18"/>
                <w:szCs w:val="18"/>
              </w:rPr>
              <w:t>None vs. T1 + T2: NR, P &gt; .05</w:t>
            </w:r>
          </w:p>
          <w:p w:rsidR="003277A2" w:rsidRDefault="003277A2" w:rsidP="00C26909">
            <w:pPr>
              <w:numPr>
                <w:ilvl w:val="0"/>
                <w:numId w:val="1"/>
              </w:numPr>
              <w:ind w:left="357" w:hanging="180"/>
              <w:contextualSpacing/>
              <w:rPr>
                <w:sz w:val="18"/>
                <w:szCs w:val="18"/>
                <w:lang w:val="en-AU"/>
              </w:rPr>
            </w:pPr>
            <w:r w:rsidRPr="00BD5185">
              <w:rPr>
                <w:sz w:val="18"/>
                <w:szCs w:val="18"/>
              </w:rPr>
              <w:t>T2</w:t>
            </w:r>
            <w:r w:rsidRPr="00BD5185">
              <w:rPr>
                <w:sz w:val="18"/>
                <w:szCs w:val="18"/>
                <w:lang w:val="en-AU"/>
              </w:rPr>
              <w:t xml:space="preserve"> vs. T1 + T2: 3.23 (1.2, 16.0) </w:t>
            </w:r>
          </w:p>
          <w:p w:rsidR="003277A2" w:rsidRPr="00BD5185" w:rsidRDefault="003277A2" w:rsidP="00C26909">
            <w:pPr>
              <w:ind w:left="267" w:hanging="90"/>
              <w:contextualSpacing/>
              <w:rPr>
                <w:sz w:val="18"/>
                <w:szCs w:val="18"/>
                <w:lang w:val="en-AU"/>
              </w:rPr>
            </w:pPr>
            <w:r w:rsidRPr="00B131A4">
              <w:rPr>
                <w:i/>
                <w:sz w:val="18"/>
                <w:szCs w:val="18"/>
                <w:lang w:val="en-AU"/>
              </w:rPr>
              <w:t>P</w:t>
            </w:r>
            <w:r w:rsidRPr="00BD5185">
              <w:rPr>
                <w:sz w:val="18"/>
                <w:szCs w:val="18"/>
                <w:lang w:val="en-AU"/>
              </w:rPr>
              <w:t xml:space="preserve"> &lt;.05</w:t>
            </w:r>
          </w:p>
        </w:tc>
      </w:tr>
      <w:tr w:rsidR="0043721E" w:rsidRPr="003E1C61" w:rsidTr="00DC4E9E">
        <w:tc>
          <w:tcPr>
            <w:tcW w:w="1248" w:type="dxa"/>
          </w:tcPr>
          <w:p w:rsidR="003277A2" w:rsidRPr="003E1C61" w:rsidRDefault="003277A2" w:rsidP="00C26909">
            <w:pPr>
              <w:rPr>
                <w:sz w:val="18"/>
                <w:szCs w:val="18"/>
                <w:lang w:val="en-AU"/>
              </w:rPr>
            </w:pPr>
            <w:r w:rsidRPr="003E1C61">
              <w:rPr>
                <w:sz w:val="18"/>
                <w:szCs w:val="18"/>
                <w:lang w:val="en-AU"/>
              </w:rPr>
              <w:t>Uchida (2005)</w:t>
            </w:r>
          </w:p>
          <w:p w:rsidR="003277A2" w:rsidRPr="003E1C61" w:rsidRDefault="003277A2" w:rsidP="00C26909">
            <w:pPr>
              <w:rPr>
                <w:sz w:val="18"/>
                <w:szCs w:val="18"/>
                <w:lang w:val="en-AU"/>
              </w:rPr>
            </w:pPr>
          </w:p>
          <w:p w:rsidR="003277A2" w:rsidRPr="003E1C61" w:rsidRDefault="003277A2" w:rsidP="00C26909">
            <w:pPr>
              <w:rPr>
                <w:sz w:val="18"/>
                <w:szCs w:val="18"/>
                <w:lang w:val="en-AU"/>
              </w:rPr>
            </w:pPr>
            <w:r w:rsidRPr="003E1C61">
              <w:rPr>
                <w:sz w:val="18"/>
                <w:szCs w:val="18"/>
                <w:lang w:val="en-AU"/>
              </w:rPr>
              <w:t>Retrospective cohort</w:t>
            </w:r>
          </w:p>
        </w:tc>
        <w:tc>
          <w:tcPr>
            <w:tcW w:w="1741" w:type="dxa"/>
          </w:tcPr>
          <w:p w:rsidR="003277A2" w:rsidRPr="003E1C61" w:rsidRDefault="003277A2" w:rsidP="00C26909">
            <w:pPr>
              <w:rPr>
                <w:sz w:val="18"/>
                <w:szCs w:val="18"/>
              </w:rPr>
            </w:pPr>
            <w:r w:rsidRPr="003E1C61">
              <w:rPr>
                <w:sz w:val="18"/>
                <w:szCs w:val="18"/>
              </w:rPr>
              <w:t xml:space="preserve">To report the results of multivariate analysis and multiple regression analysis of neurological </w:t>
            </w:r>
            <w:r w:rsidRPr="003E1C61">
              <w:rPr>
                <w:sz w:val="18"/>
                <w:szCs w:val="18"/>
              </w:rPr>
              <w:lastRenderedPageBreak/>
              <w:t>outcome in 135 patients who underwent cervical decompressive surgery.</w:t>
            </w:r>
          </w:p>
        </w:tc>
        <w:tc>
          <w:tcPr>
            <w:tcW w:w="2362" w:type="dxa"/>
          </w:tcPr>
          <w:p w:rsidR="003277A2" w:rsidRPr="003E1C61" w:rsidRDefault="003277A2" w:rsidP="00C26909">
            <w:pPr>
              <w:tabs>
                <w:tab w:val="num" w:pos="720"/>
              </w:tabs>
              <w:rPr>
                <w:sz w:val="18"/>
                <w:szCs w:val="18"/>
              </w:rPr>
            </w:pPr>
            <w:r w:rsidRPr="003E1C61">
              <w:rPr>
                <w:sz w:val="18"/>
                <w:szCs w:val="18"/>
              </w:rPr>
              <w:lastRenderedPageBreak/>
              <w:t>N =</w:t>
            </w:r>
            <w:r>
              <w:rPr>
                <w:sz w:val="18"/>
                <w:szCs w:val="18"/>
              </w:rPr>
              <w:t xml:space="preserve"> </w:t>
            </w:r>
            <w:r w:rsidRPr="003E1C61">
              <w:rPr>
                <w:sz w:val="18"/>
                <w:szCs w:val="18"/>
              </w:rPr>
              <w:t>135</w:t>
            </w:r>
          </w:p>
          <w:p w:rsidR="003277A2" w:rsidRPr="003E1C61" w:rsidRDefault="003277A2" w:rsidP="00C26909">
            <w:pPr>
              <w:ind w:left="72"/>
              <w:rPr>
                <w:sz w:val="18"/>
                <w:szCs w:val="18"/>
              </w:rPr>
            </w:pPr>
            <w:r w:rsidRPr="003E1C61">
              <w:rPr>
                <w:sz w:val="18"/>
                <w:szCs w:val="18"/>
              </w:rPr>
              <w:t>Male: 62%</w:t>
            </w:r>
          </w:p>
          <w:p w:rsidR="003277A2" w:rsidRDefault="003277A2" w:rsidP="00C26909">
            <w:pPr>
              <w:ind w:left="72"/>
              <w:rPr>
                <w:sz w:val="18"/>
                <w:szCs w:val="18"/>
              </w:rPr>
            </w:pPr>
            <w:r>
              <w:rPr>
                <w:sz w:val="18"/>
                <w:szCs w:val="18"/>
              </w:rPr>
              <w:t>Mean age (range): 43.8 years (27–</w:t>
            </w:r>
            <w:r w:rsidRPr="003E1C61">
              <w:rPr>
                <w:sz w:val="18"/>
                <w:szCs w:val="18"/>
              </w:rPr>
              <w:t xml:space="preserve">73) </w:t>
            </w:r>
          </w:p>
          <w:p w:rsidR="003277A2" w:rsidRPr="00197578" w:rsidRDefault="003277A2" w:rsidP="00C26909">
            <w:pPr>
              <w:ind w:left="72"/>
              <w:rPr>
                <w:sz w:val="18"/>
                <w:szCs w:val="20"/>
              </w:rPr>
            </w:pPr>
            <w:r>
              <w:rPr>
                <w:sz w:val="18"/>
                <w:szCs w:val="18"/>
              </w:rPr>
              <w:t xml:space="preserve">Duration of symptoms: </w:t>
            </w:r>
            <w:r w:rsidRPr="003E1C61">
              <w:rPr>
                <w:sz w:val="18"/>
                <w:szCs w:val="20"/>
              </w:rPr>
              <w:t>&lt;</w:t>
            </w:r>
            <w:r>
              <w:rPr>
                <w:sz w:val="18"/>
                <w:szCs w:val="20"/>
              </w:rPr>
              <w:t xml:space="preserve"> </w:t>
            </w:r>
            <w:r w:rsidRPr="003E1C61">
              <w:rPr>
                <w:sz w:val="18"/>
                <w:szCs w:val="20"/>
              </w:rPr>
              <w:t>1 year to ≥ 3 years</w:t>
            </w:r>
          </w:p>
          <w:p w:rsidR="003277A2" w:rsidRPr="003E1C61" w:rsidRDefault="003277A2" w:rsidP="00C26909">
            <w:pPr>
              <w:tabs>
                <w:tab w:val="num" w:pos="720"/>
              </w:tabs>
              <w:rPr>
                <w:sz w:val="18"/>
                <w:szCs w:val="18"/>
              </w:rPr>
            </w:pPr>
          </w:p>
          <w:p w:rsidR="003277A2" w:rsidRPr="003E1C61" w:rsidRDefault="003277A2" w:rsidP="00C26909">
            <w:pPr>
              <w:tabs>
                <w:tab w:val="num" w:pos="410"/>
              </w:tabs>
              <w:rPr>
                <w:sz w:val="18"/>
                <w:szCs w:val="18"/>
                <w:u w:val="single"/>
              </w:rPr>
            </w:pPr>
            <w:r w:rsidRPr="003E1C61">
              <w:rPr>
                <w:sz w:val="18"/>
                <w:szCs w:val="18"/>
                <w:u w:val="single"/>
              </w:rPr>
              <w:t>Diagnosis:</w:t>
            </w:r>
          </w:p>
          <w:p w:rsidR="003277A2" w:rsidRPr="003E1C61" w:rsidRDefault="003277A2" w:rsidP="00C26909">
            <w:pPr>
              <w:numPr>
                <w:ilvl w:val="0"/>
                <w:numId w:val="2"/>
              </w:numPr>
              <w:tabs>
                <w:tab w:val="clear" w:pos="720"/>
                <w:tab w:val="num" w:pos="252"/>
              </w:tabs>
              <w:ind w:left="252" w:hanging="180"/>
              <w:contextualSpacing/>
              <w:rPr>
                <w:sz w:val="18"/>
                <w:szCs w:val="20"/>
              </w:rPr>
            </w:pPr>
            <w:r w:rsidRPr="003E1C61">
              <w:rPr>
                <w:sz w:val="18"/>
                <w:szCs w:val="20"/>
              </w:rPr>
              <w:t>CSM (n = 77)</w:t>
            </w:r>
          </w:p>
          <w:p w:rsidR="003277A2" w:rsidRPr="003E1C61" w:rsidRDefault="003277A2" w:rsidP="00C26909">
            <w:pPr>
              <w:numPr>
                <w:ilvl w:val="0"/>
                <w:numId w:val="2"/>
              </w:numPr>
              <w:tabs>
                <w:tab w:val="clear" w:pos="720"/>
                <w:tab w:val="num" w:pos="252"/>
              </w:tabs>
              <w:ind w:left="252" w:hanging="180"/>
              <w:contextualSpacing/>
              <w:rPr>
                <w:sz w:val="18"/>
                <w:szCs w:val="20"/>
              </w:rPr>
            </w:pPr>
            <w:r w:rsidRPr="003E1C61">
              <w:rPr>
                <w:sz w:val="18"/>
                <w:szCs w:val="20"/>
              </w:rPr>
              <w:t>OPLL (n = 58)</w:t>
            </w:r>
          </w:p>
          <w:p w:rsidR="003277A2" w:rsidRPr="003E1C61" w:rsidRDefault="003277A2" w:rsidP="00C26909">
            <w:pPr>
              <w:rPr>
                <w:sz w:val="18"/>
                <w:szCs w:val="20"/>
              </w:rPr>
            </w:pPr>
          </w:p>
          <w:p w:rsidR="003277A2" w:rsidRPr="003E1C61" w:rsidRDefault="003277A2" w:rsidP="00C26909">
            <w:pPr>
              <w:rPr>
                <w:sz w:val="18"/>
                <w:szCs w:val="18"/>
              </w:rPr>
            </w:pPr>
            <w:r w:rsidRPr="003E1C61">
              <w:rPr>
                <w:sz w:val="18"/>
                <w:szCs w:val="18"/>
                <w:u w:val="single"/>
              </w:rPr>
              <w:t>Decompression surgery</w:t>
            </w:r>
            <w:r w:rsidRPr="003E1C61">
              <w:rPr>
                <w:sz w:val="18"/>
                <w:szCs w:val="18"/>
              </w:rPr>
              <w:t>:</w:t>
            </w:r>
          </w:p>
          <w:p w:rsidR="003277A2" w:rsidRPr="003E1C61" w:rsidRDefault="003277A2" w:rsidP="00C26909">
            <w:pPr>
              <w:numPr>
                <w:ilvl w:val="0"/>
                <w:numId w:val="2"/>
              </w:numPr>
              <w:tabs>
                <w:tab w:val="clear" w:pos="720"/>
                <w:tab w:val="num" w:pos="252"/>
              </w:tabs>
              <w:ind w:left="252" w:hanging="180"/>
              <w:contextualSpacing/>
              <w:rPr>
                <w:sz w:val="18"/>
                <w:szCs w:val="20"/>
              </w:rPr>
            </w:pPr>
            <w:r>
              <w:rPr>
                <w:sz w:val="18"/>
                <w:szCs w:val="20"/>
              </w:rPr>
              <w:t>En bloc C3–</w:t>
            </w:r>
            <w:r w:rsidRPr="003E1C61">
              <w:rPr>
                <w:sz w:val="18"/>
                <w:szCs w:val="20"/>
              </w:rPr>
              <w:t>C7 open door laminoplasty (n = 92)</w:t>
            </w:r>
          </w:p>
          <w:p w:rsidR="003277A2" w:rsidRPr="003E1C61" w:rsidRDefault="003277A2" w:rsidP="00C26909">
            <w:pPr>
              <w:numPr>
                <w:ilvl w:val="0"/>
                <w:numId w:val="2"/>
              </w:numPr>
              <w:tabs>
                <w:tab w:val="clear" w:pos="720"/>
                <w:tab w:val="num" w:pos="252"/>
              </w:tabs>
              <w:ind w:left="252" w:hanging="180"/>
              <w:contextualSpacing/>
              <w:rPr>
                <w:sz w:val="18"/>
                <w:szCs w:val="20"/>
              </w:rPr>
            </w:pPr>
            <w:r w:rsidRPr="003E1C61">
              <w:rPr>
                <w:sz w:val="18"/>
                <w:szCs w:val="20"/>
              </w:rPr>
              <w:t>Robinson’s anterior fusion (n = 15)</w:t>
            </w:r>
          </w:p>
          <w:p w:rsidR="003277A2" w:rsidRPr="003E1C61" w:rsidRDefault="003277A2" w:rsidP="00C26909">
            <w:pPr>
              <w:numPr>
                <w:ilvl w:val="0"/>
                <w:numId w:val="2"/>
              </w:numPr>
              <w:tabs>
                <w:tab w:val="clear" w:pos="720"/>
                <w:tab w:val="num" w:pos="252"/>
              </w:tabs>
              <w:ind w:left="252" w:hanging="180"/>
              <w:contextualSpacing/>
              <w:rPr>
                <w:sz w:val="18"/>
                <w:szCs w:val="20"/>
              </w:rPr>
            </w:pPr>
            <w:r>
              <w:rPr>
                <w:sz w:val="18"/>
                <w:szCs w:val="20"/>
              </w:rPr>
              <w:t xml:space="preserve">Subtotal </w:t>
            </w:r>
            <w:proofErr w:type="spellStart"/>
            <w:r>
              <w:rPr>
                <w:sz w:val="18"/>
                <w:szCs w:val="20"/>
              </w:rPr>
              <w:t>spondylectomy</w:t>
            </w:r>
            <w:proofErr w:type="spellEnd"/>
            <w:r>
              <w:rPr>
                <w:sz w:val="18"/>
                <w:szCs w:val="20"/>
              </w:rPr>
              <w:t xml:space="preserve"> at 1–</w:t>
            </w:r>
            <w:r w:rsidRPr="003E1C61">
              <w:rPr>
                <w:sz w:val="18"/>
                <w:szCs w:val="20"/>
              </w:rPr>
              <w:t>2 ve</w:t>
            </w:r>
            <w:r>
              <w:rPr>
                <w:sz w:val="18"/>
                <w:szCs w:val="20"/>
              </w:rPr>
              <w:t>rtebrae with interbody fusion (</w:t>
            </w:r>
            <w:r w:rsidRPr="003E1C61">
              <w:rPr>
                <w:sz w:val="18"/>
                <w:szCs w:val="20"/>
              </w:rPr>
              <w:t>n = 28)</w:t>
            </w:r>
          </w:p>
        </w:tc>
        <w:tc>
          <w:tcPr>
            <w:tcW w:w="1478" w:type="dxa"/>
          </w:tcPr>
          <w:p w:rsidR="003277A2" w:rsidRPr="003E1C61" w:rsidRDefault="003277A2" w:rsidP="00C26909">
            <w:pPr>
              <w:numPr>
                <w:ilvl w:val="0"/>
                <w:numId w:val="3"/>
              </w:numPr>
              <w:ind w:left="170" w:hanging="170"/>
              <w:contextualSpacing/>
              <w:rPr>
                <w:sz w:val="18"/>
                <w:szCs w:val="20"/>
              </w:rPr>
            </w:pPr>
            <w:r w:rsidRPr="003E1C61">
              <w:rPr>
                <w:sz w:val="18"/>
                <w:szCs w:val="20"/>
              </w:rPr>
              <w:lastRenderedPageBreak/>
              <w:t>Age at surgery</w:t>
            </w:r>
          </w:p>
          <w:p w:rsidR="003277A2" w:rsidRPr="003E1C61" w:rsidRDefault="003277A2" w:rsidP="00C26909">
            <w:pPr>
              <w:numPr>
                <w:ilvl w:val="0"/>
                <w:numId w:val="3"/>
              </w:numPr>
              <w:ind w:left="170" w:hanging="170"/>
              <w:contextualSpacing/>
              <w:rPr>
                <w:sz w:val="18"/>
                <w:szCs w:val="20"/>
              </w:rPr>
            </w:pPr>
            <w:r w:rsidRPr="003E1C61">
              <w:rPr>
                <w:sz w:val="18"/>
                <w:szCs w:val="20"/>
              </w:rPr>
              <w:t>Preoperative JOA score</w:t>
            </w:r>
          </w:p>
          <w:p w:rsidR="003277A2" w:rsidRPr="003E1C61" w:rsidRDefault="003277A2" w:rsidP="00C26909">
            <w:pPr>
              <w:numPr>
                <w:ilvl w:val="0"/>
                <w:numId w:val="3"/>
              </w:numPr>
              <w:ind w:left="170" w:hanging="170"/>
              <w:contextualSpacing/>
              <w:rPr>
                <w:sz w:val="18"/>
                <w:szCs w:val="20"/>
              </w:rPr>
            </w:pPr>
            <w:r w:rsidRPr="003E1C61">
              <w:rPr>
                <w:sz w:val="18"/>
                <w:szCs w:val="20"/>
              </w:rPr>
              <w:t>Type of OPLL</w:t>
            </w:r>
          </w:p>
          <w:p w:rsidR="003277A2" w:rsidRPr="003E1C61" w:rsidRDefault="003277A2" w:rsidP="00C26909">
            <w:pPr>
              <w:numPr>
                <w:ilvl w:val="0"/>
                <w:numId w:val="3"/>
              </w:numPr>
              <w:ind w:left="170" w:hanging="170"/>
              <w:contextualSpacing/>
              <w:rPr>
                <w:sz w:val="18"/>
                <w:szCs w:val="20"/>
              </w:rPr>
            </w:pPr>
            <w:r w:rsidRPr="003E1C61">
              <w:rPr>
                <w:sz w:val="18"/>
                <w:szCs w:val="20"/>
              </w:rPr>
              <w:t xml:space="preserve">Type of myelopathy </w:t>
            </w:r>
          </w:p>
          <w:p w:rsidR="003277A2" w:rsidRPr="003E1C61" w:rsidRDefault="003277A2" w:rsidP="00C26909">
            <w:pPr>
              <w:numPr>
                <w:ilvl w:val="0"/>
                <w:numId w:val="3"/>
              </w:numPr>
              <w:ind w:left="170" w:hanging="170"/>
              <w:contextualSpacing/>
              <w:rPr>
                <w:sz w:val="18"/>
                <w:szCs w:val="20"/>
              </w:rPr>
            </w:pPr>
            <w:r w:rsidRPr="003E1C61">
              <w:rPr>
                <w:sz w:val="18"/>
                <w:szCs w:val="20"/>
              </w:rPr>
              <w:lastRenderedPageBreak/>
              <w:t>Spinal cord evoked potentials type</w:t>
            </w:r>
          </w:p>
          <w:p w:rsidR="003277A2" w:rsidRPr="003E1C61" w:rsidRDefault="003277A2" w:rsidP="00C26909">
            <w:pPr>
              <w:numPr>
                <w:ilvl w:val="0"/>
                <w:numId w:val="3"/>
              </w:numPr>
              <w:ind w:left="170" w:hanging="170"/>
              <w:contextualSpacing/>
              <w:rPr>
                <w:sz w:val="18"/>
                <w:szCs w:val="20"/>
              </w:rPr>
            </w:pPr>
            <w:r w:rsidRPr="003E1C61">
              <w:rPr>
                <w:sz w:val="18"/>
                <w:szCs w:val="20"/>
              </w:rPr>
              <w:t>Spina</w:t>
            </w:r>
            <w:r>
              <w:rPr>
                <w:sz w:val="18"/>
                <w:szCs w:val="20"/>
              </w:rPr>
              <w:t>l canal narrowing (</w:t>
            </w:r>
            <w:proofErr w:type="spellStart"/>
            <w:r>
              <w:rPr>
                <w:sz w:val="18"/>
                <w:szCs w:val="20"/>
              </w:rPr>
              <w:t>preop</w:t>
            </w:r>
            <w:proofErr w:type="spellEnd"/>
            <w:r>
              <w:rPr>
                <w:sz w:val="18"/>
                <w:szCs w:val="20"/>
              </w:rPr>
              <w:t xml:space="preserve"> </w:t>
            </w:r>
            <w:r w:rsidRPr="003E1C61">
              <w:rPr>
                <w:sz w:val="18"/>
                <w:szCs w:val="20"/>
              </w:rPr>
              <w:t>CT)</w:t>
            </w:r>
          </w:p>
          <w:p w:rsidR="003277A2" w:rsidRPr="003E1C61" w:rsidRDefault="003277A2" w:rsidP="00C26909">
            <w:pPr>
              <w:numPr>
                <w:ilvl w:val="0"/>
                <w:numId w:val="3"/>
              </w:numPr>
              <w:ind w:left="170" w:hanging="170"/>
              <w:contextualSpacing/>
              <w:rPr>
                <w:sz w:val="18"/>
                <w:szCs w:val="20"/>
              </w:rPr>
            </w:pPr>
            <w:r w:rsidRPr="003E1C61">
              <w:rPr>
                <w:sz w:val="18"/>
                <w:szCs w:val="20"/>
              </w:rPr>
              <w:t>Postoperative expansion rate of spinal canal</w:t>
            </w:r>
          </w:p>
          <w:p w:rsidR="003277A2" w:rsidRPr="003E1C61" w:rsidRDefault="003277A2" w:rsidP="00C26909">
            <w:pPr>
              <w:numPr>
                <w:ilvl w:val="0"/>
                <w:numId w:val="1"/>
              </w:numPr>
              <w:ind w:left="162" w:hanging="162"/>
              <w:contextualSpacing/>
              <w:rPr>
                <w:sz w:val="18"/>
                <w:szCs w:val="18"/>
              </w:rPr>
            </w:pPr>
            <w:r w:rsidRPr="003E1C61">
              <w:rPr>
                <w:sz w:val="18"/>
                <w:szCs w:val="20"/>
              </w:rPr>
              <w:t>Radiological abnormality</w:t>
            </w:r>
          </w:p>
        </w:tc>
        <w:tc>
          <w:tcPr>
            <w:tcW w:w="1448" w:type="dxa"/>
          </w:tcPr>
          <w:p w:rsidR="003277A2" w:rsidRDefault="003277A2" w:rsidP="00C26909">
            <w:pPr>
              <w:numPr>
                <w:ilvl w:val="0"/>
                <w:numId w:val="1"/>
              </w:numPr>
              <w:ind w:left="162" w:hanging="162"/>
              <w:contextualSpacing/>
              <w:rPr>
                <w:sz w:val="18"/>
                <w:szCs w:val="18"/>
              </w:rPr>
            </w:pPr>
            <w:r w:rsidRPr="003E1C61">
              <w:rPr>
                <w:sz w:val="18"/>
                <w:szCs w:val="18"/>
              </w:rPr>
              <w:lastRenderedPageBreak/>
              <w:t>Level of compression</w:t>
            </w:r>
          </w:p>
          <w:p w:rsidR="003277A2" w:rsidRPr="003E1C61" w:rsidRDefault="003277A2" w:rsidP="00C26909">
            <w:pPr>
              <w:numPr>
                <w:ilvl w:val="0"/>
                <w:numId w:val="1"/>
              </w:numPr>
              <w:ind w:left="162" w:hanging="162"/>
              <w:contextualSpacing/>
              <w:rPr>
                <w:sz w:val="18"/>
                <w:szCs w:val="18"/>
              </w:rPr>
            </w:pPr>
            <w:r>
              <w:rPr>
                <w:sz w:val="18"/>
                <w:szCs w:val="18"/>
              </w:rPr>
              <w:t>Spinal cord alignment after laminoplasty</w:t>
            </w:r>
          </w:p>
          <w:p w:rsidR="003277A2" w:rsidRDefault="003277A2" w:rsidP="00C26909">
            <w:pPr>
              <w:numPr>
                <w:ilvl w:val="0"/>
                <w:numId w:val="1"/>
              </w:numPr>
              <w:ind w:left="162" w:hanging="162"/>
              <w:contextualSpacing/>
              <w:rPr>
                <w:sz w:val="18"/>
                <w:szCs w:val="18"/>
              </w:rPr>
            </w:pPr>
            <w:r w:rsidRPr="003E1C61">
              <w:rPr>
                <w:sz w:val="18"/>
                <w:szCs w:val="18"/>
              </w:rPr>
              <w:lastRenderedPageBreak/>
              <w:t>Rate of flattening of the cord</w:t>
            </w:r>
          </w:p>
          <w:p w:rsidR="003277A2" w:rsidRPr="003E1C61" w:rsidRDefault="003277A2" w:rsidP="00C26909">
            <w:pPr>
              <w:numPr>
                <w:ilvl w:val="0"/>
                <w:numId w:val="3"/>
              </w:numPr>
              <w:ind w:left="170" w:hanging="170"/>
              <w:contextualSpacing/>
              <w:rPr>
                <w:sz w:val="18"/>
                <w:szCs w:val="20"/>
              </w:rPr>
            </w:pPr>
            <w:r w:rsidRPr="003E1C61">
              <w:rPr>
                <w:sz w:val="18"/>
                <w:szCs w:val="20"/>
              </w:rPr>
              <w:t>Increased transverse area of the cord</w:t>
            </w:r>
          </w:p>
          <w:p w:rsidR="003277A2" w:rsidRPr="003E1C61" w:rsidRDefault="003277A2" w:rsidP="00C26909">
            <w:pPr>
              <w:numPr>
                <w:ilvl w:val="0"/>
                <w:numId w:val="1"/>
              </w:numPr>
              <w:ind w:left="162" w:hanging="162"/>
              <w:contextualSpacing/>
              <w:rPr>
                <w:sz w:val="18"/>
                <w:szCs w:val="18"/>
              </w:rPr>
            </w:pPr>
            <w:r>
              <w:rPr>
                <w:sz w:val="18"/>
                <w:szCs w:val="18"/>
              </w:rPr>
              <w:t>SI on MRI</w:t>
            </w:r>
          </w:p>
        </w:tc>
        <w:tc>
          <w:tcPr>
            <w:tcW w:w="1415" w:type="dxa"/>
          </w:tcPr>
          <w:p w:rsidR="003277A2" w:rsidRPr="003E1C61" w:rsidRDefault="003277A2" w:rsidP="00C26909">
            <w:pPr>
              <w:numPr>
                <w:ilvl w:val="0"/>
                <w:numId w:val="1"/>
              </w:numPr>
              <w:ind w:left="162" w:hanging="162"/>
              <w:contextualSpacing/>
              <w:rPr>
                <w:sz w:val="18"/>
                <w:szCs w:val="18"/>
              </w:rPr>
            </w:pPr>
            <w:r w:rsidRPr="003E1C61">
              <w:rPr>
                <w:sz w:val="18"/>
                <w:szCs w:val="18"/>
              </w:rPr>
              <w:lastRenderedPageBreak/>
              <w:t>JOA</w:t>
            </w:r>
            <w:r>
              <w:rPr>
                <w:sz w:val="18"/>
                <w:szCs w:val="18"/>
              </w:rPr>
              <w:t xml:space="preserve"> score</w:t>
            </w:r>
          </w:p>
        </w:tc>
        <w:tc>
          <w:tcPr>
            <w:tcW w:w="1193" w:type="dxa"/>
          </w:tcPr>
          <w:p w:rsidR="003277A2" w:rsidRPr="003E1C61" w:rsidRDefault="003277A2" w:rsidP="00C26909">
            <w:pPr>
              <w:rPr>
                <w:sz w:val="18"/>
                <w:szCs w:val="18"/>
              </w:rPr>
            </w:pPr>
            <w:r w:rsidRPr="003E1C61">
              <w:rPr>
                <w:sz w:val="18"/>
                <w:szCs w:val="18"/>
              </w:rPr>
              <w:t>8.3 years (range 1.0 – 12.8 years) (% f/u NR)</w:t>
            </w:r>
          </w:p>
        </w:tc>
        <w:tc>
          <w:tcPr>
            <w:tcW w:w="3245" w:type="dxa"/>
          </w:tcPr>
          <w:p w:rsidR="003277A2" w:rsidRPr="007A3E1C" w:rsidRDefault="003277A2" w:rsidP="00C26909">
            <w:pPr>
              <w:rPr>
                <w:sz w:val="18"/>
                <w:szCs w:val="18"/>
                <w:u w:val="single"/>
              </w:rPr>
            </w:pPr>
            <w:r w:rsidRPr="007A3E1C">
              <w:rPr>
                <w:sz w:val="18"/>
                <w:szCs w:val="18"/>
                <w:u w:val="single"/>
              </w:rPr>
              <w:t xml:space="preserve">CSM </w:t>
            </w:r>
            <w:r>
              <w:rPr>
                <w:sz w:val="18"/>
                <w:szCs w:val="18"/>
                <w:u w:val="single"/>
              </w:rPr>
              <w:t>(multivariate analysis)</w:t>
            </w:r>
          </w:p>
          <w:p w:rsidR="003277A2" w:rsidRPr="007A3E1C" w:rsidRDefault="003277A2" w:rsidP="00C26909">
            <w:pPr>
              <w:rPr>
                <w:i/>
                <w:sz w:val="18"/>
                <w:szCs w:val="18"/>
              </w:rPr>
            </w:pPr>
            <w:r w:rsidRPr="007A3E1C">
              <w:rPr>
                <w:i/>
                <w:sz w:val="18"/>
                <w:szCs w:val="18"/>
              </w:rPr>
              <w:t>Anterior surgery (n = 32)</w:t>
            </w:r>
          </w:p>
          <w:p w:rsidR="003277A2" w:rsidRPr="007A3E1C" w:rsidRDefault="003277A2" w:rsidP="00C26909">
            <w:pPr>
              <w:ind w:left="177"/>
              <w:rPr>
                <w:b/>
                <w:sz w:val="18"/>
                <w:szCs w:val="18"/>
              </w:rPr>
            </w:pPr>
            <w:r w:rsidRPr="007A3E1C">
              <w:rPr>
                <w:b/>
                <w:sz w:val="18"/>
                <w:szCs w:val="18"/>
              </w:rPr>
              <w:t xml:space="preserve">Level of compression </w:t>
            </w:r>
          </w:p>
          <w:p w:rsidR="003277A2" w:rsidRDefault="003277A2" w:rsidP="00C26909">
            <w:pPr>
              <w:numPr>
                <w:ilvl w:val="0"/>
                <w:numId w:val="3"/>
              </w:numPr>
              <w:ind w:left="537" w:hanging="180"/>
              <w:rPr>
                <w:sz w:val="18"/>
                <w:szCs w:val="18"/>
              </w:rPr>
            </w:pPr>
            <w:r>
              <w:rPr>
                <w:sz w:val="18"/>
                <w:szCs w:val="18"/>
              </w:rPr>
              <w:t xml:space="preserve">≥ 3 disc levels involved:  </w:t>
            </w:r>
            <w:r w:rsidRPr="006E46C0">
              <w:rPr>
                <w:i/>
                <w:sz w:val="18"/>
                <w:szCs w:val="18"/>
              </w:rPr>
              <w:t>P</w:t>
            </w:r>
            <w:r>
              <w:rPr>
                <w:sz w:val="18"/>
                <w:szCs w:val="18"/>
              </w:rPr>
              <w:t xml:space="preserve"> = .008</w:t>
            </w:r>
          </w:p>
          <w:p w:rsidR="003277A2" w:rsidRPr="007A3E1C" w:rsidRDefault="003277A2" w:rsidP="00C26909">
            <w:pPr>
              <w:ind w:left="177"/>
              <w:rPr>
                <w:b/>
                <w:sz w:val="18"/>
                <w:szCs w:val="18"/>
              </w:rPr>
            </w:pPr>
            <w:r w:rsidRPr="007A3E1C">
              <w:rPr>
                <w:b/>
                <w:sz w:val="18"/>
                <w:szCs w:val="18"/>
              </w:rPr>
              <w:t>Rate of flattening of the cord</w:t>
            </w:r>
          </w:p>
          <w:p w:rsidR="003277A2" w:rsidRDefault="003277A2" w:rsidP="00C26909">
            <w:pPr>
              <w:numPr>
                <w:ilvl w:val="0"/>
                <w:numId w:val="3"/>
              </w:numPr>
              <w:ind w:left="537" w:hanging="180"/>
              <w:rPr>
                <w:sz w:val="18"/>
                <w:szCs w:val="18"/>
              </w:rPr>
            </w:pPr>
            <w:r>
              <w:rPr>
                <w:sz w:val="18"/>
                <w:szCs w:val="18"/>
              </w:rPr>
              <w:t>≥ 70%:</w:t>
            </w:r>
            <w:r w:rsidRPr="007A3E1C">
              <w:rPr>
                <w:i/>
                <w:sz w:val="18"/>
                <w:szCs w:val="18"/>
              </w:rPr>
              <w:t xml:space="preserve"> P</w:t>
            </w:r>
            <w:r>
              <w:rPr>
                <w:sz w:val="18"/>
                <w:szCs w:val="18"/>
              </w:rPr>
              <w:t xml:space="preserve"> = ns</w:t>
            </w:r>
          </w:p>
          <w:p w:rsidR="003277A2" w:rsidRDefault="003277A2" w:rsidP="00C26909">
            <w:pPr>
              <w:numPr>
                <w:ilvl w:val="0"/>
                <w:numId w:val="3"/>
              </w:numPr>
              <w:ind w:left="537" w:hanging="180"/>
              <w:rPr>
                <w:sz w:val="18"/>
                <w:szCs w:val="18"/>
              </w:rPr>
            </w:pPr>
            <w:r>
              <w:rPr>
                <w:sz w:val="18"/>
                <w:szCs w:val="18"/>
              </w:rPr>
              <w:lastRenderedPageBreak/>
              <w:t xml:space="preserve">&lt; 50%: </w:t>
            </w:r>
            <w:r w:rsidRPr="007A3E1C">
              <w:rPr>
                <w:i/>
                <w:sz w:val="18"/>
                <w:szCs w:val="18"/>
              </w:rPr>
              <w:t xml:space="preserve">P </w:t>
            </w:r>
            <w:r>
              <w:rPr>
                <w:sz w:val="18"/>
                <w:szCs w:val="18"/>
              </w:rPr>
              <w:t>= .038</w:t>
            </w:r>
          </w:p>
          <w:p w:rsidR="003277A2" w:rsidRPr="007A3E1C" w:rsidRDefault="003277A2" w:rsidP="00C26909">
            <w:pPr>
              <w:ind w:left="177"/>
              <w:rPr>
                <w:b/>
                <w:sz w:val="18"/>
                <w:szCs w:val="18"/>
              </w:rPr>
            </w:pPr>
            <w:r w:rsidRPr="007A3E1C">
              <w:rPr>
                <w:b/>
                <w:sz w:val="18"/>
                <w:szCs w:val="18"/>
              </w:rPr>
              <w:t>Increased transverse area of the cord</w:t>
            </w:r>
          </w:p>
          <w:p w:rsidR="003277A2" w:rsidRDefault="003277A2" w:rsidP="00C26909">
            <w:pPr>
              <w:numPr>
                <w:ilvl w:val="0"/>
                <w:numId w:val="3"/>
              </w:numPr>
              <w:ind w:left="537" w:hanging="180"/>
              <w:rPr>
                <w:sz w:val="18"/>
                <w:szCs w:val="18"/>
              </w:rPr>
            </w:pPr>
            <w:r>
              <w:rPr>
                <w:sz w:val="18"/>
                <w:szCs w:val="18"/>
              </w:rPr>
              <w:t>&lt; 40%:</w:t>
            </w:r>
            <w:r w:rsidRPr="007A3E1C">
              <w:rPr>
                <w:i/>
                <w:sz w:val="18"/>
                <w:szCs w:val="18"/>
              </w:rPr>
              <w:t xml:space="preserve"> P</w:t>
            </w:r>
            <w:r>
              <w:rPr>
                <w:sz w:val="18"/>
                <w:szCs w:val="18"/>
              </w:rPr>
              <w:t xml:space="preserve"> = .038</w:t>
            </w:r>
          </w:p>
          <w:p w:rsidR="003277A2" w:rsidRDefault="003277A2" w:rsidP="00C26909">
            <w:pPr>
              <w:numPr>
                <w:ilvl w:val="0"/>
                <w:numId w:val="3"/>
              </w:numPr>
              <w:ind w:left="537" w:hanging="180"/>
              <w:rPr>
                <w:sz w:val="18"/>
                <w:szCs w:val="18"/>
              </w:rPr>
            </w:pPr>
            <w:r>
              <w:rPr>
                <w:sz w:val="18"/>
                <w:szCs w:val="18"/>
              </w:rPr>
              <w:t xml:space="preserve">40%-59%: </w:t>
            </w:r>
            <w:r w:rsidRPr="007A3E1C">
              <w:rPr>
                <w:i/>
                <w:sz w:val="18"/>
                <w:szCs w:val="18"/>
              </w:rPr>
              <w:t>P</w:t>
            </w:r>
            <w:r>
              <w:rPr>
                <w:sz w:val="18"/>
                <w:szCs w:val="18"/>
              </w:rPr>
              <w:t xml:space="preserve"> = .023</w:t>
            </w:r>
          </w:p>
          <w:p w:rsidR="003277A2" w:rsidRPr="007A3E1C" w:rsidRDefault="003277A2" w:rsidP="00C26909">
            <w:pPr>
              <w:numPr>
                <w:ilvl w:val="0"/>
                <w:numId w:val="3"/>
              </w:numPr>
              <w:ind w:left="537" w:hanging="180"/>
              <w:rPr>
                <w:sz w:val="18"/>
                <w:szCs w:val="18"/>
              </w:rPr>
            </w:pPr>
            <w:r>
              <w:rPr>
                <w:sz w:val="18"/>
                <w:szCs w:val="18"/>
              </w:rPr>
              <w:t xml:space="preserve">≥ 60%: </w:t>
            </w:r>
            <w:r w:rsidRPr="007A3E1C">
              <w:rPr>
                <w:i/>
                <w:sz w:val="18"/>
                <w:szCs w:val="18"/>
              </w:rPr>
              <w:t>P</w:t>
            </w:r>
            <w:r>
              <w:rPr>
                <w:sz w:val="18"/>
                <w:szCs w:val="18"/>
              </w:rPr>
              <w:t xml:space="preserve"> = .009</w:t>
            </w:r>
          </w:p>
          <w:p w:rsidR="003277A2" w:rsidRPr="007A3E1C" w:rsidRDefault="003277A2" w:rsidP="00C26909">
            <w:pPr>
              <w:rPr>
                <w:i/>
                <w:sz w:val="18"/>
                <w:szCs w:val="18"/>
              </w:rPr>
            </w:pPr>
            <w:r w:rsidRPr="007A3E1C">
              <w:rPr>
                <w:i/>
                <w:sz w:val="18"/>
                <w:szCs w:val="18"/>
              </w:rPr>
              <w:t>Laminoplasty</w:t>
            </w:r>
            <w:r>
              <w:rPr>
                <w:i/>
                <w:sz w:val="18"/>
                <w:szCs w:val="18"/>
              </w:rPr>
              <w:t xml:space="preserve"> (n = 45)</w:t>
            </w:r>
          </w:p>
          <w:p w:rsidR="003277A2" w:rsidRPr="007A3E1C" w:rsidRDefault="003277A2" w:rsidP="00C26909">
            <w:pPr>
              <w:ind w:left="177"/>
              <w:rPr>
                <w:b/>
                <w:sz w:val="18"/>
                <w:szCs w:val="18"/>
              </w:rPr>
            </w:pPr>
            <w:r w:rsidRPr="007A3E1C">
              <w:rPr>
                <w:b/>
                <w:sz w:val="18"/>
                <w:szCs w:val="18"/>
              </w:rPr>
              <w:t xml:space="preserve">Level of compression </w:t>
            </w:r>
          </w:p>
          <w:p w:rsidR="003277A2" w:rsidRDefault="003277A2" w:rsidP="00C26909">
            <w:pPr>
              <w:numPr>
                <w:ilvl w:val="0"/>
                <w:numId w:val="3"/>
              </w:numPr>
              <w:ind w:left="537" w:hanging="180"/>
              <w:rPr>
                <w:sz w:val="18"/>
                <w:szCs w:val="18"/>
              </w:rPr>
            </w:pPr>
            <w:r>
              <w:rPr>
                <w:sz w:val="18"/>
                <w:szCs w:val="18"/>
              </w:rPr>
              <w:t xml:space="preserve">≥ 3 disc levels involved:  </w:t>
            </w:r>
            <w:r w:rsidRPr="006E46C0">
              <w:rPr>
                <w:i/>
                <w:sz w:val="18"/>
                <w:szCs w:val="18"/>
              </w:rPr>
              <w:t>P</w:t>
            </w:r>
            <w:r>
              <w:rPr>
                <w:sz w:val="18"/>
                <w:szCs w:val="18"/>
              </w:rPr>
              <w:t xml:space="preserve"> = .029</w:t>
            </w:r>
          </w:p>
          <w:p w:rsidR="003277A2" w:rsidRPr="007A3E1C" w:rsidRDefault="003277A2" w:rsidP="00C26909">
            <w:pPr>
              <w:ind w:left="177"/>
              <w:rPr>
                <w:b/>
                <w:sz w:val="18"/>
                <w:szCs w:val="18"/>
              </w:rPr>
            </w:pPr>
            <w:r w:rsidRPr="007A3E1C">
              <w:rPr>
                <w:b/>
                <w:sz w:val="18"/>
                <w:szCs w:val="18"/>
              </w:rPr>
              <w:t>Rate of flattening of the cord</w:t>
            </w:r>
          </w:p>
          <w:p w:rsidR="003277A2" w:rsidRDefault="003277A2" w:rsidP="00C26909">
            <w:pPr>
              <w:numPr>
                <w:ilvl w:val="0"/>
                <w:numId w:val="3"/>
              </w:numPr>
              <w:ind w:left="537" w:hanging="180"/>
              <w:rPr>
                <w:sz w:val="18"/>
                <w:szCs w:val="18"/>
              </w:rPr>
            </w:pPr>
            <w:r>
              <w:rPr>
                <w:sz w:val="18"/>
                <w:szCs w:val="18"/>
              </w:rPr>
              <w:t xml:space="preserve">≥ 70%: </w:t>
            </w:r>
            <w:r w:rsidRPr="007A3E1C">
              <w:rPr>
                <w:i/>
                <w:sz w:val="18"/>
                <w:szCs w:val="18"/>
              </w:rPr>
              <w:t>P</w:t>
            </w:r>
            <w:r>
              <w:rPr>
                <w:sz w:val="18"/>
                <w:szCs w:val="18"/>
              </w:rPr>
              <w:t xml:space="preserve"> = .049</w:t>
            </w:r>
          </w:p>
          <w:p w:rsidR="003277A2" w:rsidRDefault="003277A2" w:rsidP="00C26909">
            <w:pPr>
              <w:numPr>
                <w:ilvl w:val="0"/>
                <w:numId w:val="3"/>
              </w:numPr>
              <w:ind w:left="537" w:hanging="180"/>
              <w:rPr>
                <w:sz w:val="18"/>
                <w:szCs w:val="18"/>
              </w:rPr>
            </w:pPr>
            <w:r>
              <w:rPr>
                <w:sz w:val="18"/>
                <w:szCs w:val="18"/>
              </w:rPr>
              <w:t xml:space="preserve">&lt; 50%: </w:t>
            </w:r>
            <w:r w:rsidRPr="007A3E1C">
              <w:rPr>
                <w:i/>
                <w:sz w:val="18"/>
                <w:szCs w:val="18"/>
              </w:rPr>
              <w:t>P</w:t>
            </w:r>
            <w:r>
              <w:rPr>
                <w:sz w:val="18"/>
                <w:szCs w:val="18"/>
              </w:rPr>
              <w:t xml:space="preserve"> = .012</w:t>
            </w:r>
          </w:p>
          <w:p w:rsidR="003277A2" w:rsidRPr="007A3E1C" w:rsidRDefault="003277A2" w:rsidP="00C26909">
            <w:pPr>
              <w:ind w:left="177"/>
              <w:rPr>
                <w:b/>
                <w:sz w:val="18"/>
                <w:szCs w:val="18"/>
              </w:rPr>
            </w:pPr>
            <w:r w:rsidRPr="007A3E1C">
              <w:rPr>
                <w:b/>
                <w:sz w:val="18"/>
                <w:szCs w:val="18"/>
              </w:rPr>
              <w:t>Increased transverse area of the cord</w:t>
            </w:r>
          </w:p>
          <w:p w:rsidR="003277A2" w:rsidRDefault="003277A2" w:rsidP="00C26909">
            <w:pPr>
              <w:numPr>
                <w:ilvl w:val="0"/>
                <w:numId w:val="3"/>
              </w:numPr>
              <w:ind w:left="537" w:hanging="180"/>
              <w:rPr>
                <w:sz w:val="18"/>
                <w:szCs w:val="18"/>
              </w:rPr>
            </w:pPr>
            <w:r>
              <w:rPr>
                <w:sz w:val="18"/>
                <w:szCs w:val="18"/>
              </w:rPr>
              <w:t xml:space="preserve">&lt; 40%: </w:t>
            </w:r>
            <w:r w:rsidRPr="007A3E1C">
              <w:rPr>
                <w:i/>
                <w:sz w:val="18"/>
                <w:szCs w:val="18"/>
              </w:rPr>
              <w:t>P</w:t>
            </w:r>
            <w:r>
              <w:rPr>
                <w:sz w:val="18"/>
                <w:szCs w:val="18"/>
              </w:rPr>
              <w:t xml:space="preserve"> = .008</w:t>
            </w:r>
          </w:p>
          <w:p w:rsidR="003277A2" w:rsidRDefault="003277A2" w:rsidP="00C26909">
            <w:pPr>
              <w:numPr>
                <w:ilvl w:val="0"/>
                <w:numId w:val="3"/>
              </w:numPr>
              <w:ind w:left="537" w:hanging="180"/>
              <w:rPr>
                <w:sz w:val="18"/>
                <w:szCs w:val="18"/>
              </w:rPr>
            </w:pPr>
            <w:r>
              <w:rPr>
                <w:sz w:val="18"/>
                <w:szCs w:val="18"/>
              </w:rPr>
              <w:t xml:space="preserve">40%-59%: </w:t>
            </w:r>
            <w:r w:rsidRPr="007A3E1C">
              <w:rPr>
                <w:i/>
                <w:sz w:val="18"/>
                <w:szCs w:val="18"/>
              </w:rPr>
              <w:t>P</w:t>
            </w:r>
            <w:r>
              <w:rPr>
                <w:sz w:val="18"/>
                <w:szCs w:val="18"/>
              </w:rPr>
              <w:t xml:space="preserve"> = .006</w:t>
            </w:r>
          </w:p>
          <w:p w:rsidR="003277A2" w:rsidRPr="007A3E1C" w:rsidRDefault="003277A2" w:rsidP="00C26909">
            <w:pPr>
              <w:numPr>
                <w:ilvl w:val="0"/>
                <w:numId w:val="3"/>
              </w:numPr>
              <w:ind w:left="537" w:hanging="180"/>
              <w:rPr>
                <w:sz w:val="18"/>
                <w:szCs w:val="18"/>
              </w:rPr>
            </w:pPr>
            <w:r>
              <w:rPr>
                <w:sz w:val="18"/>
                <w:szCs w:val="18"/>
              </w:rPr>
              <w:t xml:space="preserve">≥ 60%: </w:t>
            </w:r>
            <w:r w:rsidRPr="007A3E1C">
              <w:rPr>
                <w:i/>
                <w:sz w:val="18"/>
                <w:szCs w:val="18"/>
              </w:rPr>
              <w:t>P</w:t>
            </w:r>
            <w:r>
              <w:rPr>
                <w:sz w:val="18"/>
                <w:szCs w:val="18"/>
              </w:rPr>
              <w:t xml:space="preserve"> = .007</w:t>
            </w:r>
          </w:p>
          <w:p w:rsidR="003277A2" w:rsidRDefault="003277A2" w:rsidP="00C26909">
            <w:pPr>
              <w:rPr>
                <w:sz w:val="18"/>
                <w:szCs w:val="18"/>
              </w:rPr>
            </w:pPr>
          </w:p>
          <w:p w:rsidR="003277A2" w:rsidRPr="00C90A05" w:rsidRDefault="003277A2" w:rsidP="00C26909">
            <w:pPr>
              <w:rPr>
                <w:sz w:val="18"/>
                <w:szCs w:val="18"/>
                <w:u w:val="single"/>
              </w:rPr>
            </w:pPr>
            <w:r w:rsidRPr="00C90A05">
              <w:rPr>
                <w:sz w:val="18"/>
                <w:szCs w:val="18"/>
                <w:u w:val="single"/>
              </w:rPr>
              <w:t>OPLL (multivariate analysis)</w:t>
            </w:r>
          </w:p>
          <w:p w:rsidR="003277A2" w:rsidRPr="007A3E1C" w:rsidRDefault="003277A2" w:rsidP="00C26909">
            <w:pPr>
              <w:rPr>
                <w:i/>
                <w:sz w:val="18"/>
                <w:szCs w:val="18"/>
              </w:rPr>
            </w:pPr>
            <w:r w:rsidRPr="007A3E1C">
              <w:rPr>
                <w:i/>
                <w:sz w:val="18"/>
                <w:szCs w:val="18"/>
              </w:rPr>
              <w:t xml:space="preserve">Anterior surgery (n = </w:t>
            </w:r>
            <w:r>
              <w:rPr>
                <w:i/>
                <w:sz w:val="18"/>
                <w:szCs w:val="18"/>
              </w:rPr>
              <w:t>11</w:t>
            </w:r>
            <w:r w:rsidRPr="007A3E1C">
              <w:rPr>
                <w:i/>
                <w:sz w:val="18"/>
                <w:szCs w:val="18"/>
              </w:rPr>
              <w:t>)</w:t>
            </w:r>
          </w:p>
          <w:p w:rsidR="003277A2" w:rsidRPr="007A3E1C" w:rsidRDefault="003277A2" w:rsidP="00C26909">
            <w:pPr>
              <w:ind w:left="177"/>
              <w:rPr>
                <w:b/>
                <w:sz w:val="18"/>
                <w:szCs w:val="18"/>
              </w:rPr>
            </w:pPr>
            <w:r w:rsidRPr="007A3E1C">
              <w:rPr>
                <w:b/>
                <w:sz w:val="18"/>
                <w:szCs w:val="18"/>
              </w:rPr>
              <w:t xml:space="preserve">Level of compression </w:t>
            </w:r>
          </w:p>
          <w:p w:rsidR="003277A2" w:rsidRDefault="003277A2" w:rsidP="00C26909">
            <w:pPr>
              <w:numPr>
                <w:ilvl w:val="0"/>
                <w:numId w:val="3"/>
              </w:numPr>
              <w:ind w:left="537" w:hanging="180"/>
              <w:rPr>
                <w:sz w:val="18"/>
                <w:szCs w:val="18"/>
              </w:rPr>
            </w:pPr>
            <w:r>
              <w:rPr>
                <w:sz w:val="18"/>
                <w:szCs w:val="18"/>
              </w:rPr>
              <w:t xml:space="preserve">2 levels involved: </w:t>
            </w:r>
            <w:r w:rsidRPr="00C90A05">
              <w:rPr>
                <w:i/>
                <w:sz w:val="18"/>
                <w:szCs w:val="18"/>
              </w:rPr>
              <w:t>P</w:t>
            </w:r>
            <w:r>
              <w:rPr>
                <w:sz w:val="18"/>
                <w:szCs w:val="18"/>
              </w:rPr>
              <w:t xml:space="preserve"> = .039</w:t>
            </w:r>
          </w:p>
          <w:p w:rsidR="003277A2" w:rsidRDefault="003277A2" w:rsidP="00C26909">
            <w:pPr>
              <w:numPr>
                <w:ilvl w:val="0"/>
                <w:numId w:val="3"/>
              </w:numPr>
              <w:ind w:left="537" w:hanging="180"/>
              <w:rPr>
                <w:sz w:val="18"/>
                <w:szCs w:val="18"/>
              </w:rPr>
            </w:pPr>
            <w:r>
              <w:rPr>
                <w:sz w:val="18"/>
                <w:szCs w:val="18"/>
              </w:rPr>
              <w:t xml:space="preserve">≥ 3 disc levels involved:  </w:t>
            </w:r>
            <w:r w:rsidRPr="00C90A05">
              <w:rPr>
                <w:sz w:val="18"/>
                <w:szCs w:val="18"/>
              </w:rPr>
              <w:t>N/A</w:t>
            </w:r>
          </w:p>
          <w:p w:rsidR="003277A2" w:rsidRPr="007A3E1C" w:rsidRDefault="003277A2" w:rsidP="00C26909">
            <w:pPr>
              <w:ind w:left="177"/>
              <w:rPr>
                <w:b/>
                <w:sz w:val="18"/>
                <w:szCs w:val="18"/>
              </w:rPr>
            </w:pPr>
            <w:r w:rsidRPr="007A3E1C">
              <w:rPr>
                <w:b/>
                <w:sz w:val="18"/>
                <w:szCs w:val="18"/>
              </w:rPr>
              <w:t>Rate of flattening of the cord</w:t>
            </w:r>
          </w:p>
          <w:p w:rsidR="003277A2" w:rsidRDefault="003277A2" w:rsidP="00C26909">
            <w:pPr>
              <w:numPr>
                <w:ilvl w:val="0"/>
                <w:numId w:val="3"/>
              </w:numPr>
              <w:ind w:left="537" w:hanging="180"/>
              <w:rPr>
                <w:sz w:val="18"/>
                <w:szCs w:val="18"/>
              </w:rPr>
            </w:pPr>
            <w:r>
              <w:rPr>
                <w:sz w:val="18"/>
                <w:szCs w:val="18"/>
              </w:rPr>
              <w:t xml:space="preserve">≥ 50%: </w:t>
            </w:r>
            <w:r w:rsidRPr="007A3E1C">
              <w:rPr>
                <w:i/>
                <w:sz w:val="18"/>
                <w:szCs w:val="18"/>
              </w:rPr>
              <w:t>P</w:t>
            </w:r>
            <w:r>
              <w:rPr>
                <w:sz w:val="18"/>
                <w:szCs w:val="18"/>
              </w:rPr>
              <w:t xml:space="preserve"> = .046</w:t>
            </w:r>
          </w:p>
          <w:p w:rsidR="003277A2" w:rsidRDefault="003277A2" w:rsidP="00C26909">
            <w:pPr>
              <w:numPr>
                <w:ilvl w:val="0"/>
                <w:numId w:val="3"/>
              </w:numPr>
              <w:ind w:left="537" w:hanging="180"/>
              <w:rPr>
                <w:sz w:val="18"/>
                <w:szCs w:val="18"/>
              </w:rPr>
            </w:pPr>
            <w:r>
              <w:rPr>
                <w:sz w:val="18"/>
                <w:szCs w:val="18"/>
              </w:rPr>
              <w:t xml:space="preserve">&lt; 30%: </w:t>
            </w:r>
            <w:r w:rsidRPr="007A3E1C">
              <w:rPr>
                <w:i/>
                <w:sz w:val="18"/>
                <w:szCs w:val="18"/>
              </w:rPr>
              <w:t>P</w:t>
            </w:r>
            <w:r>
              <w:rPr>
                <w:sz w:val="18"/>
                <w:szCs w:val="18"/>
              </w:rPr>
              <w:t xml:space="preserve"> ≥ .05</w:t>
            </w:r>
          </w:p>
          <w:p w:rsidR="003277A2" w:rsidRPr="007A3E1C" w:rsidRDefault="003277A2" w:rsidP="00C26909">
            <w:pPr>
              <w:ind w:left="177"/>
              <w:rPr>
                <w:b/>
                <w:sz w:val="18"/>
                <w:szCs w:val="18"/>
              </w:rPr>
            </w:pPr>
            <w:r w:rsidRPr="007A3E1C">
              <w:rPr>
                <w:b/>
                <w:sz w:val="18"/>
                <w:szCs w:val="18"/>
              </w:rPr>
              <w:t>Increased transverse area of the cord</w:t>
            </w:r>
          </w:p>
          <w:p w:rsidR="003277A2" w:rsidRDefault="003277A2" w:rsidP="00C26909">
            <w:pPr>
              <w:numPr>
                <w:ilvl w:val="0"/>
                <w:numId w:val="3"/>
              </w:numPr>
              <w:ind w:left="537" w:hanging="180"/>
              <w:rPr>
                <w:sz w:val="18"/>
                <w:szCs w:val="18"/>
              </w:rPr>
            </w:pPr>
            <w:r>
              <w:rPr>
                <w:sz w:val="18"/>
                <w:szCs w:val="18"/>
              </w:rPr>
              <w:t xml:space="preserve">&lt; 40%–59%: </w:t>
            </w:r>
            <w:r w:rsidRPr="007A3E1C">
              <w:rPr>
                <w:i/>
                <w:sz w:val="18"/>
                <w:szCs w:val="18"/>
              </w:rPr>
              <w:t>P</w:t>
            </w:r>
            <w:r>
              <w:rPr>
                <w:sz w:val="18"/>
                <w:szCs w:val="18"/>
              </w:rPr>
              <w:t xml:space="preserve"> = .013</w:t>
            </w:r>
          </w:p>
          <w:p w:rsidR="003277A2" w:rsidRPr="007A3E1C" w:rsidRDefault="003277A2" w:rsidP="00C26909">
            <w:pPr>
              <w:rPr>
                <w:i/>
                <w:sz w:val="18"/>
                <w:szCs w:val="18"/>
              </w:rPr>
            </w:pPr>
            <w:r w:rsidRPr="007A3E1C">
              <w:rPr>
                <w:i/>
                <w:sz w:val="18"/>
                <w:szCs w:val="18"/>
              </w:rPr>
              <w:t>Laminoplasty</w:t>
            </w:r>
            <w:r>
              <w:rPr>
                <w:i/>
                <w:sz w:val="18"/>
                <w:szCs w:val="18"/>
              </w:rPr>
              <w:t xml:space="preserve"> (n = 47)</w:t>
            </w:r>
          </w:p>
          <w:p w:rsidR="003277A2" w:rsidRPr="007A3E1C" w:rsidRDefault="003277A2" w:rsidP="00C26909">
            <w:pPr>
              <w:ind w:left="177"/>
              <w:rPr>
                <w:b/>
                <w:sz w:val="18"/>
                <w:szCs w:val="18"/>
              </w:rPr>
            </w:pPr>
            <w:r w:rsidRPr="007A3E1C">
              <w:rPr>
                <w:b/>
                <w:sz w:val="18"/>
                <w:szCs w:val="18"/>
              </w:rPr>
              <w:t xml:space="preserve">Level of compression </w:t>
            </w:r>
          </w:p>
          <w:p w:rsidR="003277A2" w:rsidRDefault="003277A2" w:rsidP="00C26909">
            <w:pPr>
              <w:numPr>
                <w:ilvl w:val="0"/>
                <w:numId w:val="3"/>
              </w:numPr>
              <w:ind w:left="537" w:hanging="180"/>
              <w:rPr>
                <w:sz w:val="18"/>
                <w:szCs w:val="18"/>
              </w:rPr>
            </w:pPr>
            <w:r>
              <w:rPr>
                <w:sz w:val="18"/>
                <w:szCs w:val="18"/>
              </w:rPr>
              <w:t xml:space="preserve">2 levels involved: </w:t>
            </w:r>
            <w:r w:rsidRPr="00C90A05">
              <w:rPr>
                <w:i/>
                <w:sz w:val="18"/>
                <w:szCs w:val="18"/>
              </w:rPr>
              <w:t>P</w:t>
            </w:r>
            <w:r>
              <w:rPr>
                <w:sz w:val="18"/>
                <w:szCs w:val="18"/>
              </w:rPr>
              <w:t xml:space="preserve"> = .008</w:t>
            </w:r>
          </w:p>
          <w:p w:rsidR="003277A2" w:rsidRDefault="003277A2" w:rsidP="00C26909">
            <w:pPr>
              <w:numPr>
                <w:ilvl w:val="0"/>
                <w:numId w:val="3"/>
              </w:numPr>
              <w:ind w:left="537" w:hanging="180"/>
              <w:rPr>
                <w:sz w:val="18"/>
                <w:szCs w:val="18"/>
              </w:rPr>
            </w:pPr>
            <w:r>
              <w:rPr>
                <w:sz w:val="18"/>
                <w:szCs w:val="18"/>
              </w:rPr>
              <w:t xml:space="preserve">≥ 3 disc levels involved:  </w:t>
            </w:r>
            <w:r w:rsidRPr="001E566D">
              <w:rPr>
                <w:i/>
                <w:sz w:val="18"/>
                <w:szCs w:val="18"/>
              </w:rPr>
              <w:t xml:space="preserve">P </w:t>
            </w:r>
            <w:r>
              <w:rPr>
                <w:sz w:val="18"/>
                <w:szCs w:val="18"/>
              </w:rPr>
              <w:t>= .003</w:t>
            </w:r>
          </w:p>
          <w:p w:rsidR="003277A2" w:rsidRPr="007A3E1C" w:rsidRDefault="003277A2" w:rsidP="00C26909">
            <w:pPr>
              <w:ind w:left="177"/>
              <w:rPr>
                <w:b/>
                <w:sz w:val="18"/>
                <w:szCs w:val="18"/>
              </w:rPr>
            </w:pPr>
            <w:r w:rsidRPr="007A3E1C">
              <w:rPr>
                <w:b/>
                <w:sz w:val="18"/>
                <w:szCs w:val="18"/>
              </w:rPr>
              <w:t>Rate of flattening of the cord</w:t>
            </w:r>
          </w:p>
          <w:p w:rsidR="003277A2" w:rsidRDefault="003277A2" w:rsidP="00C26909">
            <w:pPr>
              <w:numPr>
                <w:ilvl w:val="0"/>
                <w:numId w:val="3"/>
              </w:numPr>
              <w:ind w:left="537" w:hanging="180"/>
              <w:rPr>
                <w:sz w:val="18"/>
                <w:szCs w:val="18"/>
              </w:rPr>
            </w:pPr>
            <w:r>
              <w:rPr>
                <w:sz w:val="18"/>
                <w:szCs w:val="18"/>
              </w:rPr>
              <w:t xml:space="preserve">≥ 50%: </w:t>
            </w:r>
            <w:r w:rsidRPr="007A3E1C">
              <w:rPr>
                <w:i/>
                <w:sz w:val="18"/>
                <w:szCs w:val="18"/>
              </w:rPr>
              <w:t>P</w:t>
            </w:r>
            <w:r>
              <w:rPr>
                <w:sz w:val="18"/>
                <w:szCs w:val="18"/>
              </w:rPr>
              <w:t xml:space="preserve"> = .029</w:t>
            </w:r>
          </w:p>
          <w:p w:rsidR="003277A2" w:rsidRDefault="003277A2" w:rsidP="00C26909">
            <w:pPr>
              <w:numPr>
                <w:ilvl w:val="0"/>
                <w:numId w:val="3"/>
              </w:numPr>
              <w:ind w:left="537" w:hanging="180"/>
              <w:rPr>
                <w:sz w:val="18"/>
                <w:szCs w:val="18"/>
              </w:rPr>
            </w:pPr>
            <w:r>
              <w:rPr>
                <w:sz w:val="18"/>
                <w:szCs w:val="18"/>
              </w:rPr>
              <w:t xml:space="preserve">&lt; 30%: </w:t>
            </w:r>
            <w:r w:rsidRPr="007A3E1C">
              <w:rPr>
                <w:i/>
                <w:sz w:val="18"/>
                <w:szCs w:val="18"/>
              </w:rPr>
              <w:t>P</w:t>
            </w:r>
            <w:r>
              <w:rPr>
                <w:sz w:val="18"/>
                <w:szCs w:val="18"/>
              </w:rPr>
              <w:t xml:space="preserve"> = .043</w:t>
            </w:r>
          </w:p>
          <w:p w:rsidR="003277A2" w:rsidRPr="007A3E1C" w:rsidRDefault="003277A2" w:rsidP="00C26909">
            <w:pPr>
              <w:ind w:left="177"/>
              <w:rPr>
                <w:b/>
                <w:sz w:val="18"/>
                <w:szCs w:val="18"/>
              </w:rPr>
            </w:pPr>
            <w:r w:rsidRPr="007A3E1C">
              <w:rPr>
                <w:b/>
                <w:sz w:val="18"/>
                <w:szCs w:val="18"/>
              </w:rPr>
              <w:t>Increased transverse area of the cord</w:t>
            </w:r>
          </w:p>
          <w:p w:rsidR="003277A2" w:rsidRDefault="003277A2" w:rsidP="00C26909">
            <w:pPr>
              <w:numPr>
                <w:ilvl w:val="0"/>
                <w:numId w:val="3"/>
              </w:numPr>
              <w:ind w:left="537" w:hanging="180"/>
              <w:rPr>
                <w:sz w:val="18"/>
                <w:szCs w:val="18"/>
              </w:rPr>
            </w:pPr>
            <w:r>
              <w:rPr>
                <w:sz w:val="18"/>
                <w:szCs w:val="18"/>
              </w:rPr>
              <w:t xml:space="preserve">&lt; 40%–59%: </w:t>
            </w:r>
            <w:r w:rsidRPr="007A3E1C">
              <w:rPr>
                <w:i/>
                <w:sz w:val="18"/>
                <w:szCs w:val="18"/>
              </w:rPr>
              <w:t>P</w:t>
            </w:r>
            <w:r>
              <w:rPr>
                <w:sz w:val="18"/>
                <w:szCs w:val="18"/>
              </w:rPr>
              <w:t xml:space="preserve"> = .0009</w:t>
            </w:r>
          </w:p>
          <w:p w:rsidR="003277A2" w:rsidRDefault="003277A2" w:rsidP="00C26909">
            <w:pPr>
              <w:rPr>
                <w:sz w:val="18"/>
                <w:szCs w:val="18"/>
              </w:rPr>
            </w:pPr>
          </w:p>
          <w:p w:rsidR="003277A2" w:rsidRDefault="003277A2" w:rsidP="00C26909">
            <w:pPr>
              <w:rPr>
                <w:sz w:val="18"/>
                <w:szCs w:val="18"/>
              </w:rPr>
            </w:pPr>
            <w:r w:rsidRPr="001E566D">
              <w:rPr>
                <w:b/>
                <w:sz w:val="18"/>
                <w:szCs w:val="18"/>
              </w:rPr>
              <w:t>Spinal cord alignment and intensity signal</w:t>
            </w:r>
            <w:r>
              <w:rPr>
                <w:sz w:val="18"/>
                <w:szCs w:val="18"/>
              </w:rPr>
              <w:t xml:space="preserve"> were </w:t>
            </w:r>
            <w:r w:rsidRPr="001E566D">
              <w:rPr>
                <w:i/>
                <w:sz w:val="18"/>
                <w:szCs w:val="18"/>
              </w:rPr>
              <w:t>P</w:t>
            </w:r>
            <w:r>
              <w:rPr>
                <w:sz w:val="18"/>
                <w:szCs w:val="18"/>
              </w:rPr>
              <w:t xml:space="preserve"> = ns for all groups.</w:t>
            </w:r>
          </w:p>
          <w:p w:rsidR="003277A2" w:rsidRDefault="003277A2" w:rsidP="00C26909">
            <w:pPr>
              <w:rPr>
                <w:sz w:val="18"/>
                <w:szCs w:val="18"/>
              </w:rPr>
            </w:pPr>
          </w:p>
          <w:p w:rsidR="003277A2" w:rsidRPr="006C25B3" w:rsidRDefault="003277A2" w:rsidP="00C26909">
            <w:pPr>
              <w:rPr>
                <w:sz w:val="18"/>
                <w:szCs w:val="18"/>
              </w:rPr>
            </w:pPr>
            <w:r w:rsidRPr="006C25B3">
              <w:rPr>
                <w:sz w:val="18"/>
                <w:szCs w:val="18"/>
              </w:rPr>
              <w:lastRenderedPageBreak/>
              <w:t>Multivariate analysis indicated that the outcome for</w:t>
            </w:r>
            <w:r>
              <w:rPr>
                <w:sz w:val="18"/>
                <w:szCs w:val="18"/>
              </w:rPr>
              <w:t xml:space="preserve"> </w:t>
            </w:r>
            <w:r w:rsidRPr="006C25B3">
              <w:rPr>
                <w:sz w:val="18"/>
                <w:szCs w:val="18"/>
              </w:rPr>
              <w:t xml:space="preserve">patients with </w:t>
            </w:r>
            <w:r>
              <w:rPr>
                <w:sz w:val="18"/>
                <w:szCs w:val="18"/>
              </w:rPr>
              <w:t xml:space="preserve">CSM </w:t>
            </w:r>
            <w:r w:rsidRPr="006C25B3">
              <w:rPr>
                <w:sz w:val="18"/>
                <w:szCs w:val="18"/>
              </w:rPr>
              <w:t>was positively influenced, in order of</w:t>
            </w:r>
          </w:p>
          <w:p w:rsidR="003277A2" w:rsidRPr="00C90A05" w:rsidRDefault="003277A2" w:rsidP="00C26909">
            <w:pPr>
              <w:rPr>
                <w:sz w:val="18"/>
                <w:szCs w:val="18"/>
              </w:rPr>
            </w:pPr>
            <w:r w:rsidRPr="006C25B3">
              <w:rPr>
                <w:sz w:val="18"/>
                <w:szCs w:val="18"/>
              </w:rPr>
              <w:t xml:space="preserve">importance, by increased transverse area of the cord </w:t>
            </w:r>
            <w:r w:rsidRPr="006C25B3">
              <w:rPr>
                <w:rFonts w:hint="eastAsia"/>
                <w:sz w:val="18"/>
                <w:szCs w:val="18"/>
              </w:rPr>
              <w:t>≥</w:t>
            </w:r>
            <w:r w:rsidRPr="006C25B3">
              <w:rPr>
                <w:sz w:val="18"/>
                <w:szCs w:val="18"/>
              </w:rPr>
              <w:t>60%,</w:t>
            </w:r>
            <w:r>
              <w:rPr>
                <w:sz w:val="18"/>
                <w:szCs w:val="18"/>
              </w:rPr>
              <w:t xml:space="preserve"> </w:t>
            </w:r>
            <w:r w:rsidRPr="006C25B3">
              <w:rPr>
                <w:sz w:val="18"/>
                <w:szCs w:val="18"/>
              </w:rPr>
              <w:t>presence of single-level anterior fusion, a high preoperative</w:t>
            </w:r>
            <w:r>
              <w:rPr>
                <w:sz w:val="18"/>
                <w:szCs w:val="18"/>
              </w:rPr>
              <w:t xml:space="preserve"> </w:t>
            </w:r>
            <w:r w:rsidRPr="006C25B3">
              <w:rPr>
                <w:sz w:val="18"/>
                <w:szCs w:val="18"/>
              </w:rPr>
              <w:t>neurological score, normal epidural SCEPs, and clinical features</w:t>
            </w:r>
            <w:r>
              <w:rPr>
                <w:sz w:val="18"/>
                <w:szCs w:val="18"/>
              </w:rPr>
              <w:t xml:space="preserve"> of </w:t>
            </w:r>
            <w:proofErr w:type="spellStart"/>
            <w:r>
              <w:rPr>
                <w:sz w:val="18"/>
                <w:szCs w:val="18"/>
              </w:rPr>
              <w:t>brachialgia</w:t>
            </w:r>
            <w:proofErr w:type="spellEnd"/>
            <w:r>
              <w:rPr>
                <w:sz w:val="18"/>
                <w:szCs w:val="18"/>
              </w:rPr>
              <w:t xml:space="preserve"> and cord type; in patients with OPLL: </w:t>
            </w:r>
            <w:r w:rsidRPr="006C25B3">
              <w:rPr>
                <w:sz w:val="18"/>
                <w:szCs w:val="18"/>
              </w:rPr>
              <w:t>presence</w:t>
            </w:r>
            <w:r>
              <w:rPr>
                <w:sz w:val="18"/>
                <w:szCs w:val="18"/>
              </w:rPr>
              <w:t xml:space="preserve"> o</w:t>
            </w:r>
            <w:r w:rsidRPr="006C25B3">
              <w:rPr>
                <w:sz w:val="18"/>
                <w:szCs w:val="18"/>
              </w:rPr>
              <w:t>f mixed or localized OPLL, normal epidural SCEPs,</w:t>
            </w:r>
            <w:r>
              <w:rPr>
                <w:sz w:val="18"/>
                <w:szCs w:val="18"/>
              </w:rPr>
              <w:t xml:space="preserve"> </w:t>
            </w:r>
            <w:r w:rsidRPr="006C25B3">
              <w:rPr>
                <w:sz w:val="18"/>
                <w:szCs w:val="18"/>
              </w:rPr>
              <w:t>high preoperative neurological score, a single-vertebra</w:t>
            </w:r>
            <w:r>
              <w:rPr>
                <w:sz w:val="18"/>
                <w:szCs w:val="18"/>
              </w:rPr>
              <w:t xml:space="preserve"> </w:t>
            </w:r>
            <w:proofErr w:type="spellStart"/>
            <w:r w:rsidRPr="006C25B3">
              <w:rPr>
                <w:sz w:val="18"/>
                <w:szCs w:val="18"/>
              </w:rPr>
              <w:t>spondylectomy</w:t>
            </w:r>
            <w:proofErr w:type="spellEnd"/>
            <w:r w:rsidRPr="006C25B3">
              <w:rPr>
                <w:sz w:val="18"/>
                <w:szCs w:val="18"/>
              </w:rPr>
              <w:t xml:space="preserve"> with anterior fusion, laminoplasty, widening</w:t>
            </w:r>
            <w:r>
              <w:rPr>
                <w:sz w:val="18"/>
                <w:szCs w:val="18"/>
              </w:rPr>
              <w:t xml:space="preserve"> </w:t>
            </w:r>
            <w:r w:rsidRPr="006C25B3">
              <w:rPr>
                <w:sz w:val="18"/>
                <w:szCs w:val="18"/>
              </w:rPr>
              <w:t xml:space="preserve">of the transverse area of the cord </w:t>
            </w:r>
            <w:r w:rsidRPr="006C25B3">
              <w:rPr>
                <w:rFonts w:hint="eastAsia"/>
                <w:sz w:val="18"/>
                <w:szCs w:val="18"/>
              </w:rPr>
              <w:t>≥</w:t>
            </w:r>
            <w:r>
              <w:rPr>
                <w:sz w:val="18"/>
                <w:szCs w:val="18"/>
              </w:rPr>
              <w:t xml:space="preserve">40%, and an </w:t>
            </w:r>
            <w:r w:rsidRPr="006C25B3">
              <w:rPr>
                <w:sz w:val="18"/>
                <w:szCs w:val="18"/>
              </w:rPr>
              <w:t>expansion rate</w:t>
            </w:r>
            <w:r>
              <w:rPr>
                <w:sz w:val="18"/>
                <w:szCs w:val="18"/>
              </w:rPr>
              <w:t xml:space="preserve"> of the spinal canal after </w:t>
            </w:r>
            <w:r w:rsidRPr="006C25B3">
              <w:rPr>
                <w:sz w:val="18"/>
                <w:szCs w:val="18"/>
              </w:rPr>
              <w:t xml:space="preserve">laminoplasty </w:t>
            </w:r>
            <w:r w:rsidRPr="006C25B3">
              <w:rPr>
                <w:rFonts w:hint="eastAsia"/>
                <w:sz w:val="18"/>
                <w:szCs w:val="18"/>
              </w:rPr>
              <w:t>≥</w:t>
            </w:r>
            <w:r w:rsidRPr="006C25B3">
              <w:rPr>
                <w:sz w:val="18"/>
                <w:szCs w:val="18"/>
              </w:rPr>
              <w:t>40%.</w:t>
            </w:r>
          </w:p>
        </w:tc>
      </w:tr>
      <w:tr w:rsidR="0043721E" w:rsidRPr="003E1C61" w:rsidTr="00DC4E9E">
        <w:tc>
          <w:tcPr>
            <w:tcW w:w="1248" w:type="dxa"/>
          </w:tcPr>
          <w:p w:rsidR="003277A2" w:rsidRPr="00B131A4" w:rsidRDefault="00C26909" w:rsidP="00C26909">
            <w:pPr>
              <w:rPr>
                <w:sz w:val="18"/>
                <w:szCs w:val="18"/>
                <w:lang w:val="en-AU"/>
              </w:rPr>
            </w:pPr>
            <w:proofErr w:type="spellStart"/>
            <w:r>
              <w:rPr>
                <w:sz w:val="18"/>
                <w:szCs w:val="18"/>
                <w:lang w:val="en-AU"/>
              </w:rPr>
              <w:lastRenderedPageBreak/>
              <w:t>Vedantam</w:t>
            </w:r>
            <w:proofErr w:type="spellEnd"/>
            <w:r>
              <w:rPr>
                <w:sz w:val="18"/>
                <w:szCs w:val="18"/>
                <w:lang w:val="en-AU"/>
              </w:rPr>
              <w:t xml:space="preserve"> et al. (201</w:t>
            </w:r>
            <w:r w:rsidR="003277A2" w:rsidRPr="00B131A4">
              <w:rPr>
                <w:sz w:val="18"/>
                <w:szCs w:val="18"/>
                <w:lang w:val="en-AU"/>
              </w:rPr>
              <w:t>1)</w:t>
            </w:r>
          </w:p>
          <w:p w:rsidR="003277A2" w:rsidRPr="00B131A4" w:rsidRDefault="003277A2" w:rsidP="00C26909">
            <w:pPr>
              <w:rPr>
                <w:sz w:val="18"/>
                <w:szCs w:val="18"/>
                <w:lang w:val="en-AU"/>
              </w:rPr>
            </w:pPr>
          </w:p>
          <w:p w:rsidR="003277A2" w:rsidRPr="00B131A4" w:rsidRDefault="003277A2" w:rsidP="00C26909">
            <w:pPr>
              <w:rPr>
                <w:sz w:val="18"/>
                <w:szCs w:val="18"/>
                <w:lang w:val="en-AU"/>
              </w:rPr>
            </w:pPr>
            <w:r w:rsidRPr="00B131A4">
              <w:rPr>
                <w:sz w:val="18"/>
                <w:szCs w:val="18"/>
                <w:lang w:val="en-AU"/>
              </w:rPr>
              <w:t>Retrospective</w:t>
            </w:r>
            <w:r w:rsidR="00B939A0">
              <w:rPr>
                <w:sz w:val="18"/>
                <w:szCs w:val="18"/>
                <w:lang w:val="en-AU"/>
              </w:rPr>
              <w:t xml:space="preserve"> cohort</w:t>
            </w:r>
          </w:p>
        </w:tc>
        <w:tc>
          <w:tcPr>
            <w:tcW w:w="1741" w:type="dxa"/>
          </w:tcPr>
          <w:p w:rsidR="003277A2" w:rsidRPr="00B131A4" w:rsidRDefault="003277A2" w:rsidP="00C26909">
            <w:pPr>
              <w:rPr>
                <w:sz w:val="18"/>
                <w:szCs w:val="18"/>
                <w:lang w:val="en-AU"/>
              </w:rPr>
            </w:pPr>
            <w:r w:rsidRPr="00B131A4">
              <w:rPr>
                <w:sz w:val="18"/>
                <w:szCs w:val="18"/>
                <w:lang w:val="en-AU"/>
              </w:rPr>
              <w:t xml:space="preserve">To evaluate whether the type of increased signal intensity (ISI) is a predictor of surgical outcome. </w:t>
            </w:r>
          </w:p>
        </w:tc>
        <w:tc>
          <w:tcPr>
            <w:tcW w:w="2362" w:type="dxa"/>
          </w:tcPr>
          <w:p w:rsidR="003277A2" w:rsidRPr="00B131A4" w:rsidRDefault="003277A2" w:rsidP="00C26909">
            <w:pPr>
              <w:rPr>
                <w:sz w:val="18"/>
                <w:szCs w:val="18"/>
                <w:lang w:val="en-AU"/>
              </w:rPr>
            </w:pPr>
            <w:r w:rsidRPr="00B131A4">
              <w:rPr>
                <w:sz w:val="18"/>
                <w:szCs w:val="18"/>
                <w:lang w:val="en-AU"/>
              </w:rPr>
              <w:t>N</w:t>
            </w:r>
            <w:r>
              <w:rPr>
                <w:sz w:val="18"/>
                <w:szCs w:val="18"/>
                <w:lang w:val="en-AU"/>
              </w:rPr>
              <w:t xml:space="preserve"> </w:t>
            </w:r>
            <w:r w:rsidRPr="00B131A4">
              <w:rPr>
                <w:sz w:val="18"/>
                <w:szCs w:val="18"/>
                <w:lang w:val="en-AU"/>
              </w:rPr>
              <w:t>=</w:t>
            </w:r>
            <w:r>
              <w:rPr>
                <w:sz w:val="18"/>
                <w:szCs w:val="18"/>
                <w:lang w:val="en-AU"/>
              </w:rPr>
              <w:t xml:space="preserve"> </w:t>
            </w:r>
            <w:r w:rsidRPr="00B131A4">
              <w:rPr>
                <w:sz w:val="18"/>
                <w:szCs w:val="18"/>
                <w:lang w:val="en-AU"/>
              </w:rPr>
              <w:t>197</w:t>
            </w:r>
          </w:p>
          <w:p w:rsidR="003277A2" w:rsidRPr="00B131A4" w:rsidRDefault="003277A2" w:rsidP="00C26909">
            <w:pPr>
              <w:ind w:left="174"/>
              <w:rPr>
                <w:sz w:val="18"/>
                <w:szCs w:val="18"/>
                <w:lang w:val="en-AU"/>
              </w:rPr>
            </w:pPr>
            <w:r w:rsidRPr="00B131A4">
              <w:rPr>
                <w:sz w:val="18"/>
                <w:szCs w:val="18"/>
                <w:lang w:val="en-AU"/>
              </w:rPr>
              <w:t>Male: 93.9%</w:t>
            </w:r>
          </w:p>
          <w:p w:rsidR="003277A2" w:rsidRPr="00B131A4" w:rsidRDefault="003277A2" w:rsidP="00C26909">
            <w:pPr>
              <w:ind w:left="174"/>
              <w:rPr>
                <w:sz w:val="18"/>
                <w:szCs w:val="18"/>
                <w:lang w:val="en-AU"/>
              </w:rPr>
            </w:pPr>
            <w:r w:rsidRPr="00B131A4">
              <w:rPr>
                <w:sz w:val="18"/>
                <w:szCs w:val="18"/>
                <w:lang w:val="en-AU"/>
              </w:rPr>
              <w:t>Mean age</w:t>
            </w:r>
            <w:r>
              <w:rPr>
                <w:sz w:val="18"/>
                <w:szCs w:val="18"/>
                <w:lang w:val="en-AU"/>
              </w:rPr>
              <w:t xml:space="preserve"> (± SD)</w:t>
            </w:r>
            <w:r w:rsidRPr="00B131A4">
              <w:rPr>
                <w:sz w:val="18"/>
                <w:szCs w:val="18"/>
                <w:lang w:val="en-AU"/>
              </w:rPr>
              <w:t>: 48.8</w:t>
            </w:r>
            <w:r>
              <w:rPr>
                <w:sz w:val="18"/>
                <w:szCs w:val="18"/>
                <w:lang w:val="en-AU"/>
              </w:rPr>
              <w:t xml:space="preserve"> </w:t>
            </w:r>
            <w:r w:rsidRPr="00B131A4">
              <w:rPr>
                <w:sz w:val="18"/>
                <w:szCs w:val="18"/>
                <w:lang w:val="en-AU"/>
              </w:rPr>
              <w:t>±</w:t>
            </w:r>
            <w:r>
              <w:rPr>
                <w:sz w:val="18"/>
                <w:szCs w:val="18"/>
                <w:lang w:val="en-AU"/>
              </w:rPr>
              <w:t xml:space="preserve"> </w:t>
            </w:r>
            <w:r w:rsidRPr="00B131A4">
              <w:rPr>
                <w:sz w:val="18"/>
                <w:szCs w:val="18"/>
                <w:lang w:val="en-AU"/>
              </w:rPr>
              <w:t>0.6</w:t>
            </w:r>
            <w:r>
              <w:rPr>
                <w:sz w:val="18"/>
                <w:szCs w:val="18"/>
                <w:lang w:val="en-AU"/>
              </w:rPr>
              <w:t xml:space="preserve"> years</w:t>
            </w:r>
          </w:p>
          <w:p w:rsidR="003277A2" w:rsidRPr="00B131A4" w:rsidRDefault="003277A2" w:rsidP="00C26909">
            <w:pPr>
              <w:ind w:left="174"/>
              <w:rPr>
                <w:sz w:val="18"/>
                <w:szCs w:val="18"/>
                <w:lang w:val="en-AU"/>
              </w:rPr>
            </w:pPr>
            <w:r w:rsidRPr="00B131A4">
              <w:rPr>
                <w:sz w:val="18"/>
                <w:szCs w:val="18"/>
                <w:lang w:val="en-AU"/>
              </w:rPr>
              <w:t xml:space="preserve">Mean </w:t>
            </w:r>
            <w:r>
              <w:rPr>
                <w:sz w:val="18"/>
                <w:szCs w:val="18"/>
                <w:lang w:val="en-AU"/>
              </w:rPr>
              <w:t xml:space="preserve">duration of symptoms (range): 8 </w:t>
            </w:r>
            <w:r w:rsidRPr="00B131A4">
              <w:rPr>
                <w:sz w:val="18"/>
                <w:szCs w:val="18"/>
                <w:lang w:val="en-AU"/>
              </w:rPr>
              <w:t>months</w:t>
            </w:r>
            <w:r>
              <w:rPr>
                <w:sz w:val="18"/>
                <w:szCs w:val="18"/>
                <w:lang w:val="en-AU"/>
              </w:rPr>
              <w:t xml:space="preserve"> </w:t>
            </w:r>
            <w:r w:rsidRPr="00B131A4">
              <w:rPr>
                <w:sz w:val="18"/>
                <w:szCs w:val="18"/>
                <w:lang w:val="en-AU"/>
              </w:rPr>
              <w:t>(1-180)</w:t>
            </w:r>
          </w:p>
          <w:p w:rsidR="003277A2" w:rsidRDefault="003277A2" w:rsidP="00C26909">
            <w:pPr>
              <w:rPr>
                <w:sz w:val="18"/>
                <w:szCs w:val="18"/>
                <w:lang w:val="en-AU"/>
              </w:rPr>
            </w:pPr>
          </w:p>
          <w:p w:rsidR="003277A2" w:rsidRPr="009953F6" w:rsidRDefault="003277A2" w:rsidP="00C26909">
            <w:pPr>
              <w:rPr>
                <w:sz w:val="18"/>
                <w:szCs w:val="18"/>
                <w:u w:val="single"/>
                <w:lang w:val="en-AU"/>
              </w:rPr>
            </w:pPr>
            <w:r w:rsidRPr="009953F6">
              <w:rPr>
                <w:sz w:val="18"/>
                <w:szCs w:val="18"/>
                <w:u w:val="single"/>
                <w:lang w:val="en-AU"/>
              </w:rPr>
              <w:t>Diagnosis</w:t>
            </w:r>
          </w:p>
          <w:p w:rsidR="003277A2" w:rsidRDefault="003277A2" w:rsidP="00C26909">
            <w:pPr>
              <w:numPr>
                <w:ilvl w:val="0"/>
                <w:numId w:val="2"/>
              </w:numPr>
              <w:tabs>
                <w:tab w:val="clear" w:pos="720"/>
                <w:tab w:val="num" w:pos="252"/>
              </w:tabs>
              <w:ind w:left="252" w:hanging="180"/>
              <w:contextualSpacing/>
              <w:rPr>
                <w:sz w:val="18"/>
                <w:szCs w:val="18"/>
                <w:lang w:val="en-AU"/>
              </w:rPr>
            </w:pPr>
            <w:r w:rsidRPr="009953F6">
              <w:rPr>
                <w:sz w:val="18"/>
                <w:szCs w:val="20"/>
              </w:rPr>
              <w:t>CSM</w:t>
            </w:r>
            <w:r>
              <w:rPr>
                <w:sz w:val="18"/>
                <w:szCs w:val="20"/>
              </w:rPr>
              <w:t>, with OPLL identified in 67 patients</w:t>
            </w:r>
          </w:p>
          <w:p w:rsidR="003277A2" w:rsidRDefault="003277A2" w:rsidP="00C26909">
            <w:pPr>
              <w:rPr>
                <w:sz w:val="18"/>
                <w:szCs w:val="18"/>
                <w:lang w:val="en-AU"/>
              </w:rPr>
            </w:pPr>
          </w:p>
          <w:p w:rsidR="003277A2" w:rsidRPr="009953F6" w:rsidRDefault="003277A2" w:rsidP="00C26909">
            <w:pPr>
              <w:rPr>
                <w:sz w:val="18"/>
                <w:szCs w:val="18"/>
                <w:u w:val="single"/>
                <w:lang w:val="en-AU"/>
              </w:rPr>
            </w:pPr>
            <w:r w:rsidRPr="009953F6">
              <w:rPr>
                <w:sz w:val="18"/>
                <w:szCs w:val="18"/>
                <w:u w:val="single"/>
                <w:lang w:val="en-AU"/>
              </w:rPr>
              <w:t>Decompression surgery</w:t>
            </w:r>
          </w:p>
          <w:p w:rsidR="003277A2" w:rsidRDefault="003277A2" w:rsidP="00C26909">
            <w:pPr>
              <w:numPr>
                <w:ilvl w:val="0"/>
                <w:numId w:val="2"/>
              </w:numPr>
              <w:tabs>
                <w:tab w:val="clear" w:pos="720"/>
                <w:tab w:val="num" w:pos="252"/>
              </w:tabs>
              <w:ind w:left="252" w:hanging="180"/>
              <w:contextualSpacing/>
              <w:rPr>
                <w:sz w:val="18"/>
                <w:szCs w:val="18"/>
                <w:lang w:val="en-AU"/>
              </w:rPr>
            </w:pPr>
            <w:r w:rsidRPr="009953F6">
              <w:rPr>
                <w:sz w:val="18"/>
                <w:szCs w:val="20"/>
              </w:rPr>
              <w:t>Central</w:t>
            </w:r>
            <w:r>
              <w:rPr>
                <w:sz w:val="18"/>
                <w:szCs w:val="18"/>
                <w:lang w:val="en-AU"/>
              </w:rPr>
              <w:t xml:space="preserve"> corpectomy at 1-level (n = 99), 2-levels (n = 92), and 3-levels (n = 6)</w:t>
            </w:r>
          </w:p>
          <w:p w:rsidR="003277A2" w:rsidRPr="00B131A4" w:rsidRDefault="003277A2" w:rsidP="00C26909">
            <w:pPr>
              <w:rPr>
                <w:sz w:val="18"/>
                <w:szCs w:val="18"/>
                <w:lang w:val="en-AU"/>
              </w:rPr>
            </w:pPr>
          </w:p>
          <w:p w:rsidR="003277A2" w:rsidRPr="00B131A4" w:rsidRDefault="003277A2" w:rsidP="00C26909">
            <w:pPr>
              <w:rPr>
                <w:sz w:val="18"/>
                <w:szCs w:val="18"/>
                <w:lang w:val="en-AU"/>
              </w:rPr>
            </w:pPr>
            <w:r w:rsidRPr="00B131A4">
              <w:rPr>
                <w:sz w:val="18"/>
                <w:szCs w:val="18"/>
                <w:u w:val="single"/>
                <w:lang w:val="en-AU"/>
              </w:rPr>
              <w:t>Signal intensity (SI) grade</w:t>
            </w:r>
            <w:r>
              <w:rPr>
                <w:sz w:val="18"/>
                <w:szCs w:val="18"/>
                <w:lang w:val="en-AU"/>
              </w:rPr>
              <w:t>†</w:t>
            </w:r>
          </w:p>
          <w:p w:rsidR="003277A2" w:rsidRPr="00B131A4" w:rsidRDefault="003277A2" w:rsidP="00C26909">
            <w:pPr>
              <w:rPr>
                <w:i/>
                <w:sz w:val="18"/>
                <w:szCs w:val="18"/>
                <w:lang w:val="en-AU"/>
              </w:rPr>
            </w:pPr>
            <w:r w:rsidRPr="00B131A4">
              <w:rPr>
                <w:i/>
                <w:sz w:val="18"/>
                <w:szCs w:val="18"/>
                <w:lang w:val="en-AU"/>
              </w:rPr>
              <w:t>Grade 0 (n = 30)</w:t>
            </w:r>
          </w:p>
          <w:p w:rsidR="003277A2" w:rsidRPr="00B131A4" w:rsidRDefault="003277A2" w:rsidP="00C26909">
            <w:pPr>
              <w:ind w:left="171"/>
              <w:rPr>
                <w:sz w:val="18"/>
                <w:szCs w:val="18"/>
                <w:lang w:val="en-AU"/>
              </w:rPr>
            </w:pPr>
            <w:r w:rsidRPr="00B131A4">
              <w:rPr>
                <w:sz w:val="18"/>
                <w:szCs w:val="18"/>
                <w:lang w:val="en-AU"/>
              </w:rPr>
              <w:t>Mean age</w:t>
            </w:r>
            <w:r>
              <w:rPr>
                <w:sz w:val="18"/>
                <w:szCs w:val="18"/>
                <w:lang w:val="en-AU"/>
              </w:rPr>
              <w:t xml:space="preserve"> (±SD)</w:t>
            </w:r>
            <w:r w:rsidRPr="00B131A4">
              <w:rPr>
                <w:sz w:val="18"/>
                <w:szCs w:val="18"/>
                <w:lang w:val="en-AU"/>
              </w:rPr>
              <w:t>: 49.3</w:t>
            </w:r>
            <w:r>
              <w:rPr>
                <w:sz w:val="18"/>
                <w:szCs w:val="18"/>
                <w:lang w:val="en-AU"/>
              </w:rPr>
              <w:t xml:space="preserve"> </w:t>
            </w:r>
            <w:r w:rsidRPr="00B131A4">
              <w:rPr>
                <w:sz w:val="18"/>
                <w:szCs w:val="18"/>
                <w:lang w:val="en-AU"/>
              </w:rPr>
              <w:t>±</w:t>
            </w:r>
            <w:r>
              <w:rPr>
                <w:sz w:val="18"/>
                <w:szCs w:val="18"/>
                <w:lang w:val="en-AU"/>
              </w:rPr>
              <w:t xml:space="preserve"> </w:t>
            </w:r>
            <w:r w:rsidRPr="00B131A4">
              <w:rPr>
                <w:sz w:val="18"/>
                <w:szCs w:val="18"/>
                <w:lang w:val="en-AU"/>
              </w:rPr>
              <w:t>1.8</w:t>
            </w:r>
            <w:r>
              <w:rPr>
                <w:sz w:val="18"/>
                <w:szCs w:val="18"/>
                <w:lang w:val="en-AU"/>
              </w:rPr>
              <w:t xml:space="preserve"> years</w:t>
            </w:r>
          </w:p>
          <w:p w:rsidR="003277A2" w:rsidRPr="00B131A4" w:rsidRDefault="003277A2" w:rsidP="00C26909">
            <w:pPr>
              <w:ind w:left="171"/>
              <w:rPr>
                <w:sz w:val="18"/>
                <w:szCs w:val="18"/>
                <w:lang w:val="en-AU"/>
              </w:rPr>
            </w:pPr>
            <w:r w:rsidRPr="00B131A4">
              <w:rPr>
                <w:sz w:val="18"/>
                <w:szCs w:val="18"/>
                <w:lang w:val="en-AU"/>
              </w:rPr>
              <w:t xml:space="preserve">Median duration of symptoms: 8.5 months </w:t>
            </w:r>
          </w:p>
          <w:p w:rsidR="003277A2" w:rsidRPr="00B131A4" w:rsidRDefault="003277A2" w:rsidP="00C26909">
            <w:pPr>
              <w:rPr>
                <w:i/>
                <w:sz w:val="18"/>
                <w:szCs w:val="18"/>
                <w:lang w:val="en-AU"/>
              </w:rPr>
            </w:pPr>
            <w:r w:rsidRPr="00B131A4">
              <w:rPr>
                <w:i/>
                <w:sz w:val="18"/>
                <w:szCs w:val="18"/>
                <w:lang w:val="en-AU"/>
              </w:rPr>
              <w:t>Grade 1 (n = 104)</w:t>
            </w:r>
          </w:p>
          <w:p w:rsidR="003277A2" w:rsidRPr="00B131A4" w:rsidRDefault="003277A2" w:rsidP="00C26909">
            <w:pPr>
              <w:ind w:left="171"/>
              <w:rPr>
                <w:sz w:val="18"/>
                <w:szCs w:val="18"/>
                <w:lang w:val="en-AU"/>
              </w:rPr>
            </w:pPr>
            <w:r w:rsidRPr="00B131A4">
              <w:rPr>
                <w:sz w:val="18"/>
                <w:szCs w:val="18"/>
                <w:lang w:val="en-AU"/>
              </w:rPr>
              <w:t>Mean age</w:t>
            </w:r>
            <w:r>
              <w:rPr>
                <w:sz w:val="18"/>
                <w:szCs w:val="18"/>
                <w:lang w:val="en-AU"/>
              </w:rPr>
              <w:t xml:space="preserve"> (±SD)</w:t>
            </w:r>
            <w:r w:rsidRPr="00B131A4">
              <w:rPr>
                <w:sz w:val="18"/>
                <w:szCs w:val="18"/>
                <w:lang w:val="en-AU"/>
              </w:rPr>
              <w:t>: 48.6</w:t>
            </w:r>
            <w:r>
              <w:rPr>
                <w:sz w:val="18"/>
                <w:szCs w:val="18"/>
                <w:lang w:val="en-AU"/>
              </w:rPr>
              <w:t xml:space="preserve"> </w:t>
            </w:r>
            <w:r w:rsidRPr="00B131A4">
              <w:rPr>
                <w:sz w:val="18"/>
                <w:szCs w:val="18"/>
                <w:lang w:val="en-AU"/>
              </w:rPr>
              <w:t>±</w:t>
            </w:r>
            <w:r>
              <w:rPr>
                <w:sz w:val="18"/>
                <w:szCs w:val="18"/>
                <w:lang w:val="en-AU"/>
              </w:rPr>
              <w:t xml:space="preserve"> </w:t>
            </w:r>
            <w:r w:rsidRPr="00B131A4">
              <w:rPr>
                <w:sz w:val="18"/>
                <w:szCs w:val="18"/>
                <w:lang w:val="en-AU"/>
              </w:rPr>
              <w:t>0.8</w:t>
            </w:r>
            <w:r>
              <w:rPr>
                <w:sz w:val="18"/>
                <w:szCs w:val="18"/>
                <w:lang w:val="en-AU"/>
              </w:rPr>
              <w:t xml:space="preserve"> years</w:t>
            </w:r>
          </w:p>
          <w:p w:rsidR="003277A2" w:rsidRPr="00B131A4" w:rsidRDefault="003277A2" w:rsidP="00C26909">
            <w:pPr>
              <w:ind w:left="171"/>
              <w:rPr>
                <w:sz w:val="18"/>
                <w:szCs w:val="18"/>
                <w:lang w:val="en-AU"/>
              </w:rPr>
            </w:pPr>
            <w:r w:rsidRPr="00B131A4">
              <w:rPr>
                <w:sz w:val="18"/>
                <w:szCs w:val="18"/>
                <w:lang w:val="en-AU"/>
              </w:rPr>
              <w:t xml:space="preserve">Median duration of </w:t>
            </w:r>
            <w:r w:rsidRPr="00B131A4">
              <w:rPr>
                <w:sz w:val="18"/>
                <w:szCs w:val="18"/>
                <w:lang w:val="en-AU"/>
              </w:rPr>
              <w:lastRenderedPageBreak/>
              <w:t xml:space="preserve">symptoms: 6.0 months </w:t>
            </w:r>
          </w:p>
          <w:p w:rsidR="003277A2" w:rsidRPr="00B131A4" w:rsidRDefault="003277A2" w:rsidP="00C26909">
            <w:pPr>
              <w:rPr>
                <w:i/>
                <w:sz w:val="18"/>
                <w:szCs w:val="18"/>
                <w:lang w:val="en-AU"/>
              </w:rPr>
            </w:pPr>
            <w:r w:rsidRPr="00B131A4">
              <w:rPr>
                <w:i/>
                <w:sz w:val="18"/>
                <w:szCs w:val="18"/>
                <w:lang w:val="en-AU"/>
              </w:rPr>
              <w:t>Grade 2 (n = 63)</w:t>
            </w:r>
          </w:p>
          <w:p w:rsidR="003277A2" w:rsidRPr="00B131A4" w:rsidRDefault="003277A2" w:rsidP="00C26909">
            <w:pPr>
              <w:ind w:left="171"/>
              <w:rPr>
                <w:sz w:val="18"/>
                <w:szCs w:val="18"/>
                <w:lang w:val="en-AU"/>
              </w:rPr>
            </w:pPr>
            <w:r w:rsidRPr="00B131A4">
              <w:rPr>
                <w:sz w:val="18"/>
                <w:szCs w:val="18"/>
                <w:lang w:val="en-AU"/>
              </w:rPr>
              <w:t>Mean age</w:t>
            </w:r>
            <w:r>
              <w:rPr>
                <w:sz w:val="18"/>
                <w:szCs w:val="18"/>
                <w:lang w:val="en-AU"/>
              </w:rPr>
              <w:t xml:space="preserve"> (±SD)</w:t>
            </w:r>
            <w:r w:rsidRPr="00B131A4">
              <w:rPr>
                <w:sz w:val="18"/>
                <w:szCs w:val="18"/>
                <w:lang w:val="en-AU"/>
              </w:rPr>
              <w:t>: 3.3</w:t>
            </w:r>
            <w:r>
              <w:rPr>
                <w:sz w:val="18"/>
                <w:szCs w:val="18"/>
                <w:lang w:val="en-AU"/>
              </w:rPr>
              <w:t xml:space="preserve"> </w:t>
            </w:r>
            <w:r w:rsidRPr="00B131A4">
              <w:rPr>
                <w:sz w:val="18"/>
                <w:szCs w:val="18"/>
                <w:lang w:val="en-AU"/>
              </w:rPr>
              <w:t>±</w:t>
            </w:r>
            <w:r>
              <w:rPr>
                <w:sz w:val="18"/>
                <w:szCs w:val="18"/>
                <w:lang w:val="en-AU"/>
              </w:rPr>
              <w:t xml:space="preserve"> </w:t>
            </w:r>
            <w:r w:rsidRPr="00B131A4">
              <w:rPr>
                <w:sz w:val="18"/>
                <w:szCs w:val="18"/>
                <w:lang w:val="en-AU"/>
              </w:rPr>
              <w:t>0.1</w:t>
            </w:r>
            <w:r>
              <w:rPr>
                <w:sz w:val="18"/>
                <w:szCs w:val="18"/>
                <w:lang w:val="en-AU"/>
              </w:rPr>
              <w:t xml:space="preserve"> years</w:t>
            </w:r>
          </w:p>
          <w:p w:rsidR="003277A2" w:rsidRPr="00B131A4" w:rsidRDefault="003277A2" w:rsidP="00C26909">
            <w:pPr>
              <w:ind w:left="171"/>
              <w:rPr>
                <w:sz w:val="18"/>
                <w:szCs w:val="18"/>
                <w:lang w:val="en-AU"/>
              </w:rPr>
            </w:pPr>
            <w:r w:rsidRPr="00B131A4">
              <w:rPr>
                <w:sz w:val="18"/>
                <w:szCs w:val="18"/>
                <w:lang w:val="en-AU"/>
              </w:rPr>
              <w:t xml:space="preserve">Median duration of symptoms: 8.0 months  </w:t>
            </w:r>
          </w:p>
        </w:tc>
        <w:tc>
          <w:tcPr>
            <w:tcW w:w="1478" w:type="dxa"/>
          </w:tcPr>
          <w:p w:rsidR="003277A2" w:rsidRPr="00B131A4" w:rsidRDefault="003277A2" w:rsidP="00C26909">
            <w:pPr>
              <w:pStyle w:val="ListParagraph"/>
              <w:numPr>
                <w:ilvl w:val="0"/>
                <w:numId w:val="1"/>
              </w:numPr>
              <w:spacing w:after="0" w:line="240" w:lineRule="auto"/>
              <w:ind w:left="162" w:hanging="162"/>
              <w:rPr>
                <w:rFonts w:ascii="Times New Roman" w:hAnsi="Times New Roman"/>
                <w:sz w:val="18"/>
                <w:szCs w:val="18"/>
                <w:lang w:val="en-AU"/>
              </w:rPr>
            </w:pPr>
            <w:r w:rsidRPr="00B131A4">
              <w:rPr>
                <w:rFonts w:ascii="Times New Roman" w:hAnsi="Times New Roman"/>
                <w:sz w:val="18"/>
                <w:szCs w:val="18"/>
                <w:lang w:val="en-AU"/>
              </w:rPr>
              <w:lastRenderedPageBreak/>
              <w:t>Age</w:t>
            </w:r>
          </w:p>
          <w:p w:rsidR="003277A2" w:rsidRPr="00B131A4" w:rsidRDefault="003277A2" w:rsidP="00C26909">
            <w:pPr>
              <w:pStyle w:val="ListParagraph"/>
              <w:numPr>
                <w:ilvl w:val="0"/>
                <w:numId w:val="1"/>
              </w:numPr>
              <w:spacing w:after="0" w:line="240" w:lineRule="auto"/>
              <w:ind w:left="162" w:hanging="162"/>
              <w:rPr>
                <w:rFonts w:ascii="Times New Roman" w:hAnsi="Times New Roman"/>
                <w:sz w:val="18"/>
                <w:szCs w:val="18"/>
                <w:lang w:val="en-AU"/>
              </w:rPr>
            </w:pPr>
            <w:r w:rsidRPr="00B131A4">
              <w:rPr>
                <w:rFonts w:ascii="Times New Roman" w:hAnsi="Times New Roman"/>
                <w:sz w:val="18"/>
                <w:szCs w:val="18"/>
                <w:lang w:val="en-AU"/>
              </w:rPr>
              <w:t>Duration of symptoms</w:t>
            </w:r>
          </w:p>
          <w:p w:rsidR="003277A2" w:rsidRPr="00B131A4" w:rsidRDefault="003277A2" w:rsidP="00C26909">
            <w:pPr>
              <w:pStyle w:val="ListParagraph"/>
              <w:numPr>
                <w:ilvl w:val="0"/>
                <w:numId w:val="1"/>
              </w:numPr>
              <w:spacing w:after="0" w:line="240" w:lineRule="auto"/>
              <w:ind w:left="162" w:hanging="162"/>
              <w:rPr>
                <w:rFonts w:ascii="Times New Roman" w:hAnsi="Times New Roman"/>
                <w:sz w:val="18"/>
                <w:szCs w:val="18"/>
                <w:lang w:val="en-AU"/>
              </w:rPr>
            </w:pPr>
            <w:r w:rsidRPr="00B131A4">
              <w:rPr>
                <w:rFonts w:ascii="Times New Roman" w:hAnsi="Times New Roman"/>
                <w:sz w:val="18"/>
                <w:szCs w:val="18"/>
                <w:lang w:val="en-AU"/>
              </w:rPr>
              <w:t>Pre-op Nurick</w:t>
            </w:r>
          </w:p>
          <w:p w:rsidR="003277A2" w:rsidRPr="00B131A4" w:rsidRDefault="003277A2" w:rsidP="00C26909">
            <w:pPr>
              <w:rPr>
                <w:sz w:val="18"/>
                <w:szCs w:val="18"/>
                <w:lang w:val="en-AU"/>
              </w:rPr>
            </w:pPr>
          </w:p>
        </w:tc>
        <w:tc>
          <w:tcPr>
            <w:tcW w:w="1448" w:type="dxa"/>
          </w:tcPr>
          <w:p w:rsidR="003277A2" w:rsidRPr="00B131A4" w:rsidRDefault="003277A2" w:rsidP="00C26909">
            <w:pPr>
              <w:pStyle w:val="ListParagraph"/>
              <w:numPr>
                <w:ilvl w:val="0"/>
                <w:numId w:val="1"/>
              </w:numPr>
              <w:spacing w:after="0" w:line="240" w:lineRule="auto"/>
              <w:ind w:left="162" w:hanging="162"/>
              <w:rPr>
                <w:rFonts w:ascii="Times New Roman" w:hAnsi="Times New Roman"/>
                <w:sz w:val="18"/>
                <w:szCs w:val="18"/>
                <w:lang w:val="en-AU"/>
              </w:rPr>
            </w:pPr>
            <w:r>
              <w:rPr>
                <w:rFonts w:ascii="Times New Roman" w:hAnsi="Times New Roman"/>
                <w:sz w:val="18"/>
                <w:szCs w:val="18"/>
                <w:lang w:val="en-AU"/>
              </w:rPr>
              <w:t>SI</w:t>
            </w:r>
            <w:r w:rsidRPr="00B131A4">
              <w:rPr>
                <w:rFonts w:ascii="Times New Roman" w:hAnsi="Times New Roman"/>
                <w:sz w:val="18"/>
                <w:szCs w:val="18"/>
                <w:lang w:val="en-AU"/>
              </w:rPr>
              <w:t xml:space="preserve"> grade on T2WI</w:t>
            </w:r>
          </w:p>
          <w:p w:rsidR="003277A2" w:rsidRPr="00B131A4" w:rsidRDefault="003277A2" w:rsidP="00C26909">
            <w:pPr>
              <w:pStyle w:val="ListParagraph"/>
              <w:spacing w:after="0" w:line="240" w:lineRule="auto"/>
              <w:ind w:left="162" w:right="-49"/>
              <w:rPr>
                <w:rFonts w:ascii="Times New Roman" w:hAnsi="Times New Roman"/>
                <w:sz w:val="18"/>
                <w:szCs w:val="18"/>
                <w:lang w:val="en-AU"/>
              </w:rPr>
            </w:pPr>
            <w:r>
              <w:rPr>
                <w:rFonts w:ascii="Times New Roman" w:hAnsi="Times New Roman"/>
                <w:sz w:val="18"/>
                <w:szCs w:val="18"/>
                <w:lang w:val="en-AU"/>
              </w:rPr>
              <w:t>(</w:t>
            </w:r>
            <w:r w:rsidRPr="00A66016">
              <w:rPr>
                <w:rFonts w:ascii="Times New Roman" w:hAnsi="Times New Roman"/>
                <w:b/>
                <w:sz w:val="18"/>
                <w:szCs w:val="18"/>
                <w:lang w:val="en-AU"/>
              </w:rPr>
              <w:t>Type 1</w:t>
            </w:r>
            <w:r w:rsidRPr="00B131A4">
              <w:rPr>
                <w:rFonts w:ascii="Times New Roman" w:hAnsi="Times New Roman"/>
                <w:sz w:val="18"/>
                <w:szCs w:val="18"/>
                <w:lang w:val="en-AU"/>
              </w:rPr>
              <w:t>: dull or light with unclear margins</w:t>
            </w:r>
          </w:p>
          <w:p w:rsidR="003277A2" w:rsidRPr="00B131A4" w:rsidRDefault="003277A2" w:rsidP="00C26909">
            <w:pPr>
              <w:pStyle w:val="ListParagraph"/>
              <w:spacing w:after="0" w:line="240" w:lineRule="auto"/>
              <w:ind w:left="162" w:right="-49"/>
              <w:rPr>
                <w:rFonts w:ascii="Times New Roman" w:hAnsi="Times New Roman"/>
                <w:sz w:val="18"/>
                <w:szCs w:val="18"/>
                <w:lang w:val="en-AU"/>
              </w:rPr>
            </w:pPr>
            <w:r w:rsidRPr="00A66016">
              <w:rPr>
                <w:rFonts w:ascii="Times New Roman" w:hAnsi="Times New Roman"/>
                <w:b/>
                <w:sz w:val="18"/>
                <w:szCs w:val="18"/>
                <w:lang w:val="en-AU"/>
              </w:rPr>
              <w:t>Type 2</w:t>
            </w:r>
            <w:r w:rsidRPr="00B131A4">
              <w:rPr>
                <w:rFonts w:ascii="Times New Roman" w:hAnsi="Times New Roman"/>
                <w:sz w:val="18"/>
                <w:szCs w:val="18"/>
                <w:lang w:val="en-AU"/>
              </w:rPr>
              <w:t>: brilliant or intense and clearly defined</w:t>
            </w:r>
            <w:r>
              <w:rPr>
                <w:rFonts w:ascii="Times New Roman" w:hAnsi="Times New Roman"/>
                <w:sz w:val="18"/>
                <w:szCs w:val="18"/>
                <w:lang w:val="en-AU"/>
              </w:rPr>
              <w:t>)</w:t>
            </w:r>
          </w:p>
          <w:p w:rsidR="003277A2" w:rsidRPr="00B131A4" w:rsidRDefault="003277A2" w:rsidP="00C26909">
            <w:pPr>
              <w:pStyle w:val="ListParagraph"/>
              <w:numPr>
                <w:ilvl w:val="0"/>
                <w:numId w:val="1"/>
              </w:numPr>
              <w:spacing w:after="0" w:line="240" w:lineRule="auto"/>
              <w:ind w:left="162" w:hanging="162"/>
              <w:rPr>
                <w:rFonts w:ascii="Times New Roman" w:hAnsi="Times New Roman"/>
                <w:sz w:val="18"/>
                <w:szCs w:val="18"/>
                <w:lang w:val="en-AU"/>
              </w:rPr>
            </w:pPr>
            <w:r w:rsidRPr="00B131A4">
              <w:rPr>
                <w:rFonts w:ascii="Times New Roman" w:hAnsi="Times New Roman"/>
                <w:sz w:val="18"/>
                <w:szCs w:val="18"/>
                <w:lang w:val="en-AU"/>
              </w:rPr>
              <w:t>Hypointensity on T1WI</w:t>
            </w:r>
          </w:p>
        </w:tc>
        <w:tc>
          <w:tcPr>
            <w:tcW w:w="1415" w:type="dxa"/>
          </w:tcPr>
          <w:p w:rsidR="003277A2" w:rsidRPr="00B131A4" w:rsidRDefault="003277A2" w:rsidP="00C26909">
            <w:pPr>
              <w:pStyle w:val="ListParagraph"/>
              <w:numPr>
                <w:ilvl w:val="0"/>
                <w:numId w:val="1"/>
              </w:numPr>
              <w:spacing w:after="0" w:line="240" w:lineRule="auto"/>
              <w:ind w:left="162" w:hanging="162"/>
              <w:rPr>
                <w:rFonts w:ascii="Times New Roman" w:hAnsi="Times New Roman"/>
                <w:sz w:val="18"/>
                <w:szCs w:val="18"/>
                <w:lang w:val="en-AU"/>
              </w:rPr>
            </w:pPr>
            <w:r w:rsidRPr="00B131A4">
              <w:rPr>
                <w:rFonts w:ascii="Times New Roman" w:hAnsi="Times New Roman"/>
                <w:sz w:val="18"/>
                <w:szCs w:val="18"/>
                <w:lang w:val="en-AU"/>
              </w:rPr>
              <w:t>Nurick grade change ≥1</w:t>
            </w:r>
          </w:p>
          <w:p w:rsidR="003277A2" w:rsidRPr="00B131A4" w:rsidRDefault="003277A2" w:rsidP="00C26909">
            <w:pPr>
              <w:pStyle w:val="ListParagraph"/>
              <w:numPr>
                <w:ilvl w:val="0"/>
                <w:numId w:val="1"/>
              </w:numPr>
              <w:spacing w:after="0" w:line="240" w:lineRule="auto"/>
              <w:ind w:left="162" w:hanging="162"/>
              <w:rPr>
                <w:rFonts w:ascii="Times New Roman" w:hAnsi="Times New Roman"/>
                <w:sz w:val="18"/>
                <w:szCs w:val="18"/>
                <w:lang w:val="en-AU"/>
              </w:rPr>
            </w:pPr>
            <w:r w:rsidRPr="00B131A4">
              <w:rPr>
                <w:rFonts w:ascii="Times New Roman" w:hAnsi="Times New Roman"/>
                <w:sz w:val="18"/>
                <w:szCs w:val="18"/>
                <w:lang w:val="en-AU"/>
              </w:rPr>
              <w:t>Cure: Nurick f/u grade of 0 or 1</w:t>
            </w:r>
          </w:p>
        </w:tc>
        <w:tc>
          <w:tcPr>
            <w:tcW w:w="1193" w:type="dxa"/>
          </w:tcPr>
          <w:p w:rsidR="003277A2" w:rsidRPr="00B131A4" w:rsidRDefault="003277A2" w:rsidP="00C26909">
            <w:pPr>
              <w:rPr>
                <w:sz w:val="18"/>
                <w:szCs w:val="18"/>
                <w:lang w:val="en-AU"/>
              </w:rPr>
            </w:pPr>
            <w:r w:rsidRPr="00B131A4">
              <w:rPr>
                <w:sz w:val="18"/>
                <w:szCs w:val="18"/>
                <w:lang w:val="en-AU"/>
              </w:rPr>
              <w:t>Mean 35.2±1.9 months</w:t>
            </w:r>
            <w:r>
              <w:rPr>
                <w:sz w:val="18"/>
                <w:szCs w:val="18"/>
                <w:lang w:val="en-AU"/>
              </w:rPr>
              <w:t xml:space="preserve"> (% f/u NR)</w:t>
            </w:r>
          </w:p>
        </w:tc>
        <w:tc>
          <w:tcPr>
            <w:tcW w:w="3245" w:type="dxa"/>
          </w:tcPr>
          <w:p w:rsidR="003277A2" w:rsidRPr="00B131A4" w:rsidRDefault="003277A2" w:rsidP="00C26909">
            <w:pPr>
              <w:ind w:right="-73"/>
              <w:rPr>
                <w:sz w:val="18"/>
                <w:szCs w:val="18"/>
                <w:lang w:val="en-AU"/>
              </w:rPr>
            </w:pPr>
            <w:r w:rsidRPr="00B131A4">
              <w:rPr>
                <w:b/>
                <w:sz w:val="18"/>
                <w:szCs w:val="18"/>
                <w:lang w:val="en-AU"/>
              </w:rPr>
              <w:t>Nurick grade change ≥1</w:t>
            </w:r>
            <w:r w:rsidRPr="00B131A4">
              <w:rPr>
                <w:sz w:val="18"/>
                <w:szCs w:val="18"/>
                <w:lang w:val="en-AU"/>
              </w:rPr>
              <w:t xml:space="preserve">  </w:t>
            </w:r>
            <w:proofErr w:type="spellStart"/>
            <w:r w:rsidRPr="00B131A4">
              <w:rPr>
                <w:i/>
                <w:sz w:val="18"/>
                <w:szCs w:val="18"/>
                <w:lang w:val="en-AU"/>
              </w:rPr>
              <w:t>aOR</w:t>
            </w:r>
            <w:proofErr w:type="spellEnd"/>
            <w:r w:rsidRPr="00B131A4">
              <w:rPr>
                <w:i/>
                <w:sz w:val="18"/>
                <w:szCs w:val="18"/>
                <w:lang w:val="en-AU"/>
              </w:rPr>
              <w:t xml:space="preserve"> (95% CI)</w:t>
            </w:r>
          </w:p>
          <w:p w:rsidR="003277A2" w:rsidRPr="00B131A4" w:rsidRDefault="003277A2" w:rsidP="00C26909">
            <w:pPr>
              <w:ind w:left="87"/>
              <w:rPr>
                <w:sz w:val="18"/>
                <w:szCs w:val="18"/>
                <w:u w:val="single"/>
                <w:lang w:val="en-AU"/>
              </w:rPr>
            </w:pPr>
            <w:r w:rsidRPr="00B131A4">
              <w:rPr>
                <w:sz w:val="18"/>
                <w:szCs w:val="18"/>
                <w:u w:val="single"/>
                <w:lang w:val="en-AU"/>
              </w:rPr>
              <w:t>Signal intensity grade</w:t>
            </w:r>
          </w:p>
          <w:p w:rsidR="003277A2" w:rsidRPr="00B131A4" w:rsidRDefault="003277A2" w:rsidP="00C26909">
            <w:pPr>
              <w:numPr>
                <w:ilvl w:val="0"/>
                <w:numId w:val="1"/>
              </w:numPr>
              <w:ind w:left="357" w:hanging="180"/>
              <w:contextualSpacing/>
              <w:rPr>
                <w:sz w:val="18"/>
                <w:szCs w:val="18"/>
              </w:rPr>
            </w:pPr>
            <w:r w:rsidRPr="00B131A4">
              <w:rPr>
                <w:sz w:val="18"/>
                <w:szCs w:val="18"/>
              </w:rPr>
              <w:t xml:space="preserve">Type 2 vs. 0/1: 0.8 (0.3, 1.7)  </w:t>
            </w:r>
            <w:r w:rsidRPr="00B131A4">
              <w:rPr>
                <w:i/>
                <w:sz w:val="18"/>
                <w:szCs w:val="18"/>
              </w:rPr>
              <w:t>P</w:t>
            </w:r>
            <w:r w:rsidRPr="00B131A4">
              <w:rPr>
                <w:sz w:val="18"/>
                <w:szCs w:val="18"/>
              </w:rPr>
              <w:t xml:space="preserve"> = .59</w:t>
            </w:r>
          </w:p>
          <w:p w:rsidR="003277A2" w:rsidRPr="00B131A4" w:rsidRDefault="003277A2" w:rsidP="00C26909">
            <w:pPr>
              <w:numPr>
                <w:ilvl w:val="0"/>
                <w:numId w:val="1"/>
              </w:numPr>
              <w:ind w:left="357" w:hanging="180"/>
              <w:contextualSpacing/>
              <w:rPr>
                <w:sz w:val="18"/>
                <w:szCs w:val="18"/>
                <w:lang w:val="en-AU"/>
              </w:rPr>
            </w:pPr>
            <w:r w:rsidRPr="00B131A4">
              <w:rPr>
                <w:sz w:val="18"/>
                <w:szCs w:val="18"/>
              </w:rPr>
              <w:t>Ty</w:t>
            </w:r>
            <w:proofErr w:type="spellStart"/>
            <w:r w:rsidRPr="00B131A4">
              <w:rPr>
                <w:sz w:val="18"/>
                <w:szCs w:val="18"/>
                <w:lang w:val="en-AU"/>
              </w:rPr>
              <w:t>pe</w:t>
            </w:r>
            <w:proofErr w:type="spellEnd"/>
            <w:r w:rsidRPr="00B131A4">
              <w:rPr>
                <w:sz w:val="18"/>
                <w:szCs w:val="18"/>
                <w:lang w:val="en-AU"/>
              </w:rPr>
              <w:t xml:space="preserve"> 1 vs. 0: 0.7 (3, 1.5)  </w:t>
            </w:r>
            <w:r w:rsidRPr="00B131A4">
              <w:rPr>
                <w:i/>
                <w:sz w:val="18"/>
                <w:szCs w:val="18"/>
                <w:lang w:val="en-AU"/>
              </w:rPr>
              <w:t>P</w:t>
            </w:r>
            <w:r w:rsidRPr="00B131A4">
              <w:rPr>
                <w:sz w:val="18"/>
                <w:szCs w:val="18"/>
                <w:lang w:val="en-AU"/>
              </w:rPr>
              <w:t xml:space="preserve"> = .41</w:t>
            </w:r>
          </w:p>
          <w:p w:rsidR="003277A2" w:rsidRPr="00B131A4" w:rsidRDefault="003277A2" w:rsidP="00C26909">
            <w:pPr>
              <w:ind w:left="87"/>
              <w:rPr>
                <w:sz w:val="18"/>
                <w:szCs w:val="18"/>
                <w:u w:val="single"/>
                <w:lang w:val="en-AU"/>
              </w:rPr>
            </w:pPr>
            <w:r w:rsidRPr="00B131A4">
              <w:rPr>
                <w:sz w:val="18"/>
                <w:szCs w:val="18"/>
                <w:u w:val="single"/>
                <w:lang w:val="en-AU"/>
              </w:rPr>
              <w:t xml:space="preserve">Hypointensity </w:t>
            </w:r>
          </w:p>
          <w:p w:rsidR="003277A2" w:rsidRPr="00B131A4" w:rsidRDefault="003277A2" w:rsidP="00C26909">
            <w:pPr>
              <w:numPr>
                <w:ilvl w:val="0"/>
                <w:numId w:val="1"/>
              </w:numPr>
              <w:ind w:left="357" w:hanging="180"/>
              <w:contextualSpacing/>
              <w:rPr>
                <w:sz w:val="18"/>
                <w:szCs w:val="18"/>
                <w:lang w:val="en-AU"/>
              </w:rPr>
            </w:pPr>
            <w:r w:rsidRPr="00B131A4">
              <w:rPr>
                <w:sz w:val="18"/>
                <w:szCs w:val="18"/>
              </w:rPr>
              <w:t>NR</w:t>
            </w:r>
          </w:p>
          <w:p w:rsidR="003277A2" w:rsidRPr="00B131A4" w:rsidRDefault="003277A2" w:rsidP="00C26909">
            <w:pPr>
              <w:rPr>
                <w:sz w:val="18"/>
                <w:szCs w:val="18"/>
                <w:lang w:val="en-AU"/>
              </w:rPr>
            </w:pPr>
          </w:p>
          <w:p w:rsidR="003277A2" w:rsidRPr="00B131A4" w:rsidRDefault="003277A2" w:rsidP="00C26909">
            <w:pPr>
              <w:rPr>
                <w:sz w:val="18"/>
                <w:szCs w:val="18"/>
                <w:lang w:val="en-AU"/>
              </w:rPr>
            </w:pPr>
            <w:r w:rsidRPr="00B131A4">
              <w:rPr>
                <w:b/>
                <w:sz w:val="18"/>
                <w:szCs w:val="18"/>
                <w:lang w:val="en-AU"/>
              </w:rPr>
              <w:t>Cure</w:t>
            </w:r>
            <w:r w:rsidRPr="00B131A4">
              <w:rPr>
                <w:sz w:val="18"/>
                <w:szCs w:val="18"/>
                <w:lang w:val="en-AU"/>
              </w:rPr>
              <w:t xml:space="preserve">  </w:t>
            </w:r>
            <w:proofErr w:type="spellStart"/>
            <w:r w:rsidRPr="00B131A4">
              <w:rPr>
                <w:i/>
                <w:sz w:val="18"/>
                <w:szCs w:val="18"/>
                <w:lang w:val="en-AU"/>
              </w:rPr>
              <w:t>aOR</w:t>
            </w:r>
            <w:proofErr w:type="spellEnd"/>
            <w:r w:rsidRPr="00B131A4">
              <w:rPr>
                <w:i/>
                <w:sz w:val="18"/>
                <w:szCs w:val="18"/>
                <w:lang w:val="en-AU"/>
              </w:rPr>
              <w:t xml:space="preserve"> (95% CI)</w:t>
            </w:r>
          </w:p>
          <w:p w:rsidR="003277A2" w:rsidRPr="00B131A4" w:rsidRDefault="003277A2" w:rsidP="00C26909">
            <w:pPr>
              <w:ind w:left="87"/>
              <w:rPr>
                <w:sz w:val="18"/>
                <w:szCs w:val="18"/>
                <w:u w:val="single"/>
                <w:lang w:val="en-AU"/>
              </w:rPr>
            </w:pPr>
            <w:r w:rsidRPr="00B131A4">
              <w:rPr>
                <w:sz w:val="18"/>
                <w:szCs w:val="18"/>
                <w:u w:val="single"/>
                <w:lang w:val="en-AU"/>
              </w:rPr>
              <w:t>Signal intensity grade</w:t>
            </w:r>
          </w:p>
          <w:p w:rsidR="003277A2" w:rsidRPr="00B131A4" w:rsidRDefault="003277A2" w:rsidP="00C26909">
            <w:pPr>
              <w:numPr>
                <w:ilvl w:val="0"/>
                <w:numId w:val="1"/>
              </w:numPr>
              <w:ind w:left="357" w:hanging="180"/>
              <w:contextualSpacing/>
              <w:rPr>
                <w:sz w:val="18"/>
                <w:szCs w:val="18"/>
              </w:rPr>
            </w:pPr>
            <w:r w:rsidRPr="00B131A4">
              <w:rPr>
                <w:sz w:val="18"/>
                <w:szCs w:val="18"/>
              </w:rPr>
              <w:t xml:space="preserve">Type 2 vs. 0/1: 0.48 (0.2, 0.9)  </w:t>
            </w:r>
            <w:r w:rsidRPr="00B131A4">
              <w:rPr>
                <w:i/>
                <w:sz w:val="18"/>
                <w:szCs w:val="18"/>
              </w:rPr>
              <w:t>P</w:t>
            </w:r>
            <w:r w:rsidRPr="00B131A4">
              <w:rPr>
                <w:sz w:val="18"/>
                <w:szCs w:val="18"/>
              </w:rPr>
              <w:t xml:space="preserve"> = .04</w:t>
            </w:r>
          </w:p>
          <w:p w:rsidR="003277A2" w:rsidRPr="00B131A4" w:rsidRDefault="003277A2" w:rsidP="00C26909">
            <w:pPr>
              <w:numPr>
                <w:ilvl w:val="0"/>
                <w:numId w:val="1"/>
              </w:numPr>
              <w:ind w:left="357" w:hanging="180"/>
              <w:contextualSpacing/>
              <w:rPr>
                <w:sz w:val="18"/>
                <w:szCs w:val="18"/>
                <w:lang w:val="en-AU"/>
              </w:rPr>
            </w:pPr>
            <w:proofErr w:type="spellStart"/>
            <w:r w:rsidRPr="00B131A4">
              <w:rPr>
                <w:sz w:val="18"/>
                <w:szCs w:val="18"/>
              </w:rPr>
              <w:t>Typ</w:t>
            </w:r>
            <w:proofErr w:type="spellEnd"/>
            <w:r w:rsidRPr="00B131A4">
              <w:rPr>
                <w:sz w:val="18"/>
                <w:szCs w:val="18"/>
                <w:lang w:val="en-AU"/>
              </w:rPr>
              <w:t xml:space="preserve">e 1 vs. 0: 1.4 ( 0.7-2.7)  </w:t>
            </w:r>
            <w:r w:rsidRPr="00B131A4">
              <w:rPr>
                <w:i/>
                <w:sz w:val="18"/>
                <w:szCs w:val="18"/>
                <w:lang w:val="en-AU"/>
              </w:rPr>
              <w:t>P</w:t>
            </w:r>
            <w:r w:rsidRPr="00B131A4">
              <w:rPr>
                <w:sz w:val="18"/>
                <w:szCs w:val="18"/>
                <w:lang w:val="en-AU"/>
              </w:rPr>
              <w:t xml:space="preserve"> = .23</w:t>
            </w:r>
          </w:p>
          <w:p w:rsidR="003277A2" w:rsidRPr="00B131A4" w:rsidRDefault="003277A2" w:rsidP="00C26909">
            <w:pPr>
              <w:ind w:left="87"/>
              <w:rPr>
                <w:sz w:val="18"/>
                <w:szCs w:val="18"/>
                <w:u w:val="single"/>
                <w:lang w:val="en-AU"/>
              </w:rPr>
            </w:pPr>
            <w:r w:rsidRPr="00B131A4">
              <w:rPr>
                <w:sz w:val="18"/>
                <w:szCs w:val="18"/>
                <w:u w:val="single"/>
                <w:lang w:val="en-AU"/>
              </w:rPr>
              <w:t xml:space="preserve">Hypointensity </w:t>
            </w:r>
          </w:p>
          <w:p w:rsidR="003277A2" w:rsidRPr="00B131A4" w:rsidRDefault="003277A2" w:rsidP="00C26909">
            <w:pPr>
              <w:numPr>
                <w:ilvl w:val="0"/>
                <w:numId w:val="1"/>
              </w:numPr>
              <w:ind w:left="357" w:hanging="180"/>
              <w:contextualSpacing/>
              <w:rPr>
                <w:sz w:val="18"/>
                <w:szCs w:val="18"/>
                <w:lang w:val="en-AU"/>
              </w:rPr>
            </w:pPr>
            <w:r w:rsidRPr="00B131A4">
              <w:rPr>
                <w:sz w:val="18"/>
                <w:szCs w:val="18"/>
              </w:rPr>
              <w:t>Present</w:t>
            </w:r>
            <w:r w:rsidRPr="00B131A4">
              <w:rPr>
                <w:sz w:val="18"/>
                <w:szCs w:val="18"/>
                <w:lang w:val="en-AU"/>
              </w:rPr>
              <w:t xml:space="preserve"> vs. absent: 0.1 (0.01, 0.9) </w:t>
            </w:r>
            <w:r w:rsidRPr="00B131A4">
              <w:rPr>
                <w:i/>
                <w:sz w:val="18"/>
                <w:szCs w:val="18"/>
                <w:lang w:val="en-AU"/>
              </w:rPr>
              <w:t>P</w:t>
            </w:r>
            <w:r w:rsidRPr="00B131A4">
              <w:rPr>
                <w:sz w:val="18"/>
                <w:szCs w:val="18"/>
                <w:lang w:val="en-AU"/>
              </w:rPr>
              <w:t xml:space="preserve"> = .04</w:t>
            </w:r>
          </w:p>
        </w:tc>
      </w:tr>
      <w:tr w:rsidR="0043721E" w:rsidRPr="003E1C61" w:rsidTr="00DC4E9E">
        <w:tc>
          <w:tcPr>
            <w:tcW w:w="1248" w:type="dxa"/>
          </w:tcPr>
          <w:p w:rsidR="003277A2" w:rsidRDefault="003277A2" w:rsidP="00C26909">
            <w:pPr>
              <w:rPr>
                <w:sz w:val="18"/>
                <w:szCs w:val="18"/>
                <w:lang w:val="en-AU"/>
              </w:rPr>
            </w:pPr>
            <w:r>
              <w:rPr>
                <w:sz w:val="18"/>
                <w:szCs w:val="18"/>
                <w:lang w:val="en-AU"/>
              </w:rPr>
              <w:lastRenderedPageBreak/>
              <w:t>Wada (1999)</w:t>
            </w:r>
          </w:p>
          <w:p w:rsidR="003277A2" w:rsidRDefault="003277A2" w:rsidP="00C26909">
            <w:pPr>
              <w:rPr>
                <w:sz w:val="18"/>
                <w:szCs w:val="18"/>
                <w:lang w:val="en-AU"/>
              </w:rPr>
            </w:pPr>
          </w:p>
          <w:p w:rsidR="003277A2" w:rsidRPr="003E1C61" w:rsidRDefault="003277A2" w:rsidP="00C26909">
            <w:pPr>
              <w:rPr>
                <w:sz w:val="18"/>
                <w:szCs w:val="18"/>
                <w:lang w:val="en-AU"/>
              </w:rPr>
            </w:pPr>
            <w:r>
              <w:rPr>
                <w:sz w:val="18"/>
                <w:szCs w:val="18"/>
                <w:lang w:val="en-AU"/>
              </w:rPr>
              <w:t>Retrospective cohort</w:t>
            </w:r>
          </w:p>
        </w:tc>
        <w:tc>
          <w:tcPr>
            <w:tcW w:w="1741" w:type="dxa"/>
          </w:tcPr>
          <w:p w:rsidR="003277A2" w:rsidRPr="00CB0728" w:rsidRDefault="003277A2" w:rsidP="00C26909">
            <w:pPr>
              <w:rPr>
                <w:sz w:val="18"/>
                <w:szCs w:val="18"/>
              </w:rPr>
            </w:pPr>
            <w:r w:rsidRPr="00CB0728">
              <w:rPr>
                <w:sz w:val="18"/>
                <w:szCs w:val="18"/>
              </w:rPr>
              <w:t xml:space="preserve">To investigate whether </w:t>
            </w:r>
            <w:r>
              <w:rPr>
                <w:sz w:val="18"/>
                <w:szCs w:val="18"/>
              </w:rPr>
              <w:t>MRI</w:t>
            </w:r>
            <w:r w:rsidRPr="00CB0728">
              <w:rPr>
                <w:sz w:val="18"/>
                <w:szCs w:val="18"/>
              </w:rPr>
              <w:t xml:space="preserve"> can predict the surgical outcome in patients</w:t>
            </w:r>
          </w:p>
          <w:p w:rsidR="003277A2" w:rsidRDefault="003277A2" w:rsidP="00C26909">
            <w:pPr>
              <w:rPr>
                <w:sz w:val="18"/>
                <w:szCs w:val="18"/>
              </w:rPr>
            </w:pPr>
            <w:r>
              <w:rPr>
                <w:sz w:val="18"/>
                <w:szCs w:val="18"/>
              </w:rPr>
              <w:t>with CSM</w:t>
            </w:r>
          </w:p>
        </w:tc>
        <w:tc>
          <w:tcPr>
            <w:tcW w:w="2362" w:type="dxa"/>
          </w:tcPr>
          <w:p w:rsidR="003277A2" w:rsidRDefault="003277A2" w:rsidP="00C26909">
            <w:pPr>
              <w:rPr>
                <w:sz w:val="18"/>
                <w:szCs w:val="18"/>
              </w:rPr>
            </w:pPr>
            <w:r>
              <w:rPr>
                <w:sz w:val="18"/>
                <w:szCs w:val="18"/>
              </w:rPr>
              <w:t>N = 50</w:t>
            </w:r>
          </w:p>
          <w:p w:rsidR="003277A2" w:rsidRDefault="003277A2" w:rsidP="00C26909">
            <w:pPr>
              <w:ind w:left="72"/>
              <w:rPr>
                <w:sz w:val="18"/>
                <w:szCs w:val="18"/>
              </w:rPr>
            </w:pPr>
            <w:r>
              <w:rPr>
                <w:sz w:val="18"/>
                <w:szCs w:val="18"/>
              </w:rPr>
              <w:t>Male: 72%</w:t>
            </w:r>
          </w:p>
          <w:p w:rsidR="003277A2" w:rsidRDefault="003277A2" w:rsidP="00C26909">
            <w:pPr>
              <w:ind w:left="72"/>
              <w:rPr>
                <w:sz w:val="18"/>
                <w:szCs w:val="18"/>
              </w:rPr>
            </w:pPr>
            <w:r>
              <w:rPr>
                <w:sz w:val="18"/>
                <w:szCs w:val="18"/>
              </w:rPr>
              <w:t>Mean age (±SD): 61.0 ± 10.9 years (range, 45–81)</w:t>
            </w:r>
          </w:p>
          <w:p w:rsidR="003277A2" w:rsidRDefault="003277A2" w:rsidP="00C26909">
            <w:pPr>
              <w:ind w:left="72"/>
              <w:rPr>
                <w:sz w:val="18"/>
                <w:szCs w:val="18"/>
              </w:rPr>
            </w:pPr>
            <w:r>
              <w:rPr>
                <w:sz w:val="18"/>
                <w:szCs w:val="18"/>
              </w:rPr>
              <w:t>Mean duration of symptoms (±SD): 9.1 ± 8.5 months (range, 1–36)</w:t>
            </w:r>
          </w:p>
          <w:p w:rsidR="003277A2" w:rsidRDefault="003277A2" w:rsidP="00C26909">
            <w:pPr>
              <w:ind w:left="72"/>
              <w:rPr>
                <w:sz w:val="18"/>
                <w:szCs w:val="18"/>
              </w:rPr>
            </w:pPr>
          </w:p>
          <w:p w:rsidR="003277A2" w:rsidRPr="003E1C61" w:rsidRDefault="003277A2" w:rsidP="00C26909">
            <w:pPr>
              <w:rPr>
                <w:sz w:val="18"/>
                <w:szCs w:val="18"/>
                <w:u w:val="single"/>
              </w:rPr>
            </w:pPr>
            <w:r w:rsidRPr="003E1C61">
              <w:rPr>
                <w:sz w:val="18"/>
                <w:szCs w:val="18"/>
                <w:u w:val="single"/>
              </w:rPr>
              <w:t>Diagnosis:</w:t>
            </w:r>
          </w:p>
          <w:p w:rsidR="003277A2" w:rsidRPr="003E1C61" w:rsidRDefault="003277A2" w:rsidP="00C26909">
            <w:pPr>
              <w:numPr>
                <w:ilvl w:val="0"/>
                <w:numId w:val="2"/>
              </w:numPr>
              <w:tabs>
                <w:tab w:val="clear" w:pos="720"/>
                <w:tab w:val="num" w:pos="252"/>
              </w:tabs>
              <w:ind w:left="252" w:hanging="180"/>
              <w:contextualSpacing/>
              <w:rPr>
                <w:sz w:val="18"/>
                <w:szCs w:val="18"/>
              </w:rPr>
            </w:pPr>
            <w:r>
              <w:rPr>
                <w:sz w:val="18"/>
                <w:szCs w:val="20"/>
              </w:rPr>
              <w:t>CSM</w:t>
            </w:r>
          </w:p>
          <w:p w:rsidR="003277A2" w:rsidRDefault="003277A2" w:rsidP="00C26909">
            <w:pPr>
              <w:ind w:left="72"/>
              <w:rPr>
                <w:sz w:val="18"/>
                <w:szCs w:val="18"/>
              </w:rPr>
            </w:pPr>
          </w:p>
          <w:p w:rsidR="003277A2" w:rsidRPr="003E1C61" w:rsidRDefault="003277A2" w:rsidP="00C26909">
            <w:pPr>
              <w:rPr>
                <w:sz w:val="18"/>
                <w:szCs w:val="18"/>
              </w:rPr>
            </w:pPr>
            <w:r w:rsidRPr="003E1C61">
              <w:rPr>
                <w:sz w:val="18"/>
                <w:szCs w:val="18"/>
                <w:u w:val="single"/>
              </w:rPr>
              <w:t>Decompression surgery</w:t>
            </w:r>
            <w:r w:rsidRPr="003E1C61">
              <w:rPr>
                <w:sz w:val="18"/>
                <w:szCs w:val="18"/>
              </w:rPr>
              <w:t>:</w:t>
            </w:r>
          </w:p>
          <w:p w:rsidR="003277A2" w:rsidRPr="00301C9F" w:rsidRDefault="003277A2" w:rsidP="00C26909">
            <w:pPr>
              <w:numPr>
                <w:ilvl w:val="0"/>
                <w:numId w:val="2"/>
              </w:numPr>
              <w:tabs>
                <w:tab w:val="clear" w:pos="720"/>
                <w:tab w:val="num" w:pos="252"/>
              </w:tabs>
              <w:ind w:left="252" w:hanging="180"/>
              <w:contextualSpacing/>
              <w:rPr>
                <w:sz w:val="18"/>
                <w:szCs w:val="18"/>
              </w:rPr>
            </w:pPr>
            <w:r>
              <w:rPr>
                <w:sz w:val="18"/>
                <w:szCs w:val="20"/>
              </w:rPr>
              <w:t>Open</w:t>
            </w:r>
            <w:r w:rsidRPr="003E1C61">
              <w:rPr>
                <w:sz w:val="18"/>
                <w:szCs w:val="18"/>
              </w:rPr>
              <w:t xml:space="preserve">-door </w:t>
            </w:r>
            <w:r w:rsidRPr="003E1C61">
              <w:rPr>
                <w:sz w:val="18"/>
                <w:szCs w:val="20"/>
              </w:rPr>
              <w:t>laminoplasty</w:t>
            </w:r>
          </w:p>
          <w:p w:rsidR="003277A2" w:rsidRPr="003E1C61" w:rsidRDefault="003277A2" w:rsidP="00C26909">
            <w:pPr>
              <w:ind w:left="72"/>
              <w:rPr>
                <w:sz w:val="18"/>
                <w:szCs w:val="18"/>
              </w:rPr>
            </w:pPr>
          </w:p>
        </w:tc>
        <w:tc>
          <w:tcPr>
            <w:tcW w:w="1478" w:type="dxa"/>
          </w:tcPr>
          <w:p w:rsidR="003277A2" w:rsidRDefault="003277A2" w:rsidP="00C26909">
            <w:pPr>
              <w:numPr>
                <w:ilvl w:val="0"/>
                <w:numId w:val="1"/>
              </w:numPr>
              <w:ind w:left="162" w:hanging="162"/>
              <w:contextualSpacing/>
              <w:rPr>
                <w:sz w:val="18"/>
                <w:szCs w:val="18"/>
              </w:rPr>
            </w:pPr>
            <w:r>
              <w:rPr>
                <w:sz w:val="18"/>
                <w:szCs w:val="18"/>
              </w:rPr>
              <w:t>Age</w:t>
            </w:r>
          </w:p>
          <w:p w:rsidR="003277A2" w:rsidRDefault="003277A2" w:rsidP="00C26909">
            <w:pPr>
              <w:numPr>
                <w:ilvl w:val="0"/>
                <w:numId w:val="1"/>
              </w:numPr>
              <w:ind w:left="162" w:hanging="162"/>
              <w:contextualSpacing/>
              <w:rPr>
                <w:sz w:val="18"/>
                <w:szCs w:val="18"/>
              </w:rPr>
            </w:pPr>
            <w:r>
              <w:rPr>
                <w:sz w:val="18"/>
                <w:szCs w:val="18"/>
              </w:rPr>
              <w:t>Duration of symptoms</w:t>
            </w:r>
          </w:p>
          <w:p w:rsidR="003277A2" w:rsidRDefault="003277A2" w:rsidP="00C26909">
            <w:pPr>
              <w:numPr>
                <w:ilvl w:val="0"/>
                <w:numId w:val="1"/>
              </w:numPr>
              <w:ind w:left="162" w:hanging="162"/>
              <w:contextualSpacing/>
              <w:rPr>
                <w:sz w:val="18"/>
                <w:szCs w:val="18"/>
              </w:rPr>
            </w:pPr>
            <w:r>
              <w:rPr>
                <w:sz w:val="18"/>
                <w:szCs w:val="18"/>
              </w:rPr>
              <w:t>Severity of myelopathy</w:t>
            </w:r>
          </w:p>
          <w:p w:rsidR="003277A2" w:rsidRDefault="003277A2" w:rsidP="00C26909">
            <w:pPr>
              <w:numPr>
                <w:ilvl w:val="0"/>
                <w:numId w:val="1"/>
              </w:numPr>
              <w:ind w:left="162" w:hanging="162"/>
              <w:contextualSpacing/>
              <w:rPr>
                <w:sz w:val="18"/>
                <w:szCs w:val="18"/>
              </w:rPr>
            </w:pPr>
            <w:r>
              <w:rPr>
                <w:sz w:val="18"/>
                <w:szCs w:val="18"/>
              </w:rPr>
              <w:t>AP canal diameter at max compression on plain radiographs</w:t>
            </w:r>
          </w:p>
          <w:p w:rsidR="003277A2" w:rsidRDefault="003277A2" w:rsidP="00C26909">
            <w:pPr>
              <w:numPr>
                <w:ilvl w:val="0"/>
                <w:numId w:val="1"/>
              </w:numPr>
              <w:ind w:left="162" w:hanging="162"/>
              <w:contextualSpacing/>
              <w:rPr>
                <w:sz w:val="18"/>
                <w:szCs w:val="18"/>
              </w:rPr>
            </w:pPr>
            <w:r>
              <w:rPr>
                <w:sz w:val="18"/>
                <w:szCs w:val="18"/>
              </w:rPr>
              <w:t>Transverse area of spinal cord at max compression on CT myelography</w:t>
            </w:r>
          </w:p>
          <w:p w:rsidR="003277A2" w:rsidRPr="003E1C61" w:rsidRDefault="003277A2" w:rsidP="00C26909">
            <w:pPr>
              <w:numPr>
                <w:ilvl w:val="0"/>
                <w:numId w:val="1"/>
              </w:numPr>
              <w:ind w:left="162" w:hanging="162"/>
              <w:contextualSpacing/>
              <w:rPr>
                <w:sz w:val="18"/>
                <w:szCs w:val="18"/>
              </w:rPr>
            </w:pPr>
            <w:r>
              <w:rPr>
                <w:sz w:val="18"/>
                <w:szCs w:val="18"/>
              </w:rPr>
              <w:t xml:space="preserve">Number of blocks on </w:t>
            </w:r>
            <w:proofErr w:type="spellStart"/>
            <w:r>
              <w:rPr>
                <w:sz w:val="18"/>
                <w:szCs w:val="18"/>
              </w:rPr>
              <w:t>myelogram</w:t>
            </w:r>
            <w:proofErr w:type="spellEnd"/>
          </w:p>
        </w:tc>
        <w:tc>
          <w:tcPr>
            <w:tcW w:w="1448" w:type="dxa"/>
          </w:tcPr>
          <w:p w:rsidR="003277A2" w:rsidRDefault="003277A2" w:rsidP="00C26909">
            <w:pPr>
              <w:numPr>
                <w:ilvl w:val="0"/>
                <w:numId w:val="1"/>
              </w:numPr>
              <w:ind w:left="162" w:hanging="162"/>
              <w:contextualSpacing/>
              <w:rPr>
                <w:sz w:val="18"/>
                <w:szCs w:val="18"/>
              </w:rPr>
            </w:pPr>
            <w:r>
              <w:rPr>
                <w:sz w:val="18"/>
                <w:szCs w:val="18"/>
              </w:rPr>
              <w:t>SI changes on T2-weighted images in sagittal and axial views</w:t>
            </w:r>
          </w:p>
        </w:tc>
        <w:tc>
          <w:tcPr>
            <w:tcW w:w="1415" w:type="dxa"/>
          </w:tcPr>
          <w:p w:rsidR="003277A2" w:rsidRDefault="003277A2" w:rsidP="00C26909">
            <w:pPr>
              <w:numPr>
                <w:ilvl w:val="0"/>
                <w:numId w:val="1"/>
              </w:numPr>
              <w:ind w:left="162" w:hanging="162"/>
              <w:contextualSpacing/>
              <w:rPr>
                <w:sz w:val="18"/>
                <w:szCs w:val="18"/>
              </w:rPr>
            </w:pPr>
            <w:r>
              <w:rPr>
                <w:sz w:val="18"/>
                <w:szCs w:val="18"/>
              </w:rPr>
              <w:t>Recovery rate of JOA score‡</w:t>
            </w:r>
          </w:p>
        </w:tc>
        <w:tc>
          <w:tcPr>
            <w:tcW w:w="1193" w:type="dxa"/>
          </w:tcPr>
          <w:p w:rsidR="003277A2" w:rsidRPr="003E1C61" w:rsidRDefault="003277A2" w:rsidP="00C26909">
            <w:pPr>
              <w:rPr>
                <w:sz w:val="18"/>
                <w:szCs w:val="18"/>
              </w:rPr>
            </w:pPr>
            <w:r>
              <w:rPr>
                <w:sz w:val="18"/>
                <w:szCs w:val="18"/>
              </w:rPr>
              <w:t>Mean 35.1 months (range 24.4–</w:t>
            </w:r>
            <w:r w:rsidRPr="007130AC">
              <w:rPr>
                <w:sz w:val="18"/>
                <w:szCs w:val="18"/>
              </w:rPr>
              <w:t>48.3) (67% f/u)</w:t>
            </w:r>
          </w:p>
        </w:tc>
        <w:tc>
          <w:tcPr>
            <w:tcW w:w="3245" w:type="dxa"/>
          </w:tcPr>
          <w:p w:rsidR="003277A2" w:rsidRDefault="003277A2" w:rsidP="00C26909">
            <w:pPr>
              <w:rPr>
                <w:b/>
                <w:sz w:val="18"/>
                <w:szCs w:val="18"/>
              </w:rPr>
            </w:pPr>
            <w:r>
              <w:rPr>
                <w:b/>
                <w:sz w:val="18"/>
                <w:szCs w:val="18"/>
              </w:rPr>
              <w:t>Segments of high intensity and JOA recovery rate (%)</w:t>
            </w:r>
          </w:p>
          <w:p w:rsidR="003277A2" w:rsidRPr="00CB0728" w:rsidRDefault="003277A2" w:rsidP="00C26909">
            <w:pPr>
              <w:ind w:left="87"/>
              <w:rPr>
                <w:sz w:val="18"/>
                <w:szCs w:val="18"/>
              </w:rPr>
            </w:pPr>
            <w:r>
              <w:rPr>
                <w:sz w:val="18"/>
                <w:szCs w:val="18"/>
              </w:rPr>
              <w:t>Correlation coefficient =  –</w:t>
            </w:r>
            <w:r w:rsidRPr="00CB0728">
              <w:rPr>
                <w:sz w:val="18"/>
                <w:szCs w:val="18"/>
              </w:rPr>
              <w:t xml:space="preserve">.294; </w:t>
            </w:r>
            <w:r w:rsidRPr="00CB0728">
              <w:rPr>
                <w:i/>
                <w:sz w:val="18"/>
                <w:szCs w:val="18"/>
              </w:rPr>
              <w:t>P</w:t>
            </w:r>
            <w:r w:rsidRPr="00CB0728">
              <w:rPr>
                <w:sz w:val="18"/>
                <w:szCs w:val="18"/>
              </w:rPr>
              <w:t xml:space="preserve"> = ns</w:t>
            </w:r>
            <w:r>
              <w:rPr>
                <w:sz w:val="18"/>
                <w:szCs w:val="18"/>
              </w:rPr>
              <w:t xml:space="preserve"> (not included in multivariate analysis)</w:t>
            </w:r>
          </w:p>
        </w:tc>
      </w:tr>
      <w:tr w:rsidR="0043721E" w:rsidRPr="003E1C61" w:rsidTr="00DC4E9E">
        <w:tc>
          <w:tcPr>
            <w:tcW w:w="1248" w:type="dxa"/>
          </w:tcPr>
          <w:p w:rsidR="003277A2" w:rsidRPr="003E1C61" w:rsidRDefault="003277A2" w:rsidP="00C26909">
            <w:pPr>
              <w:rPr>
                <w:sz w:val="18"/>
                <w:szCs w:val="18"/>
                <w:lang w:val="en-AU"/>
              </w:rPr>
            </w:pPr>
            <w:r w:rsidRPr="003E1C61">
              <w:rPr>
                <w:sz w:val="18"/>
                <w:szCs w:val="18"/>
                <w:lang w:val="en-AU"/>
              </w:rPr>
              <w:t>Wang (2010)</w:t>
            </w:r>
          </w:p>
          <w:p w:rsidR="003277A2" w:rsidRPr="003E1C61" w:rsidRDefault="003277A2" w:rsidP="00C26909">
            <w:pPr>
              <w:rPr>
                <w:sz w:val="18"/>
                <w:szCs w:val="18"/>
                <w:lang w:val="en-AU"/>
              </w:rPr>
            </w:pPr>
          </w:p>
          <w:p w:rsidR="003277A2" w:rsidRPr="003E1C61" w:rsidRDefault="003277A2" w:rsidP="00C26909">
            <w:pPr>
              <w:rPr>
                <w:sz w:val="18"/>
                <w:szCs w:val="18"/>
                <w:lang w:val="en-AU"/>
              </w:rPr>
            </w:pPr>
            <w:r w:rsidRPr="003E1C61">
              <w:rPr>
                <w:sz w:val="18"/>
                <w:szCs w:val="18"/>
                <w:lang w:val="en-AU"/>
              </w:rPr>
              <w:t>Retrospective cohort</w:t>
            </w:r>
          </w:p>
        </w:tc>
        <w:tc>
          <w:tcPr>
            <w:tcW w:w="1741" w:type="dxa"/>
          </w:tcPr>
          <w:p w:rsidR="003277A2" w:rsidRPr="003A3919" w:rsidRDefault="003277A2" w:rsidP="00C26909">
            <w:pPr>
              <w:rPr>
                <w:sz w:val="18"/>
                <w:szCs w:val="18"/>
              </w:rPr>
            </w:pPr>
            <w:r>
              <w:rPr>
                <w:sz w:val="18"/>
                <w:szCs w:val="18"/>
              </w:rPr>
              <w:t>T</w:t>
            </w:r>
            <w:r w:rsidRPr="003A3919">
              <w:rPr>
                <w:sz w:val="18"/>
                <w:szCs w:val="18"/>
              </w:rPr>
              <w:t>o investigate the clinical significance of both the signal intensity ratio obtained</w:t>
            </w:r>
          </w:p>
          <w:p w:rsidR="003277A2" w:rsidRPr="003A3919" w:rsidRDefault="003277A2" w:rsidP="00C26909">
            <w:pPr>
              <w:rPr>
                <w:sz w:val="18"/>
                <w:szCs w:val="18"/>
              </w:rPr>
            </w:pPr>
            <w:proofErr w:type="gramStart"/>
            <w:r w:rsidRPr="003A3919">
              <w:rPr>
                <w:sz w:val="18"/>
                <w:szCs w:val="18"/>
              </w:rPr>
              <w:t>from</w:t>
            </w:r>
            <w:proofErr w:type="gramEnd"/>
            <w:r w:rsidRPr="003A3919">
              <w:rPr>
                <w:sz w:val="18"/>
                <w:szCs w:val="18"/>
              </w:rPr>
              <w:t xml:space="preserve"> MR imaging and clinical manifestations on the prognosis of patients with cervical </w:t>
            </w:r>
            <w:r>
              <w:rPr>
                <w:sz w:val="18"/>
                <w:szCs w:val="18"/>
              </w:rPr>
              <w:t>OPLL.</w:t>
            </w:r>
          </w:p>
        </w:tc>
        <w:tc>
          <w:tcPr>
            <w:tcW w:w="2362" w:type="dxa"/>
          </w:tcPr>
          <w:p w:rsidR="003277A2" w:rsidRPr="003E1C61" w:rsidRDefault="003277A2" w:rsidP="00C26909">
            <w:pPr>
              <w:rPr>
                <w:sz w:val="18"/>
                <w:szCs w:val="18"/>
              </w:rPr>
            </w:pPr>
            <w:r w:rsidRPr="003E1C61">
              <w:rPr>
                <w:sz w:val="18"/>
                <w:szCs w:val="18"/>
              </w:rPr>
              <w:t xml:space="preserve">N = </w:t>
            </w:r>
            <w:r>
              <w:rPr>
                <w:sz w:val="18"/>
                <w:szCs w:val="18"/>
              </w:rPr>
              <w:t>58</w:t>
            </w:r>
          </w:p>
          <w:p w:rsidR="003277A2" w:rsidRPr="003E1C61" w:rsidRDefault="003277A2" w:rsidP="00C26909">
            <w:pPr>
              <w:ind w:left="72"/>
              <w:rPr>
                <w:sz w:val="18"/>
                <w:szCs w:val="18"/>
              </w:rPr>
            </w:pPr>
            <w:r w:rsidRPr="003E1C61">
              <w:rPr>
                <w:sz w:val="18"/>
                <w:szCs w:val="18"/>
              </w:rPr>
              <w:t>Male: 71%</w:t>
            </w:r>
          </w:p>
          <w:p w:rsidR="003277A2" w:rsidRDefault="003277A2" w:rsidP="00C26909">
            <w:pPr>
              <w:ind w:left="72"/>
              <w:rPr>
                <w:sz w:val="18"/>
                <w:szCs w:val="18"/>
              </w:rPr>
            </w:pPr>
            <w:r w:rsidRPr="003E1C61">
              <w:rPr>
                <w:sz w:val="18"/>
                <w:szCs w:val="18"/>
              </w:rPr>
              <w:t>Mean age</w:t>
            </w:r>
            <w:r>
              <w:rPr>
                <w:sz w:val="18"/>
                <w:szCs w:val="18"/>
              </w:rPr>
              <w:t xml:space="preserve"> (range)</w:t>
            </w:r>
            <w:r w:rsidRPr="003E1C61">
              <w:rPr>
                <w:sz w:val="18"/>
                <w:szCs w:val="18"/>
              </w:rPr>
              <w:t>: 59.6 years (47–77)</w:t>
            </w:r>
          </w:p>
          <w:p w:rsidR="003277A2" w:rsidRPr="003E1C61" w:rsidRDefault="003277A2" w:rsidP="00C26909">
            <w:pPr>
              <w:ind w:left="72"/>
              <w:rPr>
                <w:sz w:val="18"/>
                <w:szCs w:val="18"/>
              </w:rPr>
            </w:pPr>
            <w:r>
              <w:rPr>
                <w:sz w:val="18"/>
                <w:szCs w:val="18"/>
              </w:rPr>
              <w:t>Mean duration of symptoms: NR</w:t>
            </w:r>
          </w:p>
          <w:p w:rsidR="003277A2" w:rsidRPr="003E1C61" w:rsidRDefault="003277A2" w:rsidP="00C26909">
            <w:pPr>
              <w:rPr>
                <w:sz w:val="18"/>
                <w:szCs w:val="18"/>
              </w:rPr>
            </w:pPr>
          </w:p>
          <w:p w:rsidR="003277A2" w:rsidRPr="003E1C61" w:rsidRDefault="003277A2" w:rsidP="00C26909">
            <w:pPr>
              <w:rPr>
                <w:sz w:val="18"/>
                <w:szCs w:val="18"/>
                <w:u w:val="single"/>
              </w:rPr>
            </w:pPr>
            <w:r w:rsidRPr="003E1C61">
              <w:rPr>
                <w:sz w:val="18"/>
                <w:szCs w:val="18"/>
                <w:u w:val="single"/>
              </w:rPr>
              <w:t>Diagnosis:</w:t>
            </w:r>
          </w:p>
          <w:p w:rsidR="003277A2" w:rsidRPr="003E1C61" w:rsidRDefault="003277A2" w:rsidP="00C26909">
            <w:pPr>
              <w:numPr>
                <w:ilvl w:val="0"/>
                <w:numId w:val="2"/>
              </w:numPr>
              <w:tabs>
                <w:tab w:val="clear" w:pos="720"/>
                <w:tab w:val="num" w:pos="252"/>
              </w:tabs>
              <w:ind w:left="252" w:hanging="180"/>
              <w:contextualSpacing/>
              <w:rPr>
                <w:sz w:val="18"/>
                <w:szCs w:val="18"/>
              </w:rPr>
            </w:pPr>
            <w:r w:rsidRPr="003E1C61">
              <w:rPr>
                <w:sz w:val="18"/>
                <w:szCs w:val="20"/>
              </w:rPr>
              <w:t>OPLL</w:t>
            </w:r>
            <w:r w:rsidRPr="003E1C61">
              <w:rPr>
                <w:sz w:val="18"/>
                <w:szCs w:val="18"/>
              </w:rPr>
              <w:t xml:space="preserve"> </w:t>
            </w:r>
          </w:p>
          <w:p w:rsidR="003277A2" w:rsidRPr="003E1C61" w:rsidRDefault="003277A2" w:rsidP="00C26909">
            <w:pPr>
              <w:rPr>
                <w:sz w:val="18"/>
                <w:szCs w:val="18"/>
              </w:rPr>
            </w:pPr>
          </w:p>
          <w:p w:rsidR="003277A2" w:rsidRPr="003E1C61" w:rsidRDefault="003277A2" w:rsidP="00C26909">
            <w:pPr>
              <w:rPr>
                <w:sz w:val="18"/>
                <w:szCs w:val="18"/>
              </w:rPr>
            </w:pPr>
            <w:r w:rsidRPr="003E1C61">
              <w:rPr>
                <w:sz w:val="18"/>
                <w:szCs w:val="18"/>
                <w:u w:val="single"/>
              </w:rPr>
              <w:t>Decompression surgery</w:t>
            </w:r>
            <w:r w:rsidRPr="003E1C61">
              <w:rPr>
                <w:sz w:val="18"/>
                <w:szCs w:val="18"/>
              </w:rPr>
              <w:t>:</w:t>
            </w:r>
          </w:p>
          <w:p w:rsidR="003277A2" w:rsidRDefault="003277A2" w:rsidP="00C26909">
            <w:pPr>
              <w:numPr>
                <w:ilvl w:val="0"/>
                <w:numId w:val="2"/>
              </w:numPr>
              <w:tabs>
                <w:tab w:val="clear" w:pos="720"/>
                <w:tab w:val="num" w:pos="252"/>
              </w:tabs>
              <w:ind w:left="252" w:hanging="180"/>
              <w:contextualSpacing/>
              <w:rPr>
                <w:sz w:val="18"/>
                <w:szCs w:val="18"/>
              </w:rPr>
            </w:pPr>
            <w:r w:rsidRPr="003E1C61">
              <w:rPr>
                <w:sz w:val="18"/>
                <w:szCs w:val="20"/>
              </w:rPr>
              <w:t>Expansive</w:t>
            </w:r>
            <w:r w:rsidRPr="003E1C61">
              <w:rPr>
                <w:sz w:val="18"/>
                <w:szCs w:val="18"/>
              </w:rPr>
              <w:t xml:space="preserve"> open-door </w:t>
            </w:r>
            <w:r w:rsidRPr="003E1C61">
              <w:rPr>
                <w:sz w:val="18"/>
                <w:szCs w:val="20"/>
              </w:rPr>
              <w:t>laminoplasty</w:t>
            </w:r>
          </w:p>
          <w:p w:rsidR="003277A2" w:rsidRPr="0007740E" w:rsidRDefault="003277A2" w:rsidP="00C26909">
            <w:pPr>
              <w:ind w:left="252"/>
              <w:contextualSpacing/>
              <w:rPr>
                <w:sz w:val="18"/>
                <w:szCs w:val="18"/>
              </w:rPr>
            </w:pPr>
          </w:p>
          <w:p w:rsidR="003277A2" w:rsidRPr="00301C9F" w:rsidRDefault="003277A2" w:rsidP="00C26909">
            <w:pPr>
              <w:contextualSpacing/>
              <w:rPr>
                <w:sz w:val="18"/>
                <w:szCs w:val="20"/>
                <w:u w:val="single"/>
              </w:rPr>
            </w:pPr>
            <w:r>
              <w:rPr>
                <w:sz w:val="18"/>
                <w:szCs w:val="20"/>
                <w:u w:val="single"/>
              </w:rPr>
              <w:t>Groups based on SI</w:t>
            </w:r>
            <w:r w:rsidRPr="00301C9F">
              <w:rPr>
                <w:sz w:val="18"/>
                <w:szCs w:val="20"/>
                <w:u w:val="single"/>
              </w:rPr>
              <w:t xml:space="preserve"> ratio</w:t>
            </w:r>
          </w:p>
          <w:p w:rsidR="003277A2" w:rsidRDefault="003277A2" w:rsidP="00C26909">
            <w:pPr>
              <w:numPr>
                <w:ilvl w:val="0"/>
                <w:numId w:val="2"/>
              </w:numPr>
              <w:tabs>
                <w:tab w:val="clear" w:pos="720"/>
                <w:tab w:val="num" w:pos="252"/>
              </w:tabs>
              <w:ind w:left="252" w:hanging="180"/>
              <w:contextualSpacing/>
              <w:rPr>
                <w:sz w:val="18"/>
                <w:szCs w:val="20"/>
              </w:rPr>
            </w:pPr>
            <w:r>
              <w:rPr>
                <w:sz w:val="18"/>
                <w:szCs w:val="20"/>
              </w:rPr>
              <w:t>Low (&lt; 1.396), n = 23;</w:t>
            </w:r>
          </w:p>
          <w:p w:rsidR="003277A2" w:rsidRDefault="003277A2" w:rsidP="00C26909">
            <w:pPr>
              <w:ind w:left="320"/>
              <w:contextualSpacing/>
              <w:rPr>
                <w:sz w:val="18"/>
                <w:szCs w:val="20"/>
              </w:rPr>
            </w:pPr>
            <w:r>
              <w:rPr>
                <w:sz w:val="18"/>
                <w:szCs w:val="20"/>
              </w:rPr>
              <w:t>Mean age: 55.8 ± 8.9 years</w:t>
            </w:r>
          </w:p>
          <w:p w:rsidR="003277A2" w:rsidRDefault="003277A2" w:rsidP="00C26909">
            <w:pPr>
              <w:numPr>
                <w:ilvl w:val="0"/>
                <w:numId w:val="2"/>
              </w:numPr>
              <w:tabs>
                <w:tab w:val="clear" w:pos="720"/>
                <w:tab w:val="num" w:pos="252"/>
              </w:tabs>
              <w:ind w:left="252" w:hanging="180"/>
              <w:contextualSpacing/>
              <w:rPr>
                <w:sz w:val="18"/>
                <w:szCs w:val="20"/>
              </w:rPr>
            </w:pPr>
            <w:r>
              <w:rPr>
                <w:sz w:val="18"/>
                <w:szCs w:val="20"/>
              </w:rPr>
              <w:lastRenderedPageBreak/>
              <w:t>Intermediate (≥ 1.396 and &lt; 1.689), n = 20;</w:t>
            </w:r>
          </w:p>
          <w:p w:rsidR="003277A2" w:rsidRPr="00834B1A" w:rsidRDefault="003277A2" w:rsidP="00C26909">
            <w:pPr>
              <w:ind w:left="320"/>
              <w:contextualSpacing/>
              <w:rPr>
                <w:sz w:val="18"/>
                <w:szCs w:val="20"/>
              </w:rPr>
            </w:pPr>
            <w:r>
              <w:rPr>
                <w:sz w:val="18"/>
                <w:szCs w:val="20"/>
              </w:rPr>
              <w:t>Mean age: 61.2</w:t>
            </w:r>
            <w:r w:rsidRPr="00834B1A">
              <w:rPr>
                <w:sz w:val="18"/>
                <w:szCs w:val="20"/>
              </w:rPr>
              <w:t xml:space="preserve"> ± </w:t>
            </w:r>
            <w:r>
              <w:rPr>
                <w:sz w:val="18"/>
                <w:szCs w:val="20"/>
              </w:rPr>
              <w:t>7.7</w:t>
            </w:r>
            <w:r w:rsidRPr="00834B1A">
              <w:rPr>
                <w:sz w:val="18"/>
                <w:szCs w:val="20"/>
              </w:rPr>
              <w:t xml:space="preserve"> years</w:t>
            </w:r>
          </w:p>
          <w:p w:rsidR="003277A2" w:rsidRPr="00834B1A" w:rsidRDefault="003277A2" w:rsidP="00C26909">
            <w:pPr>
              <w:numPr>
                <w:ilvl w:val="0"/>
                <w:numId w:val="2"/>
              </w:numPr>
              <w:tabs>
                <w:tab w:val="clear" w:pos="720"/>
                <w:tab w:val="num" w:pos="252"/>
              </w:tabs>
              <w:ind w:left="252" w:hanging="180"/>
              <w:contextualSpacing/>
              <w:rPr>
                <w:sz w:val="18"/>
                <w:szCs w:val="18"/>
              </w:rPr>
            </w:pPr>
            <w:r>
              <w:rPr>
                <w:sz w:val="18"/>
                <w:szCs w:val="20"/>
              </w:rPr>
              <w:t>High (≥ 1.689), n = 15;</w:t>
            </w:r>
          </w:p>
          <w:p w:rsidR="003277A2" w:rsidRPr="007C2307" w:rsidRDefault="003277A2" w:rsidP="00C26909">
            <w:pPr>
              <w:ind w:left="320"/>
              <w:contextualSpacing/>
              <w:rPr>
                <w:sz w:val="18"/>
                <w:szCs w:val="20"/>
              </w:rPr>
            </w:pPr>
            <w:r>
              <w:rPr>
                <w:sz w:val="18"/>
                <w:szCs w:val="20"/>
              </w:rPr>
              <w:t>Mean age: 63.4</w:t>
            </w:r>
            <w:r w:rsidRPr="00834B1A">
              <w:rPr>
                <w:sz w:val="18"/>
                <w:szCs w:val="20"/>
              </w:rPr>
              <w:t xml:space="preserve"> ± </w:t>
            </w:r>
            <w:r>
              <w:rPr>
                <w:sz w:val="18"/>
                <w:szCs w:val="20"/>
              </w:rPr>
              <w:t>8.9</w:t>
            </w:r>
            <w:r w:rsidRPr="00834B1A">
              <w:rPr>
                <w:sz w:val="18"/>
                <w:szCs w:val="20"/>
              </w:rPr>
              <w:t xml:space="preserve"> years</w:t>
            </w:r>
          </w:p>
        </w:tc>
        <w:tc>
          <w:tcPr>
            <w:tcW w:w="1478" w:type="dxa"/>
          </w:tcPr>
          <w:p w:rsidR="003277A2" w:rsidRPr="003E1C61" w:rsidRDefault="003277A2" w:rsidP="00C26909">
            <w:pPr>
              <w:numPr>
                <w:ilvl w:val="0"/>
                <w:numId w:val="1"/>
              </w:numPr>
              <w:ind w:left="162" w:hanging="162"/>
              <w:contextualSpacing/>
              <w:rPr>
                <w:sz w:val="18"/>
                <w:szCs w:val="18"/>
              </w:rPr>
            </w:pPr>
            <w:r w:rsidRPr="003E1C61">
              <w:rPr>
                <w:sz w:val="18"/>
                <w:szCs w:val="18"/>
              </w:rPr>
              <w:lastRenderedPageBreak/>
              <w:t>Age</w:t>
            </w:r>
          </w:p>
          <w:p w:rsidR="003277A2" w:rsidRPr="003E1C61" w:rsidRDefault="003277A2" w:rsidP="00C26909">
            <w:pPr>
              <w:numPr>
                <w:ilvl w:val="0"/>
                <w:numId w:val="1"/>
              </w:numPr>
              <w:ind w:left="162" w:hanging="162"/>
              <w:contextualSpacing/>
              <w:rPr>
                <w:sz w:val="18"/>
                <w:szCs w:val="18"/>
              </w:rPr>
            </w:pPr>
            <w:r w:rsidRPr="003E1C61">
              <w:rPr>
                <w:sz w:val="18"/>
                <w:szCs w:val="18"/>
              </w:rPr>
              <w:t>Duration of disease</w:t>
            </w:r>
          </w:p>
          <w:p w:rsidR="003277A2" w:rsidRPr="003E1C61" w:rsidRDefault="003277A2" w:rsidP="00C26909">
            <w:pPr>
              <w:numPr>
                <w:ilvl w:val="0"/>
                <w:numId w:val="1"/>
              </w:numPr>
              <w:ind w:left="162" w:hanging="162"/>
              <w:contextualSpacing/>
              <w:rPr>
                <w:sz w:val="18"/>
                <w:szCs w:val="18"/>
              </w:rPr>
            </w:pPr>
            <w:r w:rsidRPr="003E1C61">
              <w:rPr>
                <w:sz w:val="18"/>
                <w:szCs w:val="18"/>
              </w:rPr>
              <w:t>Preoperative JOA score</w:t>
            </w:r>
          </w:p>
          <w:p w:rsidR="003277A2" w:rsidRPr="003E1C61" w:rsidRDefault="003277A2" w:rsidP="00C26909">
            <w:pPr>
              <w:numPr>
                <w:ilvl w:val="0"/>
                <w:numId w:val="1"/>
              </w:numPr>
              <w:ind w:left="162" w:hanging="162"/>
              <w:contextualSpacing/>
              <w:rPr>
                <w:sz w:val="18"/>
                <w:szCs w:val="18"/>
              </w:rPr>
            </w:pPr>
            <w:r w:rsidRPr="003E1C61">
              <w:rPr>
                <w:sz w:val="18"/>
                <w:szCs w:val="18"/>
              </w:rPr>
              <w:t>Babinski sign</w:t>
            </w:r>
          </w:p>
          <w:p w:rsidR="003277A2" w:rsidRPr="003E1C61" w:rsidRDefault="003277A2" w:rsidP="00C26909">
            <w:pPr>
              <w:numPr>
                <w:ilvl w:val="0"/>
                <w:numId w:val="1"/>
              </w:numPr>
              <w:ind w:left="162" w:hanging="162"/>
              <w:contextualSpacing/>
              <w:rPr>
                <w:sz w:val="18"/>
                <w:szCs w:val="18"/>
              </w:rPr>
            </w:pPr>
            <w:r w:rsidRPr="003E1C61">
              <w:rPr>
                <w:sz w:val="18"/>
                <w:szCs w:val="18"/>
              </w:rPr>
              <w:t>Ankle clonus</w:t>
            </w:r>
          </w:p>
        </w:tc>
        <w:tc>
          <w:tcPr>
            <w:tcW w:w="1448" w:type="dxa"/>
          </w:tcPr>
          <w:p w:rsidR="003277A2" w:rsidRPr="003E1C61" w:rsidRDefault="003277A2" w:rsidP="00C26909">
            <w:pPr>
              <w:numPr>
                <w:ilvl w:val="0"/>
                <w:numId w:val="1"/>
              </w:numPr>
              <w:ind w:left="162" w:hanging="162"/>
              <w:contextualSpacing/>
              <w:rPr>
                <w:sz w:val="18"/>
                <w:szCs w:val="18"/>
              </w:rPr>
            </w:pPr>
            <w:r>
              <w:rPr>
                <w:sz w:val="18"/>
                <w:szCs w:val="18"/>
              </w:rPr>
              <w:t>Change in SI</w:t>
            </w:r>
            <w:r w:rsidRPr="003E1C61">
              <w:rPr>
                <w:sz w:val="18"/>
                <w:szCs w:val="18"/>
              </w:rPr>
              <w:t xml:space="preserve"> ratio (low, intermediate, high) on T2-weighted images</w:t>
            </w:r>
          </w:p>
        </w:tc>
        <w:tc>
          <w:tcPr>
            <w:tcW w:w="1415" w:type="dxa"/>
          </w:tcPr>
          <w:p w:rsidR="003277A2" w:rsidRDefault="003277A2" w:rsidP="00C26909">
            <w:pPr>
              <w:numPr>
                <w:ilvl w:val="0"/>
                <w:numId w:val="1"/>
              </w:numPr>
              <w:ind w:left="162" w:hanging="162"/>
              <w:contextualSpacing/>
              <w:rPr>
                <w:sz w:val="18"/>
                <w:szCs w:val="18"/>
              </w:rPr>
            </w:pPr>
            <w:r>
              <w:rPr>
                <w:sz w:val="18"/>
                <w:szCs w:val="18"/>
              </w:rPr>
              <w:t>Recovery rate of JOA score‡</w:t>
            </w:r>
          </w:p>
          <w:p w:rsidR="003277A2" w:rsidRPr="003E1C61" w:rsidRDefault="003277A2" w:rsidP="00C26909">
            <w:pPr>
              <w:numPr>
                <w:ilvl w:val="0"/>
                <w:numId w:val="1"/>
              </w:numPr>
              <w:ind w:left="162" w:hanging="162"/>
              <w:contextualSpacing/>
              <w:rPr>
                <w:sz w:val="18"/>
                <w:szCs w:val="18"/>
              </w:rPr>
            </w:pPr>
            <w:r>
              <w:rPr>
                <w:sz w:val="18"/>
                <w:szCs w:val="18"/>
              </w:rPr>
              <w:t>JOA score</w:t>
            </w:r>
          </w:p>
        </w:tc>
        <w:tc>
          <w:tcPr>
            <w:tcW w:w="1193" w:type="dxa"/>
          </w:tcPr>
          <w:p w:rsidR="003277A2" w:rsidRPr="003E1C61" w:rsidRDefault="003277A2" w:rsidP="00C26909">
            <w:pPr>
              <w:rPr>
                <w:sz w:val="18"/>
                <w:szCs w:val="18"/>
              </w:rPr>
            </w:pPr>
            <w:r w:rsidRPr="003E1C61">
              <w:rPr>
                <w:sz w:val="18"/>
                <w:szCs w:val="18"/>
              </w:rPr>
              <w:t xml:space="preserve">14.6 months (range 12–18 months) </w:t>
            </w:r>
            <w:r w:rsidRPr="003C763A">
              <w:rPr>
                <w:sz w:val="18"/>
                <w:szCs w:val="18"/>
              </w:rPr>
              <w:t>(57% f/u; n = 58/102)</w:t>
            </w:r>
          </w:p>
        </w:tc>
        <w:tc>
          <w:tcPr>
            <w:tcW w:w="3245" w:type="dxa"/>
          </w:tcPr>
          <w:p w:rsidR="003277A2" w:rsidRPr="007C2307" w:rsidRDefault="003277A2" w:rsidP="00C26909">
            <w:pPr>
              <w:rPr>
                <w:b/>
                <w:sz w:val="18"/>
                <w:szCs w:val="18"/>
              </w:rPr>
            </w:pPr>
            <w:r w:rsidRPr="007C2307">
              <w:rPr>
                <w:b/>
                <w:sz w:val="18"/>
                <w:szCs w:val="18"/>
              </w:rPr>
              <w:t>JOA recovery rate (median [IQR])</w:t>
            </w:r>
            <w:r>
              <w:rPr>
                <w:b/>
                <w:sz w:val="18"/>
                <w:szCs w:val="18"/>
              </w:rPr>
              <w:t xml:space="preserve"> (univariate analysis)</w:t>
            </w:r>
            <w:r w:rsidRPr="007C2307">
              <w:rPr>
                <w:b/>
                <w:sz w:val="18"/>
                <w:szCs w:val="18"/>
              </w:rPr>
              <w:t>:</w:t>
            </w:r>
          </w:p>
          <w:p w:rsidR="003277A2" w:rsidRPr="007C2307" w:rsidRDefault="003277A2" w:rsidP="00C26909">
            <w:pPr>
              <w:numPr>
                <w:ilvl w:val="0"/>
                <w:numId w:val="2"/>
              </w:numPr>
              <w:tabs>
                <w:tab w:val="clear" w:pos="720"/>
                <w:tab w:val="num" w:pos="252"/>
              </w:tabs>
              <w:ind w:left="252" w:hanging="180"/>
              <w:contextualSpacing/>
              <w:rPr>
                <w:sz w:val="18"/>
                <w:szCs w:val="20"/>
              </w:rPr>
            </w:pPr>
            <w:r w:rsidRPr="007C2307">
              <w:rPr>
                <w:sz w:val="18"/>
                <w:szCs w:val="20"/>
              </w:rPr>
              <w:t>Low : 0.75 (0.26)</w:t>
            </w:r>
          </w:p>
          <w:p w:rsidR="003277A2" w:rsidRPr="007C2307" w:rsidRDefault="003277A2" w:rsidP="00C26909">
            <w:pPr>
              <w:numPr>
                <w:ilvl w:val="0"/>
                <w:numId w:val="2"/>
              </w:numPr>
              <w:tabs>
                <w:tab w:val="clear" w:pos="720"/>
                <w:tab w:val="num" w:pos="252"/>
              </w:tabs>
              <w:ind w:left="252" w:hanging="180"/>
              <w:contextualSpacing/>
              <w:rPr>
                <w:sz w:val="18"/>
                <w:szCs w:val="20"/>
              </w:rPr>
            </w:pPr>
            <w:r w:rsidRPr="007C2307">
              <w:rPr>
                <w:sz w:val="18"/>
                <w:szCs w:val="20"/>
              </w:rPr>
              <w:t>Intermediate: 0.56 (0.42)</w:t>
            </w:r>
          </w:p>
          <w:p w:rsidR="003277A2" w:rsidRDefault="003277A2" w:rsidP="00C26909">
            <w:pPr>
              <w:numPr>
                <w:ilvl w:val="0"/>
                <w:numId w:val="2"/>
              </w:numPr>
              <w:tabs>
                <w:tab w:val="clear" w:pos="720"/>
                <w:tab w:val="num" w:pos="252"/>
              </w:tabs>
              <w:ind w:left="252" w:hanging="180"/>
              <w:contextualSpacing/>
              <w:rPr>
                <w:sz w:val="18"/>
                <w:szCs w:val="18"/>
              </w:rPr>
            </w:pPr>
            <w:r w:rsidRPr="007C2307">
              <w:rPr>
                <w:sz w:val="18"/>
                <w:szCs w:val="20"/>
              </w:rPr>
              <w:t>High</w:t>
            </w:r>
            <w:r>
              <w:rPr>
                <w:sz w:val="18"/>
                <w:szCs w:val="18"/>
              </w:rPr>
              <w:t>: 0.20 (0.15)</w:t>
            </w:r>
          </w:p>
          <w:p w:rsidR="003277A2" w:rsidRDefault="003277A2" w:rsidP="00C26909">
            <w:pPr>
              <w:ind w:left="357"/>
              <w:rPr>
                <w:sz w:val="18"/>
                <w:szCs w:val="18"/>
              </w:rPr>
            </w:pPr>
            <w:r w:rsidRPr="007C2307">
              <w:rPr>
                <w:i/>
                <w:sz w:val="18"/>
                <w:szCs w:val="18"/>
              </w:rPr>
              <w:t>P</w:t>
            </w:r>
            <w:r>
              <w:rPr>
                <w:sz w:val="18"/>
                <w:szCs w:val="18"/>
              </w:rPr>
              <w:t xml:space="preserve"> = .002 for </w:t>
            </w:r>
            <w:r w:rsidRPr="001252DB">
              <w:rPr>
                <w:i/>
                <w:sz w:val="18"/>
                <w:szCs w:val="18"/>
              </w:rPr>
              <w:t>Low vs. Intermediate</w:t>
            </w:r>
          </w:p>
          <w:p w:rsidR="003277A2" w:rsidRPr="001252DB" w:rsidRDefault="003277A2" w:rsidP="00C26909">
            <w:pPr>
              <w:ind w:left="357"/>
              <w:rPr>
                <w:i/>
                <w:sz w:val="18"/>
                <w:szCs w:val="18"/>
              </w:rPr>
            </w:pPr>
            <w:r>
              <w:rPr>
                <w:i/>
                <w:sz w:val="18"/>
                <w:szCs w:val="18"/>
              </w:rPr>
              <w:t xml:space="preserve">P </w:t>
            </w:r>
            <w:r w:rsidRPr="00DD514C">
              <w:rPr>
                <w:sz w:val="18"/>
                <w:szCs w:val="18"/>
              </w:rPr>
              <w:t>&lt; .001 for</w:t>
            </w:r>
            <w:r w:rsidRPr="00DD514C">
              <w:rPr>
                <w:i/>
                <w:sz w:val="18"/>
                <w:szCs w:val="18"/>
              </w:rPr>
              <w:t xml:space="preserve"> </w:t>
            </w:r>
            <w:r w:rsidRPr="001252DB">
              <w:rPr>
                <w:i/>
                <w:sz w:val="18"/>
                <w:szCs w:val="18"/>
              </w:rPr>
              <w:t>Low vs. High</w:t>
            </w:r>
          </w:p>
          <w:p w:rsidR="003277A2" w:rsidRPr="001252DB" w:rsidRDefault="003277A2" w:rsidP="00C26909">
            <w:pPr>
              <w:ind w:left="357"/>
              <w:rPr>
                <w:sz w:val="18"/>
                <w:szCs w:val="18"/>
              </w:rPr>
            </w:pPr>
            <w:r w:rsidRPr="001252DB">
              <w:rPr>
                <w:i/>
                <w:sz w:val="18"/>
                <w:szCs w:val="18"/>
              </w:rPr>
              <w:t>P</w:t>
            </w:r>
            <w:r w:rsidRPr="001252DB">
              <w:rPr>
                <w:sz w:val="18"/>
                <w:szCs w:val="18"/>
              </w:rPr>
              <w:t xml:space="preserve"> &lt; .001 for </w:t>
            </w:r>
            <w:r w:rsidRPr="001252DB">
              <w:rPr>
                <w:i/>
                <w:sz w:val="18"/>
                <w:szCs w:val="18"/>
              </w:rPr>
              <w:t>Intermediate vs. High</w:t>
            </w:r>
          </w:p>
          <w:p w:rsidR="003277A2" w:rsidRDefault="003277A2" w:rsidP="00C26909">
            <w:pPr>
              <w:rPr>
                <w:sz w:val="18"/>
                <w:szCs w:val="18"/>
              </w:rPr>
            </w:pPr>
          </w:p>
          <w:p w:rsidR="003277A2" w:rsidRDefault="003277A2" w:rsidP="00C26909">
            <w:pPr>
              <w:rPr>
                <w:b/>
                <w:sz w:val="18"/>
                <w:szCs w:val="18"/>
              </w:rPr>
            </w:pPr>
            <w:r w:rsidRPr="00F9062B">
              <w:rPr>
                <w:b/>
                <w:sz w:val="18"/>
                <w:szCs w:val="18"/>
              </w:rPr>
              <w:t>Postop JOA score</w:t>
            </w:r>
            <w:r>
              <w:rPr>
                <w:sz w:val="18"/>
                <w:szCs w:val="18"/>
              </w:rPr>
              <w:t xml:space="preserve"> </w:t>
            </w:r>
            <w:r w:rsidRPr="00F9062B">
              <w:rPr>
                <w:b/>
                <w:sz w:val="18"/>
                <w:szCs w:val="18"/>
              </w:rPr>
              <w:t>(median [IQR])</w:t>
            </w:r>
            <w:r>
              <w:rPr>
                <w:b/>
                <w:sz w:val="18"/>
                <w:szCs w:val="18"/>
              </w:rPr>
              <w:t xml:space="preserve"> (univariate analysis)</w:t>
            </w:r>
            <w:r w:rsidRPr="00F9062B">
              <w:rPr>
                <w:b/>
                <w:sz w:val="18"/>
                <w:szCs w:val="18"/>
              </w:rPr>
              <w:t>:</w:t>
            </w:r>
          </w:p>
          <w:p w:rsidR="003277A2" w:rsidRPr="007C2307" w:rsidRDefault="003277A2" w:rsidP="00C26909">
            <w:pPr>
              <w:numPr>
                <w:ilvl w:val="0"/>
                <w:numId w:val="2"/>
              </w:numPr>
              <w:tabs>
                <w:tab w:val="clear" w:pos="720"/>
                <w:tab w:val="num" w:pos="252"/>
              </w:tabs>
              <w:ind w:left="252" w:hanging="180"/>
              <w:contextualSpacing/>
              <w:rPr>
                <w:sz w:val="18"/>
                <w:szCs w:val="20"/>
              </w:rPr>
            </w:pPr>
            <w:r w:rsidRPr="007C2307">
              <w:rPr>
                <w:sz w:val="18"/>
                <w:szCs w:val="20"/>
              </w:rPr>
              <w:t xml:space="preserve">Low : </w:t>
            </w:r>
            <w:r>
              <w:rPr>
                <w:sz w:val="18"/>
                <w:szCs w:val="20"/>
              </w:rPr>
              <w:t>15.0</w:t>
            </w:r>
            <w:r w:rsidRPr="007C2307">
              <w:rPr>
                <w:sz w:val="18"/>
                <w:szCs w:val="20"/>
              </w:rPr>
              <w:t xml:space="preserve"> (</w:t>
            </w:r>
            <w:r>
              <w:rPr>
                <w:sz w:val="18"/>
                <w:szCs w:val="20"/>
              </w:rPr>
              <w:t>2.0</w:t>
            </w:r>
            <w:r w:rsidRPr="007C2307">
              <w:rPr>
                <w:sz w:val="18"/>
                <w:szCs w:val="20"/>
              </w:rPr>
              <w:t>)</w:t>
            </w:r>
          </w:p>
          <w:p w:rsidR="003277A2" w:rsidRPr="007C2307" w:rsidRDefault="003277A2" w:rsidP="00C26909">
            <w:pPr>
              <w:numPr>
                <w:ilvl w:val="0"/>
                <w:numId w:val="2"/>
              </w:numPr>
              <w:tabs>
                <w:tab w:val="clear" w:pos="720"/>
                <w:tab w:val="num" w:pos="252"/>
              </w:tabs>
              <w:ind w:left="252" w:hanging="180"/>
              <w:contextualSpacing/>
              <w:rPr>
                <w:sz w:val="18"/>
                <w:szCs w:val="20"/>
              </w:rPr>
            </w:pPr>
            <w:r w:rsidRPr="007C2307">
              <w:rPr>
                <w:sz w:val="18"/>
                <w:szCs w:val="20"/>
              </w:rPr>
              <w:t xml:space="preserve">Intermediate: </w:t>
            </w:r>
            <w:r>
              <w:rPr>
                <w:sz w:val="18"/>
                <w:szCs w:val="20"/>
              </w:rPr>
              <w:t>13.0</w:t>
            </w:r>
            <w:r w:rsidRPr="007C2307">
              <w:rPr>
                <w:sz w:val="18"/>
                <w:szCs w:val="20"/>
              </w:rPr>
              <w:t xml:space="preserve"> (</w:t>
            </w:r>
            <w:r>
              <w:rPr>
                <w:sz w:val="18"/>
                <w:szCs w:val="20"/>
              </w:rPr>
              <w:t>4.0</w:t>
            </w:r>
            <w:r w:rsidRPr="007C2307">
              <w:rPr>
                <w:sz w:val="18"/>
                <w:szCs w:val="20"/>
              </w:rPr>
              <w:t>)</w:t>
            </w:r>
          </w:p>
          <w:p w:rsidR="003277A2" w:rsidRDefault="003277A2" w:rsidP="00C26909">
            <w:pPr>
              <w:numPr>
                <w:ilvl w:val="0"/>
                <w:numId w:val="2"/>
              </w:numPr>
              <w:tabs>
                <w:tab w:val="clear" w:pos="720"/>
                <w:tab w:val="num" w:pos="252"/>
              </w:tabs>
              <w:ind w:left="252" w:hanging="180"/>
              <w:contextualSpacing/>
              <w:rPr>
                <w:sz w:val="18"/>
                <w:szCs w:val="18"/>
              </w:rPr>
            </w:pPr>
            <w:r w:rsidRPr="007C2307">
              <w:rPr>
                <w:sz w:val="18"/>
                <w:szCs w:val="20"/>
              </w:rPr>
              <w:t>High</w:t>
            </w:r>
            <w:r>
              <w:rPr>
                <w:sz w:val="18"/>
                <w:szCs w:val="18"/>
              </w:rPr>
              <w:t>: 9.0 (2.0)</w:t>
            </w:r>
          </w:p>
          <w:p w:rsidR="003277A2" w:rsidRPr="00DD514C" w:rsidRDefault="003277A2" w:rsidP="00C26909">
            <w:pPr>
              <w:ind w:left="357"/>
              <w:rPr>
                <w:i/>
                <w:sz w:val="18"/>
                <w:szCs w:val="18"/>
              </w:rPr>
            </w:pPr>
            <w:r w:rsidRPr="007C2307">
              <w:rPr>
                <w:i/>
                <w:sz w:val="18"/>
                <w:szCs w:val="18"/>
              </w:rPr>
              <w:t>P</w:t>
            </w:r>
            <w:r w:rsidRPr="00DD514C">
              <w:rPr>
                <w:i/>
                <w:sz w:val="18"/>
                <w:szCs w:val="18"/>
              </w:rPr>
              <w:t xml:space="preserve"> </w:t>
            </w:r>
            <w:r w:rsidRPr="00DD514C">
              <w:rPr>
                <w:sz w:val="18"/>
                <w:szCs w:val="18"/>
              </w:rPr>
              <w:t xml:space="preserve">= .001 for </w:t>
            </w:r>
            <w:r w:rsidRPr="001252DB">
              <w:rPr>
                <w:i/>
                <w:sz w:val="18"/>
                <w:szCs w:val="18"/>
              </w:rPr>
              <w:t>Low vs. Intermediate</w:t>
            </w:r>
          </w:p>
          <w:p w:rsidR="003277A2" w:rsidRPr="001252DB" w:rsidRDefault="003277A2" w:rsidP="00C26909">
            <w:pPr>
              <w:ind w:left="357"/>
              <w:rPr>
                <w:i/>
                <w:sz w:val="18"/>
                <w:szCs w:val="18"/>
              </w:rPr>
            </w:pPr>
            <w:r>
              <w:rPr>
                <w:i/>
                <w:sz w:val="18"/>
                <w:szCs w:val="18"/>
              </w:rPr>
              <w:t xml:space="preserve">P </w:t>
            </w:r>
            <w:r w:rsidRPr="00DD514C">
              <w:rPr>
                <w:sz w:val="18"/>
                <w:szCs w:val="18"/>
              </w:rPr>
              <w:t>&lt; .001 for</w:t>
            </w:r>
            <w:r w:rsidRPr="00DD514C">
              <w:rPr>
                <w:i/>
                <w:sz w:val="18"/>
                <w:szCs w:val="18"/>
              </w:rPr>
              <w:t xml:space="preserve"> </w:t>
            </w:r>
            <w:r w:rsidRPr="001252DB">
              <w:rPr>
                <w:i/>
                <w:sz w:val="18"/>
                <w:szCs w:val="18"/>
              </w:rPr>
              <w:t>Low vs. High</w:t>
            </w:r>
          </w:p>
          <w:p w:rsidR="003277A2" w:rsidRPr="00DD514C" w:rsidRDefault="003277A2" w:rsidP="00C26909">
            <w:pPr>
              <w:ind w:left="357"/>
              <w:rPr>
                <w:i/>
                <w:sz w:val="18"/>
                <w:szCs w:val="18"/>
              </w:rPr>
            </w:pPr>
            <w:r w:rsidRPr="001252DB">
              <w:rPr>
                <w:i/>
                <w:sz w:val="18"/>
                <w:szCs w:val="18"/>
              </w:rPr>
              <w:t>P</w:t>
            </w:r>
            <w:r w:rsidRPr="00DD514C">
              <w:rPr>
                <w:i/>
                <w:sz w:val="18"/>
                <w:szCs w:val="18"/>
              </w:rPr>
              <w:t xml:space="preserve"> </w:t>
            </w:r>
            <w:r w:rsidRPr="00DD514C">
              <w:rPr>
                <w:sz w:val="18"/>
                <w:szCs w:val="18"/>
              </w:rPr>
              <w:t>&lt; .001 for</w:t>
            </w:r>
            <w:r w:rsidRPr="00DD514C">
              <w:rPr>
                <w:i/>
                <w:sz w:val="18"/>
                <w:szCs w:val="18"/>
              </w:rPr>
              <w:t xml:space="preserve"> </w:t>
            </w:r>
            <w:r w:rsidRPr="001252DB">
              <w:rPr>
                <w:i/>
                <w:sz w:val="18"/>
                <w:szCs w:val="18"/>
              </w:rPr>
              <w:t>Intermediate vs. High</w:t>
            </w:r>
          </w:p>
          <w:p w:rsidR="003277A2" w:rsidRPr="00DD514C" w:rsidRDefault="003277A2" w:rsidP="00C26909">
            <w:pPr>
              <w:ind w:left="357"/>
              <w:rPr>
                <w:i/>
                <w:sz w:val="18"/>
                <w:szCs w:val="18"/>
              </w:rPr>
            </w:pPr>
          </w:p>
          <w:p w:rsidR="003277A2" w:rsidRPr="003E1C61" w:rsidRDefault="003277A2" w:rsidP="00C26909">
            <w:pPr>
              <w:rPr>
                <w:sz w:val="18"/>
                <w:szCs w:val="18"/>
              </w:rPr>
            </w:pPr>
            <w:r>
              <w:rPr>
                <w:sz w:val="18"/>
                <w:szCs w:val="18"/>
              </w:rPr>
              <w:lastRenderedPageBreak/>
              <w:t>“</w:t>
            </w:r>
            <w:r w:rsidRPr="007C2307">
              <w:rPr>
                <w:sz w:val="18"/>
                <w:szCs w:val="18"/>
              </w:rPr>
              <w:t>Patients with low signal intensity ratios that changed on T2-weig</w:t>
            </w:r>
            <w:r>
              <w:rPr>
                <w:sz w:val="18"/>
                <w:szCs w:val="18"/>
              </w:rPr>
              <w:t xml:space="preserve">hted imaging experienced a good </w:t>
            </w:r>
            <w:r w:rsidRPr="007C2307">
              <w:rPr>
                <w:sz w:val="18"/>
                <w:szCs w:val="18"/>
              </w:rPr>
              <w:t>surgical outcome.</w:t>
            </w:r>
            <w:r>
              <w:rPr>
                <w:sz w:val="18"/>
                <w:szCs w:val="18"/>
              </w:rPr>
              <w:t>”</w:t>
            </w:r>
          </w:p>
        </w:tc>
      </w:tr>
      <w:tr w:rsidR="0043721E" w:rsidRPr="003E1C61" w:rsidTr="00DC4E9E">
        <w:tc>
          <w:tcPr>
            <w:tcW w:w="1248" w:type="dxa"/>
          </w:tcPr>
          <w:p w:rsidR="003277A2" w:rsidRPr="00E17304" w:rsidRDefault="003277A2" w:rsidP="00C26909">
            <w:pPr>
              <w:rPr>
                <w:sz w:val="18"/>
                <w:szCs w:val="18"/>
                <w:lang w:val="en-AU"/>
              </w:rPr>
            </w:pPr>
            <w:r w:rsidRPr="00E17304">
              <w:rPr>
                <w:sz w:val="18"/>
                <w:szCs w:val="18"/>
                <w:lang w:val="en-AU"/>
              </w:rPr>
              <w:lastRenderedPageBreak/>
              <w:t>Yamazaki et al. (2003)</w:t>
            </w:r>
          </w:p>
          <w:p w:rsidR="003277A2" w:rsidRPr="00E17304" w:rsidRDefault="003277A2" w:rsidP="00C26909">
            <w:pPr>
              <w:rPr>
                <w:sz w:val="18"/>
                <w:szCs w:val="18"/>
                <w:lang w:val="en-AU"/>
              </w:rPr>
            </w:pPr>
          </w:p>
          <w:p w:rsidR="003277A2" w:rsidRPr="00E17304" w:rsidRDefault="003277A2" w:rsidP="00C26909">
            <w:pPr>
              <w:rPr>
                <w:sz w:val="18"/>
                <w:szCs w:val="18"/>
                <w:lang w:val="en-AU"/>
              </w:rPr>
            </w:pPr>
            <w:r w:rsidRPr="00E17304">
              <w:rPr>
                <w:sz w:val="18"/>
                <w:szCs w:val="18"/>
                <w:lang w:val="en-AU"/>
              </w:rPr>
              <w:t>Retrospective cohort</w:t>
            </w:r>
          </w:p>
        </w:tc>
        <w:tc>
          <w:tcPr>
            <w:tcW w:w="1741" w:type="dxa"/>
          </w:tcPr>
          <w:p w:rsidR="003277A2" w:rsidRPr="00E17304" w:rsidRDefault="003277A2" w:rsidP="00C26909">
            <w:pPr>
              <w:pStyle w:val="NoSpacing"/>
              <w:rPr>
                <w:rFonts w:ascii="Times New Roman" w:hAnsi="Times New Roman"/>
                <w:sz w:val="18"/>
                <w:szCs w:val="18"/>
                <w:lang w:val="en-AU"/>
              </w:rPr>
            </w:pPr>
            <w:r w:rsidRPr="00E17304">
              <w:rPr>
                <w:rFonts w:ascii="Times New Roman" w:hAnsi="Times New Roman"/>
                <w:sz w:val="18"/>
                <w:szCs w:val="18"/>
                <w:lang w:val="en-AU"/>
              </w:rPr>
              <w:t>To determine clinical and imaging predictors of surgical outcome</w:t>
            </w:r>
          </w:p>
        </w:tc>
        <w:tc>
          <w:tcPr>
            <w:tcW w:w="2362" w:type="dxa"/>
          </w:tcPr>
          <w:p w:rsidR="003277A2" w:rsidRPr="00E17304" w:rsidRDefault="003277A2" w:rsidP="00C26909">
            <w:pPr>
              <w:rPr>
                <w:sz w:val="18"/>
                <w:szCs w:val="18"/>
                <w:lang w:val="en-AU"/>
              </w:rPr>
            </w:pPr>
            <w:r w:rsidRPr="00E17304">
              <w:rPr>
                <w:sz w:val="18"/>
                <w:szCs w:val="18"/>
                <w:lang w:val="en-AU"/>
              </w:rPr>
              <w:t>N</w:t>
            </w:r>
            <w:r>
              <w:rPr>
                <w:sz w:val="18"/>
                <w:szCs w:val="18"/>
                <w:lang w:val="en-AU"/>
              </w:rPr>
              <w:t xml:space="preserve"> </w:t>
            </w:r>
            <w:r w:rsidRPr="00E17304">
              <w:rPr>
                <w:sz w:val="18"/>
                <w:szCs w:val="18"/>
                <w:lang w:val="en-AU"/>
              </w:rPr>
              <w:t>=</w:t>
            </w:r>
            <w:r>
              <w:rPr>
                <w:sz w:val="18"/>
                <w:szCs w:val="18"/>
                <w:lang w:val="en-AU"/>
              </w:rPr>
              <w:t xml:space="preserve"> </w:t>
            </w:r>
            <w:r w:rsidRPr="00E17304">
              <w:rPr>
                <w:sz w:val="18"/>
                <w:szCs w:val="18"/>
                <w:lang w:val="en-AU"/>
              </w:rPr>
              <w:t>64</w:t>
            </w:r>
          </w:p>
          <w:p w:rsidR="003277A2" w:rsidRPr="00E17304" w:rsidRDefault="003277A2" w:rsidP="00C26909">
            <w:pPr>
              <w:ind w:left="171"/>
              <w:rPr>
                <w:sz w:val="18"/>
                <w:szCs w:val="18"/>
                <w:lang w:val="en-AU"/>
              </w:rPr>
            </w:pPr>
            <w:r w:rsidRPr="00E17304">
              <w:rPr>
                <w:sz w:val="18"/>
                <w:szCs w:val="18"/>
                <w:lang w:val="en-AU"/>
              </w:rPr>
              <w:t>Male: 51.6%</w:t>
            </w:r>
          </w:p>
          <w:p w:rsidR="003277A2" w:rsidRPr="00E17304" w:rsidRDefault="003277A2" w:rsidP="00C26909">
            <w:pPr>
              <w:ind w:left="171"/>
              <w:rPr>
                <w:sz w:val="18"/>
                <w:szCs w:val="18"/>
                <w:lang w:val="en-AU"/>
              </w:rPr>
            </w:pPr>
            <w:r w:rsidRPr="00E17304">
              <w:rPr>
                <w:sz w:val="18"/>
                <w:szCs w:val="18"/>
                <w:lang w:val="en-AU"/>
              </w:rPr>
              <w:t>Mean age</w:t>
            </w:r>
            <w:r>
              <w:rPr>
                <w:sz w:val="18"/>
                <w:szCs w:val="18"/>
                <w:lang w:val="en-AU"/>
              </w:rPr>
              <w:t xml:space="preserve"> (± SD)</w:t>
            </w:r>
            <w:r w:rsidRPr="00E17304">
              <w:rPr>
                <w:sz w:val="18"/>
                <w:szCs w:val="18"/>
                <w:lang w:val="en-AU"/>
              </w:rPr>
              <w:t>: 64.6 ±12.0 years</w:t>
            </w:r>
          </w:p>
          <w:p w:rsidR="003277A2" w:rsidRPr="00E17304" w:rsidRDefault="003277A2" w:rsidP="00C26909">
            <w:pPr>
              <w:ind w:left="171"/>
              <w:rPr>
                <w:sz w:val="18"/>
                <w:szCs w:val="18"/>
                <w:lang w:val="en-AU"/>
              </w:rPr>
            </w:pPr>
            <w:r w:rsidRPr="00E17304">
              <w:rPr>
                <w:sz w:val="18"/>
                <w:szCs w:val="18"/>
                <w:lang w:val="en-AU"/>
              </w:rPr>
              <w:t>Mean duration of symptoms</w:t>
            </w:r>
            <w:r>
              <w:rPr>
                <w:sz w:val="18"/>
                <w:szCs w:val="18"/>
                <w:lang w:val="en-AU"/>
              </w:rPr>
              <w:t xml:space="preserve"> (± SD)</w:t>
            </w:r>
            <w:r w:rsidRPr="00E17304">
              <w:rPr>
                <w:sz w:val="18"/>
                <w:szCs w:val="18"/>
                <w:lang w:val="en-AU"/>
              </w:rPr>
              <w:t>: 25.6 ± 30.6 months</w:t>
            </w:r>
          </w:p>
          <w:p w:rsidR="003277A2" w:rsidRPr="00E17304" w:rsidRDefault="003277A2" w:rsidP="00C26909">
            <w:pPr>
              <w:rPr>
                <w:sz w:val="18"/>
                <w:szCs w:val="18"/>
                <w:lang w:val="en-AU"/>
              </w:rPr>
            </w:pPr>
          </w:p>
          <w:p w:rsidR="003277A2" w:rsidRPr="0007740E" w:rsidRDefault="003277A2" w:rsidP="00C26909">
            <w:pPr>
              <w:rPr>
                <w:sz w:val="18"/>
                <w:szCs w:val="18"/>
                <w:u w:val="single"/>
                <w:lang w:val="en-AU"/>
              </w:rPr>
            </w:pPr>
            <w:r w:rsidRPr="0007740E">
              <w:rPr>
                <w:sz w:val="18"/>
                <w:szCs w:val="18"/>
                <w:u w:val="single"/>
                <w:lang w:val="en-AU"/>
              </w:rPr>
              <w:t>Groups based on age</w:t>
            </w:r>
          </w:p>
          <w:p w:rsidR="003277A2" w:rsidRPr="00932EE0" w:rsidRDefault="003277A2" w:rsidP="00C26909">
            <w:pPr>
              <w:rPr>
                <w:i/>
                <w:sz w:val="18"/>
                <w:szCs w:val="18"/>
                <w:lang w:val="en-AU"/>
              </w:rPr>
            </w:pPr>
            <w:proofErr w:type="spellStart"/>
            <w:r w:rsidRPr="00932EE0">
              <w:rPr>
                <w:i/>
                <w:sz w:val="18"/>
                <w:szCs w:val="18"/>
                <w:lang w:val="en-AU"/>
              </w:rPr>
              <w:t>Eldery</w:t>
            </w:r>
            <w:proofErr w:type="spellEnd"/>
            <w:r w:rsidRPr="00932EE0">
              <w:rPr>
                <w:i/>
                <w:sz w:val="18"/>
                <w:szCs w:val="18"/>
                <w:lang w:val="en-AU"/>
              </w:rPr>
              <w:t xml:space="preserve"> (≥65 years, n</w:t>
            </w:r>
            <w:r>
              <w:rPr>
                <w:i/>
                <w:sz w:val="18"/>
                <w:szCs w:val="18"/>
                <w:lang w:val="en-AU"/>
              </w:rPr>
              <w:t xml:space="preserve"> </w:t>
            </w:r>
            <w:r w:rsidRPr="00932EE0">
              <w:rPr>
                <w:i/>
                <w:sz w:val="18"/>
                <w:szCs w:val="18"/>
                <w:lang w:val="en-AU"/>
              </w:rPr>
              <w:t>=</w:t>
            </w:r>
            <w:r>
              <w:rPr>
                <w:i/>
                <w:sz w:val="18"/>
                <w:szCs w:val="18"/>
                <w:lang w:val="en-AU"/>
              </w:rPr>
              <w:t xml:space="preserve"> </w:t>
            </w:r>
            <w:r w:rsidRPr="00932EE0">
              <w:rPr>
                <w:i/>
                <w:sz w:val="18"/>
                <w:szCs w:val="18"/>
                <w:lang w:val="en-AU"/>
              </w:rPr>
              <w:t>35)</w:t>
            </w:r>
          </w:p>
          <w:p w:rsidR="003277A2" w:rsidRPr="00E17304" w:rsidRDefault="003277A2" w:rsidP="00C26909">
            <w:pPr>
              <w:ind w:left="171" w:hanging="30"/>
              <w:rPr>
                <w:sz w:val="18"/>
                <w:szCs w:val="18"/>
                <w:lang w:val="en-AU"/>
              </w:rPr>
            </w:pPr>
            <w:r w:rsidRPr="00E17304">
              <w:rPr>
                <w:sz w:val="18"/>
                <w:szCs w:val="18"/>
                <w:lang w:val="en-AU"/>
              </w:rPr>
              <w:t>Mean age (</w:t>
            </w:r>
            <w:r>
              <w:rPr>
                <w:sz w:val="18"/>
                <w:szCs w:val="18"/>
                <w:lang w:val="en-AU"/>
              </w:rPr>
              <w:t>±SD</w:t>
            </w:r>
            <w:r w:rsidRPr="00E17304">
              <w:rPr>
                <w:sz w:val="18"/>
                <w:szCs w:val="18"/>
                <w:lang w:val="en-AU"/>
              </w:rPr>
              <w:t>): 73.9 ± 4.4 years</w:t>
            </w:r>
          </w:p>
          <w:p w:rsidR="003277A2" w:rsidRPr="00E17304" w:rsidRDefault="003277A2" w:rsidP="00C26909">
            <w:pPr>
              <w:ind w:left="171"/>
              <w:rPr>
                <w:sz w:val="18"/>
                <w:szCs w:val="18"/>
                <w:lang w:val="en-AU"/>
              </w:rPr>
            </w:pPr>
            <w:r w:rsidRPr="00E17304">
              <w:rPr>
                <w:sz w:val="18"/>
                <w:szCs w:val="18"/>
                <w:lang w:val="en-AU"/>
              </w:rPr>
              <w:t>Mean duration of symptoms</w:t>
            </w:r>
            <w:r>
              <w:rPr>
                <w:sz w:val="18"/>
                <w:szCs w:val="18"/>
                <w:lang w:val="en-AU"/>
              </w:rPr>
              <w:t xml:space="preserve"> (±SD)</w:t>
            </w:r>
            <w:r w:rsidRPr="00E17304">
              <w:rPr>
                <w:sz w:val="18"/>
                <w:szCs w:val="18"/>
                <w:lang w:val="en-AU"/>
              </w:rPr>
              <w:t>: 20.7 ± 19.2 months</w:t>
            </w:r>
          </w:p>
          <w:p w:rsidR="003277A2" w:rsidRPr="00932EE0" w:rsidRDefault="003277A2" w:rsidP="00C26909">
            <w:pPr>
              <w:rPr>
                <w:i/>
                <w:sz w:val="18"/>
                <w:szCs w:val="18"/>
                <w:lang w:val="en-AU"/>
              </w:rPr>
            </w:pPr>
            <w:r w:rsidRPr="00932EE0">
              <w:rPr>
                <w:i/>
                <w:sz w:val="18"/>
                <w:szCs w:val="18"/>
                <w:lang w:val="en-AU"/>
              </w:rPr>
              <w:t>Younger (&lt;65 years, n</w:t>
            </w:r>
            <w:r>
              <w:rPr>
                <w:i/>
                <w:sz w:val="18"/>
                <w:szCs w:val="18"/>
                <w:lang w:val="en-AU"/>
              </w:rPr>
              <w:t xml:space="preserve"> </w:t>
            </w:r>
            <w:r w:rsidRPr="00932EE0">
              <w:rPr>
                <w:i/>
                <w:sz w:val="18"/>
                <w:szCs w:val="18"/>
                <w:lang w:val="en-AU"/>
              </w:rPr>
              <w:t>=</w:t>
            </w:r>
            <w:r>
              <w:rPr>
                <w:i/>
                <w:sz w:val="18"/>
                <w:szCs w:val="18"/>
                <w:lang w:val="en-AU"/>
              </w:rPr>
              <w:t xml:space="preserve"> </w:t>
            </w:r>
            <w:r w:rsidRPr="00932EE0">
              <w:rPr>
                <w:i/>
                <w:sz w:val="18"/>
                <w:szCs w:val="18"/>
                <w:lang w:val="en-AU"/>
              </w:rPr>
              <w:t>29)</w:t>
            </w:r>
          </w:p>
          <w:p w:rsidR="003277A2" w:rsidRPr="00E17304" w:rsidRDefault="003277A2" w:rsidP="00C26909">
            <w:pPr>
              <w:ind w:left="171"/>
              <w:rPr>
                <w:sz w:val="18"/>
                <w:szCs w:val="18"/>
                <w:lang w:val="en-AU"/>
              </w:rPr>
            </w:pPr>
            <w:r w:rsidRPr="00E17304">
              <w:rPr>
                <w:sz w:val="18"/>
                <w:szCs w:val="18"/>
                <w:lang w:val="en-AU"/>
              </w:rPr>
              <w:t>Mean age (</w:t>
            </w:r>
            <w:r>
              <w:rPr>
                <w:sz w:val="18"/>
                <w:szCs w:val="18"/>
                <w:lang w:val="en-AU"/>
              </w:rPr>
              <w:t>±SD</w:t>
            </w:r>
            <w:r w:rsidRPr="00E17304">
              <w:rPr>
                <w:sz w:val="18"/>
                <w:szCs w:val="18"/>
                <w:lang w:val="en-AU"/>
              </w:rPr>
              <w:t xml:space="preserve">): 53.4 ± 7.8  years </w:t>
            </w:r>
          </w:p>
          <w:p w:rsidR="003277A2" w:rsidRPr="00E17304" w:rsidRDefault="003277A2" w:rsidP="00C26909">
            <w:pPr>
              <w:ind w:left="171"/>
              <w:rPr>
                <w:sz w:val="18"/>
                <w:szCs w:val="18"/>
                <w:lang w:val="en-AU"/>
              </w:rPr>
            </w:pPr>
            <w:r w:rsidRPr="00E17304">
              <w:rPr>
                <w:sz w:val="18"/>
                <w:szCs w:val="18"/>
                <w:lang w:val="en-AU"/>
              </w:rPr>
              <w:t>Mean duration of symptoms</w:t>
            </w:r>
            <w:r>
              <w:rPr>
                <w:sz w:val="18"/>
                <w:szCs w:val="18"/>
                <w:lang w:val="en-AU"/>
              </w:rPr>
              <w:t xml:space="preserve"> (±SD)</w:t>
            </w:r>
            <w:r w:rsidRPr="00E17304">
              <w:rPr>
                <w:sz w:val="18"/>
                <w:szCs w:val="18"/>
                <w:lang w:val="en-AU"/>
              </w:rPr>
              <w:t>: 33.6 ± 39.8 months</w:t>
            </w:r>
          </w:p>
        </w:tc>
        <w:tc>
          <w:tcPr>
            <w:tcW w:w="1478" w:type="dxa"/>
          </w:tcPr>
          <w:p w:rsidR="003277A2" w:rsidRPr="00E17304" w:rsidRDefault="003277A2" w:rsidP="00C26909">
            <w:pPr>
              <w:pStyle w:val="ListParagraph"/>
              <w:numPr>
                <w:ilvl w:val="0"/>
                <w:numId w:val="1"/>
              </w:numPr>
              <w:spacing w:after="0" w:line="240" w:lineRule="auto"/>
              <w:ind w:left="162" w:hanging="162"/>
              <w:rPr>
                <w:rFonts w:ascii="Times New Roman" w:hAnsi="Times New Roman"/>
                <w:sz w:val="18"/>
                <w:szCs w:val="18"/>
                <w:lang w:val="en-AU"/>
              </w:rPr>
            </w:pPr>
            <w:r w:rsidRPr="00E17304">
              <w:rPr>
                <w:rFonts w:ascii="Times New Roman" w:hAnsi="Times New Roman"/>
                <w:sz w:val="18"/>
                <w:szCs w:val="18"/>
                <w:lang w:val="en-AU"/>
              </w:rPr>
              <w:t>Age</w:t>
            </w:r>
          </w:p>
          <w:p w:rsidR="003277A2" w:rsidRPr="00E17304" w:rsidRDefault="003277A2" w:rsidP="00C26909">
            <w:pPr>
              <w:pStyle w:val="ListParagraph"/>
              <w:numPr>
                <w:ilvl w:val="0"/>
                <w:numId w:val="1"/>
              </w:numPr>
              <w:spacing w:after="0" w:line="240" w:lineRule="auto"/>
              <w:ind w:left="162" w:hanging="162"/>
              <w:rPr>
                <w:rFonts w:ascii="Times New Roman" w:hAnsi="Times New Roman"/>
                <w:sz w:val="18"/>
                <w:szCs w:val="18"/>
                <w:lang w:val="en-AU"/>
              </w:rPr>
            </w:pPr>
            <w:r w:rsidRPr="00E17304">
              <w:rPr>
                <w:rFonts w:ascii="Times New Roman" w:hAnsi="Times New Roman"/>
                <w:sz w:val="18"/>
                <w:szCs w:val="18"/>
                <w:lang w:val="en-AU"/>
              </w:rPr>
              <w:t>Duration of symptoms</w:t>
            </w:r>
          </w:p>
          <w:p w:rsidR="003277A2" w:rsidRPr="00E17304" w:rsidRDefault="003277A2" w:rsidP="00C26909">
            <w:pPr>
              <w:pStyle w:val="ListParagraph"/>
              <w:numPr>
                <w:ilvl w:val="0"/>
                <w:numId w:val="1"/>
              </w:numPr>
              <w:spacing w:after="0" w:line="240" w:lineRule="auto"/>
              <w:ind w:left="162" w:hanging="162"/>
              <w:rPr>
                <w:rFonts w:ascii="Times New Roman" w:hAnsi="Times New Roman"/>
                <w:sz w:val="18"/>
                <w:szCs w:val="18"/>
                <w:lang w:val="en-AU"/>
              </w:rPr>
            </w:pPr>
            <w:r w:rsidRPr="00E17304">
              <w:rPr>
                <w:rFonts w:ascii="Times New Roman" w:hAnsi="Times New Roman"/>
                <w:sz w:val="18"/>
                <w:szCs w:val="18"/>
                <w:lang w:val="en-AU"/>
              </w:rPr>
              <w:t>Pre-op JOA score</w:t>
            </w:r>
          </w:p>
          <w:p w:rsidR="003277A2" w:rsidRPr="00E17304" w:rsidRDefault="003277A2" w:rsidP="00C26909">
            <w:pPr>
              <w:pStyle w:val="ListParagraph"/>
              <w:numPr>
                <w:ilvl w:val="0"/>
                <w:numId w:val="1"/>
              </w:numPr>
              <w:spacing w:after="0" w:line="240" w:lineRule="auto"/>
              <w:ind w:left="162" w:hanging="162"/>
              <w:rPr>
                <w:rFonts w:ascii="Times New Roman" w:hAnsi="Times New Roman"/>
                <w:sz w:val="18"/>
                <w:szCs w:val="18"/>
                <w:lang w:val="en-AU"/>
              </w:rPr>
            </w:pPr>
            <w:r w:rsidRPr="00E17304">
              <w:rPr>
                <w:rFonts w:ascii="Times New Roman" w:hAnsi="Times New Roman"/>
                <w:sz w:val="18"/>
                <w:szCs w:val="18"/>
                <w:lang w:val="en-AU"/>
              </w:rPr>
              <w:t>Canal diameter</w:t>
            </w:r>
          </w:p>
          <w:p w:rsidR="003277A2" w:rsidRPr="00E17304" w:rsidRDefault="003277A2" w:rsidP="00C26909">
            <w:pPr>
              <w:pStyle w:val="ListParagraph"/>
              <w:numPr>
                <w:ilvl w:val="0"/>
                <w:numId w:val="1"/>
              </w:numPr>
              <w:spacing w:after="0" w:line="240" w:lineRule="auto"/>
              <w:ind w:left="162" w:hanging="162"/>
              <w:rPr>
                <w:rFonts w:ascii="Times New Roman" w:hAnsi="Times New Roman"/>
                <w:sz w:val="18"/>
                <w:szCs w:val="18"/>
                <w:lang w:val="en-AU"/>
              </w:rPr>
            </w:pPr>
            <w:r w:rsidRPr="00E17304">
              <w:rPr>
                <w:rFonts w:ascii="Times New Roman" w:hAnsi="Times New Roman"/>
                <w:sz w:val="18"/>
                <w:szCs w:val="18"/>
                <w:lang w:val="en-AU"/>
              </w:rPr>
              <w:t>Transverse area</w:t>
            </w:r>
          </w:p>
        </w:tc>
        <w:tc>
          <w:tcPr>
            <w:tcW w:w="1448" w:type="dxa"/>
          </w:tcPr>
          <w:p w:rsidR="003277A2" w:rsidRPr="00E17304" w:rsidRDefault="003277A2" w:rsidP="00C26909">
            <w:pPr>
              <w:pStyle w:val="ListParagraph"/>
              <w:numPr>
                <w:ilvl w:val="0"/>
                <w:numId w:val="1"/>
              </w:numPr>
              <w:spacing w:after="0" w:line="240" w:lineRule="auto"/>
              <w:ind w:left="162" w:hanging="162"/>
              <w:rPr>
                <w:rFonts w:ascii="Times New Roman" w:hAnsi="Times New Roman"/>
                <w:sz w:val="18"/>
                <w:szCs w:val="18"/>
                <w:lang w:val="en-AU"/>
              </w:rPr>
            </w:pPr>
            <w:r>
              <w:rPr>
                <w:rFonts w:ascii="Times New Roman" w:hAnsi="Times New Roman"/>
                <w:sz w:val="18"/>
                <w:szCs w:val="18"/>
                <w:lang w:val="en-AU"/>
              </w:rPr>
              <w:t>SI</w:t>
            </w:r>
            <w:r w:rsidRPr="00E17304">
              <w:rPr>
                <w:rFonts w:ascii="Times New Roman" w:hAnsi="Times New Roman"/>
                <w:sz w:val="18"/>
                <w:szCs w:val="18"/>
                <w:lang w:val="en-AU"/>
              </w:rPr>
              <w:t xml:space="preserve"> changes on T2WI </w:t>
            </w:r>
          </w:p>
        </w:tc>
        <w:tc>
          <w:tcPr>
            <w:tcW w:w="1415" w:type="dxa"/>
          </w:tcPr>
          <w:p w:rsidR="003277A2" w:rsidRPr="00E17304" w:rsidRDefault="003277A2" w:rsidP="00C26909">
            <w:pPr>
              <w:pStyle w:val="ListParagraph"/>
              <w:numPr>
                <w:ilvl w:val="0"/>
                <w:numId w:val="1"/>
              </w:numPr>
              <w:spacing w:after="0" w:line="240" w:lineRule="auto"/>
              <w:ind w:left="162" w:hanging="162"/>
              <w:rPr>
                <w:rFonts w:ascii="Times New Roman" w:hAnsi="Times New Roman"/>
                <w:sz w:val="18"/>
                <w:szCs w:val="18"/>
                <w:lang w:val="en-AU"/>
              </w:rPr>
            </w:pPr>
            <w:r w:rsidRPr="00E17304">
              <w:rPr>
                <w:rFonts w:ascii="Times New Roman" w:hAnsi="Times New Roman"/>
                <w:sz w:val="18"/>
                <w:szCs w:val="18"/>
                <w:lang w:val="en-AU"/>
              </w:rPr>
              <w:t>Recovery ratio of JOA score</w:t>
            </w:r>
            <w:r>
              <w:rPr>
                <w:rFonts w:ascii="Times New Roman" w:hAnsi="Times New Roman"/>
                <w:sz w:val="18"/>
                <w:szCs w:val="18"/>
                <w:lang w:val="en-AU"/>
              </w:rPr>
              <w:t>‡</w:t>
            </w:r>
          </w:p>
          <w:p w:rsidR="003277A2" w:rsidRPr="00E17304" w:rsidRDefault="003277A2" w:rsidP="00C26909">
            <w:pPr>
              <w:rPr>
                <w:sz w:val="18"/>
                <w:szCs w:val="18"/>
                <w:lang w:val="en-AU"/>
              </w:rPr>
            </w:pPr>
          </w:p>
          <w:p w:rsidR="003277A2" w:rsidRPr="00E17304" w:rsidRDefault="003277A2" w:rsidP="00C26909">
            <w:pPr>
              <w:rPr>
                <w:sz w:val="18"/>
                <w:szCs w:val="18"/>
                <w:lang w:val="en-AU"/>
              </w:rPr>
            </w:pPr>
            <w:r w:rsidRPr="00E17304">
              <w:rPr>
                <w:sz w:val="18"/>
                <w:szCs w:val="18"/>
                <w:lang w:val="en-AU"/>
              </w:rPr>
              <w:t>Excellent: ≥50% (n=44)</w:t>
            </w:r>
          </w:p>
          <w:p w:rsidR="003277A2" w:rsidRPr="00E17304" w:rsidRDefault="003277A2" w:rsidP="00C26909">
            <w:pPr>
              <w:rPr>
                <w:sz w:val="18"/>
                <w:szCs w:val="18"/>
                <w:lang w:val="en-AU"/>
              </w:rPr>
            </w:pPr>
            <w:r w:rsidRPr="00E17304">
              <w:rPr>
                <w:sz w:val="18"/>
                <w:szCs w:val="18"/>
                <w:lang w:val="en-AU"/>
              </w:rPr>
              <w:t>Fair: &lt;50% (n=20)</w:t>
            </w:r>
          </w:p>
        </w:tc>
        <w:tc>
          <w:tcPr>
            <w:tcW w:w="1193" w:type="dxa"/>
          </w:tcPr>
          <w:p w:rsidR="003277A2" w:rsidRPr="00E17304" w:rsidRDefault="003277A2" w:rsidP="00C26909">
            <w:pPr>
              <w:rPr>
                <w:sz w:val="18"/>
                <w:szCs w:val="18"/>
                <w:lang w:val="en-AU"/>
              </w:rPr>
            </w:pPr>
            <w:r w:rsidRPr="00E17304">
              <w:rPr>
                <w:sz w:val="18"/>
                <w:szCs w:val="18"/>
                <w:lang w:val="en-AU"/>
              </w:rPr>
              <w:t xml:space="preserve">Mean 40 months </w:t>
            </w:r>
            <w:r>
              <w:rPr>
                <w:sz w:val="18"/>
                <w:szCs w:val="18"/>
                <w:lang w:val="en-AU"/>
              </w:rPr>
              <w:t>(% f/u NR)</w:t>
            </w:r>
          </w:p>
        </w:tc>
        <w:tc>
          <w:tcPr>
            <w:tcW w:w="3245" w:type="dxa"/>
          </w:tcPr>
          <w:p w:rsidR="003277A2" w:rsidRPr="00FA28FB" w:rsidRDefault="003277A2" w:rsidP="00C26909">
            <w:pPr>
              <w:rPr>
                <w:b/>
                <w:sz w:val="18"/>
                <w:szCs w:val="18"/>
                <w:lang w:val="en-AU"/>
              </w:rPr>
            </w:pPr>
            <w:r w:rsidRPr="00FA28FB">
              <w:rPr>
                <w:b/>
                <w:sz w:val="18"/>
                <w:szCs w:val="18"/>
                <w:lang w:val="en-AU"/>
              </w:rPr>
              <w:t>Recovery rate of JOA score:</w:t>
            </w:r>
          </w:p>
          <w:p w:rsidR="003277A2" w:rsidRPr="00E17304" w:rsidRDefault="003277A2" w:rsidP="00C26909">
            <w:pPr>
              <w:rPr>
                <w:sz w:val="18"/>
                <w:szCs w:val="18"/>
                <w:lang w:val="en-AU"/>
              </w:rPr>
            </w:pPr>
            <w:r w:rsidRPr="00FA28FB">
              <w:rPr>
                <w:sz w:val="18"/>
                <w:szCs w:val="18"/>
                <w:u w:val="single"/>
                <w:lang w:val="en-AU"/>
              </w:rPr>
              <w:t>Age &lt;64 years</w:t>
            </w:r>
            <w:r w:rsidRPr="00E17304">
              <w:rPr>
                <w:sz w:val="18"/>
                <w:szCs w:val="18"/>
                <w:lang w:val="en-AU"/>
              </w:rPr>
              <w:t>:</w:t>
            </w:r>
          </w:p>
          <w:p w:rsidR="003277A2" w:rsidRPr="00FA28FB" w:rsidRDefault="003277A2" w:rsidP="00C26909">
            <w:pPr>
              <w:ind w:left="87"/>
              <w:rPr>
                <w:i/>
                <w:sz w:val="18"/>
                <w:szCs w:val="18"/>
                <w:lang w:val="en-AU"/>
              </w:rPr>
            </w:pPr>
            <w:r w:rsidRPr="00FA28FB">
              <w:rPr>
                <w:i/>
                <w:sz w:val="18"/>
                <w:szCs w:val="18"/>
                <w:lang w:val="en-AU"/>
              </w:rPr>
              <w:t>Signal intensity</w:t>
            </w:r>
          </w:p>
          <w:p w:rsidR="003277A2" w:rsidRPr="00FA28FB" w:rsidRDefault="003277A2" w:rsidP="00C26909">
            <w:pPr>
              <w:numPr>
                <w:ilvl w:val="0"/>
                <w:numId w:val="2"/>
              </w:numPr>
              <w:tabs>
                <w:tab w:val="clear" w:pos="720"/>
                <w:tab w:val="num" w:pos="357"/>
              </w:tabs>
              <w:ind w:left="252" w:hanging="75"/>
              <w:contextualSpacing/>
              <w:rPr>
                <w:sz w:val="18"/>
                <w:szCs w:val="20"/>
              </w:rPr>
            </w:pPr>
            <w:r w:rsidRPr="00FA28FB">
              <w:rPr>
                <w:sz w:val="18"/>
                <w:szCs w:val="20"/>
              </w:rPr>
              <w:t>Excellent recovery: 6/21 (28.6%)</w:t>
            </w:r>
          </w:p>
          <w:p w:rsidR="003277A2" w:rsidRPr="00E17304" w:rsidRDefault="003277A2" w:rsidP="00C26909">
            <w:pPr>
              <w:numPr>
                <w:ilvl w:val="0"/>
                <w:numId w:val="2"/>
              </w:numPr>
              <w:tabs>
                <w:tab w:val="clear" w:pos="720"/>
                <w:tab w:val="num" w:pos="357"/>
              </w:tabs>
              <w:ind w:left="252" w:hanging="75"/>
              <w:contextualSpacing/>
              <w:rPr>
                <w:sz w:val="18"/>
                <w:szCs w:val="18"/>
                <w:lang w:val="en-AU"/>
              </w:rPr>
            </w:pPr>
            <w:proofErr w:type="spellStart"/>
            <w:r w:rsidRPr="00FA28FB">
              <w:rPr>
                <w:sz w:val="18"/>
                <w:szCs w:val="20"/>
              </w:rPr>
              <w:t>Fa</w:t>
            </w:r>
            <w:r w:rsidRPr="00E17304">
              <w:rPr>
                <w:sz w:val="18"/>
                <w:szCs w:val="18"/>
                <w:lang w:val="en-AU"/>
              </w:rPr>
              <w:t>ir</w:t>
            </w:r>
            <w:proofErr w:type="spellEnd"/>
            <w:r w:rsidRPr="00E17304">
              <w:rPr>
                <w:sz w:val="18"/>
                <w:szCs w:val="18"/>
                <w:lang w:val="en-AU"/>
              </w:rPr>
              <w:t xml:space="preserve"> recovery: 2/8 (25.0%)</w:t>
            </w:r>
          </w:p>
          <w:p w:rsidR="003277A2" w:rsidRPr="00E17304" w:rsidRDefault="003277A2" w:rsidP="00C26909">
            <w:pPr>
              <w:ind w:left="267"/>
              <w:rPr>
                <w:sz w:val="18"/>
                <w:szCs w:val="18"/>
                <w:lang w:val="en-AU"/>
              </w:rPr>
            </w:pPr>
            <w:r w:rsidRPr="00FA28FB">
              <w:rPr>
                <w:i/>
                <w:sz w:val="18"/>
                <w:szCs w:val="18"/>
                <w:lang w:val="en-AU"/>
              </w:rPr>
              <w:t>P</w:t>
            </w:r>
            <w:r>
              <w:rPr>
                <w:sz w:val="18"/>
                <w:szCs w:val="18"/>
                <w:lang w:val="en-AU"/>
              </w:rPr>
              <w:t xml:space="preserve"> </w:t>
            </w:r>
            <w:r w:rsidRPr="00E17304">
              <w:rPr>
                <w:sz w:val="18"/>
                <w:szCs w:val="18"/>
                <w:lang w:val="en-AU"/>
              </w:rPr>
              <w:t>=</w:t>
            </w:r>
            <w:r>
              <w:rPr>
                <w:sz w:val="18"/>
                <w:szCs w:val="18"/>
                <w:lang w:val="en-AU"/>
              </w:rPr>
              <w:t xml:space="preserve"> </w:t>
            </w:r>
            <w:r w:rsidRPr="00E17304">
              <w:rPr>
                <w:sz w:val="18"/>
                <w:szCs w:val="18"/>
                <w:lang w:val="en-AU"/>
              </w:rPr>
              <w:t>.848</w:t>
            </w:r>
          </w:p>
          <w:p w:rsidR="003277A2" w:rsidRPr="00E17304" w:rsidRDefault="003277A2" w:rsidP="00C26909">
            <w:pPr>
              <w:rPr>
                <w:sz w:val="18"/>
                <w:szCs w:val="18"/>
                <w:lang w:val="en-AU"/>
              </w:rPr>
            </w:pPr>
            <w:r w:rsidRPr="00FA28FB">
              <w:rPr>
                <w:sz w:val="18"/>
                <w:szCs w:val="18"/>
                <w:u w:val="single"/>
                <w:lang w:val="en-AU"/>
              </w:rPr>
              <w:t>65+ years</w:t>
            </w:r>
            <w:r w:rsidRPr="00E17304">
              <w:rPr>
                <w:sz w:val="18"/>
                <w:szCs w:val="18"/>
                <w:lang w:val="en-AU"/>
              </w:rPr>
              <w:t>:</w:t>
            </w:r>
          </w:p>
          <w:p w:rsidR="003277A2" w:rsidRPr="00FA28FB" w:rsidRDefault="003277A2" w:rsidP="00C26909">
            <w:pPr>
              <w:ind w:left="87"/>
              <w:rPr>
                <w:i/>
                <w:sz w:val="18"/>
                <w:szCs w:val="18"/>
                <w:lang w:val="en-AU"/>
              </w:rPr>
            </w:pPr>
            <w:r w:rsidRPr="00FA28FB">
              <w:rPr>
                <w:i/>
                <w:sz w:val="18"/>
                <w:szCs w:val="18"/>
                <w:lang w:val="en-AU"/>
              </w:rPr>
              <w:t>Signal intensity</w:t>
            </w:r>
          </w:p>
          <w:p w:rsidR="003277A2" w:rsidRPr="00FA28FB" w:rsidRDefault="003277A2" w:rsidP="00C26909">
            <w:pPr>
              <w:numPr>
                <w:ilvl w:val="0"/>
                <w:numId w:val="2"/>
              </w:numPr>
              <w:tabs>
                <w:tab w:val="clear" w:pos="720"/>
                <w:tab w:val="num" w:pos="357"/>
              </w:tabs>
              <w:ind w:left="252" w:hanging="75"/>
              <w:contextualSpacing/>
              <w:rPr>
                <w:sz w:val="18"/>
                <w:szCs w:val="20"/>
              </w:rPr>
            </w:pPr>
            <w:r w:rsidRPr="00FA28FB">
              <w:rPr>
                <w:sz w:val="18"/>
                <w:szCs w:val="20"/>
              </w:rPr>
              <w:t>Excellent recovery: 4/23 (17.4%)</w:t>
            </w:r>
          </w:p>
          <w:p w:rsidR="003277A2" w:rsidRPr="00E17304" w:rsidRDefault="003277A2" w:rsidP="00C26909">
            <w:pPr>
              <w:numPr>
                <w:ilvl w:val="0"/>
                <w:numId w:val="2"/>
              </w:numPr>
              <w:tabs>
                <w:tab w:val="clear" w:pos="720"/>
                <w:tab w:val="num" w:pos="357"/>
              </w:tabs>
              <w:ind w:left="252" w:hanging="75"/>
              <w:contextualSpacing/>
              <w:rPr>
                <w:sz w:val="18"/>
                <w:szCs w:val="18"/>
                <w:lang w:val="en-AU"/>
              </w:rPr>
            </w:pPr>
            <w:proofErr w:type="spellStart"/>
            <w:r w:rsidRPr="00FA28FB">
              <w:rPr>
                <w:sz w:val="18"/>
                <w:szCs w:val="20"/>
              </w:rPr>
              <w:t>Fa</w:t>
            </w:r>
            <w:r w:rsidRPr="00E17304">
              <w:rPr>
                <w:sz w:val="18"/>
                <w:szCs w:val="18"/>
                <w:lang w:val="en-AU"/>
              </w:rPr>
              <w:t>ir</w:t>
            </w:r>
            <w:proofErr w:type="spellEnd"/>
            <w:r w:rsidRPr="00E17304">
              <w:rPr>
                <w:sz w:val="18"/>
                <w:szCs w:val="18"/>
                <w:lang w:val="en-AU"/>
              </w:rPr>
              <w:t xml:space="preserve"> recovery: 6/12 (50.0%)</w:t>
            </w:r>
          </w:p>
          <w:p w:rsidR="003277A2" w:rsidRPr="00E17304" w:rsidRDefault="003277A2" w:rsidP="00C26909">
            <w:pPr>
              <w:ind w:left="267"/>
              <w:rPr>
                <w:sz w:val="18"/>
                <w:szCs w:val="18"/>
                <w:lang w:val="en-AU"/>
              </w:rPr>
            </w:pPr>
            <w:r w:rsidRPr="00FA28FB">
              <w:rPr>
                <w:i/>
                <w:sz w:val="18"/>
                <w:szCs w:val="18"/>
                <w:lang w:val="en-AU"/>
              </w:rPr>
              <w:t>P</w:t>
            </w:r>
            <w:r>
              <w:rPr>
                <w:sz w:val="18"/>
                <w:szCs w:val="18"/>
                <w:lang w:val="en-AU"/>
              </w:rPr>
              <w:t xml:space="preserve"> </w:t>
            </w:r>
            <w:r w:rsidRPr="00E17304">
              <w:rPr>
                <w:sz w:val="18"/>
                <w:szCs w:val="18"/>
                <w:lang w:val="en-AU"/>
              </w:rPr>
              <w:t>=</w:t>
            </w:r>
            <w:r>
              <w:rPr>
                <w:sz w:val="18"/>
                <w:szCs w:val="18"/>
                <w:lang w:val="en-AU"/>
              </w:rPr>
              <w:t xml:space="preserve"> </w:t>
            </w:r>
            <w:r w:rsidRPr="00E17304">
              <w:rPr>
                <w:sz w:val="18"/>
                <w:szCs w:val="18"/>
                <w:lang w:val="en-AU"/>
              </w:rPr>
              <w:t>.051</w:t>
            </w:r>
          </w:p>
          <w:p w:rsidR="003277A2" w:rsidRPr="00E17304" w:rsidRDefault="003277A2" w:rsidP="00C26909">
            <w:pPr>
              <w:rPr>
                <w:sz w:val="18"/>
                <w:szCs w:val="18"/>
                <w:lang w:val="en-AU"/>
              </w:rPr>
            </w:pPr>
          </w:p>
        </w:tc>
      </w:tr>
      <w:tr w:rsidR="0043721E" w:rsidRPr="003E1C61" w:rsidTr="00DC4E9E">
        <w:tc>
          <w:tcPr>
            <w:tcW w:w="1248" w:type="dxa"/>
          </w:tcPr>
          <w:p w:rsidR="003277A2" w:rsidRDefault="003277A2" w:rsidP="00C26909">
            <w:pPr>
              <w:rPr>
                <w:sz w:val="18"/>
                <w:szCs w:val="18"/>
                <w:lang w:val="en-AU"/>
              </w:rPr>
            </w:pPr>
            <w:r w:rsidRPr="003E1C61">
              <w:rPr>
                <w:sz w:val="18"/>
                <w:szCs w:val="18"/>
                <w:lang w:val="en-AU"/>
              </w:rPr>
              <w:t>Zhang (2011)</w:t>
            </w:r>
          </w:p>
          <w:p w:rsidR="003277A2" w:rsidRDefault="003277A2" w:rsidP="00C26909">
            <w:pPr>
              <w:rPr>
                <w:sz w:val="18"/>
                <w:szCs w:val="18"/>
                <w:lang w:val="en-AU"/>
              </w:rPr>
            </w:pPr>
          </w:p>
          <w:p w:rsidR="003277A2" w:rsidRPr="003E1C61" w:rsidRDefault="00B939A0" w:rsidP="00C26909">
            <w:pPr>
              <w:rPr>
                <w:sz w:val="18"/>
                <w:szCs w:val="18"/>
                <w:lang w:val="en-AU"/>
              </w:rPr>
            </w:pPr>
            <w:r>
              <w:rPr>
                <w:sz w:val="18"/>
                <w:szCs w:val="18"/>
                <w:lang w:val="en-AU"/>
              </w:rPr>
              <w:t xml:space="preserve">Retrospective </w:t>
            </w:r>
            <w:r w:rsidR="003277A2">
              <w:rPr>
                <w:sz w:val="18"/>
                <w:szCs w:val="18"/>
                <w:lang w:val="en-AU"/>
              </w:rPr>
              <w:t>cohort</w:t>
            </w:r>
          </w:p>
        </w:tc>
        <w:tc>
          <w:tcPr>
            <w:tcW w:w="1741" w:type="dxa"/>
          </w:tcPr>
          <w:p w:rsidR="003277A2" w:rsidRPr="00294503" w:rsidRDefault="003277A2" w:rsidP="00C26909">
            <w:pPr>
              <w:rPr>
                <w:sz w:val="18"/>
                <w:szCs w:val="18"/>
              </w:rPr>
            </w:pPr>
            <w:r>
              <w:rPr>
                <w:sz w:val="18"/>
                <w:szCs w:val="18"/>
                <w:lang w:val="en-AU"/>
              </w:rPr>
              <w:t xml:space="preserve"> </w:t>
            </w:r>
            <w:r>
              <w:rPr>
                <w:sz w:val="18"/>
                <w:szCs w:val="18"/>
              </w:rPr>
              <w:t>T</w:t>
            </w:r>
            <w:r w:rsidRPr="00294503">
              <w:rPr>
                <w:sz w:val="18"/>
                <w:szCs w:val="18"/>
              </w:rPr>
              <w:t>o elucidate</w:t>
            </w:r>
            <w:r>
              <w:rPr>
                <w:sz w:val="18"/>
                <w:szCs w:val="18"/>
              </w:rPr>
              <w:t xml:space="preserve"> whether preoperative increased signal intensity</w:t>
            </w:r>
            <w:r w:rsidRPr="00294503">
              <w:rPr>
                <w:sz w:val="18"/>
                <w:szCs w:val="18"/>
              </w:rPr>
              <w:t xml:space="preserve"> can reflect symptom severity and predict</w:t>
            </w:r>
          </w:p>
          <w:p w:rsidR="003277A2" w:rsidRPr="00294503" w:rsidRDefault="003277A2" w:rsidP="00C26909">
            <w:pPr>
              <w:rPr>
                <w:sz w:val="18"/>
                <w:szCs w:val="18"/>
              </w:rPr>
            </w:pPr>
            <w:r w:rsidRPr="00294503">
              <w:rPr>
                <w:sz w:val="18"/>
                <w:szCs w:val="18"/>
              </w:rPr>
              <w:t>surgical outcomes in patients with CSM on the basis of a T2-</w:t>
            </w:r>
          </w:p>
          <w:p w:rsidR="003277A2" w:rsidRPr="003E1C61" w:rsidRDefault="003277A2" w:rsidP="00C26909">
            <w:pPr>
              <w:rPr>
                <w:sz w:val="18"/>
                <w:szCs w:val="18"/>
                <w:lang w:val="en-AU"/>
              </w:rPr>
            </w:pPr>
            <w:proofErr w:type="gramStart"/>
            <w:r w:rsidRPr="00294503">
              <w:rPr>
                <w:sz w:val="18"/>
                <w:szCs w:val="18"/>
              </w:rPr>
              <w:t>weighted</w:t>
            </w:r>
            <w:proofErr w:type="gramEnd"/>
            <w:r w:rsidRPr="00294503">
              <w:rPr>
                <w:sz w:val="18"/>
                <w:szCs w:val="18"/>
              </w:rPr>
              <w:t xml:space="preserve"> to T1-weighted MRI ratio (T2:T1 ratio).</w:t>
            </w:r>
            <w:r>
              <w:rPr>
                <w:sz w:val="18"/>
                <w:szCs w:val="18"/>
                <w:lang w:val="en-AU"/>
              </w:rPr>
              <w:t xml:space="preserve">                                                                             </w:t>
            </w:r>
          </w:p>
        </w:tc>
        <w:tc>
          <w:tcPr>
            <w:tcW w:w="2362" w:type="dxa"/>
          </w:tcPr>
          <w:p w:rsidR="003277A2" w:rsidRDefault="003277A2" w:rsidP="00C26909">
            <w:pPr>
              <w:rPr>
                <w:sz w:val="18"/>
                <w:szCs w:val="18"/>
              </w:rPr>
            </w:pPr>
            <w:r>
              <w:rPr>
                <w:sz w:val="18"/>
                <w:szCs w:val="18"/>
              </w:rPr>
              <w:t>N = 52</w:t>
            </w:r>
          </w:p>
          <w:p w:rsidR="003277A2" w:rsidRDefault="003277A2" w:rsidP="00C26909">
            <w:pPr>
              <w:ind w:left="72"/>
              <w:rPr>
                <w:sz w:val="18"/>
                <w:szCs w:val="18"/>
              </w:rPr>
            </w:pPr>
            <w:r>
              <w:rPr>
                <w:sz w:val="18"/>
                <w:szCs w:val="18"/>
              </w:rPr>
              <w:t>Male: 57.7%</w:t>
            </w:r>
          </w:p>
          <w:p w:rsidR="003277A2" w:rsidRDefault="003277A2" w:rsidP="00C26909">
            <w:pPr>
              <w:ind w:left="72"/>
              <w:rPr>
                <w:sz w:val="18"/>
                <w:szCs w:val="18"/>
              </w:rPr>
            </w:pPr>
            <w:r>
              <w:rPr>
                <w:sz w:val="18"/>
                <w:szCs w:val="18"/>
              </w:rPr>
              <w:t>Mean age (range): 56.3 years (45–67)</w:t>
            </w:r>
          </w:p>
          <w:p w:rsidR="003277A2" w:rsidRDefault="003277A2" w:rsidP="00C26909">
            <w:pPr>
              <w:ind w:left="72"/>
              <w:rPr>
                <w:sz w:val="18"/>
                <w:szCs w:val="18"/>
              </w:rPr>
            </w:pPr>
            <w:r>
              <w:rPr>
                <w:sz w:val="18"/>
                <w:szCs w:val="18"/>
              </w:rPr>
              <w:t>Mean duration of symptoms (range): 16.1 months (3–34)</w:t>
            </w:r>
          </w:p>
          <w:p w:rsidR="003277A2" w:rsidRDefault="003277A2" w:rsidP="00C26909">
            <w:pPr>
              <w:rPr>
                <w:sz w:val="18"/>
                <w:szCs w:val="18"/>
              </w:rPr>
            </w:pPr>
          </w:p>
          <w:p w:rsidR="003277A2" w:rsidRDefault="003277A2" w:rsidP="00C26909">
            <w:pPr>
              <w:rPr>
                <w:sz w:val="18"/>
                <w:szCs w:val="18"/>
              </w:rPr>
            </w:pPr>
            <w:r w:rsidRPr="00294503">
              <w:rPr>
                <w:sz w:val="18"/>
                <w:szCs w:val="18"/>
                <w:u w:val="single"/>
              </w:rPr>
              <w:t>Diagnosis</w:t>
            </w:r>
            <w:r>
              <w:rPr>
                <w:sz w:val="18"/>
                <w:szCs w:val="18"/>
              </w:rPr>
              <w:t xml:space="preserve">: </w:t>
            </w:r>
          </w:p>
          <w:p w:rsidR="003277A2" w:rsidRDefault="003277A2" w:rsidP="00C26909">
            <w:pPr>
              <w:numPr>
                <w:ilvl w:val="0"/>
                <w:numId w:val="2"/>
              </w:numPr>
              <w:tabs>
                <w:tab w:val="clear" w:pos="720"/>
                <w:tab w:val="num" w:pos="252"/>
              </w:tabs>
              <w:ind w:left="252" w:hanging="180"/>
              <w:contextualSpacing/>
              <w:rPr>
                <w:sz w:val="18"/>
                <w:szCs w:val="18"/>
              </w:rPr>
            </w:pPr>
            <w:r>
              <w:rPr>
                <w:sz w:val="18"/>
                <w:szCs w:val="18"/>
              </w:rPr>
              <w:t>CSM caused by degenerative disc disease at 1 level (n = 23) or multiple levels (n = 29)</w:t>
            </w:r>
          </w:p>
          <w:p w:rsidR="003277A2" w:rsidRPr="00294503" w:rsidRDefault="003277A2" w:rsidP="00C26909">
            <w:pPr>
              <w:rPr>
                <w:sz w:val="18"/>
                <w:szCs w:val="18"/>
              </w:rPr>
            </w:pPr>
          </w:p>
          <w:p w:rsidR="003277A2" w:rsidRDefault="003277A2" w:rsidP="00C26909">
            <w:pPr>
              <w:rPr>
                <w:sz w:val="18"/>
                <w:szCs w:val="18"/>
              </w:rPr>
            </w:pPr>
            <w:r w:rsidRPr="00294503">
              <w:rPr>
                <w:sz w:val="18"/>
                <w:szCs w:val="18"/>
                <w:u w:val="single"/>
              </w:rPr>
              <w:t>Decompression surgery</w:t>
            </w:r>
            <w:r w:rsidRPr="00294503">
              <w:rPr>
                <w:sz w:val="18"/>
                <w:szCs w:val="18"/>
              </w:rPr>
              <w:t>:</w:t>
            </w:r>
            <w:r>
              <w:rPr>
                <w:sz w:val="18"/>
                <w:szCs w:val="18"/>
              </w:rPr>
              <w:t xml:space="preserve"> </w:t>
            </w:r>
          </w:p>
          <w:p w:rsidR="003277A2" w:rsidRDefault="003277A2" w:rsidP="00C26909">
            <w:pPr>
              <w:numPr>
                <w:ilvl w:val="0"/>
                <w:numId w:val="2"/>
              </w:numPr>
              <w:tabs>
                <w:tab w:val="clear" w:pos="720"/>
                <w:tab w:val="num" w:pos="252"/>
              </w:tabs>
              <w:ind w:left="252" w:hanging="180"/>
              <w:contextualSpacing/>
              <w:rPr>
                <w:sz w:val="18"/>
                <w:szCs w:val="18"/>
              </w:rPr>
            </w:pPr>
            <w:r>
              <w:rPr>
                <w:sz w:val="18"/>
                <w:szCs w:val="18"/>
              </w:rPr>
              <w:t>Anterior (n = 31)</w:t>
            </w:r>
          </w:p>
          <w:p w:rsidR="003277A2" w:rsidRDefault="003277A2" w:rsidP="00C26909">
            <w:pPr>
              <w:numPr>
                <w:ilvl w:val="0"/>
                <w:numId w:val="2"/>
              </w:numPr>
              <w:tabs>
                <w:tab w:val="clear" w:pos="720"/>
                <w:tab w:val="num" w:pos="252"/>
              </w:tabs>
              <w:ind w:left="252" w:hanging="180"/>
              <w:contextualSpacing/>
              <w:rPr>
                <w:sz w:val="18"/>
                <w:szCs w:val="18"/>
              </w:rPr>
            </w:pPr>
            <w:r>
              <w:rPr>
                <w:sz w:val="18"/>
                <w:szCs w:val="18"/>
              </w:rPr>
              <w:t>Posterior (n = 16)</w:t>
            </w:r>
          </w:p>
          <w:p w:rsidR="003277A2" w:rsidRDefault="003277A2" w:rsidP="00C26909">
            <w:pPr>
              <w:numPr>
                <w:ilvl w:val="0"/>
                <w:numId w:val="2"/>
              </w:numPr>
              <w:tabs>
                <w:tab w:val="clear" w:pos="720"/>
                <w:tab w:val="num" w:pos="252"/>
              </w:tabs>
              <w:ind w:left="252" w:hanging="180"/>
              <w:contextualSpacing/>
              <w:rPr>
                <w:sz w:val="18"/>
                <w:szCs w:val="18"/>
              </w:rPr>
            </w:pPr>
            <w:r>
              <w:rPr>
                <w:sz w:val="18"/>
                <w:szCs w:val="18"/>
              </w:rPr>
              <w:lastRenderedPageBreak/>
              <w:t>Combined anterior and posterior (n = 5)</w:t>
            </w:r>
          </w:p>
          <w:p w:rsidR="003277A2" w:rsidRDefault="003277A2" w:rsidP="00C26909">
            <w:pPr>
              <w:contextualSpacing/>
              <w:rPr>
                <w:sz w:val="18"/>
                <w:szCs w:val="18"/>
              </w:rPr>
            </w:pPr>
          </w:p>
          <w:p w:rsidR="003277A2" w:rsidRPr="00C64325" w:rsidRDefault="003277A2" w:rsidP="00C26909">
            <w:pPr>
              <w:contextualSpacing/>
              <w:rPr>
                <w:sz w:val="18"/>
                <w:szCs w:val="18"/>
                <w:u w:val="single"/>
              </w:rPr>
            </w:pPr>
            <w:r w:rsidRPr="00C64325">
              <w:rPr>
                <w:sz w:val="18"/>
                <w:szCs w:val="18"/>
                <w:u w:val="single"/>
              </w:rPr>
              <w:t xml:space="preserve">Groups based on </w:t>
            </w:r>
            <w:r>
              <w:rPr>
                <w:sz w:val="18"/>
                <w:szCs w:val="18"/>
                <w:u w:val="single"/>
              </w:rPr>
              <w:t xml:space="preserve">increased </w:t>
            </w:r>
            <w:r w:rsidRPr="00C64325">
              <w:rPr>
                <w:sz w:val="18"/>
                <w:szCs w:val="18"/>
                <w:u w:val="single"/>
              </w:rPr>
              <w:t>signal intensity</w:t>
            </w:r>
            <w:r>
              <w:rPr>
                <w:sz w:val="18"/>
                <w:szCs w:val="18"/>
                <w:u w:val="single"/>
              </w:rPr>
              <w:t xml:space="preserve"> (ISI)</w:t>
            </w:r>
            <w:r w:rsidRPr="00C64325">
              <w:rPr>
                <w:sz w:val="18"/>
                <w:szCs w:val="18"/>
                <w:u w:val="single"/>
              </w:rPr>
              <w:t xml:space="preserve"> ratio</w:t>
            </w:r>
          </w:p>
          <w:p w:rsidR="003277A2" w:rsidRPr="0007740E" w:rsidRDefault="003277A2" w:rsidP="00C26909">
            <w:pPr>
              <w:contextualSpacing/>
              <w:rPr>
                <w:i/>
                <w:sz w:val="18"/>
                <w:szCs w:val="18"/>
              </w:rPr>
            </w:pPr>
            <w:r w:rsidRPr="0007740E">
              <w:rPr>
                <w:i/>
                <w:sz w:val="18"/>
                <w:szCs w:val="20"/>
              </w:rPr>
              <w:t>With</w:t>
            </w:r>
            <w:r w:rsidRPr="0007740E">
              <w:rPr>
                <w:i/>
                <w:sz w:val="18"/>
                <w:szCs w:val="18"/>
              </w:rPr>
              <w:t xml:space="preserve"> ISI (n = 36)</w:t>
            </w:r>
          </w:p>
          <w:p w:rsidR="003277A2" w:rsidRPr="00C64325" w:rsidRDefault="003277A2" w:rsidP="00C26909">
            <w:pPr>
              <w:ind w:left="140"/>
              <w:contextualSpacing/>
              <w:rPr>
                <w:sz w:val="18"/>
                <w:szCs w:val="20"/>
              </w:rPr>
            </w:pPr>
            <w:r w:rsidRPr="00C64325">
              <w:rPr>
                <w:sz w:val="18"/>
                <w:szCs w:val="20"/>
              </w:rPr>
              <w:t>Mean age: 57.9 ± 6.3 years</w:t>
            </w:r>
          </w:p>
          <w:p w:rsidR="003277A2" w:rsidRDefault="003277A2" w:rsidP="00C26909">
            <w:pPr>
              <w:ind w:left="140"/>
              <w:contextualSpacing/>
              <w:rPr>
                <w:sz w:val="18"/>
                <w:szCs w:val="18"/>
              </w:rPr>
            </w:pPr>
            <w:r w:rsidRPr="00C64325">
              <w:rPr>
                <w:sz w:val="18"/>
                <w:szCs w:val="20"/>
              </w:rPr>
              <w:t>Duration</w:t>
            </w:r>
            <w:r>
              <w:rPr>
                <w:sz w:val="18"/>
                <w:szCs w:val="18"/>
              </w:rPr>
              <w:t xml:space="preserve"> of symptoms: 18.7 ± 7.5 months</w:t>
            </w:r>
          </w:p>
          <w:p w:rsidR="003277A2" w:rsidRPr="00C64325" w:rsidRDefault="003277A2" w:rsidP="00C26909">
            <w:pPr>
              <w:contextualSpacing/>
              <w:rPr>
                <w:sz w:val="18"/>
                <w:szCs w:val="18"/>
              </w:rPr>
            </w:pPr>
            <w:r w:rsidRPr="00C64325">
              <w:rPr>
                <w:sz w:val="18"/>
                <w:szCs w:val="20"/>
              </w:rPr>
              <w:t>Without</w:t>
            </w:r>
            <w:r w:rsidRPr="00C64325">
              <w:rPr>
                <w:sz w:val="18"/>
                <w:szCs w:val="18"/>
              </w:rPr>
              <w:t xml:space="preserve"> </w:t>
            </w:r>
            <w:r>
              <w:rPr>
                <w:sz w:val="18"/>
                <w:szCs w:val="18"/>
              </w:rPr>
              <w:t xml:space="preserve">ISI </w:t>
            </w:r>
            <w:r w:rsidRPr="00C64325">
              <w:rPr>
                <w:sz w:val="18"/>
                <w:szCs w:val="18"/>
              </w:rPr>
              <w:t xml:space="preserve">(n = </w:t>
            </w:r>
            <w:r>
              <w:rPr>
                <w:sz w:val="18"/>
                <w:szCs w:val="18"/>
              </w:rPr>
              <w:t>16</w:t>
            </w:r>
            <w:r w:rsidRPr="00C64325">
              <w:rPr>
                <w:sz w:val="18"/>
                <w:szCs w:val="18"/>
              </w:rPr>
              <w:t>)</w:t>
            </w:r>
          </w:p>
          <w:p w:rsidR="003277A2" w:rsidRPr="00C64325" w:rsidRDefault="003277A2" w:rsidP="00C26909">
            <w:pPr>
              <w:ind w:left="140"/>
              <w:contextualSpacing/>
              <w:rPr>
                <w:sz w:val="18"/>
                <w:szCs w:val="20"/>
              </w:rPr>
            </w:pPr>
            <w:r w:rsidRPr="00C64325">
              <w:rPr>
                <w:sz w:val="18"/>
                <w:szCs w:val="20"/>
              </w:rPr>
              <w:t>Mean age: 52.8 ± 6.7 years</w:t>
            </w:r>
          </w:p>
          <w:p w:rsidR="003277A2" w:rsidRPr="003E1C61" w:rsidRDefault="003277A2" w:rsidP="00C26909">
            <w:pPr>
              <w:ind w:left="140"/>
              <w:contextualSpacing/>
              <w:rPr>
                <w:sz w:val="18"/>
                <w:szCs w:val="18"/>
              </w:rPr>
            </w:pPr>
            <w:r w:rsidRPr="00C64325">
              <w:rPr>
                <w:sz w:val="18"/>
                <w:szCs w:val="20"/>
              </w:rPr>
              <w:t>Dur</w:t>
            </w:r>
            <w:r w:rsidRPr="0007740E">
              <w:rPr>
                <w:sz w:val="18"/>
                <w:szCs w:val="20"/>
              </w:rPr>
              <w:t>ation</w:t>
            </w:r>
            <w:r>
              <w:rPr>
                <w:sz w:val="18"/>
                <w:szCs w:val="18"/>
              </w:rPr>
              <w:t xml:space="preserve"> of symptoms: 10.4 ± 5.1 months</w:t>
            </w:r>
          </w:p>
        </w:tc>
        <w:tc>
          <w:tcPr>
            <w:tcW w:w="1478" w:type="dxa"/>
          </w:tcPr>
          <w:p w:rsidR="003277A2" w:rsidRDefault="003277A2" w:rsidP="00C26909">
            <w:pPr>
              <w:numPr>
                <w:ilvl w:val="0"/>
                <w:numId w:val="1"/>
              </w:numPr>
              <w:ind w:left="162" w:hanging="162"/>
              <w:contextualSpacing/>
              <w:rPr>
                <w:sz w:val="18"/>
                <w:szCs w:val="18"/>
              </w:rPr>
            </w:pPr>
            <w:r>
              <w:rPr>
                <w:sz w:val="18"/>
                <w:szCs w:val="18"/>
              </w:rPr>
              <w:lastRenderedPageBreak/>
              <w:t>Age</w:t>
            </w:r>
          </w:p>
          <w:p w:rsidR="003277A2" w:rsidRPr="003E1C61" w:rsidRDefault="003277A2" w:rsidP="00C26909">
            <w:pPr>
              <w:numPr>
                <w:ilvl w:val="0"/>
                <w:numId w:val="1"/>
              </w:numPr>
              <w:ind w:left="162" w:hanging="162"/>
              <w:contextualSpacing/>
              <w:rPr>
                <w:sz w:val="18"/>
                <w:szCs w:val="18"/>
              </w:rPr>
            </w:pPr>
            <w:r>
              <w:rPr>
                <w:sz w:val="18"/>
                <w:szCs w:val="18"/>
              </w:rPr>
              <w:t>Duration of disease</w:t>
            </w:r>
          </w:p>
        </w:tc>
        <w:tc>
          <w:tcPr>
            <w:tcW w:w="1448" w:type="dxa"/>
          </w:tcPr>
          <w:p w:rsidR="003277A2" w:rsidRPr="003E1C61" w:rsidRDefault="003277A2" w:rsidP="00C26909">
            <w:pPr>
              <w:numPr>
                <w:ilvl w:val="0"/>
                <w:numId w:val="1"/>
              </w:numPr>
              <w:ind w:left="162" w:hanging="162"/>
              <w:contextualSpacing/>
              <w:rPr>
                <w:sz w:val="18"/>
                <w:szCs w:val="18"/>
              </w:rPr>
            </w:pPr>
            <w:r>
              <w:rPr>
                <w:sz w:val="18"/>
                <w:szCs w:val="18"/>
              </w:rPr>
              <w:t>Increased signal intensity (ISI) ratio</w:t>
            </w:r>
          </w:p>
        </w:tc>
        <w:tc>
          <w:tcPr>
            <w:tcW w:w="1415" w:type="dxa"/>
          </w:tcPr>
          <w:p w:rsidR="003277A2" w:rsidRDefault="003277A2" w:rsidP="00C26909">
            <w:pPr>
              <w:numPr>
                <w:ilvl w:val="0"/>
                <w:numId w:val="1"/>
              </w:numPr>
              <w:ind w:left="162" w:hanging="162"/>
              <w:contextualSpacing/>
              <w:rPr>
                <w:sz w:val="18"/>
                <w:szCs w:val="18"/>
              </w:rPr>
            </w:pPr>
            <w:r>
              <w:rPr>
                <w:sz w:val="18"/>
                <w:szCs w:val="18"/>
              </w:rPr>
              <w:t>Recovery rate of JOA score‡</w:t>
            </w:r>
          </w:p>
          <w:p w:rsidR="003277A2" w:rsidRPr="003E1C61" w:rsidRDefault="003277A2" w:rsidP="00C26909">
            <w:pPr>
              <w:numPr>
                <w:ilvl w:val="0"/>
                <w:numId w:val="1"/>
              </w:numPr>
              <w:ind w:left="162" w:hanging="162"/>
              <w:contextualSpacing/>
              <w:rPr>
                <w:sz w:val="18"/>
                <w:szCs w:val="18"/>
              </w:rPr>
            </w:pPr>
            <w:r>
              <w:rPr>
                <w:sz w:val="18"/>
                <w:szCs w:val="18"/>
              </w:rPr>
              <w:t>JOA score</w:t>
            </w:r>
          </w:p>
        </w:tc>
        <w:tc>
          <w:tcPr>
            <w:tcW w:w="1193" w:type="dxa"/>
          </w:tcPr>
          <w:p w:rsidR="003277A2" w:rsidRPr="003E1C61" w:rsidRDefault="003277A2" w:rsidP="00C26909">
            <w:pPr>
              <w:rPr>
                <w:sz w:val="18"/>
                <w:szCs w:val="18"/>
              </w:rPr>
            </w:pPr>
            <w:r>
              <w:rPr>
                <w:sz w:val="18"/>
                <w:szCs w:val="18"/>
              </w:rPr>
              <w:t xml:space="preserve">Mean 23 months (range, 15–30) </w:t>
            </w:r>
            <w:r w:rsidRPr="002B2374">
              <w:rPr>
                <w:sz w:val="18"/>
                <w:szCs w:val="18"/>
              </w:rPr>
              <w:t>(%f/u NR)</w:t>
            </w:r>
          </w:p>
        </w:tc>
        <w:tc>
          <w:tcPr>
            <w:tcW w:w="3245" w:type="dxa"/>
          </w:tcPr>
          <w:p w:rsidR="003277A2" w:rsidRPr="008B5871" w:rsidRDefault="003277A2" w:rsidP="00C26909">
            <w:pPr>
              <w:rPr>
                <w:b/>
                <w:sz w:val="18"/>
                <w:szCs w:val="18"/>
              </w:rPr>
            </w:pPr>
            <w:r w:rsidRPr="008B5871">
              <w:rPr>
                <w:b/>
                <w:sz w:val="18"/>
                <w:szCs w:val="18"/>
              </w:rPr>
              <w:t>JOA recovery rate</w:t>
            </w:r>
            <w:r>
              <w:rPr>
                <w:b/>
                <w:sz w:val="18"/>
                <w:szCs w:val="18"/>
              </w:rPr>
              <w:t xml:space="preserve"> (%) (univariate analysis)</w:t>
            </w:r>
          </w:p>
          <w:p w:rsidR="003277A2" w:rsidRPr="00F84A4D" w:rsidRDefault="003277A2" w:rsidP="00C26909">
            <w:pPr>
              <w:numPr>
                <w:ilvl w:val="0"/>
                <w:numId w:val="2"/>
              </w:numPr>
              <w:tabs>
                <w:tab w:val="clear" w:pos="720"/>
                <w:tab w:val="num" w:pos="252"/>
              </w:tabs>
              <w:ind w:left="252" w:hanging="180"/>
              <w:contextualSpacing/>
              <w:rPr>
                <w:sz w:val="18"/>
                <w:szCs w:val="18"/>
              </w:rPr>
            </w:pPr>
            <w:r w:rsidRPr="00C64325">
              <w:rPr>
                <w:sz w:val="18"/>
                <w:szCs w:val="20"/>
              </w:rPr>
              <w:t>With</w:t>
            </w:r>
            <w:r>
              <w:rPr>
                <w:sz w:val="18"/>
                <w:szCs w:val="18"/>
              </w:rPr>
              <w:t>out ISI: 54.3 ± 13.2</w:t>
            </w:r>
          </w:p>
          <w:p w:rsidR="003277A2" w:rsidRDefault="003277A2" w:rsidP="00C26909">
            <w:pPr>
              <w:numPr>
                <w:ilvl w:val="0"/>
                <w:numId w:val="2"/>
              </w:numPr>
              <w:tabs>
                <w:tab w:val="clear" w:pos="720"/>
                <w:tab w:val="num" w:pos="252"/>
              </w:tabs>
              <w:ind w:left="252" w:hanging="180"/>
              <w:contextualSpacing/>
              <w:rPr>
                <w:sz w:val="18"/>
                <w:szCs w:val="20"/>
              </w:rPr>
            </w:pPr>
            <w:r w:rsidRPr="00C64325">
              <w:rPr>
                <w:sz w:val="18"/>
                <w:szCs w:val="20"/>
              </w:rPr>
              <w:t xml:space="preserve">With ISI: </w:t>
            </w:r>
            <w:r>
              <w:rPr>
                <w:sz w:val="18"/>
                <w:szCs w:val="20"/>
              </w:rPr>
              <w:t>27.3</w:t>
            </w:r>
            <w:r w:rsidRPr="00C64325">
              <w:rPr>
                <w:sz w:val="18"/>
                <w:szCs w:val="20"/>
              </w:rPr>
              <w:t xml:space="preserve"> ± </w:t>
            </w:r>
            <w:r>
              <w:rPr>
                <w:sz w:val="18"/>
                <w:szCs w:val="20"/>
              </w:rPr>
              <w:t>12.8</w:t>
            </w:r>
          </w:p>
          <w:p w:rsidR="003277A2" w:rsidRDefault="003277A2" w:rsidP="00C26909">
            <w:pPr>
              <w:numPr>
                <w:ilvl w:val="0"/>
                <w:numId w:val="2"/>
              </w:numPr>
              <w:tabs>
                <w:tab w:val="clear" w:pos="720"/>
                <w:tab w:val="num" w:pos="537"/>
              </w:tabs>
              <w:ind w:left="252" w:firstLine="105"/>
              <w:contextualSpacing/>
              <w:rPr>
                <w:sz w:val="18"/>
                <w:szCs w:val="18"/>
              </w:rPr>
            </w:pPr>
            <w:r>
              <w:rPr>
                <w:sz w:val="18"/>
                <w:szCs w:val="20"/>
              </w:rPr>
              <w:t>Intermediate ISI††</w:t>
            </w:r>
            <w:r>
              <w:rPr>
                <w:sz w:val="18"/>
                <w:szCs w:val="18"/>
              </w:rPr>
              <w:t>: 32.6 ± 14.4</w:t>
            </w:r>
          </w:p>
          <w:p w:rsidR="003277A2" w:rsidRPr="00F84A4D" w:rsidRDefault="003277A2" w:rsidP="00C26909">
            <w:pPr>
              <w:numPr>
                <w:ilvl w:val="0"/>
                <w:numId w:val="2"/>
              </w:numPr>
              <w:tabs>
                <w:tab w:val="clear" w:pos="720"/>
                <w:tab w:val="num" w:pos="537"/>
              </w:tabs>
              <w:ind w:left="252" w:firstLine="105"/>
              <w:contextualSpacing/>
              <w:rPr>
                <w:sz w:val="18"/>
                <w:szCs w:val="18"/>
              </w:rPr>
            </w:pPr>
            <w:r w:rsidRPr="00A22BB2">
              <w:rPr>
                <w:sz w:val="18"/>
                <w:szCs w:val="20"/>
              </w:rPr>
              <w:t>High</w:t>
            </w:r>
            <w:r>
              <w:rPr>
                <w:sz w:val="18"/>
                <w:szCs w:val="18"/>
              </w:rPr>
              <w:t xml:space="preserve"> ISI††: 21.9</w:t>
            </w:r>
            <w:r w:rsidRPr="00A22BB2">
              <w:rPr>
                <w:sz w:val="18"/>
                <w:szCs w:val="18"/>
              </w:rPr>
              <w:t xml:space="preserve"> ± </w:t>
            </w:r>
            <w:r>
              <w:rPr>
                <w:sz w:val="18"/>
                <w:szCs w:val="18"/>
              </w:rPr>
              <w:t>8.3</w:t>
            </w:r>
          </w:p>
          <w:p w:rsidR="003277A2" w:rsidRDefault="003277A2" w:rsidP="00C26909">
            <w:pPr>
              <w:ind w:left="267"/>
              <w:rPr>
                <w:sz w:val="18"/>
                <w:szCs w:val="18"/>
              </w:rPr>
            </w:pPr>
            <w:r w:rsidRPr="00C64325">
              <w:rPr>
                <w:i/>
                <w:sz w:val="18"/>
                <w:szCs w:val="18"/>
              </w:rPr>
              <w:t>P</w:t>
            </w:r>
            <w:r>
              <w:rPr>
                <w:sz w:val="18"/>
                <w:szCs w:val="18"/>
              </w:rPr>
              <w:t xml:space="preserve"> &lt; .05 for </w:t>
            </w:r>
            <w:r w:rsidRPr="000C1762">
              <w:rPr>
                <w:i/>
                <w:sz w:val="18"/>
                <w:szCs w:val="18"/>
              </w:rPr>
              <w:t>None vs. Intermediate</w:t>
            </w:r>
          </w:p>
          <w:p w:rsidR="003277A2" w:rsidRPr="000C1762" w:rsidRDefault="003277A2" w:rsidP="00C26909">
            <w:pPr>
              <w:ind w:left="267"/>
              <w:rPr>
                <w:i/>
                <w:sz w:val="18"/>
                <w:szCs w:val="18"/>
              </w:rPr>
            </w:pPr>
            <w:r w:rsidRPr="000C1762">
              <w:rPr>
                <w:i/>
                <w:sz w:val="18"/>
                <w:szCs w:val="18"/>
              </w:rPr>
              <w:t xml:space="preserve">P </w:t>
            </w:r>
            <w:r w:rsidRPr="000C1762">
              <w:rPr>
                <w:sz w:val="18"/>
                <w:szCs w:val="18"/>
              </w:rPr>
              <w:t>&lt; .05 for</w:t>
            </w:r>
            <w:r w:rsidRPr="000C1762">
              <w:rPr>
                <w:i/>
                <w:sz w:val="18"/>
                <w:szCs w:val="18"/>
              </w:rPr>
              <w:t xml:space="preserve"> None vs. High</w:t>
            </w:r>
          </w:p>
          <w:p w:rsidR="003277A2" w:rsidRDefault="003277A2" w:rsidP="00C26909">
            <w:pPr>
              <w:ind w:left="267"/>
              <w:rPr>
                <w:sz w:val="18"/>
                <w:szCs w:val="18"/>
              </w:rPr>
            </w:pPr>
            <w:r w:rsidRPr="000C1762">
              <w:rPr>
                <w:i/>
                <w:sz w:val="18"/>
                <w:szCs w:val="18"/>
              </w:rPr>
              <w:t>P</w:t>
            </w:r>
            <w:r>
              <w:rPr>
                <w:sz w:val="18"/>
                <w:szCs w:val="18"/>
              </w:rPr>
              <w:t xml:space="preserve"> &lt; .05for </w:t>
            </w:r>
            <w:r w:rsidRPr="000C1762">
              <w:rPr>
                <w:i/>
                <w:sz w:val="18"/>
                <w:szCs w:val="18"/>
              </w:rPr>
              <w:t>Intermediate vs. High</w:t>
            </w:r>
          </w:p>
          <w:p w:rsidR="003277A2" w:rsidRDefault="003277A2" w:rsidP="00C26909">
            <w:pPr>
              <w:rPr>
                <w:b/>
                <w:sz w:val="18"/>
                <w:szCs w:val="18"/>
              </w:rPr>
            </w:pPr>
          </w:p>
          <w:p w:rsidR="003277A2" w:rsidRDefault="003277A2" w:rsidP="00C26909">
            <w:pPr>
              <w:rPr>
                <w:b/>
                <w:sz w:val="18"/>
                <w:szCs w:val="18"/>
              </w:rPr>
            </w:pPr>
            <w:r>
              <w:rPr>
                <w:b/>
                <w:sz w:val="18"/>
                <w:szCs w:val="18"/>
              </w:rPr>
              <w:t>Postoperative JOA score (univariate analysis)</w:t>
            </w:r>
          </w:p>
          <w:p w:rsidR="003277A2" w:rsidRDefault="003277A2" w:rsidP="00C26909">
            <w:pPr>
              <w:numPr>
                <w:ilvl w:val="0"/>
                <w:numId w:val="2"/>
              </w:numPr>
              <w:tabs>
                <w:tab w:val="clear" w:pos="720"/>
                <w:tab w:val="num" w:pos="252"/>
              </w:tabs>
              <w:ind w:left="252" w:hanging="180"/>
              <w:contextualSpacing/>
              <w:rPr>
                <w:sz w:val="18"/>
                <w:szCs w:val="18"/>
              </w:rPr>
            </w:pPr>
            <w:r w:rsidRPr="00C64325">
              <w:rPr>
                <w:sz w:val="18"/>
                <w:szCs w:val="20"/>
              </w:rPr>
              <w:t>With</w:t>
            </w:r>
            <w:r>
              <w:rPr>
                <w:sz w:val="18"/>
                <w:szCs w:val="18"/>
              </w:rPr>
              <w:t>out ISI: 14.3 ± 0.9</w:t>
            </w:r>
          </w:p>
          <w:p w:rsidR="003277A2" w:rsidRPr="00A22BB2" w:rsidRDefault="003277A2" w:rsidP="00C26909">
            <w:pPr>
              <w:numPr>
                <w:ilvl w:val="0"/>
                <w:numId w:val="2"/>
              </w:numPr>
              <w:tabs>
                <w:tab w:val="clear" w:pos="720"/>
                <w:tab w:val="num" w:pos="252"/>
              </w:tabs>
              <w:ind w:left="252" w:hanging="180"/>
              <w:contextualSpacing/>
              <w:rPr>
                <w:sz w:val="18"/>
                <w:szCs w:val="18"/>
              </w:rPr>
            </w:pPr>
            <w:r w:rsidRPr="00A22BB2">
              <w:rPr>
                <w:sz w:val="18"/>
                <w:szCs w:val="18"/>
              </w:rPr>
              <w:t>With ISI: 11.6 ± 1.7</w:t>
            </w:r>
          </w:p>
          <w:p w:rsidR="003277A2" w:rsidRDefault="003277A2" w:rsidP="00C26909">
            <w:pPr>
              <w:numPr>
                <w:ilvl w:val="0"/>
                <w:numId w:val="2"/>
              </w:numPr>
              <w:tabs>
                <w:tab w:val="clear" w:pos="720"/>
                <w:tab w:val="num" w:pos="537"/>
              </w:tabs>
              <w:ind w:left="252" w:firstLine="105"/>
              <w:contextualSpacing/>
              <w:rPr>
                <w:sz w:val="18"/>
                <w:szCs w:val="18"/>
              </w:rPr>
            </w:pPr>
            <w:r>
              <w:rPr>
                <w:sz w:val="18"/>
                <w:szCs w:val="20"/>
              </w:rPr>
              <w:t>Intermediate ISI††</w:t>
            </w:r>
            <w:r>
              <w:rPr>
                <w:sz w:val="18"/>
                <w:szCs w:val="18"/>
              </w:rPr>
              <w:t>: 12.3 ± 1.6</w:t>
            </w:r>
          </w:p>
          <w:p w:rsidR="003277A2" w:rsidRPr="00A22BB2" w:rsidRDefault="003277A2" w:rsidP="00C26909">
            <w:pPr>
              <w:numPr>
                <w:ilvl w:val="0"/>
                <w:numId w:val="2"/>
              </w:numPr>
              <w:tabs>
                <w:tab w:val="clear" w:pos="720"/>
                <w:tab w:val="num" w:pos="537"/>
              </w:tabs>
              <w:ind w:left="252" w:firstLine="105"/>
              <w:contextualSpacing/>
              <w:rPr>
                <w:sz w:val="18"/>
                <w:szCs w:val="18"/>
              </w:rPr>
            </w:pPr>
            <w:r w:rsidRPr="00A22BB2">
              <w:rPr>
                <w:sz w:val="18"/>
                <w:szCs w:val="20"/>
              </w:rPr>
              <w:t>High</w:t>
            </w:r>
            <w:r>
              <w:rPr>
                <w:sz w:val="18"/>
                <w:szCs w:val="18"/>
              </w:rPr>
              <w:t xml:space="preserve"> ISI††: 10.8</w:t>
            </w:r>
            <w:r w:rsidRPr="00A22BB2">
              <w:rPr>
                <w:sz w:val="18"/>
                <w:szCs w:val="18"/>
              </w:rPr>
              <w:t xml:space="preserve"> ± </w:t>
            </w:r>
            <w:r>
              <w:rPr>
                <w:sz w:val="18"/>
                <w:szCs w:val="18"/>
              </w:rPr>
              <w:t>1.5</w:t>
            </w:r>
          </w:p>
          <w:p w:rsidR="003277A2" w:rsidRDefault="003277A2" w:rsidP="00C26909">
            <w:pPr>
              <w:ind w:left="267"/>
              <w:rPr>
                <w:sz w:val="18"/>
                <w:szCs w:val="18"/>
              </w:rPr>
            </w:pPr>
            <w:r w:rsidRPr="00C64325">
              <w:rPr>
                <w:i/>
                <w:sz w:val="18"/>
                <w:szCs w:val="18"/>
              </w:rPr>
              <w:lastRenderedPageBreak/>
              <w:t>P</w:t>
            </w:r>
            <w:r>
              <w:rPr>
                <w:sz w:val="18"/>
                <w:szCs w:val="18"/>
              </w:rPr>
              <w:t xml:space="preserve"> &lt; .05 for </w:t>
            </w:r>
            <w:r w:rsidRPr="000C1762">
              <w:rPr>
                <w:i/>
                <w:sz w:val="18"/>
                <w:szCs w:val="18"/>
              </w:rPr>
              <w:t>None vs. Intermediate</w:t>
            </w:r>
          </w:p>
          <w:p w:rsidR="003277A2" w:rsidRPr="000C1762" w:rsidRDefault="003277A2" w:rsidP="00C26909">
            <w:pPr>
              <w:ind w:left="267"/>
              <w:rPr>
                <w:i/>
                <w:sz w:val="18"/>
                <w:szCs w:val="18"/>
              </w:rPr>
            </w:pPr>
            <w:r w:rsidRPr="000C1762">
              <w:rPr>
                <w:i/>
                <w:sz w:val="18"/>
                <w:szCs w:val="18"/>
              </w:rPr>
              <w:t xml:space="preserve">P </w:t>
            </w:r>
            <w:r w:rsidRPr="000C1762">
              <w:rPr>
                <w:sz w:val="18"/>
                <w:szCs w:val="18"/>
              </w:rPr>
              <w:t>&lt; .05 for</w:t>
            </w:r>
            <w:r w:rsidRPr="000C1762">
              <w:rPr>
                <w:i/>
                <w:sz w:val="18"/>
                <w:szCs w:val="18"/>
              </w:rPr>
              <w:t xml:space="preserve"> None vs. High</w:t>
            </w:r>
          </w:p>
          <w:p w:rsidR="003277A2" w:rsidRDefault="003277A2" w:rsidP="00C26909">
            <w:pPr>
              <w:ind w:left="267"/>
              <w:rPr>
                <w:sz w:val="18"/>
                <w:szCs w:val="18"/>
              </w:rPr>
            </w:pPr>
            <w:r w:rsidRPr="000C1762">
              <w:rPr>
                <w:i/>
                <w:sz w:val="18"/>
                <w:szCs w:val="18"/>
              </w:rPr>
              <w:t>P</w:t>
            </w:r>
            <w:r>
              <w:rPr>
                <w:sz w:val="18"/>
                <w:szCs w:val="18"/>
              </w:rPr>
              <w:t xml:space="preserve"> &lt; .05for </w:t>
            </w:r>
            <w:r w:rsidRPr="000C1762">
              <w:rPr>
                <w:i/>
                <w:sz w:val="18"/>
                <w:szCs w:val="18"/>
              </w:rPr>
              <w:t>Intermediate vs. High</w:t>
            </w:r>
          </w:p>
          <w:p w:rsidR="003277A2" w:rsidRDefault="003277A2" w:rsidP="00C26909">
            <w:pPr>
              <w:ind w:left="87"/>
              <w:rPr>
                <w:sz w:val="18"/>
                <w:szCs w:val="18"/>
              </w:rPr>
            </w:pPr>
          </w:p>
          <w:p w:rsidR="003277A2" w:rsidRDefault="003277A2" w:rsidP="00C26909">
            <w:pPr>
              <w:rPr>
                <w:sz w:val="18"/>
                <w:szCs w:val="18"/>
              </w:rPr>
            </w:pPr>
          </w:p>
          <w:p w:rsidR="003277A2" w:rsidRPr="008B5871" w:rsidRDefault="003277A2" w:rsidP="00C26909">
            <w:pPr>
              <w:rPr>
                <w:sz w:val="18"/>
                <w:szCs w:val="18"/>
              </w:rPr>
            </w:pPr>
            <w:r>
              <w:rPr>
                <w:sz w:val="18"/>
                <w:szCs w:val="18"/>
              </w:rPr>
              <w:t>“</w:t>
            </w:r>
            <w:r w:rsidRPr="00E805B8">
              <w:rPr>
                <w:sz w:val="18"/>
                <w:szCs w:val="18"/>
              </w:rPr>
              <w:t>For patients with CSM, an increased T2:T1 ratio is associated with a</w:t>
            </w:r>
            <w:r>
              <w:rPr>
                <w:sz w:val="18"/>
                <w:szCs w:val="18"/>
              </w:rPr>
              <w:t xml:space="preserve"> </w:t>
            </w:r>
            <w:r w:rsidRPr="00E805B8">
              <w:rPr>
                <w:sz w:val="18"/>
                <w:szCs w:val="18"/>
              </w:rPr>
              <w:t>decrease in both the preoperative JOA score and the recovery rate</w:t>
            </w:r>
            <w:r>
              <w:rPr>
                <w:sz w:val="18"/>
                <w:szCs w:val="18"/>
              </w:rPr>
              <w:t xml:space="preserve"> </w:t>
            </w:r>
            <w:r w:rsidRPr="00E805B8">
              <w:rPr>
                <w:sz w:val="18"/>
                <w:szCs w:val="18"/>
              </w:rPr>
              <w:t>after surgery. The T2:T1 ratio can be used to help predict surgical</w:t>
            </w:r>
            <w:r>
              <w:rPr>
                <w:sz w:val="18"/>
                <w:szCs w:val="18"/>
              </w:rPr>
              <w:t xml:space="preserve"> </w:t>
            </w:r>
            <w:r w:rsidRPr="00E805B8">
              <w:rPr>
                <w:sz w:val="18"/>
                <w:szCs w:val="18"/>
              </w:rPr>
              <w:t>outcomes.</w:t>
            </w:r>
            <w:r>
              <w:rPr>
                <w:sz w:val="18"/>
                <w:szCs w:val="18"/>
              </w:rPr>
              <w:t>”</w:t>
            </w:r>
          </w:p>
        </w:tc>
      </w:tr>
      <w:tr w:rsidR="0043721E" w:rsidRPr="003E1C61" w:rsidTr="00DC4E9E">
        <w:tc>
          <w:tcPr>
            <w:tcW w:w="1248" w:type="dxa"/>
          </w:tcPr>
          <w:p w:rsidR="003277A2" w:rsidRDefault="003277A2" w:rsidP="00C26909">
            <w:pPr>
              <w:rPr>
                <w:sz w:val="18"/>
                <w:szCs w:val="18"/>
                <w:lang w:val="en-AU"/>
              </w:rPr>
            </w:pPr>
            <w:r w:rsidRPr="003E1C61">
              <w:rPr>
                <w:sz w:val="18"/>
                <w:szCs w:val="18"/>
                <w:lang w:val="en-AU"/>
              </w:rPr>
              <w:lastRenderedPageBreak/>
              <w:t>Zhang (2010)</w:t>
            </w:r>
          </w:p>
          <w:p w:rsidR="003277A2" w:rsidRDefault="003277A2" w:rsidP="00C26909">
            <w:pPr>
              <w:rPr>
                <w:sz w:val="18"/>
                <w:szCs w:val="18"/>
                <w:lang w:val="en-AU"/>
              </w:rPr>
            </w:pPr>
          </w:p>
          <w:p w:rsidR="003277A2" w:rsidRPr="003E1C61" w:rsidRDefault="003277A2" w:rsidP="00C26909">
            <w:pPr>
              <w:rPr>
                <w:sz w:val="18"/>
                <w:szCs w:val="18"/>
                <w:lang w:val="en-AU"/>
              </w:rPr>
            </w:pPr>
            <w:r>
              <w:rPr>
                <w:sz w:val="18"/>
                <w:szCs w:val="18"/>
                <w:lang w:val="en-AU"/>
              </w:rPr>
              <w:t>Retrospective cohort</w:t>
            </w:r>
          </w:p>
        </w:tc>
        <w:tc>
          <w:tcPr>
            <w:tcW w:w="1741" w:type="dxa"/>
          </w:tcPr>
          <w:p w:rsidR="003277A2" w:rsidRPr="00680690" w:rsidRDefault="003277A2" w:rsidP="00C26909">
            <w:pPr>
              <w:rPr>
                <w:sz w:val="18"/>
                <w:szCs w:val="18"/>
              </w:rPr>
            </w:pPr>
            <w:r>
              <w:rPr>
                <w:sz w:val="18"/>
                <w:szCs w:val="18"/>
              </w:rPr>
              <w:t>To</w:t>
            </w:r>
            <w:r w:rsidRPr="00680690">
              <w:rPr>
                <w:sz w:val="18"/>
                <w:szCs w:val="18"/>
              </w:rPr>
              <w:t xml:space="preserve"> quanti</w:t>
            </w:r>
            <w:r>
              <w:rPr>
                <w:sz w:val="18"/>
                <w:szCs w:val="18"/>
              </w:rPr>
              <w:t>fy</w:t>
            </w:r>
          </w:p>
          <w:p w:rsidR="003277A2" w:rsidRPr="00680690" w:rsidRDefault="003277A2" w:rsidP="00C26909">
            <w:pPr>
              <w:rPr>
                <w:sz w:val="18"/>
                <w:szCs w:val="18"/>
              </w:rPr>
            </w:pPr>
            <w:r w:rsidRPr="00680690">
              <w:rPr>
                <w:sz w:val="18"/>
                <w:szCs w:val="18"/>
              </w:rPr>
              <w:t>signal intensity (SI) ratio and to determine whether</w:t>
            </w:r>
          </w:p>
          <w:p w:rsidR="003277A2" w:rsidRPr="00680690" w:rsidRDefault="003277A2" w:rsidP="00C26909">
            <w:pPr>
              <w:rPr>
                <w:sz w:val="18"/>
                <w:szCs w:val="18"/>
              </w:rPr>
            </w:pPr>
            <w:r w:rsidRPr="00680690">
              <w:rPr>
                <w:sz w:val="18"/>
                <w:szCs w:val="18"/>
              </w:rPr>
              <w:t>MR T2 image SI ratio and clinical manifestation can</w:t>
            </w:r>
            <w:r>
              <w:rPr>
                <w:sz w:val="18"/>
                <w:szCs w:val="18"/>
              </w:rPr>
              <w:t xml:space="preserve"> </w:t>
            </w:r>
            <w:r w:rsidRPr="00680690">
              <w:rPr>
                <w:sz w:val="18"/>
                <w:szCs w:val="18"/>
              </w:rPr>
              <w:t>contribute to assess</w:t>
            </w:r>
            <w:r>
              <w:rPr>
                <w:sz w:val="18"/>
                <w:szCs w:val="18"/>
              </w:rPr>
              <w:t>ment of</w:t>
            </w:r>
            <w:r w:rsidRPr="00680690">
              <w:rPr>
                <w:sz w:val="18"/>
                <w:szCs w:val="18"/>
              </w:rPr>
              <w:t xml:space="preserve"> the prognosis of the disease.</w:t>
            </w:r>
          </w:p>
        </w:tc>
        <w:tc>
          <w:tcPr>
            <w:tcW w:w="2362" w:type="dxa"/>
          </w:tcPr>
          <w:p w:rsidR="003277A2" w:rsidRDefault="003277A2" w:rsidP="00C26909">
            <w:pPr>
              <w:rPr>
                <w:sz w:val="18"/>
                <w:szCs w:val="18"/>
              </w:rPr>
            </w:pPr>
            <w:r>
              <w:rPr>
                <w:sz w:val="18"/>
                <w:szCs w:val="18"/>
              </w:rPr>
              <w:t>N = 73</w:t>
            </w:r>
          </w:p>
          <w:p w:rsidR="003277A2" w:rsidRDefault="003277A2" w:rsidP="00C26909">
            <w:pPr>
              <w:ind w:left="72"/>
              <w:rPr>
                <w:sz w:val="18"/>
                <w:szCs w:val="18"/>
              </w:rPr>
            </w:pPr>
            <w:r>
              <w:rPr>
                <w:sz w:val="18"/>
                <w:szCs w:val="18"/>
              </w:rPr>
              <w:t>Male: 67.1%</w:t>
            </w:r>
          </w:p>
          <w:p w:rsidR="003277A2" w:rsidRDefault="003277A2" w:rsidP="00C26909">
            <w:pPr>
              <w:ind w:left="72"/>
              <w:rPr>
                <w:sz w:val="18"/>
                <w:szCs w:val="18"/>
              </w:rPr>
            </w:pPr>
            <w:r w:rsidRPr="00680690">
              <w:rPr>
                <w:sz w:val="18"/>
                <w:szCs w:val="18"/>
              </w:rPr>
              <w:t>Mean age</w:t>
            </w:r>
            <w:r>
              <w:rPr>
                <w:sz w:val="18"/>
                <w:szCs w:val="18"/>
              </w:rPr>
              <w:t xml:space="preserve"> (range) </w:t>
            </w:r>
            <w:r w:rsidRPr="00680690">
              <w:rPr>
                <w:sz w:val="18"/>
                <w:szCs w:val="18"/>
              </w:rPr>
              <w:t xml:space="preserve">: </w:t>
            </w:r>
            <w:r>
              <w:rPr>
                <w:sz w:val="18"/>
                <w:szCs w:val="18"/>
              </w:rPr>
              <w:t>53.3</w:t>
            </w:r>
            <w:r w:rsidRPr="00680690">
              <w:rPr>
                <w:sz w:val="18"/>
                <w:szCs w:val="18"/>
              </w:rPr>
              <w:t xml:space="preserve"> years (</w:t>
            </w:r>
            <w:r>
              <w:rPr>
                <w:sz w:val="18"/>
                <w:szCs w:val="18"/>
              </w:rPr>
              <w:t>34</w:t>
            </w:r>
            <w:r w:rsidRPr="00680690">
              <w:rPr>
                <w:sz w:val="18"/>
                <w:szCs w:val="18"/>
              </w:rPr>
              <w:t>–</w:t>
            </w:r>
            <w:r>
              <w:rPr>
                <w:sz w:val="18"/>
                <w:szCs w:val="18"/>
              </w:rPr>
              <w:t>7</w:t>
            </w:r>
            <w:r w:rsidRPr="00680690">
              <w:rPr>
                <w:sz w:val="18"/>
                <w:szCs w:val="18"/>
              </w:rPr>
              <w:t>7)</w:t>
            </w:r>
          </w:p>
          <w:p w:rsidR="003277A2" w:rsidRPr="00680690" w:rsidRDefault="003277A2" w:rsidP="00C26909">
            <w:pPr>
              <w:ind w:left="72"/>
              <w:rPr>
                <w:sz w:val="18"/>
                <w:szCs w:val="18"/>
              </w:rPr>
            </w:pPr>
            <w:r>
              <w:rPr>
                <w:sz w:val="18"/>
                <w:szCs w:val="18"/>
              </w:rPr>
              <w:t>Mean duration of symptoms: NR</w:t>
            </w:r>
          </w:p>
          <w:p w:rsidR="003277A2" w:rsidRDefault="003277A2" w:rsidP="00C26909">
            <w:pPr>
              <w:rPr>
                <w:sz w:val="18"/>
                <w:szCs w:val="18"/>
              </w:rPr>
            </w:pPr>
          </w:p>
          <w:p w:rsidR="003277A2" w:rsidRPr="00680690" w:rsidRDefault="003277A2" w:rsidP="00C26909">
            <w:pPr>
              <w:rPr>
                <w:sz w:val="18"/>
                <w:szCs w:val="18"/>
                <w:u w:val="single"/>
              </w:rPr>
            </w:pPr>
            <w:r w:rsidRPr="00680690">
              <w:rPr>
                <w:sz w:val="18"/>
                <w:szCs w:val="18"/>
                <w:u w:val="single"/>
              </w:rPr>
              <w:t>Diagnosis:</w:t>
            </w:r>
          </w:p>
          <w:p w:rsidR="003277A2" w:rsidRDefault="003277A2" w:rsidP="00C26909">
            <w:pPr>
              <w:numPr>
                <w:ilvl w:val="0"/>
                <w:numId w:val="2"/>
              </w:numPr>
              <w:tabs>
                <w:tab w:val="clear" w:pos="720"/>
                <w:tab w:val="num" w:pos="252"/>
              </w:tabs>
              <w:ind w:left="252" w:hanging="180"/>
              <w:contextualSpacing/>
              <w:rPr>
                <w:sz w:val="18"/>
                <w:szCs w:val="18"/>
              </w:rPr>
            </w:pPr>
            <w:r>
              <w:rPr>
                <w:sz w:val="18"/>
                <w:szCs w:val="18"/>
              </w:rPr>
              <w:t>CSM</w:t>
            </w:r>
          </w:p>
          <w:p w:rsidR="003277A2" w:rsidRDefault="003277A2" w:rsidP="00C26909">
            <w:pPr>
              <w:contextualSpacing/>
              <w:rPr>
                <w:sz w:val="18"/>
                <w:szCs w:val="18"/>
              </w:rPr>
            </w:pPr>
          </w:p>
          <w:p w:rsidR="003277A2" w:rsidRDefault="003277A2" w:rsidP="00C26909">
            <w:pPr>
              <w:rPr>
                <w:sz w:val="18"/>
                <w:szCs w:val="18"/>
              </w:rPr>
            </w:pPr>
            <w:r w:rsidRPr="00294503">
              <w:rPr>
                <w:sz w:val="18"/>
                <w:szCs w:val="18"/>
                <w:u w:val="single"/>
              </w:rPr>
              <w:t>Decompression surgery</w:t>
            </w:r>
            <w:r w:rsidRPr="00294503">
              <w:rPr>
                <w:sz w:val="18"/>
                <w:szCs w:val="18"/>
              </w:rPr>
              <w:t>:</w:t>
            </w:r>
            <w:r>
              <w:rPr>
                <w:sz w:val="18"/>
                <w:szCs w:val="18"/>
              </w:rPr>
              <w:t xml:space="preserve"> </w:t>
            </w:r>
          </w:p>
          <w:p w:rsidR="003277A2" w:rsidRDefault="003277A2" w:rsidP="00C26909">
            <w:pPr>
              <w:numPr>
                <w:ilvl w:val="0"/>
                <w:numId w:val="2"/>
              </w:numPr>
              <w:tabs>
                <w:tab w:val="clear" w:pos="720"/>
                <w:tab w:val="num" w:pos="252"/>
              </w:tabs>
              <w:ind w:left="252" w:hanging="180"/>
              <w:contextualSpacing/>
              <w:rPr>
                <w:sz w:val="18"/>
                <w:szCs w:val="18"/>
              </w:rPr>
            </w:pPr>
            <w:r>
              <w:rPr>
                <w:sz w:val="18"/>
                <w:szCs w:val="18"/>
              </w:rPr>
              <w:t>Anterior, p</w:t>
            </w:r>
            <w:r w:rsidRPr="00680690">
              <w:rPr>
                <w:sz w:val="18"/>
                <w:szCs w:val="18"/>
              </w:rPr>
              <w:t>osterior</w:t>
            </w:r>
            <w:r>
              <w:rPr>
                <w:sz w:val="18"/>
                <w:szCs w:val="18"/>
              </w:rPr>
              <w:t>, or posterior-anterior united decompression</w:t>
            </w:r>
          </w:p>
          <w:p w:rsidR="003277A2" w:rsidRDefault="003277A2" w:rsidP="00C26909">
            <w:pPr>
              <w:contextualSpacing/>
              <w:rPr>
                <w:sz w:val="18"/>
                <w:szCs w:val="18"/>
              </w:rPr>
            </w:pPr>
          </w:p>
          <w:p w:rsidR="003277A2" w:rsidRPr="003771B8" w:rsidRDefault="003277A2" w:rsidP="00C26909">
            <w:pPr>
              <w:contextualSpacing/>
              <w:rPr>
                <w:sz w:val="18"/>
                <w:szCs w:val="18"/>
                <w:u w:val="single"/>
              </w:rPr>
            </w:pPr>
            <w:r w:rsidRPr="003771B8">
              <w:rPr>
                <w:sz w:val="18"/>
                <w:szCs w:val="18"/>
                <w:u w:val="single"/>
              </w:rPr>
              <w:t>Groups based on increased signal intensity (ISI) ratio</w:t>
            </w:r>
          </w:p>
          <w:p w:rsidR="003277A2" w:rsidRDefault="003277A2" w:rsidP="00C26909">
            <w:pPr>
              <w:contextualSpacing/>
              <w:rPr>
                <w:sz w:val="18"/>
                <w:szCs w:val="20"/>
              </w:rPr>
            </w:pPr>
            <w:r w:rsidRPr="0007740E">
              <w:rPr>
                <w:i/>
                <w:sz w:val="18"/>
                <w:szCs w:val="20"/>
              </w:rPr>
              <w:t>Low (&lt; 1.32), n = 18</w:t>
            </w:r>
          </w:p>
          <w:p w:rsidR="003277A2" w:rsidRDefault="003277A2" w:rsidP="00C26909">
            <w:pPr>
              <w:ind w:left="140"/>
              <w:contextualSpacing/>
              <w:rPr>
                <w:sz w:val="18"/>
                <w:szCs w:val="20"/>
              </w:rPr>
            </w:pPr>
            <w:r>
              <w:rPr>
                <w:sz w:val="18"/>
                <w:szCs w:val="20"/>
              </w:rPr>
              <w:t>Mean age: 47.4 ± 6.2 years</w:t>
            </w:r>
          </w:p>
          <w:p w:rsidR="003277A2" w:rsidRPr="0007740E" w:rsidRDefault="003277A2" w:rsidP="00C26909">
            <w:pPr>
              <w:ind w:left="140" w:hanging="140"/>
              <w:contextualSpacing/>
              <w:rPr>
                <w:i/>
                <w:sz w:val="18"/>
                <w:szCs w:val="20"/>
              </w:rPr>
            </w:pPr>
            <w:r w:rsidRPr="0007740E">
              <w:rPr>
                <w:i/>
                <w:sz w:val="18"/>
                <w:szCs w:val="20"/>
              </w:rPr>
              <w:t>Intermediate (</w:t>
            </w:r>
            <w:r>
              <w:rPr>
                <w:i/>
                <w:sz w:val="18"/>
                <w:szCs w:val="20"/>
              </w:rPr>
              <w:t>≥ 1.32 and &lt; 1.68), n = 32</w:t>
            </w:r>
          </w:p>
          <w:p w:rsidR="003277A2" w:rsidRPr="00834B1A" w:rsidRDefault="003277A2" w:rsidP="00C26909">
            <w:pPr>
              <w:ind w:left="140"/>
              <w:contextualSpacing/>
              <w:rPr>
                <w:sz w:val="18"/>
                <w:szCs w:val="20"/>
              </w:rPr>
            </w:pPr>
            <w:r>
              <w:rPr>
                <w:sz w:val="18"/>
                <w:szCs w:val="20"/>
              </w:rPr>
              <w:t>Mean age: 53.8</w:t>
            </w:r>
            <w:r w:rsidRPr="00834B1A">
              <w:rPr>
                <w:sz w:val="18"/>
                <w:szCs w:val="20"/>
              </w:rPr>
              <w:t xml:space="preserve"> ± </w:t>
            </w:r>
            <w:r>
              <w:rPr>
                <w:sz w:val="18"/>
                <w:szCs w:val="20"/>
              </w:rPr>
              <w:t>10.9</w:t>
            </w:r>
            <w:r w:rsidRPr="00834B1A">
              <w:rPr>
                <w:sz w:val="18"/>
                <w:szCs w:val="20"/>
              </w:rPr>
              <w:t xml:space="preserve"> years</w:t>
            </w:r>
          </w:p>
          <w:p w:rsidR="003277A2" w:rsidRPr="0007740E" w:rsidRDefault="003277A2" w:rsidP="00C26909">
            <w:pPr>
              <w:contextualSpacing/>
              <w:rPr>
                <w:i/>
                <w:sz w:val="18"/>
                <w:szCs w:val="18"/>
              </w:rPr>
            </w:pPr>
            <w:r>
              <w:rPr>
                <w:i/>
                <w:sz w:val="18"/>
                <w:szCs w:val="20"/>
              </w:rPr>
              <w:t>High (≥ 1.68), n = 23</w:t>
            </w:r>
          </w:p>
          <w:p w:rsidR="003277A2" w:rsidRPr="00680690" w:rsidRDefault="003277A2" w:rsidP="00C26909">
            <w:pPr>
              <w:ind w:left="140"/>
              <w:contextualSpacing/>
              <w:rPr>
                <w:sz w:val="18"/>
                <w:szCs w:val="18"/>
              </w:rPr>
            </w:pPr>
            <w:r>
              <w:rPr>
                <w:sz w:val="18"/>
                <w:szCs w:val="20"/>
              </w:rPr>
              <w:t>Mean age: 58.4</w:t>
            </w:r>
            <w:r w:rsidRPr="00834B1A">
              <w:rPr>
                <w:sz w:val="18"/>
                <w:szCs w:val="20"/>
              </w:rPr>
              <w:t xml:space="preserve"> ± </w:t>
            </w:r>
            <w:r>
              <w:rPr>
                <w:sz w:val="18"/>
                <w:szCs w:val="20"/>
              </w:rPr>
              <w:t>10.5</w:t>
            </w:r>
            <w:r w:rsidRPr="00834B1A">
              <w:rPr>
                <w:sz w:val="18"/>
                <w:szCs w:val="20"/>
              </w:rPr>
              <w:t xml:space="preserve"> years</w:t>
            </w:r>
          </w:p>
        </w:tc>
        <w:tc>
          <w:tcPr>
            <w:tcW w:w="1478" w:type="dxa"/>
          </w:tcPr>
          <w:p w:rsidR="003277A2" w:rsidRDefault="003277A2" w:rsidP="00C26909">
            <w:pPr>
              <w:numPr>
                <w:ilvl w:val="0"/>
                <w:numId w:val="1"/>
              </w:numPr>
              <w:ind w:left="162" w:hanging="162"/>
              <w:contextualSpacing/>
              <w:rPr>
                <w:sz w:val="18"/>
                <w:szCs w:val="18"/>
              </w:rPr>
            </w:pPr>
            <w:r>
              <w:rPr>
                <w:sz w:val="18"/>
                <w:szCs w:val="18"/>
              </w:rPr>
              <w:t>Age</w:t>
            </w:r>
          </w:p>
          <w:p w:rsidR="003277A2" w:rsidRDefault="003277A2" w:rsidP="00C26909">
            <w:pPr>
              <w:numPr>
                <w:ilvl w:val="0"/>
                <w:numId w:val="1"/>
              </w:numPr>
              <w:ind w:left="162" w:hanging="162"/>
              <w:contextualSpacing/>
              <w:rPr>
                <w:sz w:val="18"/>
                <w:szCs w:val="18"/>
              </w:rPr>
            </w:pPr>
            <w:r>
              <w:rPr>
                <w:sz w:val="18"/>
                <w:szCs w:val="18"/>
              </w:rPr>
              <w:t>Duration of disease</w:t>
            </w:r>
          </w:p>
          <w:p w:rsidR="003277A2" w:rsidRPr="003E1C61" w:rsidRDefault="003277A2" w:rsidP="00C26909">
            <w:pPr>
              <w:numPr>
                <w:ilvl w:val="0"/>
                <w:numId w:val="1"/>
              </w:numPr>
              <w:ind w:left="162" w:hanging="162"/>
              <w:contextualSpacing/>
              <w:rPr>
                <w:sz w:val="18"/>
                <w:szCs w:val="18"/>
              </w:rPr>
            </w:pPr>
            <w:r>
              <w:rPr>
                <w:sz w:val="18"/>
                <w:szCs w:val="18"/>
              </w:rPr>
              <w:t>Babinski sign</w:t>
            </w:r>
          </w:p>
        </w:tc>
        <w:tc>
          <w:tcPr>
            <w:tcW w:w="1448" w:type="dxa"/>
          </w:tcPr>
          <w:p w:rsidR="003277A2" w:rsidRPr="003E1C61" w:rsidRDefault="003277A2" w:rsidP="00C26909">
            <w:pPr>
              <w:numPr>
                <w:ilvl w:val="0"/>
                <w:numId w:val="1"/>
              </w:numPr>
              <w:ind w:left="162" w:hanging="162"/>
              <w:contextualSpacing/>
              <w:rPr>
                <w:sz w:val="18"/>
                <w:szCs w:val="18"/>
              </w:rPr>
            </w:pPr>
            <w:r>
              <w:rPr>
                <w:sz w:val="18"/>
                <w:szCs w:val="18"/>
              </w:rPr>
              <w:t>SI ratio</w:t>
            </w:r>
          </w:p>
        </w:tc>
        <w:tc>
          <w:tcPr>
            <w:tcW w:w="1415" w:type="dxa"/>
          </w:tcPr>
          <w:p w:rsidR="003277A2" w:rsidRDefault="003277A2" w:rsidP="00C26909">
            <w:pPr>
              <w:numPr>
                <w:ilvl w:val="0"/>
                <w:numId w:val="1"/>
              </w:numPr>
              <w:ind w:left="162" w:hanging="162"/>
              <w:contextualSpacing/>
              <w:rPr>
                <w:sz w:val="18"/>
                <w:szCs w:val="18"/>
              </w:rPr>
            </w:pPr>
            <w:r>
              <w:rPr>
                <w:sz w:val="18"/>
                <w:szCs w:val="18"/>
              </w:rPr>
              <w:t>Recovery rate of JOA score‡</w:t>
            </w:r>
          </w:p>
          <w:p w:rsidR="003277A2" w:rsidRPr="003E1C61" w:rsidRDefault="003277A2" w:rsidP="00C26909">
            <w:pPr>
              <w:numPr>
                <w:ilvl w:val="0"/>
                <w:numId w:val="1"/>
              </w:numPr>
              <w:ind w:left="162" w:hanging="162"/>
              <w:contextualSpacing/>
              <w:rPr>
                <w:sz w:val="18"/>
                <w:szCs w:val="18"/>
              </w:rPr>
            </w:pPr>
            <w:r>
              <w:rPr>
                <w:sz w:val="18"/>
                <w:szCs w:val="18"/>
              </w:rPr>
              <w:t>JOA score</w:t>
            </w:r>
          </w:p>
        </w:tc>
        <w:tc>
          <w:tcPr>
            <w:tcW w:w="1193" w:type="dxa"/>
          </w:tcPr>
          <w:p w:rsidR="003277A2" w:rsidRPr="003E1C61" w:rsidRDefault="003277A2" w:rsidP="00C26909">
            <w:pPr>
              <w:rPr>
                <w:sz w:val="18"/>
                <w:szCs w:val="18"/>
              </w:rPr>
            </w:pPr>
            <w:r>
              <w:rPr>
                <w:sz w:val="18"/>
                <w:szCs w:val="18"/>
              </w:rPr>
              <w:t>Min. 12 months (44.5% f/u; n = 73/164)</w:t>
            </w:r>
          </w:p>
        </w:tc>
        <w:tc>
          <w:tcPr>
            <w:tcW w:w="3245" w:type="dxa"/>
          </w:tcPr>
          <w:p w:rsidR="003277A2" w:rsidRPr="003A0061" w:rsidRDefault="003277A2" w:rsidP="00C26909">
            <w:pPr>
              <w:rPr>
                <w:b/>
                <w:sz w:val="18"/>
                <w:szCs w:val="18"/>
              </w:rPr>
            </w:pPr>
            <w:r w:rsidRPr="003A0061">
              <w:rPr>
                <w:b/>
                <w:sz w:val="18"/>
                <w:szCs w:val="18"/>
              </w:rPr>
              <w:t>JOA recovery rate</w:t>
            </w:r>
            <w:r>
              <w:rPr>
                <w:b/>
                <w:sz w:val="18"/>
                <w:szCs w:val="18"/>
              </w:rPr>
              <w:t xml:space="preserve"> (%) (univariate analysis)</w:t>
            </w:r>
          </w:p>
          <w:p w:rsidR="003277A2" w:rsidRPr="003A0061" w:rsidRDefault="003277A2" w:rsidP="00C26909">
            <w:pPr>
              <w:numPr>
                <w:ilvl w:val="0"/>
                <w:numId w:val="2"/>
              </w:numPr>
              <w:tabs>
                <w:tab w:val="clear" w:pos="720"/>
                <w:tab w:val="num" w:pos="252"/>
              </w:tabs>
              <w:ind w:left="252" w:hanging="180"/>
              <w:contextualSpacing/>
              <w:rPr>
                <w:sz w:val="18"/>
                <w:szCs w:val="20"/>
              </w:rPr>
            </w:pPr>
            <w:r w:rsidRPr="003A0061">
              <w:rPr>
                <w:sz w:val="18"/>
                <w:szCs w:val="20"/>
              </w:rPr>
              <w:t xml:space="preserve">Low: </w:t>
            </w:r>
            <w:r>
              <w:rPr>
                <w:sz w:val="18"/>
                <w:szCs w:val="20"/>
              </w:rPr>
              <w:t>0.77</w:t>
            </w:r>
            <w:r w:rsidRPr="003A0061">
              <w:rPr>
                <w:sz w:val="18"/>
                <w:szCs w:val="20"/>
              </w:rPr>
              <w:t xml:space="preserve"> ±</w:t>
            </w:r>
            <w:r>
              <w:rPr>
                <w:sz w:val="18"/>
                <w:szCs w:val="20"/>
              </w:rPr>
              <w:t xml:space="preserve"> 0.12</w:t>
            </w:r>
          </w:p>
          <w:p w:rsidR="003277A2" w:rsidRPr="003A0061" w:rsidRDefault="003277A2" w:rsidP="00C26909">
            <w:pPr>
              <w:numPr>
                <w:ilvl w:val="0"/>
                <w:numId w:val="2"/>
              </w:numPr>
              <w:tabs>
                <w:tab w:val="clear" w:pos="720"/>
                <w:tab w:val="num" w:pos="252"/>
              </w:tabs>
              <w:ind w:left="252" w:hanging="180"/>
              <w:contextualSpacing/>
              <w:rPr>
                <w:sz w:val="18"/>
                <w:szCs w:val="20"/>
              </w:rPr>
            </w:pPr>
            <w:r w:rsidRPr="003A0061">
              <w:rPr>
                <w:sz w:val="18"/>
                <w:szCs w:val="20"/>
              </w:rPr>
              <w:t xml:space="preserve">Intermediate: </w:t>
            </w:r>
            <w:r>
              <w:rPr>
                <w:sz w:val="18"/>
                <w:szCs w:val="20"/>
              </w:rPr>
              <w:t>0.51</w:t>
            </w:r>
            <w:r w:rsidRPr="003A0061">
              <w:rPr>
                <w:sz w:val="18"/>
                <w:szCs w:val="20"/>
              </w:rPr>
              <w:t xml:space="preserve"> ± </w:t>
            </w:r>
            <w:r>
              <w:rPr>
                <w:sz w:val="18"/>
                <w:szCs w:val="20"/>
              </w:rPr>
              <w:t>0.22</w:t>
            </w:r>
          </w:p>
          <w:p w:rsidR="003277A2" w:rsidRDefault="003277A2" w:rsidP="00C26909">
            <w:pPr>
              <w:numPr>
                <w:ilvl w:val="0"/>
                <w:numId w:val="2"/>
              </w:numPr>
              <w:tabs>
                <w:tab w:val="clear" w:pos="720"/>
                <w:tab w:val="num" w:pos="252"/>
              </w:tabs>
              <w:ind w:left="252" w:hanging="180"/>
              <w:contextualSpacing/>
              <w:rPr>
                <w:sz w:val="18"/>
                <w:szCs w:val="18"/>
              </w:rPr>
            </w:pPr>
            <w:r w:rsidRPr="003A0061">
              <w:rPr>
                <w:sz w:val="18"/>
                <w:szCs w:val="20"/>
              </w:rPr>
              <w:t>High</w:t>
            </w:r>
            <w:r>
              <w:rPr>
                <w:sz w:val="18"/>
                <w:szCs w:val="18"/>
              </w:rPr>
              <w:t>: 0.35 ± 0.23</w:t>
            </w:r>
          </w:p>
          <w:p w:rsidR="003277A2" w:rsidRPr="00DD514C" w:rsidRDefault="003277A2" w:rsidP="00C26909">
            <w:pPr>
              <w:ind w:left="357"/>
              <w:rPr>
                <w:i/>
                <w:sz w:val="18"/>
                <w:szCs w:val="18"/>
              </w:rPr>
            </w:pPr>
            <w:r w:rsidRPr="007C2307">
              <w:rPr>
                <w:i/>
                <w:sz w:val="18"/>
                <w:szCs w:val="18"/>
              </w:rPr>
              <w:t>P</w:t>
            </w:r>
            <w:r w:rsidRPr="00DD514C">
              <w:rPr>
                <w:i/>
                <w:sz w:val="18"/>
                <w:szCs w:val="18"/>
              </w:rPr>
              <w:t xml:space="preserve"> </w:t>
            </w:r>
            <w:r>
              <w:rPr>
                <w:sz w:val="18"/>
                <w:szCs w:val="18"/>
              </w:rPr>
              <w:t>&lt; .05</w:t>
            </w:r>
            <w:r w:rsidRPr="00DD514C">
              <w:rPr>
                <w:sz w:val="18"/>
                <w:szCs w:val="18"/>
              </w:rPr>
              <w:t xml:space="preserve"> for </w:t>
            </w:r>
            <w:r w:rsidRPr="001252DB">
              <w:rPr>
                <w:i/>
                <w:sz w:val="18"/>
                <w:szCs w:val="18"/>
              </w:rPr>
              <w:t>Low vs. Intermediate</w:t>
            </w:r>
          </w:p>
          <w:p w:rsidR="003277A2" w:rsidRPr="001252DB" w:rsidRDefault="003277A2" w:rsidP="00C26909">
            <w:pPr>
              <w:ind w:left="357"/>
              <w:rPr>
                <w:i/>
                <w:sz w:val="18"/>
                <w:szCs w:val="18"/>
              </w:rPr>
            </w:pPr>
            <w:r>
              <w:rPr>
                <w:i/>
                <w:sz w:val="18"/>
                <w:szCs w:val="18"/>
              </w:rPr>
              <w:t xml:space="preserve">P </w:t>
            </w:r>
            <w:r w:rsidRPr="00DD514C">
              <w:rPr>
                <w:sz w:val="18"/>
                <w:szCs w:val="18"/>
              </w:rPr>
              <w:t>&lt; .0</w:t>
            </w:r>
            <w:r>
              <w:rPr>
                <w:sz w:val="18"/>
                <w:szCs w:val="18"/>
              </w:rPr>
              <w:t>5</w:t>
            </w:r>
            <w:r w:rsidRPr="00DD514C">
              <w:rPr>
                <w:sz w:val="18"/>
                <w:szCs w:val="18"/>
              </w:rPr>
              <w:t xml:space="preserve"> for</w:t>
            </w:r>
            <w:r w:rsidRPr="00DD514C">
              <w:rPr>
                <w:i/>
                <w:sz w:val="18"/>
                <w:szCs w:val="18"/>
              </w:rPr>
              <w:t xml:space="preserve"> </w:t>
            </w:r>
            <w:r w:rsidRPr="001252DB">
              <w:rPr>
                <w:i/>
                <w:sz w:val="18"/>
                <w:szCs w:val="18"/>
              </w:rPr>
              <w:t>Low vs. High</w:t>
            </w:r>
          </w:p>
          <w:p w:rsidR="003277A2" w:rsidRPr="00DD514C" w:rsidRDefault="003277A2" w:rsidP="00C26909">
            <w:pPr>
              <w:ind w:left="357"/>
              <w:rPr>
                <w:i/>
                <w:sz w:val="18"/>
                <w:szCs w:val="18"/>
              </w:rPr>
            </w:pPr>
            <w:r w:rsidRPr="001252DB">
              <w:rPr>
                <w:i/>
                <w:sz w:val="18"/>
                <w:szCs w:val="18"/>
              </w:rPr>
              <w:t>P</w:t>
            </w:r>
            <w:r w:rsidRPr="00DD514C">
              <w:rPr>
                <w:i/>
                <w:sz w:val="18"/>
                <w:szCs w:val="18"/>
              </w:rPr>
              <w:t xml:space="preserve"> </w:t>
            </w:r>
            <w:r w:rsidRPr="00DD514C">
              <w:rPr>
                <w:sz w:val="18"/>
                <w:szCs w:val="18"/>
              </w:rPr>
              <w:t>&lt; .0</w:t>
            </w:r>
            <w:r>
              <w:rPr>
                <w:sz w:val="18"/>
                <w:szCs w:val="18"/>
              </w:rPr>
              <w:t>5</w:t>
            </w:r>
            <w:r w:rsidRPr="00DD514C">
              <w:rPr>
                <w:sz w:val="18"/>
                <w:szCs w:val="18"/>
              </w:rPr>
              <w:t xml:space="preserve"> for</w:t>
            </w:r>
            <w:r w:rsidRPr="00DD514C">
              <w:rPr>
                <w:i/>
                <w:sz w:val="18"/>
                <w:szCs w:val="18"/>
              </w:rPr>
              <w:t xml:space="preserve"> </w:t>
            </w:r>
            <w:r w:rsidRPr="001252DB">
              <w:rPr>
                <w:i/>
                <w:sz w:val="18"/>
                <w:szCs w:val="18"/>
              </w:rPr>
              <w:t>Intermediate vs. High</w:t>
            </w:r>
          </w:p>
          <w:p w:rsidR="003277A2" w:rsidRDefault="003277A2" w:rsidP="00C26909">
            <w:pPr>
              <w:contextualSpacing/>
              <w:rPr>
                <w:sz w:val="18"/>
                <w:szCs w:val="18"/>
              </w:rPr>
            </w:pPr>
          </w:p>
          <w:p w:rsidR="003277A2" w:rsidRPr="003A0061" w:rsidRDefault="003277A2" w:rsidP="00C26909">
            <w:pPr>
              <w:rPr>
                <w:b/>
                <w:sz w:val="18"/>
                <w:szCs w:val="18"/>
              </w:rPr>
            </w:pPr>
            <w:r>
              <w:rPr>
                <w:b/>
                <w:sz w:val="18"/>
                <w:szCs w:val="18"/>
              </w:rPr>
              <w:t xml:space="preserve">Postoperative </w:t>
            </w:r>
            <w:r w:rsidRPr="003A0061">
              <w:rPr>
                <w:b/>
                <w:sz w:val="18"/>
                <w:szCs w:val="18"/>
              </w:rPr>
              <w:t xml:space="preserve">JOA </w:t>
            </w:r>
            <w:r>
              <w:rPr>
                <w:b/>
                <w:sz w:val="18"/>
                <w:szCs w:val="18"/>
              </w:rPr>
              <w:t>score (median [quartile range]) (univariate analysis)</w:t>
            </w:r>
          </w:p>
          <w:p w:rsidR="003277A2" w:rsidRPr="003A0061" w:rsidRDefault="003277A2" w:rsidP="00C26909">
            <w:pPr>
              <w:numPr>
                <w:ilvl w:val="0"/>
                <w:numId w:val="2"/>
              </w:numPr>
              <w:tabs>
                <w:tab w:val="clear" w:pos="720"/>
                <w:tab w:val="num" w:pos="252"/>
              </w:tabs>
              <w:ind w:left="252" w:hanging="180"/>
              <w:contextualSpacing/>
              <w:rPr>
                <w:sz w:val="18"/>
                <w:szCs w:val="20"/>
              </w:rPr>
            </w:pPr>
            <w:r w:rsidRPr="003A0061">
              <w:rPr>
                <w:sz w:val="18"/>
                <w:szCs w:val="20"/>
              </w:rPr>
              <w:t xml:space="preserve">Low: </w:t>
            </w:r>
            <w:r>
              <w:rPr>
                <w:sz w:val="18"/>
                <w:szCs w:val="20"/>
              </w:rPr>
              <w:t>16.0 (2.0)</w:t>
            </w:r>
          </w:p>
          <w:p w:rsidR="003277A2" w:rsidRPr="003A0061" w:rsidRDefault="003277A2" w:rsidP="00C26909">
            <w:pPr>
              <w:numPr>
                <w:ilvl w:val="0"/>
                <w:numId w:val="2"/>
              </w:numPr>
              <w:tabs>
                <w:tab w:val="clear" w:pos="720"/>
                <w:tab w:val="num" w:pos="252"/>
              </w:tabs>
              <w:ind w:left="252" w:hanging="180"/>
              <w:contextualSpacing/>
              <w:rPr>
                <w:sz w:val="18"/>
                <w:szCs w:val="20"/>
              </w:rPr>
            </w:pPr>
            <w:r w:rsidRPr="003A0061">
              <w:rPr>
                <w:sz w:val="18"/>
                <w:szCs w:val="20"/>
              </w:rPr>
              <w:t xml:space="preserve">Intermediate: </w:t>
            </w:r>
            <w:r>
              <w:rPr>
                <w:sz w:val="18"/>
                <w:szCs w:val="20"/>
              </w:rPr>
              <w:t>13.0 (4.0)</w:t>
            </w:r>
          </w:p>
          <w:p w:rsidR="003277A2" w:rsidRDefault="003277A2" w:rsidP="00C26909">
            <w:pPr>
              <w:numPr>
                <w:ilvl w:val="0"/>
                <w:numId w:val="2"/>
              </w:numPr>
              <w:tabs>
                <w:tab w:val="clear" w:pos="720"/>
                <w:tab w:val="num" w:pos="252"/>
              </w:tabs>
              <w:ind w:left="252" w:hanging="180"/>
              <w:contextualSpacing/>
              <w:rPr>
                <w:sz w:val="18"/>
                <w:szCs w:val="18"/>
              </w:rPr>
            </w:pPr>
            <w:r w:rsidRPr="003A0061">
              <w:rPr>
                <w:sz w:val="18"/>
                <w:szCs w:val="20"/>
              </w:rPr>
              <w:t>High</w:t>
            </w:r>
            <w:r>
              <w:rPr>
                <w:sz w:val="18"/>
                <w:szCs w:val="18"/>
              </w:rPr>
              <w:t>: 10.0 (3.0)</w:t>
            </w:r>
          </w:p>
          <w:p w:rsidR="003277A2" w:rsidRPr="00DD514C" w:rsidRDefault="003277A2" w:rsidP="00C26909">
            <w:pPr>
              <w:ind w:left="357"/>
              <w:rPr>
                <w:i/>
                <w:sz w:val="18"/>
                <w:szCs w:val="18"/>
              </w:rPr>
            </w:pPr>
            <w:r w:rsidRPr="007C2307">
              <w:rPr>
                <w:i/>
                <w:sz w:val="18"/>
                <w:szCs w:val="18"/>
              </w:rPr>
              <w:t>P</w:t>
            </w:r>
            <w:r w:rsidRPr="00DD514C">
              <w:rPr>
                <w:i/>
                <w:sz w:val="18"/>
                <w:szCs w:val="18"/>
              </w:rPr>
              <w:t xml:space="preserve"> </w:t>
            </w:r>
            <w:r>
              <w:rPr>
                <w:sz w:val="18"/>
                <w:szCs w:val="18"/>
              </w:rPr>
              <w:t>&lt; .001</w:t>
            </w:r>
            <w:r w:rsidRPr="00DD514C">
              <w:rPr>
                <w:sz w:val="18"/>
                <w:szCs w:val="18"/>
              </w:rPr>
              <w:t xml:space="preserve"> for </w:t>
            </w:r>
            <w:r w:rsidRPr="001252DB">
              <w:rPr>
                <w:i/>
                <w:sz w:val="18"/>
                <w:szCs w:val="18"/>
              </w:rPr>
              <w:t>Low vs. Intermediate</w:t>
            </w:r>
          </w:p>
          <w:p w:rsidR="003277A2" w:rsidRPr="001252DB" w:rsidRDefault="003277A2" w:rsidP="00C26909">
            <w:pPr>
              <w:ind w:left="357"/>
              <w:rPr>
                <w:i/>
                <w:sz w:val="18"/>
                <w:szCs w:val="18"/>
              </w:rPr>
            </w:pPr>
            <w:r>
              <w:rPr>
                <w:i/>
                <w:sz w:val="18"/>
                <w:szCs w:val="18"/>
              </w:rPr>
              <w:t xml:space="preserve">P </w:t>
            </w:r>
            <w:r w:rsidRPr="00DD514C">
              <w:rPr>
                <w:sz w:val="18"/>
                <w:szCs w:val="18"/>
              </w:rPr>
              <w:t>&lt; .001 for</w:t>
            </w:r>
            <w:r w:rsidRPr="00DD514C">
              <w:rPr>
                <w:i/>
                <w:sz w:val="18"/>
                <w:szCs w:val="18"/>
              </w:rPr>
              <w:t xml:space="preserve"> </w:t>
            </w:r>
            <w:r w:rsidRPr="001252DB">
              <w:rPr>
                <w:i/>
                <w:sz w:val="18"/>
                <w:szCs w:val="18"/>
              </w:rPr>
              <w:t>Low vs. High</w:t>
            </w:r>
          </w:p>
          <w:p w:rsidR="003277A2" w:rsidRPr="00DD514C" w:rsidRDefault="003277A2" w:rsidP="00C26909">
            <w:pPr>
              <w:ind w:left="357"/>
              <w:rPr>
                <w:i/>
                <w:sz w:val="18"/>
                <w:szCs w:val="18"/>
              </w:rPr>
            </w:pPr>
            <w:r w:rsidRPr="001252DB">
              <w:rPr>
                <w:i/>
                <w:sz w:val="18"/>
                <w:szCs w:val="18"/>
              </w:rPr>
              <w:t>P</w:t>
            </w:r>
            <w:r w:rsidRPr="00DD514C">
              <w:rPr>
                <w:i/>
                <w:sz w:val="18"/>
                <w:szCs w:val="18"/>
              </w:rPr>
              <w:t xml:space="preserve"> </w:t>
            </w:r>
            <w:r>
              <w:rPr>
                <w:sz w:val="18"/>
                <w:szCs w:val="18"/>
              </w:rPr>
              <w:t>= .005</w:t>
            </w:r>
            <w:r w:rsidRPr="00DD514C">
              <w:rPr>
                <w:sz w:val="18"/>
                <w:szCs w:val="18"/>
              </w:rPr>
              <w:t xml:space="preserve"> for</w:t>
            </w:r>
            <w:r w:rsidRPr="00DD514C">
              <w:rPr>
                <w:i/>
                <w:sz w:val="18"/>
                <w:szCs w:val="18"/>
              </w:rPr>
              <w:t xml:space="preserve"> </w:t>
            </w:r>
            <w:r w:rsidRPr="001252DB">
              <w:rPr>
                <w:i/>
                <w:sz w:val="18"/>
                <w:szCs w:val="18"/>
              </w:rPr>
              <w:t>Intermediate vs. High</w:t>
            </w:r>
          </w:p>
          <w:p w:rsidR="003277A2" w:rsidRDefault="003277A2" w:rsidP="00C26909">
            <w:pPr>
              <w:rPr>
                <w:sz w:val="18"/>
                <w:szCs w:val="18"/>
              </w:rPr>
            </w:pPr>
          </w:p>
          <w:p w:rsidR="003277A2" w:rsidRPr="003A0061" w:rsidRDefault="003277A2" w:rsidP="00C26909">
            <w:pPr>
              <w:rPr>
                <w:sz w:val="18"/>
                <w:szCs w:val="18"/>
              </w:rPr>
            </w:pPr>
            <w:r>
              <w:rPr>
                <w:sz w:val="18"/>
                <w:szCs w:val="18"/>
              </w:rPr>
              <w:t>“</w:t>
            </w:r>
            <w:r w:rsidRPr="003A0061">
              <w:rPr>
                <w:sz w:val="18"/>
                <w:szCs w:val="18"/>
              </w:rPr>
              <w:t>Patients with low SI ratio who were not</w:t>
            </w:r>
            <w:r>
              <w:rPr>
                <w:sz w:val="18"/>
                <w:szCs w:val="18"/>
              </w:rPr>
              <w:t xml:space="preserve"> </w:t>
            </w:r>
            <w:r w:rsidRPr="003A0061">
              <w:rPr>
                <w:sz w:val="18"/>
                <w:szCs w:val="18"/>
              </w:rPr>
              <w:t>too old and had a shorter duration of disease experienced</w:t>
            </w:r>
            <w:r>
              <w:rPr>
                <w:sz w:val="18"/>
                <w:szCs w:val="18"/>
              </w:rPr>
              <w:t xml:space="preserve"> </w:t>
            </w:r>
            <w:r w:rsidRPr="003A0061">
              <w:rPr>
                <w:sz w:val="18"/>
                <w:szCs w:val="18"/>
              </w:rPr>
              <w:t>a good surgical outcome. However, with the increase of</w:t>
            </w:r>
          </w:p>
          <w:p w:rsidR="003277A2" w:rsidRPr="003A0061" w:rsidRDefault="003277A2" w:rsidP="00C26909">
            <w:pPr>
              <w:rPr>
                <w:sz w:val="18"/>
                <w:szCs w:val="18"/>
              </w:rPr>
            </w:pPr>
            <w:r w:rsidRPr="003A0061">
              <w:rPr>
                <w:sz w:val="18"/>
                <w:szCs w:val="18"/>
              </w:rPr>
              <w:t>SI ratio and the occurrence of pyramidal sign, a poor</w:t>
            </w:r>
            <w:r>
              <w:rPr>
                <w:sz w:val="18"/>
                <w:szCs w:val="18"/>
              </w:rPr>
              <w:t xml:space="preserve"> </w:t>
            </w:r>
            <w:r w:rsidRPr="003A0061">
              <w:rPr>
                <w:sz w:val="18"/>
                <w:szCs w:val="18"/>
              </w:rPr>
              <w:t>prognosis after surgery will show. SI ratio and clinical</w:t>
            </w:r>
            <w:r>
              <w:rPr>
                <w:sz w:val="18"/>
                <w:szCs w:val="18"/>
              </w:rPr>
              <w:t xml:space="preserve"> </w:t>
            </w:r>
            <w:r w:rsidRPr="003A0061">
              <w:rPr>
                <w:sz w:val="18"/>
                <w:szCs w:val="18"/>
              </w:rPr>
              <w:t>manifestation can be a predictor of surgical outcome</w:t>
            </w:r>
            <w:r>
              <w:rPr>
                <w:sz w:val="18"/>
                <w:szCs w:val="18"/>
              </w:rPr>
              <w:t>.”</w:t>
            </w:r>
          </w:p>
        </w:tc>
      </w:tr>
    </w:tbl>
    <w:p w:rsidR="003277A2" w:rsidRPr="00DC71FE" w:rsidRDefault="003277A2" w:rsidP="003277A2">
      <w:pPr>
        <w:pStyle w:val="NoSpacing"/>
        <w:ind w:left="-450"/>
        <w:rPr>
          <w:rFonts w:ascii="Times New Roman" w:hAnsi="Times New Roman"/>
          <w:sz w:val="16"/>
          <w:szCs w:val="16"/>
        </w:rPr>
      </w:pPr>
      <w:r w:rsidRPr="00DC71FE">
        <w:rPr>
          <w:rFonts w:ascii="Times New Roman" w:hAnsi="Times New Roman"/>
          <w:sz w:val="16"/>
          <w:szCs w:val="16"/>
        </w:rPr>
        <w:t xml:space="preserve">ACDF = anterior cervical discectomy and fusion; </w:t>
      </w:r>
      <w:r w:rsidR="00E302F9">
        <w:rPr>
          <w:rFonts w:ascii="Times New Roman" w:hAnsi="Times New Roman"/>
          <w:sz w:val="16"/>
          <w:szCs w:val="16"/>
        </w:rPr>
        <w:t xml:space="preserve">APOE = </w:t>
      </w:r>
      <w:proofErr w:type="spellStart"/>
      <w:r w:rsidR="00E302F9" w:rsidRPr="00E302F9">
        <w:rPr>
          <w:rFonts w:ascii="Times New Roman" w:hAnsi="Times New Roman"/>
          <w:sz w:val="16"/>
          <w:szCs w:val="16"/>
        </w:rPr>
        <w:t>apolipoprotein</w:t>
      </w:r>
      <w:proofErr w:type="spellEnd"/>
      <w:r w:rsidR="00E302F9" w:rsidRPr="00E302F9">
        <w:rPr>
          <w:rFonts w:ascii="Times New Roman" w:hAnsi="Times New Roman"/>
          <w:sz w:val="16"/>
          <w:szCs w:val="16"/>
        </w:rPr>
        <w:t xml:space="preserve"> E</w:t>
      </w:r>
      <w:r w:rsidR="00E302F9">
        <w:rPr>
          <w:rFonts w:ascii="Times New Roman" w:hAnsi="Times New Roman"/>
          <w:sz w:val="16"/>
          <w:szCs w:val="16"/>
        </w:rPr>
        <w:t xml:space="preserve">; </w:t>
      </w:r>
      <w:r w:rsidRPr="00DC71FE">
        <w:rPr>
          <w:rFonts w:ascii="Times New Roman" w:hAnsi="Times New Roman"/>
          <w:sz w:val="16"/>
          <w:szCs w:val="16"/>
        </w:rPr>
        <w:t xml:space="preserve">CDH = cervical disc herniation; CSM = cervical spondylotic myelopathy; </w:t>
      </w:r>
      <w:r>
        <w:rPr>
          <w:rFonts w:ascii="Times New Roman" w:hAnsi="Times New Roman"/>
          <w:sz w:val="16"/>
          <w:szCs w:val="16"/>
        </w:rPr>
        <w:t xml:space="preserve">ISI = increase signal intensity; </w:t>
      </w:r>
      <w:r w:rsidRPr="00DC71FE">
        <w:rPr>
          <w:rFonts w:ascii="Times New Roman" w:hAnsi="Times New Roman"/>
          <w:sz w:val="16"/>
          <w:szCs w:val="16"/>
        </w:rPr>
        <w:t xml:space="preserve">JOA = Japanese Orthopaedic Association; </w:t>
      </w:r>
      <w:r>
        <w:rPr>
          <w:rFonts w:ascii="Times New Roman" w:hAnsi="Times New Roman"/>
          <w:sz w:val="16"/>
          <w:szCs w:val="16"/>
        </w:rPr>
        <w:t xml:space="preserve">NR = not reported; </w:t>
      </w:r>
      <w:r w:rsidRPr="00DC71FE">
        <w:rPr>
          <w:rFonts w:ascii="Times New Roman" w:hAnsi="Times New Roman"/>
          <w:sz w:val="16"/>
          <w:szCs w:val="16"/>
        </w:rPr>
        <w:t>NS = not significant</w:t>
      </w:r>
      <w:r>
        <w:rPr>
          <w:rFonts w:ascii="Times New Roman" w:hAnsi="Times New Roman"/>
          <w:sz w:val="16"/>
          <w:szCs w:val="16"/>
        </w:rPr>
        <w:t>; OPLL = ossification of the posterior longitudinal ligament; SD = standard deviation; SI = signal intensity</w:t>
      </w:r>
      <w:r w:rsidRPr="00DC71FE">
        <w:rPr>
          <w:rFonts w:ascii="Times New Roman" w:hAnsi="Times New Roman"/>
          <w:sz w:val="16"/>
          <w:szCs w:val="16"/>
        </w:rPr>
        <w:t>.</w:t>
      </w:r>
    </w:p>
    <w:p w:rsidR="003277A2" w:rsidRDefault="003277A2" w:rsidP="003277A2">
      <w:pPr>
        <w:pStyle w:val="NoSpacing"/>
        <w:ind w:left="-450"/>
        <w:rPr>
          <w:rFonts w:ascii="Times New Roman" w:hAnsi="Times New Roman"/>
          <w:sz w:val="16"/>
          <w:szCs w:val="16"/>
        </w:rPr>
      </w:pPr>
      <w:r>
        <w:rPr>
          <w:rFonts w:ascii="Times New Roman" w:hAnsi="Times New Roman"/>
          <w:sz w:val="16"/>
          <w:szCs w:val="16"/>
        </w:rPr>
        <w:t>*When available, p-values from the multivariate regression analysis were used; when unavailable, univariate p-values were reported.</w:t>
      </w:r>
    </w:p>
    <w:p w:rsidR="003277A2" w:rsidRDefault="003277A2" w:rsidP="003277A2">
      <w:pPr>
        <w:pStyle w:val="NoSpacing"/>
        <w:ind w:left="-450"/>
        <w:rPr>
          <w:rFonts w:ascii="Times New Roman" w:hAnsi="Times New Roman"/>
          <w:sz w:val="16"/>
          <w:szCs w:val="16"/>
        </w:rPr>
      </w:pPr>
      <w:r>
        <w:rPr>
          <w:rFonts w:ascii="Times New Roman" w:hAnsi="Times New Roman"/>
          <w:sz w:val="16"/>
          <w:szCs w:val="16"/>
        </w:rPr>
        <w:t>†</w:t>
      </w:r>
      <w:r w:rsidRPr="00DC71FE">
        <w:rPr>
          <w:rFonts w:ascii="Times New Roman" w:hAnsi="Times New Roman"/>
          <w:sz w:val="16"/>
          <w:szCs w:val="16"/>
        </w:rPr>
        <w:t>Grade 0 = no intramedullary high SI on T2-weighted MRI; Grade 1 = predominantly faint and indistinct border; Grade 2 = predominantly intense and well-defined border</w:t>
      </w:r>
    </w:p>
    <w:p w:rsidR="003277A2" w:rsidRPr="00DC71FE" w:rsidRDefault="003277A2" w:rsidP="003277A2">
      <w:pPr>
        <w:pStyle w:val="NoSpacing"/>
        <w:ind w:left="-450"/>
        <w:rPr>
          <w:rFonts w:ascii="Times New Roman" w:hAnsi="Times New Roman"/>
          <w:sz w:val="16"/>
          <w:szCs w:val="16"/>
        </w:rPr>
      </w:pPr>
      <w:r>
        <w:rPr>
          <w:rFonts w:ascii="Times New Roman" w:hAnsi="Times New Roman"/>
          <w:sz w:val="16"/>
          <w:szCs w:val="16"/>
        </w:rPr>
        <w:t>‡</w:t>
      </w:r>
      <w:r w:rsidRPr="00DC71FE">
        <w:rPr>
          <w:rFonts w:ascii="Times New Roman" w:hAnsi="Times New Roman"/>
          <w:sz w:val="16"/>
          <w:szCs w:val="16"/>
        </w:rPr>
        <w:t xml:space="preserve">The recovery rate of the JOA score is calculated by subtracting the preoperative JOA score from the postoperative JOA score and dividing that number by the difference between the preoperative JOA score and the full score (17 points); the resulting score is multiplied by 100 to get the recovery rate.   </w:t>
      </w:r>
    </w:p>
    <w:p w:rsidR="003277A2" w:rsidRDefault="003277A2" w:rsidP="003277A2">
      <w:pPr>
        <w:pStyle w:val="NoSpacing"/>
        <w:ind w:left="-450"/>
        <w:rPr>
          <w:rFonts w:ascii="Times New Roman" w:hAnsi="Times New Roman"/>
          <w:sz w:val="16"/>
          <w:szCs w:val="16"/>
        </w:rPr>
      </w:pPr>
      <w:r>
        <w:rPr>
          <w:rFonts w:ascii="Times New Roman" w:hAnsi="Times New Roman"/>
          <w:sz w:val="16"/>
          <w:szCs w:val="16"/>
        </w:rPr>
        <w:lastRenderedPageBreak/>
        <w:t>§</w:t>
      </w:r>
      <w:r w:rsidRPr="00643F21">
        <w:rPr>
          <w:rFonts w:ascii="Times New Roman" w:hAnsi="Times New Roman"/>
          <w:sz w:val="16"/>
          <w:szCs w:val="16"/>
        </w:rPr>
        <w:t>A compressed segment was determined by CT myelography or MRI</w:t>
      </w:r>
      <w:r>
        <w:rPr>
          <w:rFonts w:ascii="Times New Roman" w:hAnsi="Times New Roman"/>
          <w:sz w:val="16"/>
          <w:szCs w:val="16"/>
        </w:rPr>
        <w:t>.</w:t>
      </w:r>
    </w:p>
    <w:p w:rsidR="003277A2" w:rsidRDefault="003277A2" w:rsidP="003277A2">
      <w:pPr>
        <w:pStyle w:val="NoSpacing"/>
        <w:ind w:left="-450"/>
        <w:rPr>
          <w:rFonts w:ascii="Times New Roman" w:hAnsi="Times New Roman"/>
          <w:sz w:val="16"/>
          <w:szCs w:val="16"/>
        </w:rPr>
      </w:pPr>
      <w:r>
        <w:rPr>
          <w:rFonts w:ascii="Times New Roman" w:hAnsi="Times New Roman"/>
          <w:sz w:val="16"/>
          <w:szCs w:val="16"/>
        </w:rPr>
        <w:t>**</w:t>
      </w:r>
      <w:r w:rsidRPr="00643F21">
        <w:rPr>
          <w:rFonts w:ascii="Times New Roman" w:hAnsi="Times New Roman"/>
          <w:sz w:val="16"/>
          <w:szCs w:val="16"/>
        </w:rPr>
        <w:t>Group A = normal T1WI/normal T2WI; Group B = normal T1WI/high SI T2WI; Group C = low SIT1WI/high SI T2WI</w:t>
      </w:r>
    </w:p>
    <w:p w:rsidR="003277A2" w:rsidRPr="00DC71FE" w:rsidRDefault="003277A2" w:rsidP="003277A2">
      <w:pPr>
        <w:pStyle w:val="NoSpacing"/>
        <w:ind w:left="-450"/>
        <w:rPr>
          <w:rFonts w:ascii="Times New Roman" w:hAnsi="Times New Roman"/>
          <w:sz w:val="16"/>
          <w:szCs w:val="16"/>
        </w:rPr>
      </w:pPr>
      <w:r>
        <w:rPr>
          <w:rFonts w:ascii="Times New Roman" w:hAnsi="Times New Roman"/>
          <w:sz w:val="16"/>
          <w:szCs w:val="16"/>
        </w:rPr>
        <w:t>††Of patients with ISI, the T2:T1 ratios ranged from 1.18 to 2.77.  These patients were further subdivided by the median T2:T1 ratio (1.77) into two groups of 18 patients each: “Intermediate” ISI = 1.18-1.74; “High” ISI = 1.79-2.77.</w:t>
      </w:r>
    </w:p>
    <w:p w:rsidR="003277A2" w:rsidRPr="00DC71FE" w:rsidRDefault="003277A2" w:rsidP="003277A2">
      <w:pPr>
        <w:ind w:left="-450"/>
        <w:rPr>
          <w:sz w:val="16"/>
          <w:szCs w:val="16"/>
        </w:rPr>
      </w:pPr>
    </w:p>
    <w:p w:rsidR="003277A2" w:rsidRDefault="003277A2"/>
    <w:sectPr w:rsidR="003277A2" w:rsidSect="003277A2">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22E5B"/>
    <w:multiLevelType w:val="hybridMultilevel"/>
    <w:tmpl w:val="2B9C6B48"/>
    <w:lvl w:ilvl="0" w:tplc="04090001">
      <w:start w:val="1"/>
      <w:numFmt w:val="bullet"/>
      <w:lvlText w:val=""/>
      <w:lvlJc w:val="left"/>
      <w:pPr>
        <w:ind w:left="987" w:hanging="360"/>
      </w:pPr>
      <w:rPr>
        <w:rFonts w:ascii="Symbol" w:hAnsi="Symbol" w:hint="default"/>
      </w:rPr>
    </w:lvl>
    <w:lvl w:ilvl="1" w:tplc="04090003" w:tentative="1">
      <w:start w:val="1"/>
      <w:numFmt w:val="bullet"/>
      <w:lvlText w:val="o"/>
      <w:lvlJc w:val="left"/>
      <w:pPr>
        <w:ind w:left="1707" w:hanging="360"/>
      </w:pPr>
      <w:rPr>
        <w:rFonts w:ascii="Courier New" w:hAnsi="Courier New" w:cs="Courier New" w:hint="default"/>
      </w:rPr>
    </w:lvl>
    <w:lvl w:ilvl="2" w:tplc="04090005" w:tentative="1">
      <w:start w:val="1"/>
      <w:numFmt w:val="bullet"/>
      <w:lvlText w:val=""/>
      <w:lvlJc w:val="left"/>
      <w:pPr>
        <w:ind w:left="2427" w:hanging="360"/>
      </w:pPr>
      <w:rPr>
        <w:rFonts w:ascii="Wingdings" w:hAnsi="Wingdings" w:hint="default"/>
      </w:rPr>
    </w:lvl>
    <w:lvl w:ilvl="3" w:tplc="04090001" w:tentative="1">
      <w:start w:val="1"/>
      <w:numFmt w:val="bullet"/>
      <w:lvlText w:val=""/>
      <w:lvlJc w:val="left"/>
      <w:pPr>
        <w:ind w:left="3147" w:hanging="360"/>
      </w:pPr>
      <w:rPr>
        <w:rFonts w:ascii="Symbol" w:hAnsi="Symbol" w:hint="default"/>
      </w:rPr>
    </w:lvl>
    <w:lvl w:ilvl="4" w:tplc="04090003" w:tentative="1">
      <w:start w:val="1"/>
      <w:numFmt w:val="bullet"/>
      <w:lvlText w:val="o"/>
      <w:lvlJc w:val="left"/>
      <w:pPr>
        <w:ind w:left="3867" w:hanging="360"/>
      </w:pPr>
      <w:rPr>
        <w:rFonts w:ascii="Courier New" w:hAnsi="Courier New" w:cs="Courier New" w:hint="default"/>
      </w:rPr>
    </w:lvl>
    <w:lvl w:ilvl="5" w:tplc="04090005" w:tentative="1">
      <w:start w:val="1"/>
      <w:numFmt w:val="bullet"/>
      <w:lvlText w:val=""/>
      <w:lvlJc w:val="left"/>
      <w:pPr>
        <w:ind w:left="4587" w:hanging="360"/>
      </w:pPr>
      <w:rPr>
        <w:rFonts w:ascii="Wingdings" w:hAnsi="Wingdings" w:hint="default"/>
      </w:rPr>
    </w:lvl>
    <w:lvl w:ilvl="6" w:tplc="04090001" w:tentative="1">
      <w:start w:val="1"/>
      <w:numFmt w:val="bullet"/>
      <w:lvlText w:val=""/>
      <w:lvlJc w:val="left"/>
      <w:pPr>
        <w:ind w:left="5307" w:hanging="360"/>
      </w:pPr>
      <w:rPr>
        <w:rFonts w:ascii="Symbol" w:hAnsi="Symbol" w:hint="default"/>
      </w:rPr>
    </w:lvl>
    <w:lvl w:ilvl="7" w:tplc="04090003" w:tentative="1">
      <w:start w:val="1"/>
      <w:numFmt w:val="bullet"/>
      <w:lvlText w:val="o"/>
      <w:lvlJc w:val="left"/>
      <w:pPr>
        <w:ind w:left="6027" w:hanging="360"/>
      </w:pPr>
      <w:rPr>
        <w:rFonts w:ascii="Courier New" w:hAnsi="Courier New" w:cs="Courier New" w:hint="default"/>
      </w:rPr>
    </w:lvl>
    <w:lvl w:ilvl="8" w:tplc="04090005" w:tentative="1">
      <w:start w:val="1"/>
      <w:numFmt w:val="bullet"/>
      <w:lvlText w:val=""/>
      <w:lvlJc w:val="left"/>
      <w:pPr>
        <w:ind w:left="6747" w:hanging="360"/>
      </w:pPr>
      <w:rPr>
        <w:rFonts w:ascii="Wingdings" w:hAnsi="Wingdings" w:hint="default"/>
      </w:rPr>
    </w:lvl>
  </w:abstractNum>
  <w:abstractNum w:abstractNumId="1">
    <w:nsid w:val="201A3C9B"/>
    <w:multiLevelType w:val="hybridMultilevel"/>
    <w:tmpl w:val="938CD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A8529A"/>
    <w:multiLevelType w:val="hybridMultilevel"/>
    <w:tmpl w:val="230835EE"/>
    <w:lvl w:ilvl="0" w:tplc="9CC6EE0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0A2228"/>
    <w:multiLevelType w:val="hybridMultilevel"/>
    <w:tmpl w:val="08DE7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331DC3"/>
    <w:multiLevelType w:val="hybridMultilevel"/>
    <w:tmpl w:val="26F25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245159"/>
    <w:multiLevelType w:val="hybridMultilevel"/>
    <w:tmpl w:val="0158E874"/>
    <w:lvl w:ilvl="0" w:tplc="7DF4929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CF71BC"/>
    <w:multiLevelType w:val="hybridMultilevel"/>
    <w:tmpl w:val="05366312"/>
    <w:lvl w:ilvl="0" w:tplc="92FAF5F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4A4DDF"/>
    <w:multiLevelType w:val="hybridMultilevel"/>
    <w:tmpl w:val="5E90365E"/>
    <w:lvl w:ilvl="0" w:tplc="386ABD8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02509C"/>
    <w:multiLevelType w:val="hybridMultilevel"/>
    <w:tmpl w:val="0FEAE0B2"/>
    <w:lvl w:ilvl="0" w:tplc="9CC6EE0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7B4EBB"/>
    <w:multiLevelType w:val="hybridMultilevel"/>
    <w:tmpl w:val="B2B2F960"/>
    <w:lvl w:ilvl="0" w:tplc="BE78B14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941ADC"/>
    <w:multiLevelType w:val="hybridMultilevel"/>
    <w:tmpl w:val="3F68E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6BF6E09"/>
    <w:multiLevelType w:val="hybridMultilevel"/>
    <w:tmpl w:val="51F460E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2">
    <w:nsid w:val="6AD70EA3"/>
    <w:multiLevelType w:val="hybridMultilevel"/>
    <w:tmpl w:val="4770E6F2"/>
    <w:lvl w:ilvl="0" w:tplc="3282018A">
      <w:start w:val="1"/>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4"/>
  </w:num>
  <w:num w:numId="4">
    <w:abstractNumId w:val="3"/>
  </w:num>
  <w:num w:numId="5">
    <w:abstractNumId w:val="11"/>
  </w:num>
  <w:num w:numId="6">
    <w:abstractNumId w:val="1"/>
  </w:num>
  <w:num w:numId="7">
    <w:abstractNumId w:val="8"/>
  </w:num>
  <w:num w:numId="8">
    <w:abstractNumId w:val="9"/>
  </w:num>
  <w:num w:numId="9">
    <w:abstractNumId w:val="10"/>
  </w:num>
  <w:num w:numId="10">
    <w:abstractNumId w:val="0"/>
  </w:num>
  <w:num w:numId="11">
    <w:abstractNumId w:val="5"/>
  </w:num>
  <w:num w:numId="12">
    <w:abstractNumId w:val="6"/>
  </w:num>
  <w:num w:numId="13">
    <w:abstractNumId w:val="7"/>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58D"/>
    <w:rsid w:val="003277A2"/>
    <w:rsid w:val="00426B91"/>
    <w:rsid w:val="0043721E"/>
    <w:rsid w:val="004C0E24"/>
    <w:rsid w:val="004E5027"/>
    <w:rsid w:val="005735CE"/>
    <w:rsid w:val="00670144"/>
    <w:rsid w:val="008A3841"/>
    <w:rsid w:val="008C3813"/>
    <w:rsid w:val="00A33B51"/>
    <w:rsid w:val="00A7358D"/>
    <w:rsid w:val="00B92FBD"/>
    <w:rsid w:val="00B939A0"/>
    <w:rsid w:val="00C20FA2"/>
    <w:rsid w:val="00C26909"/>
    <w:rsid w:val="00DC4E9E"/>
    <w:rsid w:val="00E302F9"/>
    <w:rsid w:val="00EC4A73"/>
    <w:rsid w:val="00F7384D"/>
    <w:rsid w:val="00FB2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Arial"/>
        <w:color w:val="000000"/>
        <w:kern w:val="36"/>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77A2"/>
    <w:rPr>
      <w:rFonts w:ascii="Calibri" w:eastAsia="Calibri" w:hAnsi="Calibri" w:cs="Times New Roman"/>
      <w:color w:val="auto"/>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277A2"/>
    <w:rPr>
      <w:rFonts w:ascii="Tahoma" w:eastAsia="Calibri" w:hAnsi="Tahoma" w:cs="Tahoma"/>
      <w:color w:val="auto"/>
      <w:kern w:val="0"/>
      <w:sz w:val="16"/>
      <w:szCs w:val="16"/>
    </w:rPr>
  </w:style>
  <w:style w:type="character" w:customStyle="1" w:styleId="BalloonTextChar">
    <w:name w:val="Balloon Text Char"/>
    <w:basedOn w:val="DefaultParagraphFont"/>
    <w:link w:val="BalloonText"/>
    <w:uiPriority w:val="99"/>
    <w:semiHidden/>
    <w:rsid w:val="003277A2"/>
    <w:rPr>
      <w:rFonts w:ascii="Tahoma" w:eastAsia="Calibri" w:hAnsi="Tahoma" w:cs="Tahoma"/>
      <w:color w:val="auto"/>
      <w:kern w:val="0"/>
      <w:sz w:val="16"/>
      <w:szCs w:val="16"/>
    </w:rPr>
  </w:style>
  <w:style w:type="paragraph" w:styleId="NoSpacing">
    <w:name w:val="No Spacing"/>
    <w:uiPriority w:val="1"/>
    <w:qFormat/>
    <w:rsid w:val="003277A2"/>
    <w:rPr>
      <w:rFonts w:ascii="Calibri" w:eastAsia="Calibri" w:hAnsi="Calibri" w:cs="Times New Roman"/>
      <w:color w:val="auto"/>
      <w:kern w:val="0"/>
      <w:sz w:val="22"/>
      <w:szCs w:val="22"/>
    </w:rPr>
  </w:style>
  <w:style w:type="paragraph" w:styleId="ListParagraph">
    <w:name w:val="List Paragraph"/>
    <w:basedOn w:val="Normal"/>
    <w:uiPriority w:val="34"/>
    <w:qFormat/>
    <w:rsid w:val="003277A2"/>
    <w:pPr>
      <w:spacing w:after="200" w:line="276" w:lineRule="auto"/>
      <w:ind w:left="720"/>
      <w:contextualSpacing/>
    </w:pPr>
    <w:rPr>
      <w:rFonts w:ascii="Calibri" w:eastAsia="Calibri" w:hAnsi="Calibri" w:cs="Times New Roman"/>
      <w:color w:val="auto"/>
      <w:kern w:val="0"/>
      <w:sz w:val="22"/>
      <w:szCs w:val="22"/>
    </w:rPr>
  </w:style>
  <w:style w:type="character" w:styleId="CommentReference">
    <w:name w:val="annotation reference"/>
    <w:rsid w:val="003277A2"/>
    <w:rPr>
      <w:sz w:val="16"/>
      <w:szCs w:val="16"/>
    </w:rPr>
  </w:style>
  <w:style w:type="paragraph" w:styleId="CommentText">
    <w:name w:val="annotation text"/>
    <w:basedOn w:val="Normal"/>
    <w:link w:val="CommentTextChar"/>
    <w:rsid w:val="003277A2"/>
    <w:pPr>
      <w:spacing w:after="200" w:line="276" w:lineRule="auto"/>
    </w:pPr>
    <w:rPr>
      <w:rFonts w:ascii="Calibri" w:eastAsia="Calibri" w:hAnsi="Calibri" w:cs="Times New Roman"/>
      <w:color w:val="auto"/>
      <w:kern w:val="0"/>
      <w:sz w:val="20"/>
      <w:szCs w:val="20"/>
    </w:rPr>
  </w:style>
  <w:style w:type="character" w:customStyle="1" w:styleId="CommentTextChar">
    <w:name w:val="Comment Text Char"/>
    <w:basedOn w:val="DefaultParagraphFont"/>
    <w:link w:val="CommentText"/>
    <w:rsid w:val="003277A2"/>
    <w:rPr>
      <w:rFonts w:ascii="Calibri" w:eastAsia="Calibri" w:hAnsi="Calibri" w:cs="Times New Roman"/>
      <w:color w:val="auto"/>
      <w:kern w:val="0"/>
      <w:sz w:val="20"/>
      <w:szCs w:val="20"/>
    </w:rPr>
  </w:style>
  <w:style w:type="paragraph" w:styleId="CommentSubject">
    <w:name w:val="annotation subject"/>
    <w:basedOn w:val="CommentText"/>
    <w:next w:val="CommentText"/>
    <w:link w:val="CommentSubjectChar"/>
    <w:rsid w:val="003277A2"/>
    <w:rPr>
      <w:b/>
      <w:bCs/>
    </w:rPr>
  </w:style>
  <w:style w:type="character" w:customStyle="1" w:styleId="CommentSubjectChar">
    <w:name w:val="Comment Subject Char"/>
    <w:basedOn w:val="CommentTextChar"/>
    <w:link w:val="CommentSubject"/>
    <w:rsid w:val="003277A2"/>
    <w:rPr>
      <w:rFonts w:ascii="Calibri" w:eastAsia="Calibri" w:hAnsi="Calibri" w:cs="Times New Roman"/>
      <w:b/>
      <w:bCs/>
      <w:color w:val="auto"/>
      <w:kern w:val="0"/>
      <w:sz w:val="20"/>
      <w:szCs w:val="20"/>
    </w:rPr>
  </w:style>
  <w:style w:type="paragraph" w:styleId="Header">
    <w:name w:val="header"/>
    <w:basedOn w:val="Normal"/>
    <w:link w:val="HeaderChar"/>
    <w:rsid w:val="003277A2"/>
    <w:pPr>
      <w:tabs>
        <w:tab w:val="center" w:pos="4680"/>
        <w:tab w:val="right" w:pos="9360"/>
      </w:tabs>
      <w:spacing w:after="200" w:line="276" w:lineRule="auto"/>
    </w:pPr>
    <w:rPr>
      <w:rFonts w:ascii="Calibri" w:eastAsia="Calibri" w:hAnsi="Calibri" w:cs="Times New Roman"/>
      <w:color w:val="auto"/>
      <w:kern w:val="0"/>
      <w:sz w:val="22"/>
      <w:szCs w:val="22"/>
    </w:rPr>
  </w:style>
  <w:style w:type="character" w:customStyle="1" w:styleId="HeaderChar">
    <w:name w:val="Header Char"/>
    <w:basedOn w:val="DefaultParagraphFont"/>
    <w:link w:val="Header"/>
    <w:rsid w:val="003277A2"/>
    <w:rPr>
      <w:rFonts w:ascii="Calibri" w:eastAsia="Calibri" w:hAnsi="Calibri" w:cs="Times New Roman"/>
      <w:color w:val="auto"/>
      <w:kern w:val="0"/>
      <w:sz w:val="22"/>
      <w:szCs w:val="22"/>
    </w:rPr>
  </w:style>
  <w:style w:type="paragraph" w:styleId="Footer">
    <w:name w:val="footer"/>
    <w:basedOn w:val="Normal"/>
    <w:link w:val="FooterChar"/>
    <w:uiPriority w:val="99"/>
    <w:rsid w:val="003277A2"/>
    <w:pPr>
      <w:tabs>
        <w:tab w:val="center" w:pos="4680"/>
        <w:tab w:val="right" w:pos="9360"/>
      </w:tabs>
      <w:spacing w:after="200" w:line="276" w:lineRule="auto"/>
    </w:pPr>
    <w:rPr>
      <w:rFonts w:ascii="Calibri" w:eastAsia="Calibri" w:hAnsi="Calibri" w:cs="Times New Roman"/>
      <w:color w:val="auto"/>
      <w:kern w:val="0"/>
      <w:sz w:val="22"/>
      <w:szCs w:val="22"/>
    </w:rPr>
  </w:style>
  <w:style w:type="character" w:customStyle="1" w:styleId="FooterChar">
    <w:name w:val="Footer Char"/>
    <w:basedOn w:val="DefaultParagraphFont"/>
    <w:link w:val="Footer"/>
    <w:uiPriority w:val="99"/>
    <w:rsid w:val="003277A2"/>
    <w:rPr>
      <w:rFonts w:ascii="Calibri" w:eastAsia="Calibri" w:hAnsi="Calibri" w:cs="Times New Roman"/>
      <w:color w:val="auto"/>
      <w:kern w:val="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Arial"/>
        <w:color w:val="000000"/>
        <w:kern w:val="36"/>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77A2"/>
    <w:rPr>
      <w:rFonts w:ascii="Calibri" w:eastAsia="Calibri" w:hAnsi="Calibri" w:cs="Times New Roman"/>
      <w:color w:val="auto"/>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277A2"/>
    <w:rPr>
      <w:rFonts w:ascii="Tahoma" w:eastAsia="Calibri" w:hAnsi="Tahoma" w:cs="Tahoma"/>
      <w:color w:val="auto"/>
      <w:kern w:val="0"/>
      <w:sz w:val="16"/>
      <w:szCs w:val="16"/>
    </w:rPr>
  </w:style>
  <w:style w:type="character" w:customStyle="1" w:styleId="BalloonTextChar">
    <w:name w:val="Balloon Text Char"/>
    <w:basedOn w:val="DefaultParagraphFont"/>
    <w:link w:val="BalloonText"/>
    <w:uiPriority w:val="99"/>
    <w:semiHidden/>
    <w:rsid w:val="003277A2"/>
    <w:rPr>
      <w:rFonts w:ascii="Tahoma" w:eastAsia="Calibri" w:hAnsi="Tahoma" w:cs="Tahoma"/>
      <w:color w:val="auto"/>
      <w:kern w:val="0"/>
      <w:sz w:val="16"/>
      <w:szCs w:val="16"/>
    </w:rPr>
  </w:style>
  <w:style w:type="paragraph" w:styleId="NoSpacing">
    <w:name w:val="No Spacing"/>
    <w:uiPriority w:val="1"/>
    <w:qFormat/>
    <w:rsid w:val="003277A2"/>
    <w:rPr>
      <w:rFonts w:ascii="Calibri" w:eastAsia="Calibri" w:hAnsi="Calibri" w:cs="Times New Roman"/>
      <w:color w:val="auto"/>
      <w:kern w:val="0"/>
      <w:sz w:val="22"/>
      <w:szCs w:val="22"/>
    </w:rPr>
  </w:style>
  <w:style w:type="paragraph" w:styleId="ListParagraph">
    <w:name w:val="List Paragraph"/>
    <w:basedOn w:val="Normal"/>
    <w:uiPriority w:val="34"/>
    <w:qFormat/>
    <w:rsid w:val="003277A2"/>
    <w:pPr>
      <w:spacing w:after="200" w:line="276" w:lineRule="auto"/>
      <w:ind w:left="720"/>
      <w:contextualSpacing/>
    </w:pPr>
    <w:rPr>
      <w:rFonts w:ascii="Calibri" w:eastAsia="Calibri" w:hAnsi="Calibri" w:cs="Times New Roman"/>
      <w:color w:val="auto"/>
      <w:kern w:val="0"/>
      <w:sz w:val="22"/>
      <w:szCs w:val="22"/>
    </w:rPr>
  </w:style>
  <w:style w:type="character" w:styleId="CommentReference">
    <w:name w:val="annotation reference"/>
    <w:rsid w:val="003277A2"/>
    <w:rPr>
      <w:sz w:val="16"/>
      <w:szCs w:val="16"/>
    </w:rPr>
  </w:style>
  <w:style w:type="paragraph" w:styleId="CommentText">
    <w:name w:val="annotation text"/>
    <w:basedOn w:val="Normal"/>
    <w:link w:val="CommentTextChar"/>
    <w:rsid w:val="003277A2"/>
    <w:pPr>
      <w:spacing w:after="200" w:line="276" w:lineRule="auto"/>
    </w:pPr>
    <w:rPr>
      <w:rFonts w:ascii="Calibri" w:eastAsia="Calibri" w:hAnsi="Calibri" w:cs="Times New Roman"/>
      <w:color w:val="auto"/>
      <w:kern w:val="0"/>
      <w:sz w:val="20"/>
      <w:szCs w:val="20"/>
    </w:rPr>
  </w:style>
  <w:style w:type="character" w:customStyle="1" w:styleId="CommentTextChar">
    <w:name w:val="Comment Text Char"/>
    <w:basedOn w:val="DefaultParagraphFont"/>
    <w:link w:val="CommentText"/>
    <w:rsid w:val="003277A2"/>
    <w:rPr>
      <w:rFonts w:ascii="Calibri" w:eastAsia="Calibri" w:hAnsi="Calibri" w:cs="Times New Roman"/>
      <w:color w:val="auto"/>
      <w:kern w:val="0"/>
      <w:sz w:val="20"/>
      <w:szCs w:val="20"/>
    </w:rPr>
  </w:style>
  <w:style w:type="paragraph" w:styleId="CommentSubject">
    <w:name w:val="annotation subject"/>
    <w:basedOn w:val="CommentText"/>
    <w:next w:val="CommentText"/>
    <w:link w:val="CommentSubjectChar"/>
    <w:rsid w:val="003277A2"/>
    <w:rPr>
      <w:b/>
      <w:bCs/>
    </w:rPr>
  </w:style>
  <w:style w:type="character" w:customStyle="1" w:styleId="CommentSubjectChar">
    <w:name w:val="Comment Subject Char"/>
    <w:basedOn w:val="CommentTextChar"/>
    <w:link w:val="CommentSubject"/>
    <w:rsid w:val="003277A2"/>
    <w:rPr>
      <w:rFonts w:ascii="Calibri" w:eastAsia="Calibri" w:hAnsi="Calibri" w:cs="Times New Roman"/>
      <w:b/>
      <w:bCs/>
      <w:color w:val="auto"/>
      <w:kern w:val="0"/>
      <w:sz w:val="20"/>
      <w:szCs w:val="20"/>
    </w:rPr>
  </w:style>
  <w:style w:type="paragraph" w:styleId="Header">
    <w:name w:val="header"/>
    <w:basedOn w:val="Normal"/>
    <w:link w:val="HeaderChar"/>
    <w:rsid w:val="003277A2"/>
    <w:pPr>
      <w:tabs>
        <w:tab w:val="center" w:pos="4680"/>
        <w:tab w:val="right" w:pos="9360"/>
      </w:tabs>
      <w:spacing w:after="200" w:line="276" w:lineRule="auto"/>
    </w:pPr>
    <w:rPr>
      <w:rFonts w:ascii="Calibri" w:eastAsia="Calibri" w:hAnsi="Calibri" w:cs="Times New Roman"/>
      <w:color w:val="auto"/>
      <w:kern w:val="0"/>
      <w:sz w:val="22"/>
      <w:szCs w:val="22"/>
    </w:rPr>
  </w:style>
  <w:style w:type="character" w:customStyle="1" w:styleId="HeaderChar">
    <w:name w:val="Header Char"/>
    <w:basedOn w:val="DefaultParagraphFont"/>
    <w:link w:val="Header"/>
    <w:rsid w:val="003277A2"/>
    <w:rPr>
      <w:rFonts w:ascii="Calibri" w:eastAsia="Calibri" w:hAnsi="Calibri" w:cs="Times New Roman"/>
      <w:color w:val="auto"/>
      <w:kern w:val="0"/>
      <w:sz w:val="22"/>
      <w:szCs w:val="22"/>
    </w:rPr>
  </w:style>
  <w:style w:type="paragraph" w:styleId="Footer">
    <w:name w:val="footer"/>
    <w:basedOn w:val="Normal"/>
    <w:link w:val="FooterChar"/>
    <w:uiPriority w:val="99"/>
    <w:rsid w:val="003277A2"/>
    <w:pPr>
      <w:tabs>
        <w:tab w:val="center" w:pos="4680"/>
        <w:tab w:val="right" w:pos="9360"/>
      </w:tabs>
      <w:spacing w:after="200" w:line="276" w:lineRule="auto"/>
    </w:pPr>
    <w:rPr>
      <w:rFonts w:ascii="Calibri" w:eastAsia="Calibri" w:hAnsi="Calibri" w:cs="Times New Roman"/>
      <w:color w:val="auto"/>
      <w:kern w:val="0"/>
      <w:sz w:val="22"/>
      <w:szCs w:val="22"/>
    </w:rPr>
  </w:style>
  <w:style w:type="character" w:customStyle="1" w:styleId="FooterChar">
    <w:name w:val="Footer Char"/>
    <w:basedOn w:val="DefaultParagraphFont"/>
    <w:link w:val="Footer"/>
    <w:uiPriority w:val="99"/>
    <w:rsid w:val="003277A2"/>
    <w:rPr>
      <w:rFonts w:ascii="Calibri" w:eastAsia="Calibri" w:hAnsi="Calibri" w:cs="Times New Roman"/>
      <w:color w:val="auto"/>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350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22</Pages>
  <Words>6118</Words>
  <Characters>34877</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dc:creator>
  <cp:lastModifiedBy>Lindsay Tetreault</cp:lastModifiedBy>
  <cp:revision>16</cp:revision>
  <dcterms:created xsi:type="dcterms:W3CDTF">2013-05-06T19:46:00Z</dcterms:created>
  <dcterms:modified xsi:type="dcterms:W3CDTF">2013-05-13T18:59:00Z</dcterms:modified>
</cp:coreProperties>
</file>