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  <w:r>
        <w:rPr>
          <w:rFonts w:ascii="Times New Roman" w:hAnsi="Times New Roman"/>
          <w:b/>
          <w:lang w:val="en-CA"/>
        </w:rPr>
        <w:t>Tab</w:t>
      </w:r>
      <w:r w:rsidRPr="004C2560">
        <w:rPr>
          <w:rFonts w:ascii="Times New Roman" w:hAnsi="Times New Roman"/>
          <w:b/>
          <w:lang w:val="en-CA"/>
        </w:rPr>
        <w:t xml:space="preserve">les </w:t>
      </w: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4439BD" w:rsidRPr="004C2560" w:rsidTr="00606B28">
        <w:tc>
          <w:tcPr>
            <w:tcW w:w="9206" w:type="dxa"/>
            <w:shd w:val="clear" w:color="auto" w:fill="auto"/>
          </w:tcPr>
          <w:p w:rsidR="004439BD" w:rsidRPr="00933646" w:rsidRDefault="004439BD" w:rsidP="00606B28">
            <w:pPr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Table 1. Eligibility criteria</w:t>
            </w:r>
          </w:p>
        </w:tc>
      </w:tr>
      <w:tr w:rsidR="004439BD" w:rsidRPr="004C2560" w:rsidTr="00606B28">
        <w:tc>
          <w:tcPr>
            <w:tcW w:w="9206" w:type="dxa"/>
            <w:shd w:val="clear" w:color="auto" w:fill="auto"/>
          </w:tcPr>
          <w:p w:rsidR="004439BD" w:rsidRPr="00933646" w:rsidRDefault="004439BD" w:rsidP="00606B28">
            <w:pPr>
              <w:rPr>
                <w:rFonts w:ascii="Times New Roman" w:hAnsi="Times New Roman"/>
                <w:b/>
                <w:lang w:val="en-CA"/>
              </w:rPr>
            </w:pPr>
            <w:r w:rsidRPr="00933646">
              <w:rPr>
                <w:rFonts w:ascii="Times New Roman" w:hAnsi="Times New Roman"/>
                <w:b/>
                <w:lang w:val="en-CA"/>
              </w:rPr>
              <w:t>Inclusion criteria</w:t>
            </w:r>
          </w:p>
          <w:p w:rsidR="004439BD" w:rsidRPr="00933646" w:rsidRDefault="004439BD" w:rsidP="00606B28">
            <w:pPr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Full-text article:</w:t>
            </w:r>
          </w:p>
          <w:p w:rsidR="004439BD" w:rsidRPr="00933646" w:rsidRDefault="004439BD" w:rsidP="00606B28">
            <w:pPr>
              <w:ind w:left="708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1) Study population consisting of patients with spinal metastases or model simulating spinal metastatic disease</w:t>
            </w:r>
          </w:p>
          <w:p w:rsidR="004439BD" w:rsidRPr="00933646" w:rsidRDefault="004439BD" w:rsidP="00606B28">
            <w:pPr>
              <w:ind w:left="708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 xml:space="preserve">2) Describing the radiographic signs </w:t>
            </w:r>
            <w:r>
              <w:rPr>
                <w:rFonts w:ascii="Times New Roman" w:hAnsi="Times New Roman"/>
                <w:lang w:val="en-CA"/>
              </w:rPr>
              <w:t xml:space="preserve">and/or classification </w:t>
            </w:r>
            <w:r w:rsidRPr="00933646">
              <w:rPr>
                <w:rFonts w:ascii="Times New Roman" w:hAnsi="Times New Roman"/>
                <w:lang w:val="en-CA"/>
              </w:rPr>
              <w:t>and/or (clinical) definition of neoplastic related spinal instability*</w:t>
            </w:r>
          </w:p>
          <w:p w:rsidR="004439BD" w:rsidRPr="00933646" w:rsidRDefault="004439BD" w:rsidP="00606B28">
            <w:pPr>
              <w:ind w:left="708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3) Using the SINS as study variable*</w:t>
            </w:r>
          </w:p>
        </w:tc>
      </w:tr>
      <w:tr w:rsidR="004439BD" w:rsidRPr="004C2560" w:rsidTr="00606B28">
        <w:trPr>
          <w:trHeight w:val="460"/>
        </w:trPr>
        <w:tc>
          <w:tcPr>
            <w:tcW w:w="9206" w:type="dxa"/>
            <w:shd w:val="clear" w:color="auto" w:fill="auto"/>
          </w:tcPr>
          <w:p w:rsidR="004439BD" w:rsidRPr="00933646" w:rsidRDefault="004439BD" w:rsidP="00606B28">
            <w:pPr>
              <w:rPr>
                <w:rFonts w:ascii="Times New Roman" w:hAnsi="Times New Roman"/>
                <w:b/>
                <w:lang w:val="en-CA"/>
              </w:rPr>
            </w:pPr>
            <w:r w:rsidRPr="00933646">
              <w:rPr>
                <w:rFonts w:ascii="Times New Roman" w:hAnsi="Times New Roman"/>
                <w:b/>
                <w:lang w:val="en-CA"/>
              </w:rPr>
              <w:t>Exclusion criteria</w:t>
            </w:r>
          </w:p>
          <w:p w:rsidR="004439BD" w:rsidRPr="00933646" w:rsidRDefault="004439BD" w:rsidP="00606B28">
            <w:pPr>
              <w:ind w:left="708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1) Non-homogenous study population (&gt;25% of the patients with a diagnosis other than spinal metastatic disease)</w:t>
            </w:r>
          </w:p>
          <w:p w:rsidR="004439BD" w:rsidRPr="00933646" w:rsidRDefault="004439BD" w:rsidP="00606B28">
            <w:pPr>
              <w:ind w:left="708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 xml:space="preserve">2) Sample size &lt;10 cases. </w:t>
            </w:r>
          </w:p>
          <w:p w:rsidR="004439BD" w:rsidRPr="00933646" w:rsidRDefault="004439BD" w:rsidP="00606B28">
            <w:pPr>
              <w:ind w:left="708"/>
              <w:rPr>
                <w:rFonts w:ascii="Times New Roman" w:hAnsi="Times New Roman"/>
                <w:lang w:val="en-CA"/>
              </w:rPr>
            </w:pPr>
            <w:r>
              <w:rPr>
                <w:rFonts w:ascii="Times New Roman" w:hAnsi="Times New Roman"/>
                <w:lang w:val="en-CA"/>
              </w:rPr>
              <w:t>3) Not describing, defining or classifying</w:t>
            </w:r>
            <w:r w:rsidRPr="00933646">
              <w:rPr>
                <w:rFonts w:ascii="Times New Roman" w:hAnsi="Times New Roman"/>
                <w:lang w:val="en-CA"/>
              </w:rPr>
              <w:t xml:space="preserve"> spinal instability</w:t>
            </w:r>
          </w:p>
          <w:p w:rsidR="004439BD" w:rsidRPr="00933646" w:rsidRDefault="004439BD" w:rsidP="00606B28">
            <w:pPr>
              <w:ind w:left="708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4) Systematic reviews, meta-analysis, case reports and conference abstracts</w:t>
            </w:r>
          </w:p>
        </w:tc>
      </w:tr>
      <w:tr w:rsidR="004439BD" w:rsidRPr="004C2560" w:rsidTr="00606B28">
        <w:trPr>
          <w:trHeight w:val="460"/>
        </w:trPr>
        <w:tc>
          <w:tcPr>
            <w:tcW w:w="9206" w:type="dxa"/>
            <w:shd w:val="clear" w:color="auto" w:fill="auto"/>
          </w:tcPr>
          <w:p w:rsidR="004439BD" w:rsidRPr="00933646" w:rsidRDefault="004439BD" w:rsidP="00606B28">
            <w:pPr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b/>
                <w:lang w:val="en-CA"/>
              </w:rPr>
              <w:t xml:space="preserve">* </w:t>
            </w:r>
            <w:r w:rsidRPr="00933646">
              <w:rPr>
                <w:rFonts w:ascii="Times New Roman" w:hAnsi="Times New Roman"/>
                <w:lang w:val="en-CA"/>
              </w:rPr>
              <w:t>Either adherence to criteria 2 or 3</w:t>
            </w:r>
          </w:p>
        </w:tc>
      </w:tr>
    </w:tbl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tbl>
      <w:tblPr>
        <w:tblpPr w:leftFromText="141" w:rightFromText="141" w:vertAnchor="text" w:horzAnchor="page" w:tblpX="1527" w:tblpY="68"/>
        <w:tblW w:w="9022" w:type="dxa"/>
        <w:tblLayout w:type="fixed"/>
        <w:tblLook w:val="00A0" w:firstRow="1" w:lastRow="0" w:firstColumn="1" w:lastColumn="0" w:noHBand="0" w:noVBand="0"/>
      </w:tblPr>
      <w:tblGrid>
        <w:gridCol w:w="5778"/>
        <w:gridCol w:w="3244"/>
      </w:tblGrid>
      <w:tr w:rsidR="004439BD" w:rsidRPr="004C2560" w:rsidTr="00606B28">
        <w:trPr>
          <w:trHeight w:val="293"/>
        </w:trPr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b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b/>
                <w:lang w:val="en-US" w:eastAsia="en-US"/>
              </w:rPr>
              <w:lastRenderedPageBreak/>
              <w:t xml:space="preserve">Table 2. SINS score according to Fisher </w:t>
            </w:r>
            <w:r>
              <w:rPr>
                <w:rFonts w:ascii="Times" w:eastAsia="Cambria" w:hAnsi="Times" w:cs="Arial"/>
                <w:b/>
                <w:lang w:val="en-US" w:eastAsia="en-US"/>
              </w:rPr>
              <w:t>et al. [3</w:t>
            </w:r>
            <w:r w:rsidRPr="004C2560">
              <w:rPr>
                <w:rFonts w:ascii="Times" w:eastAsia="Cambria" w:hAnsi="Times" w:cs="Arial"/>
                <w:b/>
                <w:lang w:val="en-US" w:eastAsia="en-US"/>
              </w:rPr>
              <w:t>]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b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b/>
                <w:lang w:val="en-US" w:eastAsia="en-US"/>
              </w:rPr>
              <w:t>Score</w:t>
            </w:r>
          </w:p>
        </w:tc>
      </w:tr>
      <w:tr w:rsidR="004439BD" w:rsidRPr="004C2560" w:rsidTr="00606B28">
        <w:trPr>
          <w:trHeight w:val="270"/>
        </w:trPr>
        <w:tc>
          <w:tcPr>
            <w:tcW w:w="90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b/>
                <w:lang w:val="en-US" w:eastAsia="en-US"/>
              </w:rPr>
              <w:t>Location</w:t>
            </w:r>
          </w:p>
        </w:tc>
      </w:tr>
      <w:tr w:rsidR="004439BD" w:rsidRPr="004C2560" w:rsidTr="00606B28">
        <w:trPr>
          <w:trHeight w:val="1241"/>
        </w:trPr>
        <w:tc>
          <w:tcPr>
            <w:tcW w:w="5778" w:type="dxa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Junctional (occiput-C2, C7-T2, T11-L1, L5- S1)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Mobile spine (C3-C6, L2-L4)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Semi rigid (T3-T10)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Rigid (S2-S5)</w:t>
            </w:r>
          </w:p>
        </w:tc>
        <w:tc>
          <w:tcPr>
            <w:tcW w:w="3244" w:type="dxa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3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2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1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0</w:t>
            </w:r>
          </w:p>
        </w:tc>
      </w:tr>
      <w:tr w:rsidR="004439BD" w:rsidRPr="004C2560" w:rsidTr="00606B28">
        <w:trPr>
          <w:trHeight w:val="293"/>
        </w:trPr>
        <w:tc>
          <w:tcPr>
            <w:tcW w:w="9022" w:type="dxa"/>
            <w:gridSpan w:val="2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b/>
                <w:lang w:val="en-US" w:eastAsia="en-US"/>
              </w:rPr>
              <w:t>Pain</w:t>
            </w:r>
            <w:r w:rsidRPr="004C2560">
              <w:rPr>
                <w:rFonts w:ascii="Times" w:eastAsia="Cambria" w:hAnsi="Times" w:cs="Arial"/>
                <w:b/>
                <w:vertAlign w:val="superscript"/>
                <w:lang w:val="en-US" w:eastAsia="en-US"/>
              </w:rPr>
              <w:t>*</w:t>
            </w:r>
          </w:p>
        </w:tc>
      </w:tr>
      <w:tr w:rsidR="004439BD" w:rsidRPr="004C2560" w:rsidTr="00606B28">
        <w:trPr>
          <w:trHeight w:val="923"/>
        </w:trPr>
        <w:tc>
          <w:tcPr>
            <w:tcW w:w="5778" w:type="dxa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Yes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Occasional pain but not mechanical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Pain-free lesion</w:t>
            </w:r>
          </w:p>
        </w:tc>
        <w:tc>
          <w:tcPr>
            <w:tcW w:w="3244" w:type="dxa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3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1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0</w:t>
            </w:r>
          </w:p>
        </w:tc>
      </w:tr>
      <w:tr w:rsidR="004439BD" w:rsidRPr="004C2560" w:rsidTr="00606B28">
        <w:trPr>
          <w:trHeight w:val="293"/>
        </w:trPr>
        <w:tc>
          <w:tcPr>
            <w:tcW w:w="9022" w:type="dxa"/>
            <w:gridSpan w:val="2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b/>
                <w:lang w:val="en-US" w:eastAsia="en-US"/>
              </w:rPr>
              <w:t>Bone lesion</w:t>
            </w:r>
          </w:p>
        </w:tc>
      </w:tr>
      <w:tr w:rsidR="004439BD" w:rsidRPr="004C2560" w:rsidTr="00606B28">
        <w:trPr>
          <w:trHeight w:val="923"/>
        </w:trPr>
        <w:tc>
          <w:tcPr>
            <w:tcW w:w="5778" w:type="dxa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Lytic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Mixed (lytic/blastic)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Blastic</w:t>
            </w:r>
          </w:p>
        </w:tc>
        <w:tc>
          <w:tcPr>
            <w:tcW w:w="3244" w:type="dxa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2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1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0</w:t>
            </w:r>
          </w:p>
        </w:tc>
      </w:tr>
      <w:tr w:rsidR="004439BD" w:rsidRPr="004C2560" w:rsidTr="00606B28">
        <w:trPr>
          <w:trHeight w:val="293"/>
        </w:trPr>
        <w:tc>
          <w:tcPr>
            <w:tcW w:w="9022" w:type="dxa"/>
            <w:gridSpan w:val="2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b/>
                <w:lang w:val="en-US" w:eastAsia="en-US"/>
              </w:rPr>
              <w:t>Radiographic spinal alignment</w:t>
            </w:r>
          </w:p>
        </w:tc>
      </w:tr>
      <w:tr w:rsidR="004439BD" w:rsidRPr="004C2560" w:rsidTr="00606B28">
        <w:trPr>
          <w:trHeight w:val="923"/>
        </w:trPr>
        <w:tc>
          <w:tcPr>
            <w:tcW w:w="5778" w:type="dxa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Subluxation/translation present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De novo deformity (kyphosis/scoliosis)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Normal alignment</w:t>
            </w:r>
          </w:p>
        </w:tc>
        <w:tc>
          <w:tcPr>
            <w:tcW w:w="3244" w:type="dxa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4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2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0</w:t>
            </w:r>
          </w:p>
        </w:tc>
      </w:tr>
      <w:tr w:rsidR="004439BD" w:rsidRPr="004C2560" w:rsidTr="00606B28">
        <w:trPr>
          <w:trHeight w:val="293"/>
        </w:trPr>
        <w:tc>
          <w:tcPr>
            <w:tcW w:w="9022" w:type="dxa"/>
            <w:gridSpan w:val="2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b/>
                <w:lang w:val="en-US" w:eastAsia="en-US"/>
              </w:rPr>
              <w:t>Vertebral body collapse</w:t>
            </w:r>
          </w:p>
        </w:tc>
      </w:tr>
      <w:tr w:rsidR="004439BD" w:rsidRPr="004C2560" w:rsidTr="00606B28">
        <w:trPr>
          <w:trHeight w:val="1241"/>
        </w:trPr>
        <w:tc>
          <w:tcPr>
            <w:tcW w:w="5778" w:type="dxa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&gt; 50% collapse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&lt; 50% collapse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No collapse with &gt; 50% body involved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None of the above</w:t>
            </w:r>
          </w:p>
        </w:tc>
        <w:tc>
          <w:tcPr>
            <w:tcW w:w="3244" w:type="dxa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3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2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1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0</w:t>
            </w:r>
          </w:p>
        </w:tc>
      </w:tr>
      <w:tr w:rsidR="004439BD" w:rsidRPr="004C2560" w:rsidTr="00606B28">
        <w:trPr>
          <w:trHeight w:val="94"/>
        </w:trPr>
        <w:tc>
          <w:tcPr>
            <w:tcW w:w="9022" w:type="dxa"/>
            <w:gridSpan w:val="2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b/>
                <w:lang w:val="en-US" w:eastAsia="en-US"/>
              </w:rPr>
              <w:t>Posterolateral involvement of spinal elements</w:t>
            </w:r>
            <w:r w:rsidRPr="004C2560">
              <w:rPr>
                <w:rFonts w:ascii="Times" w:eastAsia="Cambria" w:hAnsi="Times" w:cs="Arial"/>
                <w:b/>
                <w:vertAlign w:val="superscript"/>
                <w:lang w:val="en-US" w:eastAsia="en-US"/>
              </w:rPr>
              <w:t>†</w:t>
            </w:r>
          </w:p>
        </w:tc>
      </w:tr>
      <w:tr w:rsidR="004439BD" w:rsidRPr="004C2560" w:rsidTr="00606B28">
        <w:trPr>
          <w:trHeight w:val="93"/>
        </w:trPr>
        <w:tc>
          <w:tcPr>
            <w:tcW w:w="5778" w:type="dxa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Bilateral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Unilateral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None of the above</w:t>
            </w:r>
          </w:p>
        </w:tc>
        <w:tc>
          <w:tcPr>
            <w:tcW w:w="3244" w:type="dxa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3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1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0</w:t>
            </w:r>
          </w:p>
        </w:tc>
      </w:tr>
      <w:tr w:rsidR="004439BD" w:rsidRPr="004C2560" w:rsidTr="00606B28">
        <w:trPr>
          <w:trHeight w:val="923"/>
        </w:trPr>
        <w:tc>
          <w:tcPr>
            <w:tcW w:w="9022" w:type="dxa"/>
            <w:gridSpan w:val="2"/>
            <w:shd w:val="clear" w:color="auto" w:fill="auto"/>
          </w:tcPr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* Pain improvement with recumbency and/or pain with movement/loading of spine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  <w:r w:rsidRPr="004C2560">
              <w:rPr>
                <w:rFonts w:ascii="Times" w:eastAsia="Cambria" w:hAnsi="Times" w:cs="Arial"/>
                <w:lang w:val="en-US" w:eastAsia="en-US"/>
              </w:rPr>
              <w:t>† Facet, pedicle, or costovertebral joint fracture or replacement with tumor</w:t>
            </w: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</w:p>
          <w:p w:rsidR="004439BD" w:rsidRPr="004C2560" w:rsidRDefault="004439BD" w:rsidP="00606B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eastAsia="Cambria" w:hAnsi="Times" w:cs="Arial"/>
                <w:lang w:val="en-US" w:eastAsia="en-US"/>
              </w:rPr>
            </w:pPr>
          </w:p>
        </w:tc>
      </w:tr>
    </w:tbl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  <w:r w:rsidRPr="004C2560">
        <w:rPr>
          <w:rFonts w:ascii="Times New Roman" w:hAnsi="Times New Roman"/>
          <w:b/>
          <w:lang w:val="en-CA"/>
        </w:rPr>
        <w:t>Table 3</w:t>
      </w:r>
      <w:r w:rsidRPr="004C2560">
        <w:rPr>
          <w:rFonts w:ascii="Times New Roman" w:hAnsi="Times New Roman"/>
          <w:lang w:val="en-CA"/>
        </w:rPr>
        <w:t xml:space="preserve">. </w:t>
      </w:r>
      <w:r w:rsidRPr="004C2560">
        <w:rPr>
          <w:rFonts w:ascii="Times New Roman" w:hAnsi="Times New Roman"/>
          <w:b/>
          <w:lang w:val="en-CA"/>
        </w:rPr>
        <w:t xml:space="preserve">Hazard ratios and 95%CI for VCF risk.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3544"/>
        <w:gridCol w:w="3118"/>
      </w:tblGrid>
      <w:tr w:rsidR="004439BD" w:rsidRPr="004C2560" w:rsidTr="00606B28">
        <w:trPr>
          <w:trHeight w:val="63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b/>
                <w:lang w:val="en-CA"/>
              </w:rPr>
            </w:pPr>
            <w:r w:rsidRPr="00933646">
              <w:rPr>
                <w:rFonts w:ascii="Times New Roman" w:hAnsi="Times New Roman"/>
                <w:b/>
                <w:lang w:val="en-CA"/>
              </w:rPr>
              <w:t>Authors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b/>
                <w:lang w:val="en-CA"/>
              </w:rPr>
            </w:pPr>
            <w:r w:rsidRPr="00933646">
              <w:rPr>
                <w:rFonts w:ascii="Times New Roman" w:hAnsi="Times New Roman"/>
                <w:b/>
                <w:lang w:val="en-CA"/>
              </w:rPr>
              <w:t>Sample size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b/>
                <w:lang w:val="en-CA"/>
              </w:rPr>
            </w:pPr>
            <w:r w:rsidRPr="00933646">
              <w:rPr>
                <w:rFonts w:ascii="Times New Roman" w:hAnsi="Times New Roman"/>
                <w:b/>
                <w:lang w:val="en-CA"/>
              </w:rPr>
              <w:t>Study design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b/>
                <w:lang w:val="en-CA"/>
              </w:rPr>
            </w:pPr>
            <w:r w:rsidRPr="00933646">
              <w:rPr>
                <w:rFonts w:ascii="Times New Roman" w:hAnsi="Times New Roman"/>
                <w:b/>
                <w:lang w:val="en-CA"/>
              </w:rPr>
              <w:t xml:space="preserve">Risk factors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b/>
                <w:lang w:val="en-CA"/>
              </w:rPr>
            </w:pPr>
            <w:r w:rsidRPr="00933646">
              <w:rPr>
                <w:rFonts w:ascii="Times New Roman" w:hAnsi="Times New Roman"/>
                <w:b/>
                <w:lang w:val="en-CA"/>
              </w:rPr>
              <w:t>[HR, 95%CI]</w:t>
            </w:r>
          </w:p>
        </w:tc>
      </w:tr>
      <w:tr w:rsidR="004439BD" w:rsidRPr="004C2560" w:rsidTr="00606B28">
        <w:trPr>
          <w:trHeight w:val="588"/>
        </w:trPr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Cunha et al.</w:t>
            </w:r>
            <w:r>
              <w:rPr>
                <w:rFonts w:ascii="Times New Roman" w:hAnsi="Times New Roman"/>
                <w:lang w:val="en-CA"/>
              </w:rPr>
              <w:t xml:space="preserve"> [50</w:t>
            </w:r>
            <w:r>
              <w:rPr>
                <w:rFonts w:ascii="Times New Roman" w:hAnsi="Times New Roman"/>
                <w:lang w:val="en-CA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 xml:space="preserve">90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 xml:space="preserve">Spinal alignment 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 xml:space="preserve">Lytic lesion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[0.09, 0.024-0.33]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[0.082, 0.017-0.386]</w:t>
            </w:r>
          </w:p>
        </w:tc>
      </w:tr>
      <w:tr w:rsidR="004439BD" w:rsidRPr="004C2560" w:rsidTr="00606B28">
        <w:trPr>
          <w:trHeight w:val="971"/>
        </w:trPr>
        <w:tc>
          <w:tcPr>
            <w:tcW w:w="1101" w:type="dxa"/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proofErr w:type="spellStart"/>
            <w:r w:rsidRPr="00933646">
              <w:rPr>
                <w:rFonts w:ascii="Times New Roman" w:hAnsi="Times New Roman"/>
                <w:lang w:val="en-CA"/>
              </w:rPr>
              <w:t>Sahgal</w:t>
            </w:r>
            <w:proofErr w:type="spellEnd"/>
            <w:r w:rsidRPr="00933646">
              <w:rPr>
                <w:rFonts w:ascii="Times New Roman" w:hAnsi="Times New Roman"/>
                <w:lang w:val="en-CA"/>
              </w:rPr>
              <w:t xml:space="preserve"> et al.</w:t>
            </w:r>
            <w:r>
              <w:rPr>
                <w:rFonts w:ascii="Times New Roman" w:hAnsi="Times New Roman"/>
                <w:lang w:val="en-CA"/>
              </w:rPr>
              <w:t xml:space="preserve"> [51</w:t>
            </w:r>
            <w:r>
              <w:rPr>
                <w:rFonts w:ascii="Times New Roman" w:hAnsi="Times New Roman"/>
                <w:lang w:val="en-CA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 xml:space="preserve">252 </w:t>
            </w:r>
          </w:p>
        </w:tc>
        <w:tc>
          <w:tcPr>
            <w:tcW w:w="992" w:type="dxa"/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R</w:t>
            </w:r>
          </w:p>
        </w:tc>
        <w:tc>
          <w:tcPr>
            <w:tcW w:w="3544" w:type="dxa"/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 xml:space="preserve">Spinal alignment 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Baseline VCF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 xml:space="preserve">  &lt;50% collapse 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 xml:space="preserve">  No VCF but &gt;50% involved 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 xml:space="preserve">Lesion type 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Dose per fraction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 xml:space="preserve">  &gt;24Gy 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 xml:space="preserve">  20-23Gy </w:t>
            </w:r>
          </w:p>
        </w:tc>
        <w:tc>
          <w:tcPr>
            <w:tcW w:w="3118" w:type="dxa"/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[2.99, 1.57-5.70]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[8.98, 4.48-18.0]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[4.46, 2.08-9.57]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[3.53, 1.58-7.93]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[5.25, 2.29-12.01]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[4.91, 1.96-12.28]</w:t>
            </w:r>
          </w:p>
        </w:tc>
      </w:tr>
      <w:tr w:rsidR="004439BD" w:rsidRPr="004C2560" w:rsidTr="00606B28">
        <w:trPr>
          <w:trHeight w:val="583"/>
        </w:trPr>
        <w:tc>
          <w:tcPr>
            <w:tcW w:w="1101" w:type="dxa"/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proofErr w:type="spellStart"/>
            <w:r w:rsidRPr="00933646">
              <w:rPr>
                <w:rFonts w:ascii="Times New Roman" w:hAnsi="Times New Roman"/>
                <w:lang w:val="en-CA"/>
              </w:rPr>
              <w:t>Thibault</w:t>
            </w:r>
            <w:proofErr w:type="spellEnd"/>
            <w:r w:rsidRPr="00933646">
              <w:rPr>
                <w:rFonts w:ascii="Times New Roman" w:hAnsi="Times New Roman"/>
                <w:lang w:val="en-CA"/>
              </w:rPr>
              <w:t xml:space="preserve"> et al.</w:t>
            </w:r>
            <w:r>
              <w:rPr>
                <w:rFonts w:ascii="Times New Roman" w:hAnsi="Times New Roman"/>
                <w:lang w:val="en-CA"/>
              </w:rPr>
              <w:t xml:space="preserve"> [53</w:t>
            </w:r>
            <w:r>
              <w:rPr>
                <w:rFonts w:ascii="Times New Roman" w:hAnsi="Times New Roman"/>
                <w:lang w:val="en-CA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R</w:t>
            </w:r>
          </w:p>
        </w:tc>
        <w:tc>
          <w:tcPr>
            <w:tcW w:w="3544" w:type="dxa"/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 xml:space="preserve">Baseline VCF 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 xml:space="preserve">Single fraction SBRT </w:t>
            </w:r>
          </w:p>
        </w:tc>
        <w:tc>
          <w:tcPr>
            <w:tcW w:w="3118" w:type="dxa"/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[9.25, 1.64-52.31]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[5.03, 1.19-21.28]</w:t>
            </w:r>
          </w:p>
        </w:tc>
      </w:tr>
      <w:tr w:rsidR="004439BD" w:rsidRPr="004C2560" w:rsidTr="00606B28">
        <w:trPr>
          <w:trHeight w:val="618"/>
        </w:trPr>
        <w:tc>
          <w:tcPr>
            <w:tcW w:w="1101" w:type="dxa"/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proofErr w:type="spellStart"/>
            <w:r w:rsidRPr="00933646">
              <w:rPr>
                <w:rFonts w:ascii="Times New Roman" w:hAnsi="Times New Roman"/>
                <w:lang w:val="en-CA"/>
              </w:rPr>
              <w:t>Finnigan</w:t>
            </w:r>
            <w:proofErr w:type="spellEnd"/>
            <w:r w:rsidRPr="00933646">
              <w:rPr>
                <w:rFonts w:ascii="Times New Roman" w:hAnsi="Times New Roman"/>
                <w:lang w:val="en-CA"/>
              </w:rPr>
              <w:t xml:space="preserve"> et al. </w:t>
            </w:r>
            <w:r>
              <w:rPr>
                <w:rFonts w:ascii="Times New Roman" w:hAnsi="Times New Roman"/>
                <w:lang w:val="en-CA"/>
              </w:rPr>
              <w:t>[54</w:t>
            </w:r>
            <w:r>
              <w:rPr>
                <w:rFonts w:ascii="Times New Roman" w:hAnsi="Times New Roman"/>
                <w:lang w:val="en-CA"/>
              </w:rPr>
              <w:t>]</w:t>
            </w:r>
          </w:p>
        </w:tc>
        <w:tc>
          <w:tcPr>
            <w:tcW w:w="992" w:type="dxa"/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R</w:t>
            </w:r>
          </w:p>
        </w:tc>
        <w:tc>
          <w:tcPr>
            <w:tcW w:w="3544" w:type="dxa"/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Overall SINS score*</w:t>
            </w:r>
          </w:p>
        </w:tc>
        <w:tc>
          <w:tcPr>
            <w:tcW w:w="3118" w:type="dxa"/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</w:p>
        </w:tc>
      </w:tr>
      <w:tr w:rsidR="004439BD" w:rsidRPr="004C2560" w:rsidTr="00606B28">
        <w:trPr>
          <w:trHeight w:val="518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439BD" w:rsidRPr="00933646" w:rsidRDefault="004439BD" w:rsidP="004439BD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Lee et al.</w:t>
            </w:r>
            <w:r>
              <w:rPr>
                <w:rFonts w:ascii="Times New Roman" w:hAnsi="Times New Roman"/>
                <w:lang w:val="en-CA"/>
              </w:rPr>
              <w:t xml:space="preserve"> [5</w:t>
            </w:r>
            <w:r>
              <w:rPr>
                <w:rFonts w:ascii="Times New Roman" w:hAnsi="Times New Roman"/>
                <w:lang w:val="en-CA"/>
              </w:rPr>
              <w:t>5</w:t>
            </w:r>
            <w:r>
              <w:rPr>
                <w:rFonts w:ascii="Times New Roman" w:hAnsi="Times New Roman"/>
                <w:lang w:val="en-CA"/>
              </w:rPr>
              <w:t>]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79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 xml:space="preserve">SINS score (&gt;7) 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 xml:space="preserve">Age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[5.63, 2.41-13.13]</w:t>
            </w:r>
          </w:p>
          <w:p w:rsidR="004439BD" w:rsidRPr="00933646" w:rsidRDefault="004439BD" w:rsidP="00606B28">
            <w:pPr>
              <w:jc w:val="both"/>
              <w:rPr>
                <w:rFonts w:ascii="Times New Roman" w:hAnsi="Times New Roman"/>
                <w:lang w:val="en-CA"/>
              </w:rPr>
            </w:pPr>
            <w:r w:rsidRPr="00933646">
              <w:rPr>
                <w:rFonts w:ascii="Times New Roman" w:hAnsi="Times New Roman"/>
                <w:lang w:val="en-CA"/>
              </w:rPr>
              <w:t>[2.15, 1.07-4.32]</w:t>
            </w:r>
          </w:p>
        </w:tc>
      </w:tr>
    </w:tbl>
    <w:p w:rsidR="004439BD" w:rsidRPr="004C2560" w:rsidRDefault="004439BD" w:rsidP="004439BD">
      <w:pPr>
        <w:rPr>
          <w:rFonts w:ascii="Times New Roman" w:hAnsi="Times New Roman"/>
          <w:lang w:val="en-CA"/>
        </w:rPr>
      </w:pPr>
      <w:r w:rsidRPr="004C2560">
        <w:rPr>
          <w:rFonts w:ascii="Times New Roman" w:hAnsi="Times New Roman"/>
          <w:lang w:val="en-CA"/>
        </w:rPr>
        <w:t xml:space="preserve">* </w:t>
      </w:r>
      <w:proofErr w:type="gramStart"/>
      <w:r w:rsidRPr="004C2560">
        <w:rPr>
          <w:rFonts w:ascii="Times New Roman" w:hAnsi="Times New Roman"/>
          <w:lang w:val="en-CA"/>
        </w:rPr>
        <w:t>no</w:t>
      </w:r>
      <w:proofErr w:type="gramEnd"/>
      <w:r w:rsidRPr="004C2560">
        <w:rPr>
          <w:rFonts w:ascii="Times New Roman" w:hAnsi="Times New Roman"/>
          <w:lang w:val="en-CA"/>
        </w:rPr>
        <w:t xml:space="preserve"> hazard ratios reported</w:t>
      </w: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  <w:bookmarkStart w:id="0" w:name="_GoBack"/>
      <w:bookmarkEnd w:id="0"/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Pr="004C2560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Default="004439BD" w:rsidP="004439BD">
      <w:pPr>
        <w:rPr>
          <w:rFonts w:ascii="Times New Roman" w:hAnsi="Times New Roman"/>
          <w:b/>
          <w:lang w:val="en-CA"/>
        </w:rPr>
      </w:pPr>
    </w:p>
    <w:p w:rsidR="004439BD" w:rsidRDefault="004439BD" w:rsidP="004439BD">
      <w:pPr>
        <w:rPr>
          <w:rFonts w:ascii="Times New Roman" w:hAnsi="Times New Roman"/>
          <w:b/>
          <w:lang w:val="en-CA"/>
        </w:rPr>
      </w:pPr>
    </w:p>
    <w:p w:rsidR="003464B3" w:rsidRDefault="003464B3"/>
    <w:sectPr w:rsidR="003464B3" w:rsidSect="00D07B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BD"/>
    <w:rsid w:val="003464B3"/>
    <w:rsid w:val="004439BD"/>
    <w:rsid w:val="00D07B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5AD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439BD"/>
    <w:rPr>
      <w:rFonts w:ascii="Cambria" w:eastAsia="MS Mincho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439BD"/>
    <w:rPr>
      <w:rFonts w:ascii="Cambria" w:eastAsia="MS Mincho" w:hAnsi="Cambri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1952</Characters>
  <Application>Microsoft Macintosh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Versteeg</dc:creator>
  <cp:keywords/>
  <dc:description/>
  <cp:lastModifiedBy>Anne Versteeg</cp:lastModifiedBy>
  <cp:revision>1</cp:revision>
  <dcterms:created xsi:type="dcterms:W3CDTF">2016-07-01T11:10:00Z</dcterms:created>
  <dcterms:modified xsi:type="dcterms:W3CDTF">2016-07-01T11:10:00Z</dcterms:modified>
</cp:coreProperties>
</file>