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2F" w:rsidRDefault="00B2722F">
      <w:bookmarkStart w:id="0" w:name="_GoBack"/>
      <w:bookmarkEnd w:id="0"/>
      <w:r>
        <w:t xml:space="preserve">Table </w:t>
      </w:r>
      <w:r w:rsidR="00355C74">
        <w:t>S1</w:t>
      </w:r>
      <w:r>
        <w:t>: Mortality subgroup analyses for critical care patients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708"/>
        <w:gridCol w:w="1891"/>
        <w:gridCol w:w="1969"/>
        <w:gridCol w:w="1328"/>
        <w:gridCol w:w="1331"/>
        <w:gridCol w:w="1015"/>
      </w:tblGrid>
      <w:tr w:rsidR="00B2722F" w:rsidTr="003943A3">
        <w:tc>
          <w:tcPr>
            <w:tcW w:w="3599" w:type="dxa"/>
            <w:gridSpan w:val="2"/>
          </w:tcPr>
          <w:p w:rsidR="00B2722F" w:rsidRDefault="00B2722F" w:rsidP="00295E64">
            <w:pPr>
              <w:jc w:val="center"/>
            </w:pPr>
            <w:r>
              <w:t>Subgroup</w:t>
            </w:r>
          </w:p>
        </w:tc>
        <w:tc>
          <w:tcPr>
            <w:tcW w:w="1969" w:type="dxa"/>
          </w:tcPr>
          <w:p w:rsidR="00B2722F" w:rsidRDefault="00B2722F" w:rsidP="00295E64">
            <w:r>
              <w:t>OR [95% CI]</w:t>
            </w:r>
          </w:p>
        </w:tc>
        <w:tc>
          <w:tcPr>
            <w:tcW w:w="1328" w:type="dxa"/>
          </w:tcPr>
          <w:p w:rsidR="00B2722F" w:rsidRDefault="00B2722F" w:rsidP="00295E64">
            <w:r>
              <w:t>NNTB or [NNTH]</w:t>
            </w:r>
          </w:p>
        </w:tc>
        <w:tc>
          <w:tcPr>
            <w:tcW w:w="1331" w:type="dxa"/>
          </w:tcPr>
          <w:p w:rsidR="00B2722F" w:rsidRDefault="00B2722F" w:rsidP="00295E64">
            <w:r>
              <w:t>N of studies</w:t>
            </w:r>
          </w:p>
        </w:tc>
        <w:tc>
          <w:tcPr>
            <w:tcW w:w="1015" w:type="dxa"/>
          </w:tcPr>
          <w:p w:rsidR="00B2722F" w:rsidRDefault="00B2722F" w:rsidP="00295E64">
            <w:r>
              <w:t>p-value</w:t>
            </w:r>
          </w:p>
        </w:tc>
      </w:tr>
      <w:tr w:rsidR="00B2722F" w:rsidRPr="00C40CA4" w:rsidTr="003943A3">
        <w:tc>
          <w:tcPr>
            <w:tcW w:w="3599" w:type="dxa"/>
            <w:gridSpan w:val="2"/>
          </w:tcPr>
          <w:p w:rsidR="00B2722F" w:rsidRPr="00C40CA4" w:rsidRDefault="00B2722F" w:rsidP="00295E64">
            <w:pPr>
              <w:rPr>
                <w:b/>
              </w:rPr>
            </w:pPr>
            <w:r w:rsidRPr="00C40CA4">
              <w:rPr>
                <w:b/>
              </w:rPr>
              <w:t xml:space="preserve">Overall </w:t>
            </w:r>
            <w:r>
              <w:rPr>
                <w:b/>
              </w:rPr>
              <w:t xml:space="preserve">pooled; </w:t>
            </w:r>
            <w:r w:rsidRPr="00C40CA4">
              <w:rPr>
                <w:b/>
              </w:rPr>
              <w:t>I</w:t>
            </w:r>
            <w:r w:rsidRPr="00C40CA4">
              <w:rPr>
                <w:b/>
                <w:vertAlign w:val="superscript"/>
              </w:rPr>
              <w:t>2</w:t>
            </w:r>
            <w:r w:rsidRPr="00C40CA4">
              <w:rPr>
                <w:b/>
              </w:rPr>
              <w:t>=0%</w:t>
            </w:r>
            <w:r w:rsidR="00240997">
              <w:rPr>
                <w:b/>
              </w:rPr>
              <w:t>; p=0.45</w:t>
            </w:r>
          </w:p>
        </w:tc>
        <w:tc>
          <w:tcPr>
            <w:tcW w:w="1969" w:type="dxa"/>
          </w:tcPr>
          <w:p w:rsidR="00B2722F" w:rsidRPr="00C40CA4" w:rsidRDefault="008838FD" w:rsidP="00295E64">
            <w:pPr>
              <w:rPr>
                <w:b/>
              </w:rPr>
            </w:pPr>
            <w:r>
              <w:rPr>
                <w:b/>
              </w:rPr>
              <w:t>0.82 [0.70-0.97</w:t>
            </w:r>
            <w:r w:rsidR="00B2722F" w:rsidRPr="00C40CA4">
              <w:rPr>
                <w:b/>
              </w:rPr>
              <w:t>]</w:t>
            </w:r>
          </w:p>
        </w:tc>
        <w:tc>
          <w:tcPr>
            <w:tcW w:w="1328" w:type="dxa"/>
          </w:tcPr>
          <w:p w:rsidR="00B2722F" w:rsidRPr="00C40CA4" w:rsidRDefault="008838FD" w:rsidP="00295E64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31" w:type="dxa"/>
          </w:tcPr>
          <w:p w:rsidR="00B2722F" w:rsidRPr="00C40CA4" w:rsidRDefault="008838FD" w:rsidP="00295E6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15" w:type="dxa"/>
          </w:tcPr>
          <w:p w:rsidR="00B2722F" w:rsidRPr="00C40CA4" w:rsidRDefault="008F749D" w:rsidP="00295E64">
            <w:pPr>
              <w:rPr>
                <w:b/>
              </w:rPr>
            </w:pPr>
            <w:r>
              <w:rPr>
                <w:b/>
              </w:rPr>
              <w:t>0.019</w:t>
            </w:r>
          </w:p>
        </w:tc>
      </w:tr>
      <w:tr w:rsidR="00B2722F" w:rsidRPr="00787DDD" w:rsidTr="003943A3">
        <w:tc>
          <w:tcPr>
            <w:tcW w:w="1708" w:type="dxa"/>
            <w:vMerge w:val="restart"/>
          </w:tcPr>
          <w:p w:rsidR="00B2722F" w:rsidRDefault="00844059" w:rsidP="00295E64">
            <w:r>
              <w:t>Study risk of bias</w:t>
            </w:r>
            <w:r w:rsidR="00F96B60">
              <w:t>*</w:t>
            </w:r>
          </w:p>
        </w:tc>
        <w:tc>
          <w:tcPr>
            <w:tcW w:w="1891" w:type="dxa"/>
          </w:tcPr>
          <w:p w:rsidR="00B2722F" w:rsidRPr="000D3103" w:rsidRDefault="00B2722F" w:rsidP="00295E64">
            <w:r w:rsidRPr="000D3103">
              <w:t>High</w:t>
            </w:r>
          </w:p>
        </w:tc>
        <w:tc>
          <w:tcPr>
            <w:tcW w:w="1969" w:type="dxa"/>
          </w:tcPr>
          <w:p w:rsidR="00B2722F" w:rsidRPr="000D3103" w:rsidRDefault="00AC79A0" w:rsidP="00295E64">
            <w:r>
              <w:t>0.87 [0.56-1.34</w:t>
            </w:r>
            <w:r w:rsidR="000D3103" w:rsidRPr="000D3103">
              <w:t>]</w:t>
            </w:r>
          </w:p>
        </w:tc>
        <w:tc>
          <w:tcPr>
            <w:tcW w:w="1328" w:type="dxa"/>
          </w:tcPr>
          <w:p w:rsidR="00B2722F" w:rsidRPr="000D3103" w:rsidRDefault="000D3103" w:rsidP="00295E64">
            <w:r w:rsidRPr="000D3103">
              <w:t>-</w:t>
            </w:r>
          </w:p>
        </w:tc>
        <w:tc>
          <w:tcPr>
            <w:tcW w:w="1331" w:type="dxa"/>
          </w:tcPr>
          <w:p w:rsidR="00EF5119" w:rsidRDefault="00AC79A0" w:rsidP="00EF5119">
            <w:r>
              <w:t>4</w:t>
            </w:r>
          </w:p>
          <w:p w:rsidR="00DC23F7" w:rsidRPr="000D3103" w:rsidRDefault="00DC23F7" w:rsidP="00295E64">
            <w:r>
              <w:t xml:space="preserve"> </w:t>
            </w:r>
          </w:p>
        </w:tc>
        <w:tc>
          <w:tcPr>
            <w:tcW w:w="1015" w:type="dxa"/>
          </w:tcPr>
          <w:p w:rsidR="00B2722F" w:rsidRPr="000D3103" w:rsidRDefault="0064132C" w:rsidP="00295E64">
            <w:r>
              <w:t>0.37</w:t>
            </w:r>
          </w:p>
        </w:tc>
      </w:tr>
      <w:tr w:rsidR="00B2722F" w:rsidTr="003943A3">
        <w:tc>
          <w:tcPr>
            <w:tcW w:w="1708" w:type="dxa"/>
            <w:vMerge/>
          </w:tcPr>
          <w:p w:rsidR="00B2722F" w:rsidRDefault="00B2722F" w:rsidP="00295E64"/>
        </w:tc>
        <w:tc>
          <w:tcPr>
            <w:tcW w:w="1891" w:type="dxa"/>
          </w:tcPr>
          <w:p w:rsidR="00B2722F" w:rsidRDefault="00892E90" w:rsidP="00295E64">
            <w:r>
              <w:t>Moderate</w:t>
            </w:r>
          </w:p>
        </w:tc>
        <w:tc>
          <w:tcPr>
            <w:tcW w:w="1969" w:type="dxa"/>
          </w:tcPr>
          <w:p w:rsidR="00B2722F" w:rsidRDefault="00903B4F" w:rsidP="00295E64">
            <w:r>
              <w:t>0.79</w:t>
            </w:r>
            <w:r w:rsidR="0064132C">
              <w:t xml:space="preserve"> [0.6</w:t>
            </w:r>
            <w:r>
              <w:t>2</w:t>
            </w:r>
            <w:r w:rsidR="002D5557">
              <w:t>-1.01</w:t>
            </w:r>
            <w:r w:rsidR="0064132C">
              <w:t>]</w:t>
            </w:r>
          </w:p>
        </w:tc>
        <w:tc>
          <w:tcPr>
            <w:tcW w:w="1328" w:type="dxa"/>
          </w:tcPr>
          <w:p w:rsidR="00B2722F" w:rsidRDefault="004D55E9" w:rsidP="00295E64">
            <w:r>
              <w:t>-</w:t>
            </w:r>
          </w:p>
        </w:tc>
        <w:tc>
          <w:tcPr>
            <w:tcW w:w="1331" w:type="dxa"/>
          </w:tcPr>
          <w:p w:rsidR="00EF5119" w:rsidRDefault="00AC79A0" w:rsidP="00EF5119">
            <w:r>
              <w:t>8</w:t>
            </w:r>
          </w:p>
          <w:p w:rsidR="006249E1" w:rsidRDefault="006249E1" w:rsidP="006249E1"/>
        </w:tc>
        <w:tc>
          <w:tcPr>
            <w:tcW w:w="1015" w:type="dxa"/>
          </w:tcPr>
          <w:p w:rsidR="00B2722F" w:rsidRDefault="0064132C" w:rsidP="00295E64">
            <w:r>
              <w:t>0.11</w:t>
            </w:r>
          </w:p>
        </w:tc>
      </w:tr>
      <w:tr w:rsidR="00A60928" w:rsidTr="003943A3">
        <w:tc>
          <w:tcPr>
            <w:tcW w:w="1708" w:type="dxa"/>
            <w:vMerge w:val="restart"/>
          </w:tcPr>
          <w:p w:rsidR="00A60928" w:rsidRDefault="00A60928" w:rsidP="00295E64">
            <w:r>
              <w:t>Patient population</w:t>
            </w:r>
          </w:p>
        </w:tc>
        <w:tc>
          <w:tcPr>
            <w:tcW w:w="1891" w:type="dxa"/>
          </w:tcPr>
          <w:p w:rsidR="00A60928" w:rsidRDefault="00A60928" w:rsidP="00295E64">
            <w:r>
              <w:t>Acute Coronary Syndrome</w:t>
            </w:r>
          </w:p>
        </w:tc>
        <w:tc>
          <w:tcPr>
            <w:tcW w:w="1969" w:type="dxa"/>
          </w:tcPr>
          <w:p w:rsidR="00A60928" w:rsidRDefault="00A60928" w:rsidP="00295E64">
            <w:r>
              <w:t>4.22 [0.84-21.22]</w:t>
            </w:r>
          </w:p>
        </w:tc>
        <w:tc>
          <w:tcPr>
            <w:tcW w:w="1328" w:type="dxa"/>
          </w:tcPr>
          <w:p w:rsidR="00A60928" w:rsidRDefault="00A60928" w:rsidP="00295E64">
            <w:r>
              <w:t>-</w:t>
            </w:r>
          </w:p>
        </w:tc>
        <w:tc>
          <w:tcPr>
            <w:tcW w:w="1331" w:type="dxa"/>
          </w:tcPr>
          <w:p w:rsidR="00F06BF1" w:rsidRPr="00AB76A5" w:rsidRDefault="00A60928" w:rsidP="00295E64">
            <w:r>
              <w:t>2</w:t>
            </w:r>
          </w:p>
        </w:tc>
        <w:tc>
          <w:tcPr>
            <w:tcW w:w="1015" w:type="dxa"/>
          </w:tcPr>
          <w:p w:rsidR="00A60928" w:rsidRDefault="00A60928" w:rsidP="00295E64">
            <w:r>
              <w:t>0.08</w:t>
            </w:r>
          </w:p>
        </w:tc>
      </w:tr>
      <w:tr w:rsidR="00A60928" w:rsidTr="003943A3">
        <w:tc>
          <w:tcPr>
            <w:tcW w:w="1708" w:type="dxa"/>
            <w:vMerge/>
          </w:tcPr>
          <w:p w:rsidR="00A60928" w:rsidRDefault="00A60928" w:rsidP="00295E64"/>
        </w:tc>
        <w:tc>
          <w:tcPr>
            <w:tcW w:w="1891" w:type="dxa"/>
          </w:tcPr>
          <w:p w:rsidR="00A60928" w:rsidRPr="00987F9D" w:rsidRDefault="00A60928" w:rsidP="00295E64">
            <w:pPr>
              <w:rPr>
                <w:b/>
              </w:rPr>
            </w:pPr>
            <w:r w:rsidRPr="00987F9D">
              <w:rPr>
                <w:b/>
              </w:rPr>
              <w:t>Acute Upper Gastrointestinal Bleeding</w:t>
            </w:r>
          </w:p>
        </w:tc>
        <w:tc>
          <w:tcPr>
            <w:tcW w:w="1969" w:type="dxa"/>
          </w:tcPr>
          <w:p w:rsidR="00A60928" w:rsidRPr="00987F9D" w:rsidRDefault="00A118F1" w:rsidP="00295E64">
            <w:pPr>
              <w:rPr>
                <w:b/>
              </w:rPr>
            </w:pPr>
            <w:r w:rsidRPr="00987F9D">
              <w:rPr>
                <w:b/>
              </w:rPr>
              <w:t>0.59 [0.39-0.89]</w:t>
            </w:r>
          </w:p>
        </w:tc>
        <w:tc>
          <w:tcPr>
            <w:tcW w:w="1328" w:type="dxa"/>
          </w:tcPr>
          <w:p w:rsidR="00A60928" w:rsidRPr="00987F9D" w:rsidRDefault="00CF0F5D" w:rsidP="00295E64">
            <w:pPr>
              <w:rPr>
                <w:b/>
              </w:rPr>
            </w:pPr>
            <w:r w:rsidRPr="00987F9D">
              <w:rPr>
                <w:b/>
              </w:rPr>
              <w:t>38</w:t>
            </w:r>
          </w:p>
        </w:tc>
        <w:tc>
          <w:tcPr>
            <w:tcW w:w="1331" w:type="dxa"/>
          </w:tcPr>
          <w:p w:rsidR="00F06BF1" w:rsidRPr="00987F9D" w:rsidRDefault="00A118F1" w:rsidP="00295E64">
            <w:pPr>
              <w:rPr>
                <w:b/>
              </w:rPr>
            </w:pPr>
            <w:r w:rsidRPr="00987F9D">
              <w:rPr>
                <w:b/>
              </w:rPr>
              <w:t>3</w:t>
            </w:r>
          </w:p>
        </w:tc>
        <w:tc>
          <w:tcPr>
            <w:tcW w:w="1015" w:type="dxa"/>
          </w:tcPr>
          <w:p w:rsidR="00A60928" w:rsidRPr="00987F9D" w:rsidRDefault="00A118F1" w:rsidP="00295E64">
            <w:pPr>
              <w:rPr>
                <w:b/>
              </w:rPr>
            </w:pPr>
            <w:r w:rsidRPr="00987F9D">
              <w:rPr>
                <w:b/>
              </w:rPr>
              <w:t>0.01</w:t>
            </w:r>
          </w:p>
        </w:tc>
      </w:tr>
      <w:tr w:rsidR="00A60928" w:rsidTr="003943A3">
        <w:tc>
          <w:tcPr>
            <w:tcW w:w="1708" w:type="dxa"/>
            <w:vMerge/>
          </w:tcPr>
          <w:p w:rsidR="00A60928" w:rsidRDefault="00A60928" w:rsidP="00295E64"/>
        </w:tc>
        <w:tc>
          <w:tcPr>
            <w:tcW w:w="1891" w:type="dxa"/>
          </w:tcPr>
          <w:p w:rsidR="00A60928" w:rsidRDefault="00A60928" w:rsidP="00295E64">
            <w:r>
              <w:t>Intensive care unit</w:t>
            </w:r>
          </w:p>
        </w:tc>
        <w:tc>
          <w:tcPr>
            <w:tcW w:w="1969" w:type="dxa"/>
          </w:tcPr>
          <w:p w:rsidR="00A60928" w:rsidRDefault="00EC07C4" w:rsidP="00295E64">
            <w:r>
              <w:t>0.86 [0.72-1.03]</w:t>
            </w:r>
          </w:p>
        </w:tc>
        <w:tc>
          <w:tcPr>
            <w:tcW w:w="1328" w:type="dxa"/>
          </w:tcPr>
          <w:p w:rsidR="00A60928" w:rsidRDefault="00EC07C4" w:rsidP="00295E64">
            <w:r>
              <w:t>-</w:t>
            </w:r>
          </w:p>
        </w:tc>
        <w:tc>
          <w:tcPr>
            <w:tcW w:w="1331" w:type="dxa"/>
          </w:tcPr>
          <w:p w:rsidR="00F06BF1" w:rsidRDefault="00144D80" w:rsidP="00295E64">
            <w:r>
              <w:t>7</w:t>
            </w:r>
          </w:p>
        </w:tc>
        <w:tc>
          <w:tcPr>
            <w:tcW w:w="1015" w:type="dxa"/>
          </w:tcPr>
          <w:p w:rsidR="00A60928" w:rsidRDefault="00144D80" w:rsidP="00295E64">
            <w:r>
              <w:t>0.09</w:t>
            </w:r>
          </w:p>
        </w:tc>
      </w:tr>
      <w:tr w:rsidR="003943A3" w:rsidTr="003943A3">
        <w:tc>
          <w:tcPr>
            <w:tcW w:w="1708" w:type="dxa"/>
            <w:vMerge w:val="restart"/>
          </w:tcPr>
          <w:p w:rsidR="003943A3" w:rsidRDefault="003943A3" w:rsidP="00295E64">
            <w:r>
              <w:t>Transfusion trigger</w:t>
            </w:r>
          </w:p>
        </w:tc>
        <w:tc>
          <w:tcPr>
            <w:tcW w:w="1891" w:type="dxa"/>
          </w:tcPr>
          <w:p w:rsidR="003943A3" w:rsidRDefault="003943A3" w:rsidP="00295E64">
            <w:proofErr w:type="spellStart"/>
            <w:r>
              <w:t>Hgb</w:t>
            </w:r>
            <w:proofErr w:type="spellEnd"/>
            <w:r>
              <w:t xml:space="preserve"> 8.0g/</w:t>
            </w:r>
            <w:proofErr w:type="spellStart"/>
            <w:r>
              <w:t>dL</w:t>
            </w:r>
            <w:proofErr w:type="spellEnd"/>
            <w:r>
              <w:t xml:space="preserve"> or higher</w:t>
            </w:r>
          </w:p>
        </w:tc>
        <w:tc>
          <w:tcPr>
            <w:tcW w:w="1969" w:type="dxa"/>
          </w:tcPr>
          <w:p w:rsidR="003943A3" w:rsidRDefault="006158F4" w:rsidP="00295E64">
            <w:r>
              <w:t>1.20 [0.32-4.48]</w:t>
            </w:r>
          </w:p>
        </w:tc>
        <w:tc>
          <w:tcPr>
            <w:tcW w:w="1328" w:type="dxa"/>
          </w:tcPr>
          <w:p w:rsidR="003943A3" w:rsidRDefault="006158F4" w:rsidP="00295E64">
            <w:r>
              <w:t>-</w:t>
            </w:r>
          </w:p>
        </w:tc>
        <w:tc>
          <w:tcPr>
            <w:tcW w:w="1331" w:type="dxa"/>
          </w:tcPr>
          <w:p w:rsidR="00AF454F" w:rsidRDefault="006158F4" w:rsidP="00295E64">
            <w:r>
              <w:t>4</w:t>
            </w:r>
          </w:p>
        </w:tc>
        <w:tc>
          <w:tcPr>
            <w:tcW w:w="1015" w:type="dxa"/>
          </w:tcPr>
          <w:p w:rsidR="003943A3" w:rsidRDefault="008F4D94" w:rsidP="00295E64">
            <w:r>
              <w:t>0.79</w:t>
            </w:r>
          </w:p>
        </w:tc>
      </w:tr>
      <w:tr w:rsidR="003943A3" w:rsidTr="003943A3">
        <w:tc>
          <w:tcPr>
            <w:tcW w:w="1708" w:type="dxa"/>
            <w:vMerge/>
          </w:tcPr>
          <w:p w:rsidR="003943A3" w:rsidRDefault="003943A3" w:rsidP="00295E64"/>
        </w:tc>
        <w:tc>
          <w:tcPr>
            <w:tcW w:w="1891" w:type="dxa"/>
          </w:tcPr>
          <w:p w:rsidR="003943A3" w:rsidRPr="00F2010D" w:rsidRDefault="003943A3" w:rsidP="00295E64">
            <w:pPr>
              <w:rPr>
                <w:b/>
              </w:rPr>
            </w:pPr>
            <w:proofErr w:type="spellStart"/>
            <w:r w:rsidRPr="00F2010D">
              <w:rPr>
                <w:b/>
              </w:rPr>
              <w:t>Hgb</w:t>
            </w:r>
            <w:proofErr w:type="spellEnd"/>
            <w:r w:rsidRPr="00F2010D">
              <w:rPr>
                <w:b/>
              </w:rPr>
              <w:t xml:space="preserve"> 7.0-7.5g/</w:t>
            </w:r>
            <w:proofErr w:type="spellStart"/>
            <w:r w:rsidRPr="00F2010D">
              <w:rPr>
                <w:b/>
              </w:rPr>
              <w:t>dL</w:t>
            </w:r>
            <w:proofErr w:type="spellEnd"/>
          </w:p>
        </w:tc>
        <w:tc>
          <w:tcPr>
            <w:tcW w:w="1969" w:type="dxa"/>
          </w:tcPr>
          <w:p w:rsidR="003943A3" w:rsidRPr="00F2010D" w:rsidRDefault="006158F4" w:rsidP="00295E64">
            <w:pPr>
              <w:rPr>
                <w:b/>
              </w:rPr>
            </w:pPr>
            <w:r w:rsidRPr="00F2010D">
              <w:rPr>
                <w:b/>
              </w:rPr>
              <w:t>0.82 [0.69-0.97]</w:t>
            </w:r>
          </w:p>
        </w:tc>
        <w:tc>
          <w:tcPr>
            <w:tcW w:w="1328" w:type="dxa"/>
          </w:tcPr>
          <w:p w:rsidR="003943A3" w:rsidRPr="00F2010D" w:rsidRDefault="004E0730" w:rsidP="00295E64">
            <w:pPr>
              <w:rPr>
                <w:b/>
              </w:rPr>
            </w:pPr>
            <w:r w:rsidRPr="00F2010D">
              <w:rPr>
                <w:b/>
              </w:rPr>
              <w:t>26</w:t>
            </w:r>
          </w:p>
        </w:tc>
        <w:tc>
          <w:tcPr>
            <w:tcW w:w="1331" w:type="dxa"/>
          </w:tcPr>
          <w:p w:rsidR="00AF454F" w:rsidRPr="00F2010D" w:rsidRDefault="006158F4" w:rsidP="00295E64">
            <w:pPr>
              <w:rPr>
                <w:b/>
              </w:rPr>
            </w:pPr>
            <w:r w:rsidRPr="00F2010D">
              <w:rPr>
                <w:b/>
              </w:rPr>
              <w:t>8</w:t>
            </w:r>
          </w:p>
        </w:tc>
        <w:tc>
          <w:tcPr>
            <w:tcW w:w="1015" w:type="dxa"/>
          </w:tcPr>
          <w:p w:rsidR="003943A3" w:rsidRPr="00F2010D" w:rsidRDefault="00C134B2" w:rsidP="00295E64">
            <w:pPr>
              <w:rPr>
                <w:b/>
              </w:rPr>
            </w:pPr>
            <w:r w:rsidRPr="00F2010D">
              <w:rPr>
                <w:b/>
              </w:rPr>
              <w:t>0.02</w:t>
            </w:r>
          </w:p>
        </w:tc>
      </w:tr>
      <w:tr w:rsidR="00993FCA" w:rsidTr="003943A3">
        <w:tc>
          <w:tcPr>
            <w:tcW w:w="1708" w:type="dxa"/>
          </w:tcPr>
          <w:p w:rsidR="00993FCA" w:rsidRDefault="00605857" w:rsidP="00295E64">
            <w:r>
              <w:t>Statistical model</w:t>
            </w:r>
          </w:p>
        </w:tc>
        <w:tc>
          <w:tcPr>
            <w:tcW w:w="1891" w:type="dxa"/>
          </w:tcPr>
          <w:p w:rsidR="00993FCA" w:rsidRPr="00BA3D2F" w:rsidRDefault="00605857" w:rsidP="00295E64">
            <w:pPr>
              <w:rPr>
                <w:b/>
              </w:rPr>
            </w:pPr>
            <w:r w:rsidRPr="00BA3D2F">
              <w:rPr>
                <w:b/>
              </w:rPr>
              <w:t>Fixed effects</w:t>
            </w:r>
          </w:p>
        </w:tc>
        <w:tc>
          <w:tcPr>
            <w:tcW w:w="1969" w:type="dxa"/>
          </w:tcPr>
          <w:p w:rsidR="00993FCA" w:rsidRPr="00BA3D2F" w:rsidRDefault="001D4FB8" w:rsidP="00295E64">
            <w:pPr>
              <w:rPr>
                <w:b/>
              </w:rPr>
            </w:pPr>
            <w:r w:rsidRPr="00BA3D2F">
              <w:rPr>
                <w:b/>
              </w:rPr>
              <w:t>0.83 [0.70-0.97]</w:t>
            </w:r>
          </w:p>
        </w:tc>
        <w:tc>
          <w:tcPr>
            <w:tcW w:w="1328" w:type="dxa"/>
          </w:tcPr>
          <w:p w:rsidR="00993FCA" w:rsidRPr="00BA3D2F" w:rsidRDefault="00912016" w:rsidP="00295E64">
            <w:pPr>
              <w:rPr>
                <w:b/>
              </w:rPr>
            </w:pPr>
            <w:r w:rsidRPr="00BA3D2F">
              <w:rPr>
                <w:b/>
              </w:rPr>
              <w:t>34</w:t>
            </w:r>
          </w:p>
        </w:tc>
        <w:tc>
          <w:tcPr>
            <w:tcW w:w="1331" w:type="dxa"/>
          </w:tcPr>
          <w:p w:rsidR="00993FCA" w:rsidRPr="00BA3D2F" w:rsidRDefault="001D4FB8" w:rsidP="00295E64">
            <w:pPr>
              <w:rPr>
                <w:b/>
              </w:rPr>
            </w:pPr>
            <w:r w:rsidRPr="00BA3D2F">
              <w:rPr>
                <w:b/>
              </w:rPr>
              <w:t>12</w:t>
            </w:r>
          </w:p>
        </w:tc>
        <w:tc>
          <w:tcPr>
            <w:tcW w:w="1015" w:type="dxa"/>
          </w:tcPr>
          <w:p w:rsidR="00993FCA" w:rsidRPr="00BA3D2F" w:rsidRDefault="001D4FB8" w:rsidP="00295E64">
            <w:pPr>
              <w:rPr>
                <w:b/>
              </w:rPr>
            </w:pPr>
            <w:r w:rsidRPr="00BA3D2F">
              <w:rPr>
                <w:b/>
              </w:rPr>
              <w:t>0.02</w:t>
            </w:r>
          </w:p>
        </w:tc>
      </w:tr>
    </w:tbl>
    <w:p w:rsidR="00D17436" w:rsidRDefault="00F96B60">
      <w:r>
        <w:t>*no studies were deemed to be low risk of bias</w:t>
      </w:r>
    </w:p>
    <w:p w:rsidR="005A4B15" w:rsidRDefault="005A4B15"/>
    <w:p w:rsidR="005A4B15" w:rsidRDefault="005A4B15" w:rsidP="005A4B15">
      <w:r>
        <w:t xml:space="preserve">Table </w:t>
      </w:r>
      <w:r w:rsidR="00EA7DCA">
        <w:t>S2</w:t>
      </w:r>
      <w:r>
        <w:t xml:space="preserve">: Mortality subgroup analyses for </w:t>
      </w:r>
      <w:r w:rsidR="00477E34">
        <w:t>surgical patients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708"/>
        <w:gridCol w:w="1891"/>
        <w:gridCol w:w="1969"/>
        <w:gridCol w:w="1328"/>
        <w:gridCol w:w="1331"/>
        <w:gridCol w:w="1015"/>
      </w:tblGrid>
      <w:tr w:rsidR="005A4B15" w:rsidTr="00295E64">
        <w:tc>
          <w:tcPr>
            <w:tcW w:w="3599" w:type="dxa"/>
            <w:gridSpan w:val="2"/>
          </w:tcPr>
          <w:p w:rsidR="005A4B15" w:rsidRDefault="005A4B15" w:rsidP="00295E64">
            <w:pPr>
              <w:jc w:val="center"/>
            </w:pPr>
            <w:r>
              <w:t>Subgroup</w:t>
            </w:r>
          </w:p>
        </w:tc>
        <w:tc>
          <w:tcPr>
            <w:tcW w:w="1969" w:type="dxa"/>
          </w:tcPr>
          <w:p w:rsidR="005A4B15" w:rsidRDefault="005A4B15" w:rsidP="00295E64">
            <w:r>
              <w:t>OR [95% CI]</w:t>
            </w:r>
          </w:p>
        </w:tc>
        <w:tc>
          <w:tcPr>
            <w:tcW w:w="1328" w:type="dxa"/>
          </w:tcPr>
          <w:p w:rsidR="005A4B15" w:rsidRDefault="005A4B15" w:rsidP="00295E64">
            <w:r>
              <w:t>NNTB or [NNTH]</w:t>
            </w:r>
          </w:p>
        </w:tc>
        <w:tc>
          <w:tcPr>
            <w:tcW w:w="1331" w:type="dxa"/>
          </w:tcPr>
          <w:p w:rsidR="005A4B15" w:rsidRDefault="005A4B15" w:rsidP="00295E64">
            <w:r>
              <w:t>N of studies</w:t>
            </w:r>
          </w:p>
        </w:tc>
        <w:tc>
          <w:tcPr>
            <w:tcW w:w="1015" w:type="dxa"/>
          </w:tcPr>
          <w:p w:rsidR="005A4B15" w:rsidRDefault="005A4B15" w:rsidP="00295E64">
            <w:r>
              <w:t>p-value</w:t>
            </w:r>
          </w:p>
        </w:tc>
      </w:tr>
      <w:tr w:rsidR="005A4B15" w:rsidRPr="00C40CA4" w:rsidTr="00295E64">
        <w:tc>
          <w:tcPr>
            <w:tcW w:w="3599" w:type="dxa"/>
            <w:gridSpan w:val="2"/>
          </w:tcPr>
          <w:p w:rsidR="005A4B15" w:rsidRPr="00A133E1" w:rsidRDefault="005A4B15" w:rsidP="00295E64">
            <w:r w:rsidRPr="00A133E1">
              <w:t>Overall pooled; I</w:t>
            </w:r>
            <w:r w:rsidRPr="00A133E1">
              <w:rPr>
                <w:vertAlign w:val="superscript"/>
              </w:rPr>
              <w:t>2</w:t>
            </w:r>
            <w:r w:rsidR="000C4B2E" w:rsidRPr="00A133E1">
              <w:t>=20</w:t>
            </w:r>
            <w:r w:rsidRPr="00A133E1">
              <w:t>%</w:t>
            </w:r>
            <w:r w:rsidR="000C4B2E" w:rsidRPr="00A133E1">
              <w:t>; p=0.23</w:t>
            </w:r>
          </w:p>
        </w:tc>
        <w:tc>
          <w:tcPr>
            <w:tcW w:w="1969" w:type="dxa"/>
          </w:tcPr>
          <w:p w:rsidR="005A4B15" w:rsidRPr="00A133E1" w:rsidRDefault="00600B2C" w:rsidP="00A35CBF">
            <w:r w:rsidRPr="00A133E1">
              <w:t>1.</w:t>
            </w:r>
            <w:r w:rsidR="00A35CBF" w:rsidRPr="00A133E1">
              <w:t>31 [0.94-1.82</w:t>
            </w:r>
            <w:r w:rsidRPr="00A133E1">
              <w:t>]</w:t>
            </w:r>
          </w:p>
        </w:tc>
        <w:tc>
          <w:tcPr>
            <w:tcW w:w="1328" w:type="dxa"/>
          </w:tcPr>
          <w:p w:rsidR="005A4B15" w:rsidRPr="00A133E1" w:rsidRDefault="00225436" w:rsidP="00295E64">
            <w:r w:rsidRPr="00A133E1">
              <w:t>-</w:t>
            </w:r>
          </w:p>
        </w:tc>
        <w:tc>
          <w:tcPr>
            <w:tcW w:w="1331" w:type="dxa"/>
          </w:tcPr>
          <w:p w:rsidR="005A4B15" w:rsidRPr="00A133E1" w:rsidRDefault="00225436" w:rsidP="00295E64">
            <w:r w:rsidRPr="00A133E1">
              <w:t>15</w:t>
            </w:r>
          </w:p>
        </w:tc>
        <w:tc>
          <w:tcPr>
            <w:tcW w:w="1015" w:type="dxa"/>
          </w:tcPr>
          <w:p w:rsidR="005A4B15" w:rsidRPr="00A133E1" w:rsidRDefault="00344CC9" w:rsidP="00295E64">
            <w:r w:rsidRPr="00A133E1">
              <w:t>0.12</w:t>
            </w:r>
          </w:p>
        </w:tc>
      </w:tr>
      <w:tr w:rsidR="00AE7568" w:rsidRPr="000D3103" w:rsidTr="00295E64">
        <w:tc>
          <w:tcPr>
            <w:tcW w:w="1708" w:type="dxa"/>
            <w:vMerge w:val="restart"/>
          </w:tcPr>
          <w:p w:rsidR="00AE7568" w:rsidRDefault="00AE7568" w:rsidP="00295E64">
            <w:r>
              <w:t>Study risk of bias*</w:t>
            </w:r>
          </w:p>
        </w:tc>
        <w:tc>
          <w:tcPr>
            <w:tcW w:w="1891" w:type="dxa"/>
          </w:tcPr>
          <w:p w:rsidR="00AE7568" w:rsidRPr="000D3103" w:rsidRDefault="00AE7568" w:rsidP="00295E64">
            <w:r w:rsidRPr="000D3103">
              <w:t>High</w:t>
            </w:r>
          </w:p>
        </w:tc>
        <w:tc>
          <w:tcPr>
            <w:tcW w:w="1969" w:type="dxa"/>
          </w:tcPr>
          <w:p w:rsidR="00AE7568" w:rsidRPr="000D3103" w:rsidRDefault="00CB60A7" w:rsidP="00295E64">
            <w:r>
              <w:t>0.60 [0.25-1.47]</w:t>
            </w:r>
          </w:p>
        </w:tc>
        <w:tc>
          <w:tcPr>
            <w:tcW w:w="1328" w:type="dxa"/>
          </w:tcPr>
          <w:p w:rsidR="00AE7568" w:rsidRPr="000D3103" w:rsidRDefault="00D236B4" w:rsidP="00295E64">
            <w:r>
              <w:t>-</w:t>
            </w:r>
          </w:p>
        </w:tc>
        <w:tc>
          <w:tcPr>
            <w:tcW w:w="1331" w:type="dxa"/>
          </w:tcPr>
          <w:p w:rsidR="006249E1" w:rsidRPr="000D3103" w:rsidRDefault="009E6A55" w:rsidP="00EF5119">
            <w:r>
              <w:t>5</w:t>
            </w:r>
          </w:p>
        </w:tc>
        <w:tc>
          <w:tcPr>
            <w:tcW w:w="1015" w:type="dxa"/>
          </w:tcPr>
          <w:p w:rsidR="00AE7568" w:rsidRPr="000D3103" w:rsidRDefault="00CC5A6C" w:rsidP="00295E64">
            <w:r>
              <w:t>0.27</w:t>
            </w:r>
          </w:p>
        </w:tc>
      </w:tr>
      <w:tr w:rsidR="00AE7568" w:rsidTr="00295E64">
        <w:tc>
          <w:tcPr>
            <w:tcW w:w="1708" w:type="dxa"/>
            <w:vMerge/>
          </w:tcPr>
          <w:p w:rsidR="00AE7568" w:rsidRDefault="00AE7568" w:rsidP="00295E64"/>
        </w:tc>
        <w:tc>
          <w:tcPr>
            <w:tcW w:w="1891" w:type="dxa"/>
          </w:tcPr>
          <w:p w:rsidR="00AE7568" w:rsidRPr="00D9190D" w:rsidRDefault="00AE7568" w:rsidP="00295E64">
            <w:pPr>
              <w:rPr>
                <w:b/>
              </w:rPr>
            </w:pPr>
            <w:r w:rsidRPr="00D9190D">
              <w:rPr>
                <w:b/>
              </w:rPr>
              <w:t>Moderate</w:t>
            </w:r>
          </w:p>
        </w:tc>
        <w:tc>
          <w:tcPr>
            <w:tcW w:w="1969" w:type="dxa"/>
          </w:tcPr>
          <w:p w:rsidR="00AE7568" w:rsidRPr="00D9190D" w:rsidRDefault="00CB60A7" w:rsidP="00295E64">
            <w:pPr>
              <w:rPr>
                <w:b/>
              </w:rPr>
            </w:pPr>
            <w:r w:rsidRPr="00D9190D">
              <w:rPr>
                <w:b/>
              </w:rPr>
              <w:t>1.50 [1.02-2.22]</w:t>
            </w:r>
          </w:p>
        </w:tc>
        <w:tc>
          <w:tcPr>
            <w:tcW w:w="1328" w:type="dxa"/>
          </w:tcPr>
          <w:p w:rsidR="00AE7568" w:rsidRPr="00D9190D" w:rsidRDefault="00ED2CC3" w:rsidP="00295E64">
            <w:pPr>
              <w:rPr>
                <w:b/>
              </w:rPr>
            </w:pPr>
            <w:r w:rsidRPr="00D9190D">
              <w:rPr>
                <w:b/>
              </w:rPr>
              <w:t>54</w:t>
            </w:r>
          </w:p>
        </w:tc>
        <w:tc>
          <w:tcPr>
            <w:tcW w:w="1331" w:type="dxa"/>
          </w:tcPr>
          <w:p w:rsidR="003C7D7B" w:rsidRPr="00EF5119" w:rsidRDefault="009E6A55" w:rsidP="00295E64">
            <w:pPr>
              <w:rPr>
                <w:b/>
              </w:rPr>
            </w:pPr>
            <w:r w:rsidRPr="00D9190D">
              <w:rPr>
                <w:b/>
              </w:rPr>
              <w:t>10</w:t>
            </w:r>
          </w:p>
        </w:tc>
        <w:tc>
          <w:tcPr>
            <w:tcW w:w="1015" w:type="dxa"/>
          </w:tcPr>
          <w:p w:rsidR="00AE7568" w:rsidRPr="00D9190D" w:rsidRDefault="00CC5A6C" w:rsidP="00295E64">
            <w:pPr>
              <w:rPr>
                <w:b/>
              </w:rPr>
            </w:pPr>
            <w:r w:rsidRPr="00D9190D">
              <w:rPr>
                <w:b/>
              </w:rPr>
              <w:t>0.04</w:t>
            </w:r>
          </w:p>
        </w:tc>
      </w:tr>
      <w:tr w:rsidR="00D22D0B" w:rsidTr="00295E64">
        <w:tc>
          <w:tcPr>
            <w:tcW w:w="1708" w:type="dxa"/>
            <w:vMerge w:val="restart"/>
          </w:tcPr>
          <w:p w:rsidR="00D22D0B" w:rsidRDefault="00D22D0B" w:rsidP="00295E64">
            <w:r>
              <w:t>Patient population</w:t>
            </w:r>
          </w:p>
        </w:tc>
        <w:tc>
          <w:tcPr>
            <w:tcW w:w="1891" w:type="dxa"/>
          </w:tcPr>
          <w:p w:rsidR="00D22D0B" w:rsidRDefault="00D22D0B" w:rsidP="00295E64">
            <w:r>
              <w:t>Cardiac surgery</w:t>
            </w:r>
          </w:p>
        </w:tc>
        <w:tc>
          <w:tcPr>
            <w:tcW w:w="1969" w:type="dxa"/>
          </w:tcPr>
          <w:p w:rsidR="00D22D0B" w:rsidRDefault="00545B21" w:rsidP="00295E64">
            <w:r>
              <w:t>1.28 [0.82-1.98]</w:t>
            </w:r>
          </w:p>
        </w:tc>
        <w:tc>
          <w:tcPr>
            <w:tcW w:w="1328" w:type="dxa"/>
          </w:tcPr>
          <w:p w:rsidR="00D22D0B" w:rsidRDefault="005F7014" w:rsidP="00295E64">
            <w:r>
              <w:t>-</w:t>
            </w:r>
          </w:p>
        </w:tc>
        <w:tc>
          <w:tcPr>
            <w:tcW w:w="1331" w:type="dxa"/>
          </w:tcPr>
          <w:p w:rsidR="00A76E38" w:rsidRDefault="005F7014" w:rsidP="00295E64">
            <w:r>
              <w:t>5</w:t>
            </w:r>
          </w:p>
        </w:tc>
        <w:tc>
          <w:tcPr>
            <w:tcW w:w="1015" w:type="dxa"/>
          </w:tcPr>
          <w:p w:rsidR="00D22D0B" w:rsidRDefault="00AA498C" w:rsidP="00295E64">
            <w:r>
              <w:t>0.27</w:t>
            </w:r>
          </w:p>
        </w:tc>
      </w:tr>
      <w:tr w:rsidR="00D22D0B" w:rsidTr="00295E64">
        <w:tc>
          <w:tcPr>
            <w:tcW w:w="1708" w:type="dxa"/>
            <w:vMerge/>
          </w:tcPr>
          <w:p w:rsidR="00D22D0B" w:rsidRDefault="00D22D0B" w:rsidP="00295E64"/>
        </w:tc>
        <w:tc>
          <w:tcPr>
            <w:tcW w:w="1891" w:type="dxa"/>
          </w:tcPr>
          <w:p w:rsidR="00D22D0B" w:rsidRDefault="00D22D0B" w:rsidP="00295E64">
            <w:r>
              <w:t>Non-cardiac surgery</w:t>
            </w:r>
          </w:p>
        </w:tc>
        <w:tc>
          <w:tcPr>
            <w:tcW w:w="1969" w:type="dxa"/>
          </w:tcPr>
          <w:p w:rsidR="00D22D0B" w:rsidRDefault="00545B21" w:rsidP="00295E64">
            <w:r>
              <w:t>1.39 [0.82-2.38]</w:t>
            </w:r>
          </w:p>
        </w:tc>
        <w:tc>
          <w:tcPr>
            <w:tcW w:w="1328" w:type="dxa"/>
          </w:tcPr>
          <w:p w:rsidR="00D22D0B" w:rsidRDefault="005F7014" w:rsidP="00295E64">
            <w:r>
              <w:t>-</w:t>
            </w:r>
          </w:p>
        </w:tc>
        <w:tc>
          <w:tcPr>
            <w:tcW w:w="1331" w:type="dxa"/>
          </w:tcPr>
          <w:p w:rsidR="00E366EB" w:rsidRDefault="005F7014" w:rsidP="00EF5119">
            <w:r>
              <w:t>10</w:t>
            </w:r>
          </w:p>
        </w:tc>
        <w:tc>
          <w:tcPr>
            <w:tcW w:w="1015" w:type="dxa"/>
          </w:tcPr>
          <w:p w:rsidR="00D22D0B" w:rsidRDefault="00AA498C" w:rsidP="00295E64">
            <w:r>
              <w:t>0.22</w:t>
            </w:r>
          </w:p>
        </w:tc>
      </w:tr>
      <w:tr w:rsidR="00EB187D" w:rsidTr="00295E64">
        <w:tc>
          <w:tcPr>
            <w:tcW w:w="1708" w:type="dxa"/>
            <w:vMerge w:val="restart"/>
          </w:tcPr>
          <w:p w:rsidR="00EB187D" w:rsidRDefault="00EB187D" w:rsidP="00295E64">
            <w:r>
              <w:t>Transfusion trigger</w:t>
            </w:r>
          </w:p>
        </w:tc>
        <w:tc>
          <w:tcPr>
            <w:tcW w:w="1891" w:type="dxa"/>
          </w:tcPr>
          <w:p w:rsidR="00EB187D" w:rsidRDefault="00EB187D" w:rsidP="00295E64">
            <w:proofErr w:type="spellStart"/>
            <w:r>
              <w:t>Hgb</w:t>
            </w:r>
            <w:proofErr w:type="spellEnd"/>
            <w:r>
              <w:t xml:space="preserve"> 8.0g/</w:t>
            </w:r>
            <w:proofErr w:type="spellStart"/>
            <w:r>
              <w:t>dL</w:t>
            </w:r>
            <w:proofErr w:type="spellEnd"/>
            <w:r>
              <w:t xml:space="preserve"> or higher</w:t>
            </w:r>
          </w:p>
        </w:tc>
        <w:tc>
          <w:tcPr>
            <w:tcW w:w="1969" w:type="dxa"/>
          </w:tcPr>
          <w:p w:rsidR="00EB187D" w:rsidRDefault="007F5D0D" w:rsidP="00295E64">
            <w:r>
              <w:t>0.97 [0.71-1.32]</w:t>
            </w:r>
          </w:p>
        </w:tc>
        <w:tc>
          <w:tcPr>
            <w:tcW w:w="1328" w:type="dxa"/>
          </w:tcPr>
          <w:p w:rsidR="00EB187D" w:rsidRDefault="007F5D0D" w:rsidP="00295E64">
            <w:r>
              <w:t>-</w:t>
            </w:r>
          </w:p>
        </w:tc>
        <w:tc>
          <w:tcPr>
            <w:tcW w:w="1331" w:type="dxa"/>
          </w:tcPr>
          <w:p w:rsidR="002E08F9" w:rsidRDefault="007F5D0D" w:rsidP="00295E64">
            <w:r>
              <w:t>8</w:t>
            </w:r>
          </w:p>
        </w:tc>
        <w:tc>
          <w:tcPr>
            <w:tcW w:w="1015" w:type="dxa"/>
          </w:tcPr>
          <w:p w:rsidR="00EB187D" w:rsidRDefault="00430524" w:rsidP="00295E64">
            <w:r>
              <w:t>0.84</w:t>
            </w:r>
          </w:p>
        </w:tc>
      </w:tr>
      <w:tr w:rsidR="00EB187D" w:rsidTr="00295E64">
        <w:tc>
          <w:tcPr>
            <w:tcW w:w="1708" w:type="dxa"/>
            <w:vMerge/>
          </w:tcPr>
          <w:p w:rsidR="00EB187D" w:rsidRDefault="00EB187D" w:rsidP="00295E64"/>
        </w:tc>
        <w:tc>
          <w:tcPr>
            <w:tcW w:w="1891" w:type="dxa"/>
          </w:tcPr>
          <w:p w:rsidR="00EB187D" w:rsidRPr="00F2010D" w:rsidRDefault="00EB187D" w:rsidP="00295E64">
            <w:pPr>
              <w:rPr>
                <w:b/>
              </w:rPr>
            </w:pPr>
            <w:proofErr w:type="spellStart"/>
            <w:r w:rsidRPr="00F2010D">
              <w:rPr>
                <w:b/>
              </w:rPr>
              <w:t>Hgb</w:t>
            </w:r>
            <w:proofErr w:type="spellEnd"/>
            <w:r w:rsidRPr="00F2010D">
              <w:rPr>
                <w:b/>
              </w:rPr>
              <w:t xml:space="preserve"> 7.0-7.5g/</w:t>
            </w:r>
            <w:proofErr w:type="spellStart"/>
            <w:r w:rsidRPr="00F2010D">
              <w:rPr>
                <w:b/>
              </w:rPr>
              <w:t>dL</w:t>
            </w:r>
            <w:proofErr w:type="spellEnd"/>
          </w:p>
        </w:tc>
        <w:tc>
          <w:tcPr>
            <w:tcW w:w="1969" w:type="dxa"/>
          </w:tcPr>
          <w:p w:rsidR="00EB187D" w:rsidRPr="005A6657" w:rsidRDefault="007F5D0D" w:rsidP="00295E64">
            <w:pPr>
              <w:rPr>
                <w:b/>
              </w:rPr>
            </w:pPr>
            <w:r w:rsidRPr="005A6657">
              <w:rPr>
                <w:b/>
              </w:rPr>
              <w:t>1.94 [1.24-3.03]</w:t>
            </w:r>
          </w:p>
        </w:tc>
        <w:tc>
          <w:tcPr>
            <w:tcW w:w="1328" w:type="dxa"/>
          </w:tcPr>
          <w:p w:rsidR="00EB187D" w:rsidRPr="005A6657" w:rsidRDefault="000916F8" w:rsidP="00295E64">
            <w:pPr>
              <w:rPr>
                <w:b/>
              </w:rPr>
            </w:pPr>
            <w:r w:rsidRPr="005A6657">
              <w:rPr>
                <w:b/>
              </w:rPr>
              <w:t>48</w:t>
            </w:r>
          </w:p>
        </w:tc>
        <w:tc>
          <w:tcPr>
            <w:tcW w:w="1331" w:type="dxa"/>
          </w:tcPr>
          <w:p w:rsidR="00EB187D" w:rsidRDefault="007F5D0D" w:rsidP="00295E64">
            <w:pPr>
              <w:rPr>
                <w:b/>
              </w:rPr>
            </w:pPr>
            <w:r w:rsidRPr="005A6657">
              <w:rPr>
                <w:b/>
              </w:rPr>
              <w:t>7</w:t>
            </w:r>
          </w:p>
          <w:p w:rsidR="002E08F9" w:rsidRPr="005A6657" w:rsidRDefault="002E08F9" w:rsidP="00295E64">
            <w:pPr>
              <w:rPr>
                <w:b/>
              </w:rPr>
            </w:pPr>
          </w:p>
        </w:tc>
        <w:tc>
          <w:tcPr>
            <w:tcW w:w="1015" w:type="dxa"/>
          </w:tcPr>
          <w:p w:rsidR="00EB187D" w:rsidRPr="005A6657" w:rsidRDefault="00430524" w:rsidP="00295E64">
            <w:pPr>
              <w:rPr>
                <w:b/>
              </w:rPr>
            </w:pPr>
            <w:r w:rsidRPr="005A6657">
              <w:rPr>
                <w:b/>
              </w:rPr>
              <w:t>0.003</w:t>
            </w:r>
          </w:p>
        </w:tc>
      </w:tr>
      <w:tr w:rsidR="003A3DA5" w:rsidTr="00295E64">
        <w:tc>
          <w:tcPr>
            <w:tcW w:w="1708" w:type="dxa"/>
          </w:tcPr>
          <w:p w:rsidR="003A3DA5" w:rsidRDefault="003A3DA5" w:rsidP="00295E64">
            <w:r>
              <w:t>Statistical model</w:t>
            </w:r>
          </w:p>
        </w:tc>
        <w:tc>
          <w:tcPr>
            <w:tcW w:w="1891" w:type="dxa"/>
          </w:tcPr>
          <w:p w:rsidR="003A3DA5" w:rsidRPr="005A35D0" w:rsidRDefault="003A3DA5" w:rsidP="00295E64">
            <w:r w:rsidRPr="005A35D0">
              <w:t>Fixed effects</w:t>
            </w:r>
          </w:p>
        </w:tc>
        <w:tc>
          <w:tcPr>
            <w:tcW w:w="1969" w:type="dxa"/>
          </w:tcPr>
          <w:p w:rsidR="003A3DA5" w:rsidRPr="00FA3BBE" w:rsidRDefault="00FA3BBE" w:rsidP="00295E64">
            <w:r>
              <w:t>1.24 [0.97-1.59]</w:t>
            </w:r>
          </w:p>
        </w:tc>
        <w:tc>
          <w:tcPr>
            <w:tcW w:w="1328" w:type="dxa"/>
          </w:tcPr>
          <w:p w:rsidR="003A3DA5" w:rsidRPr="008F63FA" w:rsidRDefault="007219EF" w:rsidP="00295E64">
            <w:r w:rsidRPr="008F63FA">
              <w:t>-</w:t>
            </w:r>
          </w:p>
        </w:tc>
        <w:tc>
          <w:tcPr>
            <w:tcW w:w="1331" w:type="dxa"/>
          </w:tcPr>
          <w:p w:rsidR="003A3DA5" w:rsidRPr="008F63FA" w:rsidRDefault="007219EF" w:rsidP="00295E64">
            <w:r w:rsidRPr="008F63FA">
              <w:t>15</w:t>
            </w:r>
          </w:p>
        </w:tc>
        <w:tc>
          <w:tcPr>
            <w:tcW w:w="1015" w:type="dxa"/>
          </w:tcPr>
          <w:p w:rsidR="003A3DA5" w:rsidRPr="008F63FA" w:rsidRDefault="007219EF" w:rsidP="00295E64">
            <w:r w:rsidRPr="008F63FA">
              <w:t>0.08</w:t>
            </w:r>
          </w:p>
        </w:tc>
      </w:tr>
    </w:tbl>
    <w:p w:rsidR="00D9190D" w:rsidRDefault="00D9190D" w:rsidP="00D9190D">
      <w:r>
        <w:t>*no studies were deemed to be low risk of bias</w:t>
      </w:r>
    </w:p>
    <w:p w:rsidR="005A4B15" w:rsidRDefault="005A4B15"/>
    <w:p w:rsidR="0012209F" w:rsidRDefault="0012209F"/>
    <w:sectPr w:rsidR="0012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et Martin">
    <w15:presenceInfo w15:providerId="AD" w15:userId="S-1-12-1-616988194-1228626873-1086783925-1447461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6A"/>
    <w:rsid w:val="00001CB9"/>
    <w:rsid w:val="00002FF7"/>
    <w:rsid w:val="00014256"/>
    <w:rsid w:val="00030780"/>
    <w:rsid w:val="00051374"/>
    <w:rsid w:val="00056E7C"/>
    <w:rsid w:val="0006013B"/>
    <w:rsid w:val="0007063C"/>
    <w:rsid w:val="00073731"/>
    <w:rsid w:val="00073850"/>
    <w:rsid w:val="000758BC"/>
    <w:rsid w:val="000916F8"/>
    <w:rsid w:val="000A5CCA"/>
    <w:rsid w:val="000B62AF"/>
    <w:rsid w:val="000C4B2E"/>
    <w:rsid w:val="000C6213"/>
    <w:rsid w:val="000D3103"/>
    <w:rsid w:val="000E3803"/>
    <w:rsid w:val="001012A2"/>
    <w:rsid w:val="0012209F"/>
    <w:rsid w:val="00134E9B"/>
    <w:rsid w:val="00144D80"/>
    <w:rsid w:val="00145616"/>
    <w:rsid w:val="0014567C"/>
    <w:rsid w:val="001645E6"/>
    <w:rsid w:val="001918FF"/>
    <w:rsid w:val="001A4120"/>
    <w:rsid w:val="001A4188"/>
    <w:rsid w:val="001D4A48"/>
    <w:rsid w:val="001D4FB8"/>
    <w:rsid w:val="001E073E"/>
    <w:rsid w:val="001E5A24"/>
    <w:rsid w:val="00225436"/>
    <w:rsid w:val="00227E74"/>
    <w:rsid w:val="002303D3"/>
    <w:rsid w:val="00240997"/>
    <w:rsid w:val="00241EB4"/>
    <w:rsid w:val="0026518F"/>
    <w:rsid w:val="00266454"/>
    <w:rsid w:val="0028075B"/>
    <w:rsid w:val="00281E9B"/>
    <w:rsid w:val="002912EB"/>
    <w:rsid w:val="002D5557"/>
    <w:rsid w:val="002E08F9"/>
    <w:rsid w:val="002E121B"/>
    <w:rsid w:val="00331B2E"/>
    <w:rsid w:val="00344CC9"/>
    <w:rsid w:val="003510E0"/>
    <w:rsid w:val="00355C74"/>
    <w:rsid w:val="003911BA"/>
    <w:rsid w:val="003943A3"/>
    <w:rsid w:val="003A3DA5"/>
    <w:rsid w:val="003C7311"/>
    <w:rsid w:val="003C7D7B"/>
    <w:rsid w:val="003E7CD1"/>
    <w:rsid w:val="003F1699"/>
    <w:rsid w:val="0040655C"/>
    <w:rsid w:val="00430524"/>
    <w:rsid w:val="00445EA4"/>
    <w:rsid w:val="00472FA5"/>
    <w:rsid w:val="00477E34"/>
    <w:rsid w:val="004C296C"/>
    <w:rsid w:val="004D4726"/>
    <w:rsid w:val="004D55E9"/>
    <w:rsid w:val="004E0730"/>
    <w:rsid w:val="00523241"/>
    <w:rsid w:val="00545B21"/>
    <w:rsid w:val="005A0603"/>
    <w:rsid w:val="005A35D0"/>
    <w:rsid w:val="005A4B15"/>
    <w:rsid w:val="005A6657"/>
    <w:rsid w:val="005B5EB6"/>
    <w:rsid w:val="005C4C10"/>
    <w:rsid w:val="005F7014"/>
    <w:rsid w:val="00600B2C"/>
    <w:rsid w:val="00604DE0"/>
    <w:rsid w:val="00605857"/>
    <w:rsid w:val="006158F4"/>
    <w:rsid w:val="006249E1"/>
    <w:rsid w:val="00635382"/>
    <w:rsid w:val="0064132C"/>
    <w:rsid w:val="0068223B"/>
    <w:rsid w:val="006A40E3"/>
    <w:rsid w:val="006B5AB9"/>
    <w:rsid w:val="006E763A"/>
    <w:rsid w:val="006F2DD2"/>
    <w:rsid w:val="00712513"/>
    <w:rsid w:val="00713E8F"/>
    <w:rsid w:val="007219EF"/>
    <w:rsid w:val="007339AB"/>
    <w:rsid w:val="00741B95"/>
    <w:rsid w:val="00770926"/>
    <w:rsid w:val="007711BC"/>
    <w:rsid w:val="007935F7"/>
    <w:rsid w:val="00794998"/>
    <w:rsid w:val="00797924"/>
    <w:rsid w:val="007B0E0B"/>
    <w:rsid w:val="007F5D0D"/>
    <w:rsid w:val="00810B46"/>
    <w:rsid w:val="0082468C"/>
    <w:rsid w:val="00844059"/>
    <w:rsid w:val="008838FD"/>
    <w:rsid w:val="00892E90"/>
    <w:rsid w:val="008952D5"/>
    <w:rsid w:val="008A734F"/>
    <w:rsid w:val="008E7851"/>
    <w:rsid w:val="008F4D94"/>
    <w:rsid w:val="008F63FA"/>
    <w:rsid w:val="008F749D"/>
    <w:rsid w:val="00903B4F"/>
    <w:rsid w:val="00912016"/>
    <w:rsid w:val="009138B4"/>
    <w:rsid w:val="00926F59"/>
    <w:rsid w:val="00966D78"/>
    <w:rsid w:val="009734A4"/>
    <w:rsid w:val="009804AF"/>
    <w:rsid w:val="00987F9D"/>
    <w:rsid w:val="00993FCA"/>
    <w:rsid w:val="009A0489"/>
    <w:rsid w:val="009B0443"/>
    <w:rsid w:val="009C4D59"/>
    <w:rsid w:val="009E4FDC"/>
    <w:rsid w:val="009E6A55"/>
    <w:rsid w:val="009E7560"/>
    <w:rsid w:val="00A0009F"/>
    <w:rsid w:val="00A0237A"/>
    <w:rsid w:val="00A03DD0"/>
    <w:rsid w:val="00A118F1"/>
    <w:rsid w:val="00A133E1"/>
    <w:rsid w:val="00A169BC"/>
    <w:rsid w:val="00A2203B"/>
    <w:rsid w:val="00A31535"/>
    <w:rsid w:val="00A3224A"/>
    <w:rsid w:val="00A35CBF"/>
    <w:rsid w:val="00A414E0"/>
    <w:rsid w:val="00A60928"/>
    <w:rsid w:val="00A71C45"/>
    <w:rsid w:val="00A76E38"/>
    <w:rsid w:val="00AA498C"/>
    <w:rsid w:val="00AB5B1C"/>
    <w:rsid w:val="00AB76A5"/>
    <w:rsid w:val="00AC0727"/>
    <w:rsid w:val="00AC5B2A"/>
    <w:rsid w:val="00AC79A0"/>
    <w:rsid w:val="00AE7568"/>
    <w:rsid w:val="00AF454F"/>
    <w:rsid w:val="00B03165"/>
    <w:rsid w:val="00B2722F"/>
    <w:rsid w:val="00B45F29"/>
    <w:rsid w:val="00B637CA"/>
    <w:rsid w:val="00B91725"/>
    <w:rsid w:val="00B91759"/>
    <w:rsid w:val="00BA3D2F"/>
    <w:rsid w:val="00BF0E57"/>
    <w:rsid w:val="00BF1629"/>
    <w:rsid w:val="00BF3904"/>
    <w:rsid w:val="00C134B2"/>
    <w:rsid w:val="00C22631"/>
    <w:rsid w:val="00C23931"/>
    <w:rsid w:val="00C32645"/>
    <w:rsid w:val="00C364A5"/>
    <w:rsid w:val="00C47774"/>
    <w:rsid w:val="00C80339"/>
    <w:rsid w:val="00CB60A7"/>
    <w:rsid w:val="00CC39BE"/>
    <w:rsid w:val="00CC5A6C"/>
    <w:rsid w:val="00CE51DB"/>
    <w:rsid w:val="00CF0F5D"/>
    <w:rsid w:val="00CF6505"/>
    <w:rsid w:val="00D02ECD"/>
    <w:rsid w:val="00D22D0B"/>
    <w:rsid w:val="00D236B4"/>
    <w:rsid w:val="00D34C1E"/>
    <w:rsid w:val="00D67910"/>
    <w:rsid w:val="00D868F6"/>
    <w:rsid w:val="00D9190D"/>
    <w:rsid w:val="00D937FF"/>
    <w:rsid w:val="00DA01F8"/>
    <w:rsid w:val="00DA77DB"/>
    <w:rsid w:val="00DC23F7"/>
    <w:rsid w:val="00DE18F0"/>
    <w:rsid w:val="00DE5398"/>
    <w:rsid w:val="00E107C3"/>
    <w:rsid w:val="00E162CD"/>
    <w:rsid w:val="00E256B4"/>
    <w:rsid w:val="00E274B4"/>
    <w:rsid w:val="00E366EB"/>
    <w:rsid w:val="00E41E3C"/>
    <w:rsid w:val="00E5532C"/>
    <w:rsid w:val="00E674CC"/>
    <w:rsid w:val="00EA1BCE"/>
    <w:rsid w:val="00EA7DCA"/>
    <w:rsid w:val="00EB187D"/>
    <w:rsid w:val="00EC07C4"/>
    <w:rsid w:val="00ED2CC3"/>
    <w:rsid w:val="00EE0CC0"/>
    <w:rsid w:val="00EF29BC"/>
    <w:rsid w:val="00EF5119"/>
    <w:rsid w:val="00F06BF1"/>
    <w:rsid w:val="00F2010D"/>
    <w:rsid w:val="00F2646A"/>
    <w:rsid w:val="00F419F5"/>
    <w:rsid w:val="00F46536"/>
    <w:rsid w:val="00F50E78"/>
    <w:rsid w:val="00F7042C"/>
    <w:rsid w:val="00F96B60"/>
    <w:rsid w:val="00FA160D"/>
    <w:rsid w:val="00FA16CD"/>
    <w:rsid w:val="00FA17C5"/>
    <w:rsid w:val="00FA3BBE"/>
    <w:rsid w:val="00FA4C4E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722F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ality-sign">
    <w:name w:val="quality-sign"/>
    <w:basedOn w:val="DefaultParagraphFont"/>
    <w:rsid w:val="00712513"/>
  </w:style>
  <w:style w:type="paragraph" w:styleId="BalloonText">
    <w:name w:val="Balloon Text"/>
    <w:basedOn w:val="Normal"/>
    <w:link w:val="BalloonTextChar"/>
    <w:uiPriority w:val="99"/>
    <w:semiHidden/>
    <w:unhideWhenUsed/>
    <w:rsid w:val="007B0E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0B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722F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ality-sign">
    <w:name w:val="quality-sign"/>
    <w:basedOn w:val="DefaultParagraphFont"/>
    <w:rsid w:val="00712513"/>
  </w:style>
  <w:style w:type="paragraph" w:styleId="BalloonText">
    <w:name w:val="Balloon Text"/>
    <w:basedOn w:val="Normal"/>
    <w:link w:val="BalloonTextChar"/>
    <w:uiPriority w:val="99"/>
    <w:semiHidden/>
    <w:unhideWhenUsed/>
    <w:rsid w:val="007B0E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0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Chong</dc:creator>
  <cp:lastModifiedBy>Amy Newitt</cp:lastModifiedBy>
  <cp:revision>2</cp:revision>
  <dcterms:created xsi:type="dcterms:W3CDTF">2017-07-06T14:45:00Z</dcterms:created>
  <dcterms:modified xsi:type="dcterms:W3CDTF">2017-07-06T14:45:00Z</dcterms:modified>
</cp:coreProperties>
</file>