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42" w:rsidRDefault="00DA3142" w:rsidP="00DA3142">
      <w:bookmarkStart w:id="0" w:name="_GoBack"/>
      <w:bookmarkEnd w:id="0"/>
      <w:r>
        <w:t xml:space="preserve">Table </w:t>
      </w:r>
      <w:r w:rsidR="00FF3BC2">
        <w:t>S3</w:t>
      </w:r>
      <w:r>
        <w:t>: Summary of findings with GRADE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47"/>
        <w:gridCol w:w="1660"/>
        <w:gridCol w:w="1271"/>
        <w:gridCol w:w="1286"/>
        <w:gridCol w:w="1307"/>
        <w:gridCol w:w="1339"/>
      </w:tblGrid>
      <w:tr w:rsidR="00DA3142" w:rsidTr="00295E64">
        <w:trPr>
          <w:trHeight w:val="503"/>
        </w:trPr>
        <w:tc>
          <w:tcPr>
            <w:tcW w:w="1357" w:type="dxa"/>
            <w:vMerge w:val="restart"/>
          </w:tcPr>
          <w:p w:rsidR="00DA3142" w:rsidRDefault="00DA3142" w:rsidP="00295E64">
            <w:r>
              <w:t>Outcomes</w:t>
            </w:r>
          </w:p>
        </w:tc>
        <w:tc>
          <w:tcPr>
            <w:tcW w:w="3009" w:type="dxa"/>
            <w:gridSpan w:val="2"/>
          </w:tcPr>
          <w:p w:rsidR="00DA3142" w:rsidRDefault="00DA3142" w:rsidP="00295E64">
            <w:r>
              <w:t>Illustrative comparative risks (95% CI)</w:t>
            </w:r>
          </w:p>
        </w:tc>
        <w:tc>
          <w:tcPr>
            <w:tcW w:w="1274" w:type="dxa"/>
            <w:vMerge w:val="restart"/>
          </w:tcPr>
          <w:p w:rsidR="00DA3142" w:rsidRDefault="00DA3142" w:rsidP="00295E64">
            <w:r>
              <w:t>Relative effect (95% CI)</w:t>
            </w:r>
          </w:p>
        </w:tc>
        <w:tc>
          <w:tcPr>
            <w:tcW w:w="1289" w:type="dxa"/>
            <w:vMerge w:val="restart"/>
          </w:tcPr>
          <w:p w:rsidR="00DA3142" w:rsidRDefault="00DA3142" w:rsidP="00295E64">
            <w:r>
              <w:t>Number of subjects (Number of studies)</w:t>
            </w:r>
          </w:p>
        </w:tc>
        <w:tc>
          <w:tcPr>
            <w:tcW w:w="1307" w:type="dxa"/>
            <w:vMerge w:val="restart"/>
          </w:tcPr>
          <w:p w:rsidR="00DA3142" w:rsidRDefault="00DA3142" w:rsidP="00295E64">
            <w:r>
              <w:t>Quality of the evidence (GRADE)</w:t>
            </w:r>
          </w:p>
        </w:tc>
        <w:tc>
          <w:tcPr>
            <w:tcW w:w="1340" w:type="dxa"/>
            <w:vMerge w:val="restart"/>
          </w:tcPr>
          <w:p w:rsidR="00DA3142" w:rsidRDefault="00DA3142" w:rsidP="00295E64">
            <w:r>
              <w:t>Comments</w:t>
            </w:r>
          </w:p>
        </w:tc>
      </w:tr>
      <w:tr w:rsidR="00DA3142" w:rsidTr="00295E64">
        <w:trPr>
          <w:trHeight w:val="502"/>
        </w:trPr>
        <w:tc>
          <w:tcPr>
            <w:tcW w:w="1357" w:type="dxa"/>
            <w:vMerge/>
          </w:tcPr>
          <w:p w:rsidR="00DA3142" w:rsidRDefault="00DA3142" w:rsidP="00295E64"/>
        </w:tc>
        <w:tc>
          <w:tcPr>
            <w:tcW w:w="1349" w:type="dxa"/>
          </w:tcPr>
          <w:p w:rsidR="00DA3142" w:rsidRDefault="00DA3142" w:rsidP="00295E64">
            <w:r>
              <w:t xml:space="preserve">Assumed risk </w:t>
            </w:r>
          </w:p>
          <w:p w:rsidR="00DA3142" w:rsidRDefault="00DA3142" w:rsidP="00295E64">
            <w:r>
              <w:t>(standard care group)</w:t>
            </w:r>
          </w:p>
        </w:tc>
        <w:tc>
          <w:tcPr>
            <w:tcW w:w="1660" w:type="dxa"/>
          </w:tcPr>
          <w:p w:rsidR="00DA3142" w:rsidRDefault="00DA3142" w:rsidP="00295E64">
            <w:r>
              <w:t xml:space="preserve">Corresponding risk reduction in GDHFT group </w:t>
            </w:r>
            <w:r>
              <w:br/>
              <w:t>(95% CI)</w:t>
            </w:r>
          </w:p>
        </w:tc>
        <w:tc>
          <w:tcPr>
            <w:tcW w:w="1274" w:type="dxa"/>
            <w:vMerge/>
          </w:tcPr>
          <w:p w:rsidR="00DA3142" w:rsidRDefault="00DA3142" w:rsidP="00295E64"/>
        </w:tc>
        <w:tc>
          <w:tcPr>
            <w:tcW w:w="1289" w:type="dxa"/>
            <w:vMerge/>
          </w:tcPr>
          <w:p w:rsidR="00DA3142" w:rsidRDefault="00DA3142" w:rsidP="00295E64"/>
        </w:tc>
        <w:tc>
          <w:tcPr>
            <w:tcW w:w="1307" w:type="dxa"/>
            <w:vMerge/>
          </w:tcPr>
          <w:p w:rsidR="00DA3142" w:rsidRDefault="00DA3142" w:rsidP="00295E64"/>
        </w:tc>
        <w:tc>
          <w:tcPr>
            <w:tcW w:w="1340" w:type="dxa"/>
            <w:vMerge/>
          </w:tcPr>
          <w:p w:rsidR="00DA3142" w:rsidRDefault="00DA3142" w:rsidP="00295E64"/>
        </w:tc>
      </w:tr>
      <w:tr w:rsidR="00DA3142" w:rsidTr="00295E64">
        <w:tc>
          <w:tcPr>
            <w:tcW w:w="1357" w:type="dxa"/>
          </w:tcPr>
          <w:p w:rsidR="00DA3142" w:rsidRDefault="00DA3142" w:rsidP="00295E64">
            <w:r>
              <w:t>Mortality for critical care patients</w:t>
            </w:r>
          </w:p>
        </w:tc>
        <w:tc>
          <w:tcPr>
            <w:tcW w:w="1349" w:type="dxa"/>
          </w:tcPr>
          <w:p w:rsidR="00DA3142" w:rsidRDefault="00DA3142" w:rsidP="00295E64">
            <w:r w:rsidRPr="00FA4C4E">
              <w:t>213</w:t>
            </w:r>
            <w:r>
              <w:t xml:space="preserve"> events per 1000 patients</w:t>
            </w:r>
          </w:p>
        </w:tc>
        <w:tc>
          <w:tcPr>
            <w:tcW w:w="1660" w:type="dxa"/>
          </w:tcPr>
          <w:p w:rsidR="00DA3142" w:rsidRDefault="00DA3142" w:rsidP="00295E64">
            <w:r>
              <w:t>31 (6 to 55) events avoided per 1000 patients</w:t>
            </w:r>
          </w:p>
        </w:tc>
        <w:tc>
          <w:tcPr>
            <w:tcW w:w="1274" w:type="dxa"/>
          </w:tcPr>
          <w:p w:rsidR="00DA3142" w:rsidRDefault="00DA3142" w:rsidP="00295E64">
            <w:r>
              <w:t>0.82 (0.70-0.97)</w:t>
            </w:r>
          </w:p>
        </w:tc>
        <w:tc>
          <w:tcPr>
            <w:tcW w:w="1289" w:type="dxa"/>
          </w:tcPr>
          <w:p w:rsidR="00DA3142" w:rsidRDefault="00DA3142" w:rsidP="00295E64">
            <w:r w:rsidRPr="00FA17C5">
              <w:t>4332</w:t>
            </w:r>
            <w:r>
              <w:t xml:space="preserve"> (12)</w:t>
            </w:r>
          </w:p>
        </w:tc>
        <w:tc>
          <w:tcPr>
            <w:tcW w:w="1307" w:type="dxa"/>
          </w:tcPr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</w:p>
          <w:p w:rsidR="00DA3142" w:rsidRPr="00BF68EA" w:rsidRDefault="00DA3142" w:rsidP="00295E64">
            <w:pPr>
              <w:rPr>
                <w:b/>
              </w:rPr>
            </w:pPr>
            <w:r>
              <w:rPr>
                <w:b/>
              </w:rPr>
              <w:t>moderate</w:t>
            </w:r>
            <w:r w:rsidRPr="00A03DD0">
              <w:rPr>
                <w:b/>
              </w:rPr>
              <w:t>*</w:t>
            </w:r>
          </w:p>
        </w:tc>
        <w:tc>
          <w:tcPr>
            <w:tcW w:w="1340" w:type="dxa"/>
          </w:tcPr>
          <w:p w:rsidR="00DA3142" w:rsidRDefault="00DA3142" w:rsidP="00295E64"/>
        </w:tc>
      </w:tr>
      <w:tr w:rsidR="00DA3142" w:rsidTr="00295E64">
        <w:tc>
          <w:tcPr>
            <w:tcW w:w="1357" w:type="dxa"/>
          </w:tcPr>
          <w:p w:rsidR="00DA3142" w:rsidRDefault="00DA3142" w:rsidP="00295E64">
            <w:r>
              <w:t>Myocardial infarction for non-cardiac surgery patients</w:t>
            </w:r>
          </w:p>
        </w:tc>
        <w:tc>
          <w:tcPr>
            <w:tcW w:w="1349" w:type="dxa"/>
          </w:tcPr>
          <w:p w:rsidR="00DA3142" w:rsidRDefault="00DA3142" w:rsidP="00295E64">
            <w:r>
              <w:t>19 events per 1000 patients</w:t>
            </w:r>
          </w:p>
        </w:tc>
        <w:tc>
          <w:tcPr>
            <w:tcW w:w="1660" w:type="dxa"/>
          </w:tcPr>
          <w:p w:rsidR="00DA3142" w:rsidRDefault="00DA3142" w:rsidP="00295E64">
            <w:r>
              <w:t>12 (1 to 31) events avoided per 1000 patients</w:t>
            </w:r>
          </w:p>
        </w:tc>
        <w:tc>
          <w:tcPr>
            <w:tcW w:w="1274" w:type="dxa"/>
          </w:tcPr>
          <w:p w:rsidR="00DA3142" w:rsidRDefault="00DA3142" w:rsidP="00295E64">
            <w:r>
              <w:t>1.66 [1.01-2.70]</w:t>
            </w:r>
          </w:p>
        </w:tc>
        <w:tc>
          <w:tcPr>
            <w:tcW w:w="1289" w:type="dxa"/>
          </w:tcPr>
          <w:p w:rsidR="00DA3142" w:rsidRDefault="00DA3142" w:rsidP="00295E64">
            <w:r w:rsidRPr="00281E9B">
              <w:t>2737</w:t>
            </w:r>
            <w:r>
              <w:t xml:space="preserve"> (6)</w:t>
            </w:r>
          </w:p>
        </w:tc>
        <w:tc>
          <w:tcPr>
            <w:tcW w:w="1307" w:type="dxa"/>
          </w:tcPr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</w:p>
          <w:p w:rsidR="00DA3142" w:rsidRPr="00BF68EA" w:rsidRDefault="00DA3142" w:rsidP="00295E64">
            <w:pPr>
              <w:rPr>
                <w:b/>
              </w:rPr>
            </w:pPr>
            <w:r>
              <w:rPr>
                <w:b/>
              </w:rPr>
              <w:t>moderate</w:t>
            </w:r>
            <w:r w:rsidRPr="00A03DD0">
              <w:rPr>
                <w:b/>
              </w:rPr>
              <w:t>*</w:t>
            </w:r>
          </w:p>
        </w:tc>
        <w:tc>
          <w:tcPr>
            <w:tcW w:w="1340" w:type="dxa"/>
          </w:tcPr>
          <w:p w:rsidR="00DA3142" w:rsidRDefault="00DA3142" w:rsidP="00295E64"/>
        </w:tc>
      </w:tr>
      <w:tr w:rsidR="00DA3142" w:rsidTr="00295E64">
        <w:tc>
          <w:tcPr>
            <w:tcW w:w="1357" w:type="dxa"/>
          </w:tcPr>
          <w:p w:rsidR="00DA3142" w:rsidRDefault="00DA3142" w:rsidP="00295E64">
            <w:r>
              <w:t>Stroke or TIA for critical care patients</w:t>
            </w:r>
          </w:p>
        </w:tc>
        <w:tc>
          <w:tcPr>
            <w:tcW w:w="1349" w:type="dxa"/>
          </w:tcPr>
          <w:p w:rsidR="00DA3142" w:rsidRDefault="00DA3142" w:rsidP="00295E64">
            <w:r>
              <w:t>35 events per 1000 patients</w:t>
            </w:r>
          </w:p>
        </w:tc>
        <w:tc>
          <w:tcPr>
            <w:tcW w:w="1660" w:type="dxa"/>
          </w:tcPr>
          <w:p w:rsidR="00DA3142" w:rsidRDefault="00DA3142" w:rsidP="00295E64">
            <w:r>
              <w:t>13 (1 to 21) events avoided per 1000 patients</w:t>
            </w:r>
          </w:p>
        </w:tc>
        <w:tc>
          <w:tcPr>
            <w:tcW w:w="1274" w:type="dxa"/>
          </w:tcPr>
          <w:p w:rsidR="00DA3142" w:rsidRDefault="00DA3142" w:rsidP="00295E64">
            <w:r w:rsidRPr="005D7444">
              <w:rPr>
                <w:rFonts w:ascii="Times New Roman" w:hAnsi="Times New Roman" w:cs="Times New Roman"/>
                <w:sz w:val="24"/>
                <w:szCs w:val="24"/>
              </w:rPr>
              <w:t xml:space="preserve">0.63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7444">
              <w:rPr>
                <w:rFonts w:ascii="Times New Roman" w:hAnsi="Times New Roman" w:cs="Times New Roman"/>
                <w:sz w:val="24"/>
                <w:szCs w:val="24"/>
              </w:rPr>
              <w:t>0.40-0.99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</w:tcPr>
          <w:p w:rsidR="00DA3142" w:rsidRDefault="00DA3142" w:rsidP="00295E64">
            <w:r w:rsidRPr="00AB5B1C">
              <w:t>2913</w:t>
            </w:r>
            <w:r>
              <w:t xml:space="preserve"> (5)</w:t>
            </w:r>
          </w:p>
        </w:tc>
        <w:tc>
          <w:tcPr>
            <w:tcW w:w="1307" w:type="dxa"/>
          </w:tcPr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</w:p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b/>
              </w:rPr>
              <w:t>moderate</w:t>
            </w:r>
            <w:r w:rsidRPr="00A03DD0">
              <w:rPr>
                <w:b/>
              </w:rPr>
              <w:t>*</w:t>
            </w:r>
          </w:p>
        </w:tc>
        <w:tc>
          <w:tcPr>
            <w:tcW w:w="1340" w:type="dxa"/>
          </w:tcPr>
          <w:p w:rsidR="00DA3142" w:rsidRDefault="00DA3142" w:rsidP="00295E64"/>
        </w:tc>
      </w:tr>
      <w:tr w:rsidR="00DA3142" w:rsidTr="00295E64">
        <w:tc>
          <w:tcPr>
            <w:tcW w:w="1357" w:type="dxa"/>
          </w:tcPr>
          <w:p w:rsidR="00DA3142" w:rsidRDefault="00DA3142" w:rsidP="00295E64">
            <w:r>
              <w:t>Transfusion reactions for critical care patients</w:t>
            </w:r>
          </w:p>
        </w:tc>
        <w:tc>
          <w:tcPr>
            <w:tcW w:w="1349" w:type="dxa"/>
          </w:tcPr>
          <w:p w:rsidR="00DA3142" w:rsidRDefault="00DA3142" w:rsidP="00295E64">
            <w:r w:rsidRPr="00E162CD">
              <w:t>31</w:t>
            </w:r>
            <w:r>
              <w:t xml:space="preserve"> events per 1000 patients</w:t>
            </w:r>
          </w:p>
        </w:tc>
        <w:tc>
          <w:tcPr>
            <w:tcW w:w="1660" w:type="dxa"/>
          </w:tcPr>
          <w:p w:rsidR="00DA3142" w:rsidRDefault="00DA3142" w:rsidP="00295E64">
            <w:r>
              <w:t>16 (7 to 22) events avoided per 1000 patients</w:t>
            </w:r>
          </w:p>
        </w:tc>
        <w:tc>
          <w:tcPr>
            <w:tcW w:w="1274" w:type="dxa"/>
          </w:tcPr>
          <w:p w:rsidR="00DA3142" w:rsidRPr="005D7444" w:rsidRDefault="00DA3142" w:rsidP="002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 (</w:t>
            </w:r>
            <w:r w:rsidRPr="005D7444">
              <w:rPr>
                <w:rFonts w:ascii="Times New Roman" w:hAnsi="Times New Roman" w:cs="Times New Roman"/>
                <w:sz w:val="24"/>
                <w:szCs w:val="24"/>
              </w:rPr>
              <w:t>0.29-0.80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" w:type="dxa"/>
          </w:tcPr>
          <w:p w:rsidR="00DA3142" w:rsidRPr="00AB5B1C" w:rsidRDefault="00DA3142" w:rsidP="00295E64">
            <w:r w:rsidRPr="00770926">
              <w:t>3687</w:t>
            </w:r>
            <w:r>
              <w:t xml:space="preserve"> (5)</w:t>
            </w:r>
          </w:p>
        </w:tc>
        <w:tc>
          <w:tcPr>
            <w:tcW w:w="1307" w:type="dxa"/>
          </w:tcPr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</w:p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b/>
              </w:rPr>
              <w:t>moderate</w:t>
            </w:r>
            <w:r w:rsidRPr="00A03DD0">
              <w:rPr>
                <w:b/>
              </w:rPr>
              <w:t>*</w:t>
            </w:r>
          </w:p>
        </w:tc>
        <w:tc>
          <w:tcPr>
            <w:tcW w:w="1340" w:type="dxa"/>
          </w:tcPr>
          <w:p w:rsidR="00DA3142" w:rsidRDefault="00DA3142" w:rsidP="00295E64"/>
        </w:tc>
      </w:tr>
      <w:tr w:rsidR="00DA3142" w:rsidTr="00295E64">
        <w:tc>
          <w:tcPr>
            <w:tcW w:w="1357" w:type="dxa"/>
          </w:tcPr>
          <w:p w:rsidR="00DA3142" w:rsidRDefault="00DA3142" w:rsidP="00295E64">
            <w:r>
              <w:t>Allogenic packed red blood cell exposure for critical care patients</w:t>
            </w:r>
          </w:p>
        </w:tc>
        <w:tc>
          <w:tcPr>
            <w:tcW w:w="1349" w:type="dxa"/>
          </w:tcPr>
          <w:p w:rsidR="00DA3142" w:rsidRDefault="00DA3142" w:rsidP="00295E64">
            <w:r w:rsidRPr="00D937FF">
              <w:t>825</w:t>
            </w:r>
            <w:r>
              <w:t xml:space="preserve"> events per 1000 patients</w:t>
            </w:r>
          </w:p>
        </w:tc>
        <w:tc>
          <w:tcPr>
            <w:tcW w:w="1660" w:type="dxa"/>
          </w:tcPr>
          <w:p w:rsidR="00DA3142" w:rsidRDefault="00DA3142" w:rsidP="00295E64">
            <w:r>
              <w:t>663 (429 to 771) events avoided per 1000 patients</w:t>
            </w:r>
          </w:p>
        </w:tc>
        <w:tc>
          <w:tcPr>
            <w:tcW w:w="1274" w:type="dxa"/>
          </w:tcPr>
          <w:p w:rsidR="00DA3142" w:rsidRPr="005D7444" w:rsidRDefault="00DA3142" w:rsidP="002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 (0.01-0.14)</w:t>
            </w:r>
          </w:p>
        </w:tc>
        <w:tc>
          <w:tcPr>
            <w:tcW w:w="1289" w:type="dxa"/>
          </w:tcPr>
          <w:p w:rsidR="00DA3142" w:rsidRPr="00AB5B1C" w:rsidRDefault="00DA3142" w:rsidP="00295E64">
            <w:r w:rsidRPr="00014256">
              <w:t>3945</w:t>
            </w:r>
            <w:r>
              <w:t xml:space="preserve"> (8)</w:t>
            </w:r>
          </w:p>
        </w:tc>
        <w:tc>
          <w:tcPr>
            <w:tcW w:w="1307" w:type="dxa"/>
          </w:tcPr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</w:t>
            </w:r>
          </w:p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b/>
              </w:rPr>
              <w:t>low</w:t>
            </w:r>
            <w:r w:rsidRPr="00A03DD0">
              <w:rPr>
                <w:b/>
              </w:rPr>
              <w:t>*</w:t>
            </w:r>
            <w:r w:rsidRPr="003F1699">
              <w:rPr>
                <w:b/>
                <w:vertAlign w:val="superscript"/>
              </w:rPr>
              <w:t>,</w:t>
            </w:r>
            <w:r w:rsidRPr="003F1699">
              <w:rPr>
                <w:vertAlign w:val="superscript"/>
              </w:rPr>
              <w:sym w:font="Wingdings 2" w:char="F085"/>
            </w:r>
          </w:p>
        </w:tc>
        <w:tc>
          <w:tcPr>
            <w:tcW w:w="1340" w:type="dxa"/>
          </w:tcPr>
          <w:p w:rsidR="00DA3142" w:rsidRDefault="00DA3142" w:rsidP="00295E64"/>
        </w:tc>
      </w:tr>
      <w:tr w:rsidR="00DA3142" w:rsidTr="00295E64">
        <w:tc>
          <w:tcPr>
            <w:tcW w:w="1357" w:type="dxa"/>
          </w:tcPr>
          <w:p w:rsidR="00DA3142" w:rsidRDefault="00DA3142" w:rsidP="00295E64">
            <w:r>
              <w:t>Allogenic packed red blood cell exposure for surgical patients</w:t>
            </w:r>
          </w:p>
        </w:tc>
        <w:tc>
          <w:tcPr>
            <w:tcW w:w="1349" w:type="dxa"/>
          </w:tcPr>
          <w:p w:rsidR="00DA3142" w:rsidRDefault="00DA3142" w:rsidP="00295E64">
            <w:r w:rsidRPr="00DA77DB">
              <w:t>860</w:t>
            </w:r>
            <w:r>
              <w:t xml:space="preserve"> events per 1000 patients</w:t>
            </w:r>
          </w:p>
        </w:tc>
        <w:tc>
          <w:tcPr>
            <w:tcW w:w="1660" w:type="dxa"/>
          </w:tcPr>
          <w:p w:rsidR="00DA3142" w:rsidRDefault="00DA3142" w:rsidP="00295E64">
            <w:r>
              <w:t>317 (135 to 512) events avoided per 1000 patients</w:t>
            </w:r>
          </w:p>
        </w:tc>
        <w:tc>
          <w:tcPr>
            <w:tcW w:w="1274" w:type="dxa"/>
          </w:tcPr>
          <w:p w:rsidR="00DA3142" w:rsidRPr="005D7444" w:rsidRDefault="00DA3142" w:rsidP="0029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 (0.09-0.43)</w:t>
            </w:r>
          </w:p>
        </w:tc>
        <w:tc>
          <w:tcPr>
            <w:tcW w:w="1289" w:type="dxa"/>
          </w:tcPr>
          <w:p w:rsidR="00DA3142" w:rsidRPr="00AB5B1C" w:rsidRDefault="00DA3142" w:rsidP="00295E64">
            <w:r w:rsidRPr="00713E8F">
              <w:t>5947</w:t>
            </w:r>
            <w:r>
              <w:t xml:space="preserve"> (12)</w:t>
            </w:r>
          </w:p>
        </w:tc>
        <w:tc>
          <w:tcPr>
            <w:tcW w:w="1307" w:type="dxa"/>
          </w:tcPr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</w:t>
            </w:r>
          </w:p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b/>
              </w:rPr>
              <w:t>low</w:t>
            </w:r>
            <w:r w:rsidRPr="00A03DD0">
              <w:rPr>
                <w:b/>
              </w:rPr>
              <w:t>*</w:t>
            </w:r>
            <w:r w:rsidRPr="003F1699">
              <w:rPr>
                <w:b/>
                <w:vertAlign w:val="superscript"/>
              </w:rPr>
              <w:t>,</w:t>
            </w:r>
            <w:r w:rsidRPr="003F1699">
              <w:rPr>
                <w:vertAlign w:val="superscript"/>
              </w:rPr>
              <w:sym w:font="Wingdings 2" w:char="F085"/>
            </w:r>
          </w:p>
        </w:tc>
        <w:tc>
          <w:tcPr>
            <w:tcW w:w="1340" w:type="dxa"/>
          </w:tcPr>
          <w:p w:rsidR="00DA3142" w:rsidRDefault="00DA3142" w:rsidP="00295E64"/>
        </w:tc>
      </w:tr>
      <w:tr w:rsidR="00DA3142" w:rsidTr="00295E64">
        <w:tc>
          <w:tcPr>
            <w:tcW w:w="1357" w:type="dxa"/>
          </w:tcPr>
          <w:p w:rsidR="00DA3142" w:rsidRDefault="00DA3142" w:rsidP="00295E64">
            <w:r>
              <w:t>Hospital length of stay for critical care patients</w:t>
            </w:r>
          </w:p>
        </w:tc>
        <w:tc>
          <w:tcPr>
            <w:tcW w:w="1349" w:type="dxa"/>
          </w:tcPr>
          <w:p w:rsidR="00DA3142" w:rsidRDefault="00DA3142" w:rsidP="00295E64">
            <w:r>
              <w:t>The mean hospital length of stay ranged across control groups from 5 to 35.5 days</w:t>
            </w:r>
          </w:p>
        </w:tc>
        <w:tc>
          <w:tcPr>
            <w:tcW w:w="1660" w:type="dxa"/>
          </w:tcPr>
          <w:p w:rsidR="00DA3142" w:rsidRDefault="00DA3142" w:rsidP="00295E64">
            <w:r>
              <w:t>The mean hospital length of stay was 1.03 (0.42-1.64) days shorter in the restrictive transfusion trigger group</w:t>
            </w:r>
          </w:p>
        </w:tc>
        <w:tc>
          <w:tcPr>
            <w:tcW w:w="1274" w:type="dxa"/>
          </w:tcPr>
          <w:p w:rsidR="00DA3142" w:rsidRPr="005D7444" w:rsidRDefault="00DA3142" w:rsidP="0029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DA3142" w:rsidRPr="00AB5B1C" w:rsidRDefault="00DA3142" w:rsidP="00295E64">
            <w:r w:rsidRPr="009138B4">
              <w:t>6768</w:t>
            </w:r>
            <w:r>
              <w:t xml:space="preserve"> (6)</w:t>
            </w:r>
          </w:p>
        </w:tc>
        <w:tc>
          <w:tcPr>
            <w:tcW w:w="1307" w:type="dxa"/>
          </w:tcPr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⨁⨁⨁</w:t>
            </w:r>
          </w:p>
          <w:p w:rsidR="00DA3142" w:rsidRDefault="00DA3142" w:rsidP="00295E64">
            <w:pP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</w:pPr>
            <w:r>
              <w:rPr>
                <w:b/>
              </w:rPr>
              <w:t>moderate</w:t>
            </w:r>
            <w:r w:rsidRPr="00A03DD0">
              <w:rPr>
                <w:b/>
              </w:rPr>
              <w:t>*</w:t>
            </w:r>
          </w:p>
        </w:tc>
        <w:tc>
          <w:tcPr>
            <w:tcW w:w="1340" w:type="dxa"/>
          </w:tcPr>
          <w:p w:rsidR="00DA3142" w:rsidRDefault="00DA3142" w:rsidP="00295E64"/>
        </w:tc>
      </w:tr>
      <w:tr w:rsidR="00DA3142" w:rsidTr="00295E64">
        <w:tc>
          <w:tcPr>
            <w:tcW w:w="9576" w:type="dxa"/>
            <w:gridSpan w:val="7"/>
          </w:tcPr>
          <w:p w:rsidR="00DA3142" w:rsidRDefault="00DA3142" w:rsidP="00295E64">
            <w:r w:rsidRPr="00A03DD0">
              <w:rPr>
                <w:b/>
              </w:rPr>
              <w:lastRenderedPageBreak/>
              <w:t>*</w:t>
            </w:r>
            <w:r>
              <w:t>The evidence base was at high risk of bias with significant limitations in the performance of blinding</w:t>
            </w:r>
          </w:p>
          <w:p w:rsidR="00DA3142" w:rsidRPr="00CE51DB" w:rsidRDefault="00DA3142" w:rsidP="00295E64">
            <w:r w:rsidRPr="00604DE0">
              <w:rPr>
                <w:vertAlign w:val="superscript"/>
              </w:rPr>
              <w:sym w:font="Wingdings 2" w:char="F085"/>
            </w:r>
            <w:r>
              <w:t xml:space="preserve">High statistical heterogeneity </w:t>
            </w:r>
          </w:p>
        </w:tc>
      </w:tr>
    </w:tbl>
    <w:p w:rsidR="00D17436" w:rsidRDefault="003175DC"/>
    <w:sectPr w:rsidR="00D1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8"/>
    <w:rsid w:val="0007063C"/>
    <w:rsid w:val="000E3803"/>
    <w:rsid w:val="003175DC"/>
    <w:rsid w:val="004C296C"/>
    <w:rsid w:val="00B92228"/>
    <w:rsid w:val="00DA3142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314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ality-sign">
    <w:name w:val="quality-sign"/>
    <w:basedOn w:val="DefaultParagraphFont"/>
    <w:rsid w:val="00DA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3142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ality-sign">
    <w:name w:val="quality-sign"/>
    <w:basedOn w:val="DefaultParagraphFont"/>
    <w:rsid w:val="00DA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Chong</dc:creator>
  <cp:lastModifiedBy>Amy Newitt</cp:lastModifiedBy>
  <cp:revision>2</cp:revision>
  <dcterms:created xsi:type="dcterms:W3CDTF">2017-07-06T14:47:00Z</dcterms:created>
  <dcterms:modified xsi:type="dcterms:W3CDTF">2017-07-06T14:47:00Z</dcterms:modified>
</cp:coreProperties>
</file>