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6768" w14:textId="77777777" w:rsidR="00292F96" w:rsidRPr="00292F96" w:rsidRDefault="00292F96" w:rsidP="00292F96">
      <w:pPr>
        <w:spacing w:line="480" w:lineRule="auto"/>
        <w:rPr>
          <w:rFonts w:ascii="Times New Roman" w:hAnsi="Times New Roman" w:cs="Times New Roman"/>
          <w:b/>
          <w:sz w:val="24"/>
          <w:szCs w:val="24"/>
        </w:rPr>
      </w:pPr>
      <w:bookmarkStart w:id="0" w:name="_GoBack"/>
      <w:r w:rsidRPr="00292F96">
        <w:rPr>
          <w:rFonts w:ascii="Times New Roman" w:hAnsi="Times New Roman" w:cs="Times New Roman"/>
          <w:b/>
          <w:sz w:val="24"/>
          <w:szCs w:val="24"/>
        </w:rPr>
        <w:t>Supplemental Digital Content</w:t>
      </w:r>
      <w:r w:rsidRPr="00292F96">
        <w:rPr>
          <w:rFonts w:ascii="Times New Roman" w:hAnsi="Times New Roman" w:cs="Times New Roman"/>
          <w:b/>
          <w:sz w:val="24"/>
          <w:szCs w:val="24"/>
        </w:rPr>
        <w:t xml:space="preserve"> Legends</w:t>
      </w:r>
    </w:p>
    <w:bookmarkEnd w:id="0"/>
    <w:p w14:paraId="55CAD11A"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1 – Search Strategy Appendix.</w:t>
      </w:r>
      <w:r>
        <w:rPr>
          <w:rFonts w:ascii="Times New Roman" w:hAnsi="Times New Roman" w:cs="Times New Roman"/>
          <w:sz w:val="24"/>
          <w:szCs w:val="24"/>
        </w:rPr>
        <w:br/>
        <w:t>Supplemental Digital Content 2 – PRISMA Flowchart.</w:t>
      </w:r>
    </w:p>
    <w:p w14:paraId="60C4C7DB"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3 – Table of Excluded Studies.</w:t>
      </w:r>
    </w:p>
    <w:p w14:paraId="78340E99"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4 – Risk of Bias Assessment.  Studies were appraised using the Cochrane Risk of Bias Tool.  Satisfactory performance, unclear performance, and unsatisfactory performance of each domain from the tool is denoted by green, clear, and red coloring, respectively.</w:t>
      </w:r>
    </w:p>
    <w:p w14:paraId="0020EEF5"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5 – Tables S1 and S2 that list the subgroup analyses performed for mortality for the critical care and surgical patient subgroups, respectively.</w:t>
      </w:r>
    </w:p>
    <w:p w14:paraId="0A7BEBB9"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6 – Trial sequential analysis for 30d mortality across critical care studies.  This analysis demonstrates maturity of the evidence base for the critical care studies.</w:t>
      </w:r>
    </w:p>
    <w:p w14:paraId="4F0ECCF5"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7 – Trial sequential analysis for 30d mortality across perioperative studies.  This analysis demonstrates immaturity of the evidence base for perioperative studies.</w:t>
      </w:r>
    </w:p>
    <w:p w14:paraId="05D9B66E"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8 –Funnel plot demonstrating asymmetry for the perioperative studies.</w:t>
      </w:r>
    </w:p>
    <w:p w14:paraId="0C383F94" w14:textId="77777777" w:rsidR="00292F96" w:rsidRDefault="00292F96" w:rsidP="00292F96">
      <w:pPr>
        <w:spacing w:line="480" w:lineRule="auto"/>
        <w:rPr>
          <w:rFonts w:ascii="Times New Roman" w:hAnsi="Times New Roman" w:cs="Times New Roman"/>
          <w:sz w:val="24"/>
          <w:szCs w:val="24"/>
        </w:rPr>
      </w:pPr>
      <w:r>
        <w:rPr>
          <w:rFonts w:ascii="Times New Roman" w:hAnsi="Times New Roman" w:cs="Times New Roman"/>
          <w:sz w:val="24"/>
          <w:szCs w:val="24"/>
        </w:rPr>
        <w:t>Supplemental Digital Content 9 –Funnel plot demonstrating symmetry for the critical care studies.</w:t>
      </w:r>
    </w:p>
    <w:p w14:paraId="64EBCB48" w14:textId="77777777" w:rsidR="00E42B61" w:rsidRDefault="00292F96" w:rsidP="00292F96">
      <w:pPr>
        <w:spacing w:line="480" w:lineRule="auto"/>
      </w:pPr>
      <w:r>
        <w:rPr>
          <w:rFonts w:ascii="Times New Roman" w:hAnsi="Times New Roman" w:cs="Times New Roman"/>
          <w:sz w:val="24"/>
          <w:szCs w:val="24"/>
        </w:rPr>
        <w:t>Supplemental Digital Content 10 – Summary of findings table with specific GRADE recommendations and support for authors’ judgement.</w:t>
      </w:r>
      <w:r w:rsidRPr="005D7444">
        <w:rPr>
          <w:rFonts w:ascii="Times New Roman" w:hAnsi="Times New Roman" w:cs="Times New Roman"/>
          <w:sz w:val="24"/>
          <w:szCs w:val="24"/>
        </w:rPr>
        <w:t xml:space="preserve"> </w:t>
      </w:r>
    </w:p>
    <w:sectPr w:rsidR="00E42B61" w:rsidSect="009D380D">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760082"/>
      <w:docPartObj>
        <w:docPartGallery w:val="Page Numbers (Top of Page)"/>
        <w:docPartUnique/>
      </w:docPartObj>
    </w:sdtPr>
    <w:sdtEndPr>
      <w:rPr>
        <w:noProof/>
      </w:rPr>
    </w:sdtEndPr>
    <w:sdtContent>
      <w:p w14:paraId="3EBC8B0F" w14:textId="77777777" w:rsidR="0014734E" w:rsidRDefault="00292F9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22F8AF3" w14:textId="77777777" w:rsidR="0014734E" w:rsidRDefault="00292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6"/>
    <w:rsid w:val="00292F96"/>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A994"/>
  <w15:chartTrackingRefBased/>
  <w15:docId w15:val="{7025B604-F581-4461-89CD-A9BC7A79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2017-10-18T18:45:00Z</dcterms:created>
  <dcterms:modified xsi:type="dcterms:W3CDTF">2017-10-18T18:46:00Z</dcterms:modified>
</cp:coreProperties>
</file>