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3445" w14:textId="0B2D2884" w:rsidR="00F2570B" w:rsidRPr="00767B0C" w:rsidRDefault="00767B0C" w:rsidP="00767B0C">
      <w:pPr>
        <w:rPr>
          <w:rFonts w:eastAsia="Times New Roman" w:cs="Times New Roman"/>
          <w:caps/>
          <w:lang w:eastAsia="zh-CN"/>
        </w:rPr>
      </w:pPr>
      <w:r w:rsidRPr="00767B0C">
        <w:rPr>
          <w:rFonts w:ascii="Times New Roman" w:eastAsia="Times New Roman" w:hAnsi="Times New Roman" w:cs="Times New Roman"/>
          <w:b/>
          <w:color w:val="000000"/>
        </w:rPr>
        <w:t>Suppl</w:t>
      </w:r>
      <w:r w:rsidR="009F032A">
        <w:rPr>
          <w:rFonts w:ascii="Times New Roman" w:eastAsia="Times New Roman" w:hAnsi="Times New Roman" w:cs="Times New Roman"/>
          <w:b/>
          <w:color w:val="000000"/>
        </w:rPr>
        <w:t>emental</w:t>
      </w:r>
      <w:bookmarkStart w:id="0" w:name="_GoBack"/>
      <w:bookmarkEnd w:id="0"/>
      <w:r w:rsidRPr="00767B0C">
        <w:rPr>
          <w:rFonts w:ascii="Times New Roman" w:eastAsia="Times New Roman" w:hAnsi="Times New Roman" w:cs="Times New Roman"/>
          <w:b/>
          <w:color w:val="000000"/>
        </w:rPr>
        <w:t xml:space="preserve"> Table 32. </w:t>
      </w:r>
      <w:r w:rsidR="00F2570B" w:rsidRPr="00A356AF">
        <w:rPr>
          <w:b/>
        </w:rPr>
        <w:t>GLOSSARY</w:t>
      </w:r>
      <w:r w:rsidRPr="00767B0C">
        <w:rPr>
          <w:rFonts w:eastAsia="Times New Roman" w:cs="Times New Roman"/>
          <w:b/>
          <w:bCs/>
          <w:caps/>
          <w:color w:val="000000" w:themeColor="text1"/>
          <w:lang w:eastAsia="zh-CN"/>
        </w:rPr>
        <w:t xml:space="preserve"> for Rehabilitation/mobilization interventions</w:t>
      </w:r>
      <w:r w:rsidRPr="00DC1CF1">
        <w:rPr>
          <w:rFonts w:eastAsia="Times New Roman" w:cs="Times New Roman"/>
          <w:caps/>
          <w:color w:val="000000"/>
          <w:lang w:eastAsia="zh-CN"/>
        </w:rPr>
        <w:t> 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842"/>
      </w:tblGrid>
      <w:tr w:rsidR="00F2570B" w14:paraId="214A34BD" w14:textId="77777777" w:rsidTr="00F2570B">
        <w:tc>
          <w:tcPr>
            <w:tcW w:w="13068" w:type="dxa"/>
          </w:tcPr>
          <w:p w14:paraId="214A3446" w14:textId="77777777" w:rsidR="00F2570B" w:rsidRPr="00DC1CF1" w:rsidRDefault="00F2570B" w:rsidP="00F2570B">
            <w:pPr>
              <w:jc w:val="center"/>
              <w:rPr>
                <w:b/>
                <w:u w:val="single"/>
              </w:rPr>
            </w:pPr>
          </w:p>
          <w:tbl>
            <w:tblPr>
              <w:tblStyle w:val="TableGrid"/>
              <w:tblW w:w="13253" w:type="dxa"/>
              <w:tblLook w:val="04A0" w:firstRow="1" w:lastRow="0" w:firstColumn="1" w:lastColumn="0" w:noHBand="0" w:noVBand="1"/>
            </w:tblPr>
            <w:tblGrid>
              <w:gridCol w:w="2901"/>
              <w:gridCol w:w="10352"/>
            </w:tblGrid>
            <w:tr w:rsidR="00F2570B" w:rsidRPr="00DC1CF1" w14:paraId="214A3448" w14:textId="77777777" w:rsidTr="00F2570B">
              <w:tc>
                <w:tcPr>
                  <w:tcW w:w="13253" w:type="dxa"/>
                  <w:gridSpan w:val="2"/>
                </w:tcPr>
                <w:p w14:paraId="214A3447" w14:textId="77777777" w:rsidR="00F2570B" w:rsidRPr="00DC1CF1" w:rsidRDefault="00F2570B" w:rsidP="00767B0C"/>
              </w:tc>
            </w:tr>
            <w:tr w:rsidR="00F2570B" w:rsidRPr="00DC1CF1" w14:paraId="214A344C" w14:textId="77777777" w:rsidTr="00F2570B">
              <w:tc>
                <w:tcPr>
                  <w:tcW w:w="2901" w:type="dxa"/>
                </w:tcPr>
                <w:p w14:paraId="214A3449" w14:textId="77777777" w:rsidR="00F2570B" w:rsidRPr="00DC1CF1" w:rsidRDefault="00F2570B" w:rsidP="00F2570B">
                  <w:pPr>
                    <w:rPr>
                      <w:b/>
                      <w:bCs/>
                    </w:rPr>
                  </w:pPr>
                  <w:r w:rsidRPr="00DC1CF1">
                    <w:rPr>
                      <w:b/>
                      <w:bCs/>
                    </w:rPr>
                    <w:t>Intervention</w:t>
                  </w:r>
                </w:p>
                <w:p w14:paraId="214A344A" w14:textId="77777777" w:rsidR="00F2570B" w:rsidRPr="00DC1CF1" w:rsidRDefault="00F2570B" w:rsidP="00F257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2" w:type="dxa"/>
                </w:tcPr>
                <w:p w14:paraId="214A344B" w14:textId="77777777" w:rsidR="00F2570B" w:rsidRPr="00DC1CF1" w:rsidRDefault="00F2570B" w:rsidP="00F2570B">
                  <w:pPr>
                    <w:rPr>
                      <w:b/>
                      <w:bCs/>
                    </w:rPr>
                  </w:pPr>
                  <w:r w:rsidRPr="00DC1CF1">
                    <w:rPr>
                      <w:b/>
                      <w:bCs/>
                    </w:rPr>
                    <w:t>Explanation/Definition</w:t>
                  </w:r>
                </w:p>
              </w:tc>
            </w:tr>
            <w:tr w:rsidR="00F2570B" w:rsidRPr="00DC1CF1" w14:paraId="214A3450" w14:textId="77777777" w:rsidTr="00F2570B">
              <w:tc>
                <w:tcPr>
                  <w:tcW w:w="2901" w:type="dxa"/>
                </w:tcPr>
                <w:p w14:paraId="214A344D" w14:textId="77777777" w:rsidR="00F2570B" w:rsidRPr="00DC1CF1" w:rsidRDefault="00F2570B" w:rsidP="00F2570B">
                  <w:r w:rsidRPr="00DC1CF1">
                    <w:t>Active range of motion (AROM)</w:t>
                  </w:r>
                </w:p>
              </w:tc>
              <w:tc>
                <w:tcPr>
                  <w:tcW w:w="10352" w:type="dxa"/>
                </w:tcPr>
                <w:p w14:paraId="214A344E" w14:textId="77777777" w:rsidR="00F2570B" w:rsidRPr="00DC1CF1" w:rsidRDefault="00F2570B" w:rsidP="00F2570B">
                  <w:r>
                    <w:t>Independent m</w:t>
                  </w:r>
                  <w:r w:rsidRPr="00DC1CF1">
                    <w:t>ovement of a joint without any external assistance given to the muscles surrounding the joint.</w:t>
                  </w:r>
                </w:p>
                <w:p w14:paraId="214A344F" w14:textId="77777777" w:rsidR="00F2570B" w:rsidRPr="00DC1CF1" w:rsidRDefault="00F2570B" w:rsidP="00F2570B"/>
              </w:tc>
            </w:tr>
            <w:tr w:rsidR="00F2570B" w:rsidRPr="00DC1CF1" w14:paraId="214A3455" w14:textId="77777777" w:rsidTr="00F2570B">
              <w:tc>
                <w:tcPr>
                  <w:tcW w:w="2901" w:type="dxa"/>
                </w:tcPr>
                <w:p w14:paraId="214A3451" w14:textId="77777777" w:rsidR="00F2570B" w:rsidRPr="00DC1CF1" w:rsidRDefault="00F2570B" w:rsidP="00F2570B">
                  <w:r w:rsidRPr="00DC1CF1">
                    <w:t>Activities of daily living (ADL)</w:t>
                  </w:r>
                </w:p>
              </w:tc>
              <w:tc>
                <w:tcPr>
                  <w:tcW w:w="10352" w:type="dxa"/>
                </w:tcPr>
                <w:p w14:paraId="214A3452" w14:textId="77777777" w:rsidR="00F2570B" w:rsidRPr="00DC1CF1" w:rsidRDefault="00F2570B" w:rsidP="00F2570B">
                  <w:r w:rsidRPr="00DC1CF1">
                    <w:rPr>
                      <w:bCs/>
                    </w:rPr>
                    <w:t xml:space="preserve">Commonly-performed </w:t>
                  </w:r>
                  <w:r w:rsidRPr="00DC1CF1">
                    <w:t xml:space="preserve">activities that are required </w:t>
                  </w:r>
                  <w:r>
                    <w:t>for</w:t>
                  </w:r>
                  <w:r w:rsidRPr="00DC1CF1">
                    <w:t xml:space="preserve"> function</w:t>
                  </w:r>
                  <w:r>
                    <w:t>ing</w:t>
                  </w:r>
                  <w:r w:rsidRPr="00DC1CF1">
                    <w:t xml:space="preserve"> independently within a community setting.  Basic ADLs include self-care tasks, such as bathing/showering, dressing, bowel and bladder management, feeding and mobility.  Instrumental ADLs may include engaging in housework, shopping, taking medications, managing finances, and using public transport. </w:t>
                  </w:r>
                </w:p>
                <w:p w14:paraId="214A3453" w14:textId="77777777" w:rsidR="00F2570B" w:rsidRPr="00DC1CF1" w:rsidRDefault="00F2570B" w:rsidP="00F2570B"/>
                <w:p w14:paraId="214A3454" w14:textId="77777777" w:rsidR="00F2570B" w:rsidRPr="00DC1CF1" w:rsidRDefault="00F2570B" w:rsidP="00F2570B"/>
              </w:tc>
            </w:tr>
            <w:tr w:rsidR="00F2570B" w:rsidRPr="00DC1CF1" w14:paraId="214A3459" w14:textId="77777777" w:rsidTr="00F2570B">
              <w:tc>
                <w:tcPr>
                  <w:tcW w:w="2901" w:type="dxa"/>
                </w:tcPr>
                <w:p w14:paraId="214A3456" w14:textId="77777777" w:rsidR="00F2570B" w:rsidRPr="00DC1CF1" w:rsidRDefault="00F2570B" w:rsidP="00F2570B">
                  <w:r w:rsidRPr="00DC1CF1">
                    <w:t>Ambulation</w:t>
                  </w:r>
                </w:p>
              </w:tc>
              <w:tc>
                <w:tcPr>
                  <w:tcW w:w="10352" w:type="dxa"/>
                </w:tcPr>
                <w:p w14:paraId="214A3457" w14:textId="77777777" w:rsidR="00F2570B" w:rsidRPr="00DC1CF1" w:rsidRDefault="00F2570B" w:rsidP="00F2570B">
                  <w:r w:rsidRPr="00DC1CF1">
                    <w:t>Walking</w:t>
                  </w:r>
                </w:p>
                <w:p w14:paraId="214A3458" w14:textId="77777777" w:rsidR="00F2570B" w:rsidRPr="00DC1CF1" w:rsidRDefault="00F2570B" w:rsidP="00F2570B"/>
              </w:tc>
            </w:tr>
            <w:tr w:rsidR="00F2570B" w:rsidRPr="00DC1CF1" w14:paraId="214A345D" w14:textId="77777777" w:rsidTr="00F2570B">
              <w:tc>
                <w:tcPr>
                  <w:tcW w:w="2901" w:type="dxa"/>
                </w:tcPr>
                <w:p w14:paraId="214A345A" w14:textId="77777777" w:rsidR="00F2570B" w:rsidRPr="00DC1CF1" w:rsidRDefault="00F2570B" w:rsidP="00F2570B">
                  <w:r w:rsidRPr="00DC1CF1">
                    <w:t>Bed mobility</w:t>
                  </w:r>
                </w:p>
              </w:tc>
              <w:tc>
                <w:tcPr>
                  <w:tcW w:w="10352" w:type="dxa"/>
                </w:tcPr>
                <w:p w14:paraId="214A345B" w14:textId="77777777" w:rsidR="00F2570B" w:rsidRPr="00DC1CF1" w:rsidRDefault="00F2570B" w:rsidP="00F2570B">
                  <w:r w:rsidRPr="00DC1CF1">
                    <w:t xml:space="preserve">Ability to move independently while lying in bed, including changing position in bed. </w:t>
                  </w:r>
                </w:p>
                <w:p w14:paraId="214A345C" w14:textId="77777777" w:rsidR="00F2570B" w:rsidRPr="00DC1CF1" w:rsidRDefault="00F2570B" w:rsidP="00F2570B"/>
              </w:tc>
            </w:tr>
            <w:tr w:rsidR="00F2570B" w:rsidRPr="00DC1CF1" w14:paraId="214A3461" w14:textId="77777777" w:rsidTr="00F2570B">
              <w:tc>
                <w:tcPr>
                  <w:tcW w:w="2901" w:type="dxa"/>
                </w:tcPr>
                <w:p w14:paraId="214A345E" w14:textId="77777777" w:rsidR="00F2570B" w:rsidRPr="00DC1CF1" w:rsidRDefault="00F2570B" w:rsidP="00F2570B">
                  <w:r w:rsidRPr="00DC1CF1">
                    <w:t>Breathing exercises</w:t>
                  </w:r>
                </w:p>
              </w:tc>
              <w:tc>
                <w:tcPr>
                  <w:tcW w:w="10352" w:type="dxa"/>
                </w:tcPr>
                <w:p w14:paraId="214A345F" w14:textId="77777777" w:rsidR="00F2570B" w:rsidRPr="00DC1CF1" w:rsidRDefault="00F2570B" w:rsidP="00F2570B">
                  <w:r w:rsidRPr="00DC1CF1">
                    <w:t>The combination of relaxed diaphragmatic breathing</w:t>
                  </w:r>
                  <w:r>
                    <w:t xml:space="preserve"> and</w:t>
                  </w:r>
                  <w:r w:rsidRPr="00DC1CF1">
                    <w:t xml:space="preserve"> thoracic expansion exercises to increase lung volume, commonly performed with a forced expiratory maneuver to assist in expelling secretions. </w:t>
                  </w:r>
                </w:p>
                <w:p w14:paraId="214A3460" w14:textId="77777777" w:rsidR="00F2570B" w:rsidRPr="00DC1CF1" w:rsidRDefault="00F2570B" w:rsidP="00F2570B"/>
              </w:tc>
            </w:tr>
            <w:tr w:rsidR="00F2570B" w:rsidRPr="00DC1CF1" w14:paraId="214A3465" w14:textId="77777777" w:rsidTr="00F2570B">
              <w:tc>
                <w:tcPr>
                  <w:tcW w:w="2901" w:type="dxa"/>
                </w:tcPr>
                <w:p w14:paraId="214A3462" w14:textId="77777777" w:rsidR="00F2570B" w:rsidRPr="00DC1CF1" w:rsidRDefault="00F2570B" w:rsidP="00F2570B">
                  <w:r w:rsidRPr="00DC1CF1">
                    <w:t xml:space="preserve">Cognitive </w:t>
                  </w:r>
                  <w:r>
                    <w:t>[</w:t>
                  </w:r>
                  <w:r w:rsidRPr="00DC1CF1">
                    <w:t>rehabilitation</w:t>
                  </w:r>
                  <w:r>
                    <w:t>]</w:t>
                  </w:r>
                  <w:r w:rsidRPr="00DC1CF1">
                    <w:t xml:space="preserve"> therapy</w:t>
                  </w:r>
                </w:p>
              </w:tc>
              <w:tc>
                <w:tcPr>
                  <w:tcW w:w="10352" w:type="dxa"/>
                </w:tcPr>
                <w:p w14:paraId="214A3463" w14:textId="77777777" w:rsidR="00F2570B" w:rsidRPr="00DC1CF1" w:rsidRDefault="00F2570B" w:rsidP="00F2570B">
                  <w:pPr>
                    <w:rPr>
                      <w:rStyle w:val="HTMLCite"/>
                    </w:rPr>
                  </w:pPr>
                  <w:r w:rsidRPr="00DC1CF1">
                    <w:rPr>
                      <w:rFonts w:cs="Arial"/>
                    </w:rPr>
                    <w:t>Interventions to reestablish or to compensate for cognitive deficits as a result of damage</w:t>
                  </w:r>
                  <w:r>
                    <w:rPr>
                      <w:rFonts w:cs="Arial"/>
                    </w:rPr>
                    <w:t xml:space="preserve"> or changes</w:t>
                  </w:r>
                  <w:r w:rsidRPr="00DC1CF1">
                    <w:rPr>
                      <w:rFonts w:cs="Arial"/>
                    </w:rPr>
                    <w:t xml:space="preserve"> to the brain</w:t>
                  </w:r>
                  <w:r>
                    <w:rPr>
                      <w:rFonts w:cs="Arial"/>
                    </w:rPr>
                    <w:t xml:space="preserve"> cells and/or chemistry</w:t>
                  </w:r>
                  <w:r w:rsidRPr="00DC1CF1">
                    <w:rPr>
                      <w:rFonts w:cs="Arial"/>
                    </w:rPr>
                    <w:t xml:space="preserve">. </w:t>
                  </w:r>
                  <w:r w:rsidRPr="00DC1CF1">
                    <w:rPr>
                      <w:rStyle w:val="HTMLCite"/>
                    </w:rPr>
                    <w:t xml:space="preserve"> </w:t>
                  </w:r>
                </w:p>
                <w:p w14:paraId="214A3464" w14:textId="77777777" w:rsidR="00F2570B" w:rsidRPr="00DC1CF1" w:rsidRDefault="00F2570B" w:rsidP="00F2570B"/>
              </w:tc>
            </w:tr>
            <w:tr w:rsidR="00F2570B" w:rsidRPr="00DC1CF1" w14:paraId="214A3469" w14:textId="77777777" w:rsidTr="00F2570B">
              <w:tc>
                <w:tcPr>
                  <w:tcW w:w="2901" w:type="dxa"/>
                </w:tcPr>
                <w:p w14:paraId="214A3466" w14:textId="77777777" w:rsidR="00F2570B" w:rsidRPr="00DC1CF1" w:rsidRDefault="00F2570B" w:rsidP="00F2570B">
                  <w:r w:rsidRPr="00DC1CF1">
                    <w:t>Cycle ergometry</w:t>
                  </w:r>
                </w:p>
              </w:tc>
              <w:tc>
                <w:tcPr>
                  <w:tcW w:w="10352" w:type="dxa"/>
                </w:tcPr>
                <w:p w14:paraId="214A3467" w14:textId="77777777" w:rsidR="00F2570B" w:rsidRPr="00DC1CF1" w:rsidRDefault="00F2570B" w:rsidP="00F2570B">
                  <w:r w:rsidRPr="00DC1CF1">
                    <w:t>Performance of exercise using an upright or in-bed/supine stationary bicycle</w:t>
                  </w:r>
                  <w:r>
                    <w:t>.</w:t>
                  </w:r>
                </w:p>
                <w:p w14:paraId="214A3468" w14:textId="77777777" w:rsidR="00F2570B" w:rsidRPr="00DC1CF1" w:rsidRDefault="00F2570B" w:rsidP="00F2570B"/>
              </w:tc>
            </w:tr>
            <w:tr w:rsidR="00F2570B" w:rsidRPr="00DC1CF1" w14:paraId="214A346D" w14:textId="77777777" w:rsidTr="00F2570B">
              <w:tc>
                <w:tcPr>
                  <w:tcW w:w="2901" w:type="dxa"/>
                </w:tcPr>
                <w:p w14:paraId="214A346A" w14:textId="77777777" w:rsidR="00F2570B" w:rsidRPr="00DC1CF1" w:rsidRDefault="00F2570B" w:rsidP="00F2570B">
                  <w:r w:rsidRPr="00DC1CF1">
                    <w:t>Functional exercises</w:t>
                  </w:r>
                </w:p>
              </w:tc>
              <w:tc>
                <w:tcPr>
                  <w:tcW w:w="10352" w:type="dxa"/>
                </w:tcPr>
                <w:p w14:paraId="214A346B" w14:textId="77777777" w:rsidR="00F2570B" w:rsidRPr="00DC1CF1" w:rsidRDefault="00F2570B" w:rsidP="00F2570B">
                  <w:r w:rsidRPr="00DC1CF1">
                    <w:t xml:space="preserve">Exercises directed at improving a particular </w:t>
                  </w:r>
                  <w:r>
                    <w:t>task-</w:t>
                  </w:r>
                  <w:r w:rsidRPr="00DC1CF1">
                    <w:t>specific activity</w:t>
                  </w:r>
                  <w:r>
                    <w:t>.</w:t>
                  </w:r>
                </w:p>
                <w:p w14:paraId="214A346C" w14:textId="77777777" w:rsidR="00F2570B" w:rsidRPr="00DC1CF1" w:rsidRDefault="00F2570B" w:rsidP="00F2570B"/>
              </w:tc>
            </w:tr>
            <w:tr w:rsidR="00F2570B" w:rsidRPr="00DC1CF1" w14:paraId="214A3470" w14:textId="77777777" w:rsidTr="00F2570B">
              <w:tc>
                <w:tcPr>
                  <w:tcW w:w="2901" w:type="dxa"/>
                </w:tcPr>
                <w:p w14:paraId="214A346E" w14:textId="77777777" w:rsidR="00F2570B" w:rsidRPr="00DC1CF1" w:rsidRDefault="00F2570B" w:rsidP="00F2570B">
                  <w:r w:rsidRPr="00DC1CF1">
                    <w:t>Marching in place or marching on the spot</w:t>
                  </w:r>
                </w:p>
              </w:tc>
              <w:tc>
                <w:tcPr>
                  <w:tcW w:w="10352" w:type="dxa"/>
                </w:tcPr>
                <w:p w14:paraId="214A346F" w14:textId="77777777" w:rsidR="00F2570B" w:rsidRPr="00DC1CF1" w:rsidRDefault="00F2570B" w:rsidP="00F2570B">
                  <w:pPr>
                    <w:rPr>
                      <w:i/>
                    </w:rPr>
                  </w:pPr>
                  <w:r w:rsidRPr="00DC1CF1">
                    <w:t>Alternate lifting of the feet while standing in place</w:t>
                  </w:r>
                  <w:r>
                    <w:t>.</w:t>
                  </w:r>
                </w:p>
              </w:tc>
            </w:tr>
            <w:tr w:rsidR="00F2570B" w:rsidRPr="00DC1CF1" w14:paraId="214A3476" w14:textId="77777777" w:rsidTr="00F2570B">
              <w:tc>
                <w:tcPr>
                  <w:tcW w:w="2901" w:type="dxa"/>
                </w:tcPr>
                <w:p w14:paraId="214A3471" w14:textId="77777777" w:rsidR="00F2570B" w:rsidRPr="00DC1CF1" w:rsidRDefault="00F2570B" w:rsidP="00F2570B">
                  <w:r w:rsidRPr="00DC1CF1">
                    <w:t>Mobilization</w:t>
                  </w:r>
                </w:p>
              </w:tc>
              <w:tc>
                <w:tcPr>
                  <w:tcW w:w="10352" w:type="dxa"/>
                </w:tcPr>
                <w:p w14:paraId="214A3472" w14:textId="77777777" w:rsidR="00F2570B" w:rsidRPr="00DC1CF1" w:rsidRDefault="00F2570B" w:rsidP="00F257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C1CF1">
                    <w:t>A type of intervention within rehabilitation that facilitates the movement of patients and expends energy, with a goal of improving patient outcomes.</w:t>
                  </w:r>
                  <w:r w:rsidR="000103C7">
                    <w:t xml:space="preserve"> </w:t>
                  </w:r>
                  <w:r w:rsidR="000103C7">
                    <w:fldChar w:fldCharType="begin"/>
                  </w:r>
                  <w:r w:rsidR="000103C7">
                    <w:instrText xml:space="preserve"> ADDIN EN.CITE &lt;EndNote&gt;&lt;Cite&gt;&lt;Author&gt;Amidei&lt;/Author&gt;&lt;Year&gt;2012&lt;/Year&gt;&lt;RecNum&gt;1667&lt;/RecNum&gt;&lt;DisplayText&gt;[1]&lt;/DisplayText&gt;&lt;record&gt;&lt;rec-number&gt;1667&lt;/rec-number&gt;&lt;foreign-keys&gt;&lt;key app="EN" db-id="v9razzrwmtv29zeet5tvadzm9d5dffdd0s55" timestamp="1507232799"&gt;1667&lt;/key&gt;&lt;/foreign-keys&gt;&lt;ref-type name="Journal Article"&gt;17&lt;/ref-type&gt;&lt;contributors&gt;&lt;authors&gt;&lt;author&gt;Amidei, Christina&lt;/author&gt;&lt;/authors&gt;&lt;/contributors&gt;&lt;auth-address&gt;University of Central Florida, College of Nursing, Orlando, FL 32816, United States. Christina.amidei@ucf.edu&lt;/auth-address&gt;&lt;titles&gt;&lt;title&gt;Mobilisation in critical care: a concept analysis&lt;/title&gt;&lt;secondary-title&gt;Intensive Crit. Care Nurs.&lt;/secondary-title&gt;&lt;/titles&gt;&lt;periodical&gt;&lt;full-title&gt;Intensive Crit. Care Nurs.&lt;/full-title&gt;&lt;/periodical&gt;&lt;pages&gt;73-81&lt;/pages&gt;&lt;volume&gt;28&lt;/volume&gt;&lt;number&gt;2&lt;/number&gt;&lt;keywords&gt;&lt;keyword&gt;PAD-ES Early Mobility Manuscript&lt;/keyword&gt;&lt;/keywords&gt;&lt;dates&gt;&lt;year&gt;2012&lt;/year&gt;&lt;pub-dates&gt;&lt;date&gt;2012/4&lt;/date&gt;&lt;/pub-dates&gt;&lt;/dates&gt;&lt;isbn&gt;0964-3397&lt;/isbn&gt;&lt;urls&gt;&lt;related-urls&gt;&lt;url&gt;http://dx.doi.org/10.1016/j.iccn.2011.12.006&lt;/url&gt;&lt;url&gt;https://www.ncbi.nlm.nih.gov/pubmed/22326102&lt;/url&gt;&lt;url&gt;https://linkinghub.elsevier.com/retrieve/pii/S0964-3397(11)00143-1&lt;/url&gt;&lt;url&gt;http://www.sciencedirect.com/science/article/pii/S0964339711001431&lt;/url&gt;&lt;/related-urls&gt;&lt;pdf-urls&gt;&lt;url&gt;All Papers/A/Amidei 2012 - Mobilisation in critical care - a concept analysis.pdf&lt;/url&gt;&lt;/pdf-urls&gt;&lt;/urls&gt;&lt;electronic-resource-num&gt;10.1016/j.iccn.2011.12.006&lt;/electronic-resource-num&gt;&lt;/record&gt;&lt;/Cite&gt;&lt;/EndNote&gt;</w:instrText>
                  </w:r>
                  <w:r w:rsidR="000103C7">
                    <w:fldChar w:fldCharType="separate"/>
                  </w:r>
                  <w:r w:rsidR="000103C7">
                    <w:rPr>
                      <w:noProof/>
                    </w:rPr>
                    <w:t>[1]</w:t>
                  </w:r>
                  <w:r w:rsidR="000103C7">
                    <w:fldChar w:fldCharType="end"/>
                  </w:r>
                </w:p>
                <w:p w14:paraId="214A3473" w14:textId="77777777" w:rsidR="00F2570B" w:rsidRPr="00DC1CF1" w:rsidRDefault="00F2570B" w:rsidP="00F257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C1CF1">
                    <w:t xml:space="preserve"> </w:t>
                  </w:r>
                </w:p>
                <w:p w14:paraId="214A3474" w14:textId="77777777" w:rsidR="00F2570B" w:rsidRPr="00DC1CF1" w:rsidRDefault="00F2570B" w:rsidP="00F257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noProof/>
                      <w:shd w:val="clear" w:color="auto" w:fill="FFFFFF"/>
                      <w:lang w:val="en-AU"/>
                    </w:rPr>
                  </w:pPr>
                  <w:r w:rsidRPr="00DC1CF1">
                    <w:t xml:space="preserve">Citation: </w:t>
                  </w:r>
                  <w:r w:rsidRPr="00DC1CF1">
                    <w:rPr>
                      <w:rFonts w:eastAsia="Times New Roman" w:cs="Times New Roman"/>
                      <w:noProof/>
                      <w:shd w:val="clear" w:color="auto" w:fill="FFFFFF"/>
                      <w:lang w:val="en-AU"/>
                    </w:rPr>
                    <w:t xml:space="preserve">Amidei C: </w:t>
                  </w:r>
                  <w:r w:rsidRPr="00DC1CF1">
                    <w:rPr>
                      <w:rFonts w:eastAsia="Times New Roman" w:cs="Times New Roman"/>
                      <w:b/>
                      <w:noProof/>
                      <w:shd w:val="clear" w:color="auto" w:fill="FFFFFF"/>
                      <w:lang w:val="en-AU"/>
                    </w:rPr>
                    <w:t>Mobilisation in critical care: a concept analysis</w:t>
                  </w:r>
                  <w:r w:rsidRPr="00DC1CF1">
                    <w:rPr>
                      <w:rFonts w:eastAsia="Times New Roman" w:cs="Times New Roman"/>
                      <w:noProof/>
                      <w:shd w:val="clear" w:color="auto" w:fill="FFFFFF"/>
                      <w:lang w:val="en-AU"/>
                    </w:rPr>
                    <w:t xml:space="preserve">. </w:t>
                  </w:r>
                  <w:r w:rsidRPr="00DC1CF1">
                    <w:rPr>
                      <w:rFonts w:eastAsia="Times New Roman" w:cs="Times New Roman"/>
                      <w:i/>
                      <w:noProof/>
                      <w:shd w:val="clear" w:color="auto" w:fill="FFFFFF"/>
                      <w:lang w:val="en-AU"/>
                    </w:rPr>
                    <w:t xml:space="preserve">Intensive &amp; critical care nursing : the official </w:t>
                  </w:r>
                  <w:r w:rsidRPr="00DC1CF1">
                    <w:rPr>
                      <w:rFonts w:eastAsia="Times New Roman" w:cs="Times New Roman"/>
                      <w:i/>
                      <w:noProof/>
                      <w:shd w:val="clear" w:color="auto" w:fill="FFFFFF"/>
                      <w:lang w:val="en-AU"/>
                    </w:rPr>
                    <w:lastRenderedPageBreak/>
                    <w:t xml:space="preserve">journal of the British Association of Critical Care Nurses </w:t>
                  </w:r>
                  <w:r w:rsidRPr="00DC1CF1">
                    <w:rPr>
                      <w:rFonts w:eastAsia="Times New Roman" w:cs="Times New Roman"/>
                      <w:noProof/>
                      <w:shd w:val="clear" w:color="auto" w:fill="FFFFFF"/>
                      <w:lang w:val="en-AU"/>
                    </w:rPr>
                    <w:t xml:space="preserve">2012, </w:t>
                  </w:r>
                  <w:r w:rsidRPr="00DC1CF1">
                    <w:rPr>
                      <w:rFonts w:eastAsia="Times New Roman" w:cs="Times New Roman"/>
                      <w:b/>
                      <w:noProof/>
                      <w:shd w:val="clear" w:color="auto" w:fill="FFFFFF"/>
                      <w:lang w:val="en-AU"/>
                    </w:rPr>
                    <w:t>28</w:t>
                  </w:r>
                  <w:r w:rsidRPr="00DC1CF1">
                    <w:rPr>
                      <w:rFonts w:eastAsia="Times New Roman" w:cs="Times New Roman"/>
                      <w:noProof/>
                      <w:shd w:val="clear" w:color="auto" w:fill="FFFFFF"/>
                      <w:lang w:val="en-AU"/>
                    </w:rPr>
                    <w:t>(2):73-81.</w:t>
                  </w:r>
                </w:p>
                <w:p w14:paraId="214A3475" w14:textId="77777777" w:rsidR="00F2570B" w:rsidRPr="00DC1CF1" w:rsidRDefault="00F2570B" w:rsidP="00F2570B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</w:tr>
            <w:tr w:rsidR="00F2570B" w:rsidRPr="00DC1CF1" w14:paraId="214A347A" w14:textId="77777777" w:rsidTr="00F2570B">
              <w:trPr>
                <w:trHeight w:val="1094"/>
              </w:trPr>
              <w:tc>
                <w:tcPr>
                  <w:tcW w:w="2901" w:type="dxa"/>
                </w:tcPr>
                <w:p w14:paraId="214A3477" w14:textId="77777777" w:rsidR="00F2570B" w:rsidRPr="00DC1CF1" w:rsidRDefault="00F2570B" w:rsidP="00F2570B">
                  <w:r w:rsidRPr="00DC1CF1">
                    <w:lastRenderedPageBreak/>
                    <w:t>Neuromuscular electrical stimulation (NMES)</w:t>
                  </w:r>
                </w:p>
              </w:tc>
              <w:tc>
                <w:tcPr>
                  <w:tcW w:w="10352" w:type="dxa"/>
                </w:tcPr>
                <w:p w14:paraId="214A3478" w14:textId="77777777" w:rsidR="00F2570B" w:rsidRPr="00DC1CF1" w:rsidRDefault="00F2570B" w:rsidP="00F2570B">
                  <w:r w:rsidRPr="00DC1CF1">
                    <w:t>The use of electrical current</w:t>
                  </w:r>
                  <w:r>
                    <w:t>s</w:t>
                  </w:r>
                  <w:r w:rsidRPr="00DC1CF1">
                    <w:t xml:space="preserve">, delivered via electrodes placed on the skin </w:t>
                  </w:r>
                  <w:r>
                    <w:t>on</w:t>
                  </w:r>
                  <w:r w:rsidRPr="00DC1CF1">
                    <w:t xml:space="preserve"> top of targeted muscles, to elicit muscle contraction via activating intramuscular nerve branches</w:t>
                  </w:r>
                  <w:r>
                    <w:t>.</w:t>
                  </w:r>
                </w:p>
                <w:p w14:paraId="214A3479" w14:textId="77777777" w:rsidR="00F2570B" w:rsidRPr="00DC1CF1" w:rsidRDefault="00F2570B" w:rsidP="00F2570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F2570B" w:rsidRPr="00DC1CF1" w14:paraId="214A347E" w14:textId="77777777" w:rsidTr="00F2570B">
              <w:tc>
                <w:tcPr>
                  <w:tcW w:w="2901" w:type="dxa"/>
                </w:tcPr>
                <w:p w14:paraId="214A347B" w14:textId="77777777" w:rsidR="00F2570B" w:rsidRPr="00DC1CF1" w:rsidRDefault="00F2570B" w:rsidP="00F2570B">
                  <w:r w:rsidRPr="00DC1CF1">
                    <w:t>Occupational therapy (OT)</w:t>
                  </w:r>
                </w:p>
              </w:tc>
              <w:tc>
                <w:tcPr>
                  <w:tcW w:w="10352" w:type="dxa"/>
                </w:tcPr>
                <w:p w14:paraId="214A347C" w14:textId="77777777" w:rsidR="00F2570B" w:rsidRPr="00DC1CF1" w:rsidRDefault="00F2570B" w:rsidP="00F2570B">
                  <w:r w:rsidRPr="00DC1CF1">
                    <w:t xml:space="preserve">A type of rehabilitation therapy that aims </w:t>
                  </w:r>
                  <w:r w:rsidRPr="00DC1CF1">
                    <w:rPr>
                      <w:rFonts w:eastAsia="Times New Roman" w:cs="Times New Roman"/>
                    </w:rPr>
                    <w:t xml:space="preserve">to </w:t>
                  </w:r>
                  <w:r w:rsidRPr="00DC1CF1">
                    <w:t xml:space="preserve">enable people to participate in the activities and roles that they want to, need to, or are expected to do, or </w:t>
                  </w:r>
                  <w:r>
                    <w:t>to modify</w:t>
                  </w:r>
                  <w:r w:rsidRPr="00DC1CF1">
                    <w:t xml:space="preserve"> the activities and roles or the environment to better support these goals. </w:t>
                  </w:r>
                </w:p>
                <w:p w14:paraId="214A347D" w14:textId="77777777" w:rsidR="00F2570B" w:rsidRPr="00DC1CF1" w:rsidRDefault="00F2570B" w:rsidP="00F2570B"/>
              </w:tc>
            </w:tr>
            <w:tr w:rsidR="00F2570B" w:rsidRPr="00DC1CF1" w14:paraId="214A3482" w14:textId="77777777" w:rsidTr="00F2570B">
              <w:tc>
                <w:tcPr>
                  <w:tcW w:w="2901" w:type="dxa"/>
                </w:tcPr>
                <w:p w14:paraId="214A347F" w14:textId="77777777" w:rsidR="00F2570B" w:rsidRPr="00DC1CF1" w:rsidRDefault="00F2570B" w:rsidP="00F2570B">
                  <w:r w:rsidRPr="00DC1CF1">
                    <w:t>Physical therapy or physiotherapy (PT)</w:t>
                  </w:r>
                </w:p>
              </w:tc>
              <w:tc>
                <w:tcPr>
                  <w:tcW w:w="10352" w:type="dxa"/>
                </w:tcPr>
                <w:p w14:paraId="214A3480" w14:textId="77777777" w:rsidR="00F2570B" w:rsidRPr="00DC1CF1" w:rsidRDefault="00F2570B" w:rsidP="00F2570B">
                  <w:r w:rsidRPr="00DC1CF1">
                    <w:t xml:space="preserve">A type of rehabilitation therapy that aims </w:t>
                  </w:r>
                  <w:r w:rsidRPr="00DC1CF1">
                    <w:rPr>
                      <w:rFonts w:eastAsia="Times New Roman" w:cs="Times New Roman"/>
                    </w:rPr>
                    <w:t xml:space="preserve">to maintain, enhance or restore maximum movement and physical function </w:t>
                  </w:r>
                  <w:r w:rsidRPr="00DC1CF1">
                    <w:t>that is impaired or threatened by aging, injury, pain, disorders, diseases, conditions, or environmental factors.</w:t>
                  </w:r>
                </w:p>
                <w:p w14:paraId="214A3481" w14:textId="77777777" w:rsidR="00F2570B" w:rsidRPr="00DC1CF1" w:rsidRDefault="00F2570B" w:rsidP="00F2570B"/>
              </w:tc>
            </w:tr>
            <w:tr w:rsidR="00F2570B" w:rsidRPr="00DC1CF1" w14:paraId="214A3486" w14:textId="77777777" w:rsidTr="00F2570B">
              <w:tc>
                <w:tcPr>
                  <w:tcW w:w="2901" w:type="dxa"/>
                </w:tcPr>
                <w:p w14:paraId="214A3483" w14:textId="77777777" w:rsidR="00F2570B" w:rsidRPr="00DC1CF1" w:rsidRDefault="00F2570B" w:rsidP="00F2570B">
                  <w:r w:rsidRPr="00DC1CF1">
                    <w:t>Pre-gait activities</w:t>
                  </w:r>
                </w:p>
              </w:tc>
              <w:tc>
                <w:tcPr>
                  <w:tcW w:w="10352" w:type="dxa"/>
                </w:tcPr>
                <w:p w14:paraId="214A3484" w14:textId="77777777" w:rsidR="00F2570B" w:rsidRPr="00DC1CF1" w:rsidRDefault="00F2570B" w:rsidP="00F2570B">
                  <w:r w:rsidRPr="00DC1CF1">
                    <w:t>Activities and positional movements used to prepare a person for walking; such activities include</w:t>
                  </w:r>
                  <w:r>
                    <w:t>:</w:t>
                  </w:r>
                  <w:r w:rsidRPr="00DC1CF1">
                    <w:t xml:space="preserve"> sitting, rolling, kneeling, </w:t>
                  </w:r>
                  <w:r>
                    <w:t xml:space="preserve">and </w:t>
                  </w:r>
                  <w:r w:rsidRPr="00DC1CF1">
                    <w:t>exercises</w:t>
                  </w:r>
                  <w:r>
                    <w:t>.</w:t>
                  </w:r>
                </w:p>
                <w:p w14:paraId="214A3485" w14:textId="77777777" w:rsidR="00F2570B" w:rsidRPr="00DC1CF1" w:rsidRDefault="00F2570B" w:rsidP="00F2570B"/>
              </w:tc>
            </w:tr>
            <w:tr w:rsidR="00F2570B" w:rsidRPr="00DC1CF1" w14:paraId="214A348A" w14:textId="77777777" w:rsidTr="00F2570B">
              <w:tc>
                <w:tcPr>
                  <w:tcW w:w="2901" w:type="dxa"/>
                </w:tcPr>
                <w:p w14:paraId="214A3487" w14:textId="77777777" w:rsidR="00F2570B" w:rsidRPr="00DC1CF1" w:rsidRDefault="00F2570B" w:rsidP="00F2570B">
                  <w:r w:rsidRPr="00DC1CF1">
                    <w:t>Passive range of motion (PROM)</w:t>
                  </w:r>
                </w:p>
              </w:tc>
              <w:tc>
                <w:tcPr>
                  <w:tcW w:w="10352" w:type="dxa"/>
                </w:tcPr>
                <w:p w14:paraId="214A3488" w14:textId="77777777" w:rsidR="00F2570B" w:rsidRPr="00DC1CF1" w:rsidRDefault="00F2570B" w:rsidP="00F2570B">
                  <w:r w:rsidRPr="00DC1CF1">
                    <w:t>Movement of a joint through its range of motion without effort or assistance from the patient.</w:t>
                  </w:r>
                </w:p>
                <w:p w14:paraId="214A3489" w14:textId="77777777" w:rsidR="00F2570B" w:rsidRPr="00DC1CF1" w:rsidRDefault="00F2570B" w:rsidP="00F2570B"/>
              </w:tc>
            </w:tr>
            <w:tr w:rsidR="00F2570B" w:rsidRPr="00DC1CF1" w14:paraId="214A348E" w14:textId="77777777" w:rsidTr="00F2570B">
              <w:tc>
                <w:tcPr>
                  <w:tcW w:w="2901" w:type="dxa"/>
                </w:tcPr>
                <w:p w14:paraId="214A348B" w14:textId="77777777" w:rsidR="00F2570B" w:rsidRPr="00DC1CF1" w:rsidRDefault="00F2570B" w:rsidP="00F2570B">
                  <w:r w:rsidRPr="00DC1CF1">
                    <w:t>Pulmonary rehabilitation</w:t>
                  </w:r>
                </w:p>
              </w:tc>
              <w:tc>
                <w:tcPr>
                  <w:tcW w:w="10352" w:type="dxa"/>
                </w:tcPr>
                <w:p w14:paraId="214A348C" w14:textId="77777777" w:rsidR="00F2570B" w:rsidRPr="00DC1CF1" w:rsidRDefault="00F2570B" w:rsidP="00F2570B">
                  <w:r w:rsidRPr="00DC1CF1">
                    <w:t>A broad program of exercise, education, and support to help patients with chronic lung disease learn to breath and function at the highest level possible</w:t>
                  </w:r>
                  <w:r>
                    <w:t>.</w:t>
                  </w:r>
                </w:p>
                <w:p w14:paraId="214A348D" w14:textId="77777777" w:rsidR="00F2570B" w:rsidRPr="00DC1CF1" w:rsidRDefault="00F2570B" w:rsidP="00F2570B"/>
              </w:tc>
            </w:tr>
            <w:tr w:rsidR="00F2570B" w:rsidRPr="00DC1CF1" w14:paraId="214A3494" w14:textId="77777777" w:rsidTr="00F2570B">
              <w:tc>
                <w:tcPr>
                  <w:tcW w:w="2901" w:type="dxa"/>
                </w:tcPr>
                <w:p w14:paraId="214A348F" w14:textId="77777777" w:rsidR="00F2570B" w:rsidRPr="00DC1CF1" w:rsidRDefault="00F2570B" w:rsidP="00F2570B">
                  <w:r w:rsidRPr="00DC1CF1">
                    <w:t>Rehabilitation</w:t>
                  </w:r>
                </w:p>
              </w:tc>
              <w:tc>
                <w:tcPr>
                  <w:tcW w:w="10352" w:type="dxa"/>
                </w:tcPr>
                <w:p w14:paraId="214A3490" w14:textId="77777777" w:rsidR="00F2570B" w:rsidRPr="00DC1CF1" w:rsidRDefault="00F2570B" w:rsidP="00F2570B">
                  <w:r w:rsidRPr="00DC1CF1">
                    <w:t>“A set of interventions designed to optimize functioning and reduce disability in individuals with health condition</w:t>
                  </w:r>
                  <w:r>
                    <w:t>s</w:t>
                  </w:r>
                  <w:r w:rsidRPr="00DC1CF1">
                    <w:t xml:space="preserve">” </w:t>
                  </w:r>
                </w:p>
                <w:p w14:paraId="214A3491" w14:textId="77777777" w:rsidR="00F2570B" w:rsidRPr="00DC1CF1" w:rsidRDefault="000103C7" w:rsidP="00F2570B">
                  <w:r>
                    <w:fldChar w:fldCharType="begin"/>
                  </w:r>
                  <w:r>
                    <w:instrText xml:space="preserve"> ADDIN EN.CITE &lt;EndNote&gt;&lt;Cite&gt;&lt;Author&gt;World Health&lt;/Author&gt;&lt;Year&gt;2017&lt;/Year&gt;&lt;RecNum&gt;1658&lt;/RecNum&gt;&lt;DisplayText&gt;[2]&lt;/DisplayText&gt;&lt;record&gt;&lt;rec-number&gt;1658&lt;/rec-number&gt;&lt;foreign-keys&gt;&lt;key app="EN" db-id="v9razzrwmtv29zeet5tvadzm9d5dffdd0s55" timestamp="1507232798"&gt;1658&lt;/key&gt;&lt;/foreign-keys&gt;&lt;ref-type name="Report"&gt;27&lt;/ref-type&gt;&lt;contributors&gt;&lt;authors&gt;&lt;author&gt;World Health, Organization&lt;/author&gt;&lt;/authors&gt;&lt;/contributors&gt;&lt;titles&gt;&lt;title&gt;Rehabilitation: key for health in the 21st century&lt;/title&gt;&lt;/titles&gt;&lt;pages&gt;6&lt;/pages&gt;&lt;keywords&gt;&lt;keyword&gt;PAD-ES Early Mobility Manuscript&lt;/keyword&gt;&lt;/keywords&gt;&lt;dates&gt;&lt;year&gt;2017&lt;/year&gt;&lt;pub-dates&gt;&lt;date&gt;2017&lt;/date&gt;&lt;/pub-dates&gt;&lt;/dates&gt;&lt;publisher&gt;World Health Organization&lt;/publisher&gt;&lt;isbn&gt;WHO/NMH/NVI/17.3&lt;/isbn&gt;&lt;urls&gt;&lt;/urls&gt;&lt;/record&gt;&lt;/Cite&gt;&lt;/EndNote&gt;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[2]</w:t>
                  </w:r>
                  <w:r>
                    <w:fldChar w:fldCharType="end"/>
                  </w:r>
                </w:p>
                <w:p w14:paraId="214A3492" w14:textId="77777777" w:rsidR="00F2570B" w:rsidRPr="00DC1CF1" w:rsidRDefault="00F2570B" w:rsidP="00F2570B">
                  <w:pPr>
                    <w:rPr>
                      <w:i/>
                      <w:iCs/>
                    </w:rPr>
                  </w:pPr>
                  <w:r w:rsidRPr="00DC1CF1">
                    <w:t xml:space="preserve">Citation:  World Health Organization. (2017). </w:t>
                  </w:r>
                  <w:r w:rsidRPr="00DC1CF1">
                    <w:rPr>
                      <w:bCs/>
                    </w:rPr>
                    <w:t>Rehabilitation: key for health in the 21st century</w:t>
                  </w:r>
                  <w:r w:rsidRPr="00DC1CF1">
                    <w:t xml:space="preserve"> (WHO/NMH/NVI/17.3). </w:t>
                  </w:r>
                  <w:r w:rsidRPr="00DC1CF1">
                    <w:rPr>
                      <w:i/>
                      <w:iCs/>
                    </w:rPr>
                    <w:t xml:space="preserve">Retrieved from </w:t>
                  </w:r>
                  <w:hyperlink r:id="rId6" w:history="1">
                    <w:r w:rsidRPr="00DC1CF1">
                      <w:rPr>
                        <w:rStyle w:val="Hyperlink"/>
                        <w:i/>
                        <w:iCs/>
                      </w:rPr>
                      <w:t>http://www.who.int/disabilities/care/KeyForHealth21stCentury.pdf?ua=1</w:t>
                    </w:r>
                  </w:hyperlink>
                </w:p>
                <w:p w14:paraId="214A3493" w14:textId="77777777" w:rsidR="00F2570B" w:rsidRPr="00DC1CF1" w:rsidRDefault="00F2570B" w:rsidP="00F2570B"/>
              </w:tc>
            </w:tr>
            <w:tr w:rsidR="00F2570B" w:rsidRPr="00DC1CF1" w14:paraId="214A3497" w14:textId="77777777" w:rsidTr="00F2570B">
              <w:tc>
                <w:tcPr>
                  <w:tcW w:w="2901" w:type="dxa"/>
                </w:tcPr>
                <w:p w14:paraId="214A3495" w14:textId="77777777" w:rsidR="00F2570B" w:rsidRPr="00DC1CF1" w:rsidRDefault="00F2570B" w:rsidP="00F2570B">
                  <w:r w:rsidRPr="00DC1CF1">
                    <w:t>Resistance exercises, active resistance training, or progressive resistance training</w:t>
                  </w:r>
                </w:p>
              </w:tc>
              <w:tc>
                <w:tcPr>
                  <w:tcW w:w="10352" w:type="dxa"/>
                </w:tcPr>
                <w:p w14:paraId="214A3496" w14:textId="77777777" w:rsidR="00F2570B" w:rsidRPr="00DC1CF1" w:rsidRDefault="00F2570B" w:rsidP="00F2570B">
                  <w:r w:rsidRPr="00DC1CF1">
                    <w:t>Any form of exercise that causes the muscles to contract against external resistance with the expectation of increases in strength, tone, mass, and/or endurance</w:t>
                  </w:r>
                  <w:r>
                    <w:t>.</w:t>
                  </w:r>
                </w:p>
              </w:tc>
            </w:tr>
            <w:tr w:rsidR="00F2570B" w:rsidRPr="00DC1CF1" w14:paraId="214A349B" w14:textId="77777777" w:rsidTr="00F2570B">
              <w:tc>
                <w:tcPr>
                  <w:tcW w:w="2901" w:type="dxa"/>
                  <w:tcBorders>
                    <w:bottom w:val="single" w:sz="4" w:space="0" w:color="auto"/>
                  </w:tcBorders>
                </w:tcPr>
                <w:p w14:paraId="214A3498" w14:textId="77777777" w:rsidR="00F2570B" w:rsidRPr="00DC1CF1" w:rsidRDefault="00F2570B" w:rsidP="00F2570B">
                  <w:r w:rsidRPr="00DC1CF1">
                    <w:t xml:space="preserve">Transfers </w:t>
                  </w:r>
                </w:p>
              </w:tc>
              <w:tc>
                <w:tcPr>
                  <w:tcW w:w="10352" w:type="dxa"/>
                  <w:tcBorders>
                    <w:bottom w:val="single" w:sz="4" w:space="0" w:color="auto"/>
                  </w:tcBorders>
                </w:tcPr>
                <w:p w14:paraId="214A3499" w14:textId="77777777" w:rsidR="00F2570B" w:rsidRPr="00DC1CF1" w:rsidRDefault="00F2570B" w:rsidP="00F2570B">
                  <w:r w:rsidRPr="00DC1CF1">
                    <w:t xml:space="preserve">Transitional movements between one physical position to another, such as movement from </w:t>
                  </w:r>
                  <w:r>
                    <w:t>sit to stand</w:t>
                  </w:r>
                  <w:r w:rsidRPr="00DC1CF1">
                    <w:t xml:space="preserve"> </w:t>
                  </w:r>
                  <w:r>
                    <w:t xml:space="preserve">and from </w:t>
                  </w:r>
                  <w:r w:rsidRPr="00DC1CF1">
                    <w:t>lying to sitting on the edge of the bed</w:t>
                  </w:r>
                  <w:r>
                    <w:t>.</w:t>
                  </w:r>
                </w:p>
                <w:p w14:paraId="214A349A" w14:textId="77777777" w:rsidR="00F2570B" w:rsidRPr="00DC1CF1" w:rsidRDefault="00F2570B" w:rsidP="00F2570B"/>
              </w:tc>
            </w:tr>
            <w:tr w:rsidR="00F2570B" w:rsidRPr="00DC1CF1" w14:paraId="214A349D" w14:textId="77777777" w:rsidTr="00F2570B">
              <w:tc>
                <w:tcPr>
                  <w:tcW w:w="13253" w:type="dxa"/>
                  <w:gridSpan w:val="2"/>
                  <w:shd w:val="clear" w:color="auto" w:fill="BFBFBF" w:themeFill="background1" w:themeFillShade="BF"/>
                </w:tcPr>
                <w:p w14:paraId="214A349C" w14:textId="77777777" w:rsidR="00F2570B" w:rsidRPr="00DC1CF1" w:rsidRDefault="00F2570B" w:rsidP="00F2570B">
                  <w:pPr>
                    <w:rPr>
                      <w:b/>
                      <w:bCs/>
                    </w:rPr>
                  </w:pPr>
                </w:p>
              </w:tc>
            </w:tr>
            <w:tr w:rsidR="00F2570B" w:rsidRPr="00DC1CF1" w14:paraId="214A34A0" w14:textId="77777777" w:rsidTr="00F2570B">
              <w:tc>
                <w:tcPr>
                  <w:tcW w:w="13253" w:type="dxa"/>
                  <w:gridSpan w:val="2"/>
                </w:tcPr>
                <w:p w14:paraId="214A349E" w14:textId="77777777" w:rsidR="00F2570B" w:rsidRPr="00DC1CF1" w:rsidRDefault="00F2570B" w:rsidP="00F2570B">
                  <w:pPr>
                    <w:rPr>
                      <w:rFonts w:cs="Times New Roman"/>
                      <w:b/>
                      <w:bCs/>
                      <w:caps/>
                      <w:color w:val="000000" w:themeColor="text1"/>
                    </w:rPr>
                  </w:pPr>
                  <w:r w:rsidRPr="00DC1CF1">
                    <w:rPr>
                      <w:rFonts w:cs="Times New Roman"/>
                      <w:b/>
                      <w:bCs/>
                      <w:caps/>
                      <w:color w:val="000000" w:themeColor="text1"/>
                    </w:rPr>
                    <w:t>Outcome Measures</w:t>
                  </w:r>
                </w:p>
                <w:p w14:paraId="214A349F" w14:textId="77777777" w:rsidR="00F2570B" w:rsidRPr="00DC1CF1" w:rsidRDefault="00F2570B" w:rsidP="00F2570B">
                  <w:pPr>
                    <w:rPr>
                      <w:rFonts w:cs="Times New Roman"/>
                      <w:caps/>
                      <w:color w:val="000000" w:themeColor="text1"/>
                    </w:rPr>
                  </w:pPr>
                </w:p>
              </w:tc>
            </w:tr>
            <w:tr w:rsidR="00F2570B" w:rsidRPr="00DC1CF1" w14:paraId="214A34A4" w14:textId="77777777" w:rsidTr="00F2570B">
              <w:tc>
                <w:tcPr>
                  <w:tcW w:w="2901" w:type="dxa"/>
                </w:tcPr>
                <w:p w14:paraId="214A34A1" w14:textId="77777777" w:rsidR="00F2570B" w:rsidRPr="00DC1CF1" w:rsidRDefault="00F2570B" w:rsidP="00F257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Measure</w:t>
                  </w:r>
                </w:p>
                <w:p w14:paraId="214A34A2" w14:textId="77777777" w:rsidR="00F2570B" w:rsidRPr="00DC1CF1" w:rsidRDefault="00F2570B" w:rsidP="00F2570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352" w:type="dxa"/>
                </w:tcPr>
                <w:p w14:paraId="214A34A3" w14:textId="77777777" w:rsidR="00F2570B" w:rsidRPr="00DC1CF1" w:rsidRDefault="00F2570B" w:rsidP="00F2570B">
                  <w:pPr>
                    <w:rPr>
                      <w:b/>
                      <w:bCs/>
                    </w:rPr>
                  </w:pPr>
                  <w:r w:rsidRPr="00DC1CF1">
                    <w:rPr>
                      <w:b/>
                      <w:bCs/>
                    </w:rPr>
                    <w:t>Explanation/Definition</w:t>
                  </w:r>
                </w:p>
              </w:tc>
            </w:tr>
            <w:tr w:rsidR="00F2570B" w:rsidRPr="00DC1CF1" w14:paraId="214A34A8" w14:textId="77777777" w:rsidTr="00F2570B">
              <w:tc>
                <w:tcPr>
                  <w:tcW w:w="2901" w:type="dxa"/>
                </w:tcPr>
                <w:p w14:paraId="214A34A5" w14:textId="77777777" w:rsidR="00F2570B" w:rsidRPr="00DC1CF1" w:rsidRDefault="00F2570B" w:rsidP="00F2570B">
                  <w:r w:rsidRPr="00DC1CF1">
                    <w:t>Manual Muscle Test</w:t>
                  </w:r>
                </w:p>
              </w:tc>
              <w:tc>
                <w:tcPr>
                  <w:tcW w:w="10352" w:type="dxa"/>
                </w:tcPr>
                <w:p w14:paraId="214A34A6" w14:textId="77777777" w:rsidR="00F2570B" w:rsidRPr="00DC1CF1" w:rsidRDefault="00F2570B" w:rsidP="00F2570B">
                  <w:r w:rsidRPr="00DC1CF1">
                    <w:t xml:space="preserve">A standardized physical examination of strength for specific muscle groups in the arms and legs.  The examiner places their hands on a patient's arm or leg, and tries to move the arm or leg while asking the patient to resist the </w:t>
                  </w:r>
                  <w:r>
                    <w:t>examiner</w:t>
                  </w:r>
                  <w:r w:rsidRPr="00DC1CF1">
                    <w:t>.  This examination is often scored using the Medical Research Council scale (see below).</w:t>
                  </w:r>
                </w:p>
                <w:p w14:paraId="214A34A7" w14:textId="77777777" w:rsidR="00F2570B" w:rsidRPr="00DC1CF1" w:rsidRDefault="00F2570B" w:rsidP="00F2570B"/>
              </w:tc>
            </w:tr>
            <w:tr w:rsidR="00F2570B" w:rsidRPr="00DC1CF1" w14:paraId="214A34AB" w14:textId="77777777" w:rsidTr="00F2570B">
              <w:tc>
                <w:tcPr>
                  <w:tcW w:w="2901" w:type="dxa"/>
                </w:tcPr>
                <w:p w14:paraId="214A34A9" w14:textId="77777777" w:rsidR="00F2570B" w:rsidRPr="00DC1CF1" w:rsidRDefault="00F2570B" w:rsidP="00F2570B">
                  <w:r w:rsidRPr="00DC1CF1">
                    <w:t>Medical Outcomes Study Short Form-36 (SF-36) survey</w:t>
                  </w:r>
                </w:p>
              </w:tc>
              <w:tc>
                <w:tcPr>
                  <w:tcW w:w="10352" w:type="dxa"/>
                </w:tcPr>
                <w:p w14:paraId="214A34AA" w14:textId="77777777" w:rsidR="00F2570B" w:rsidRPr="00DC1CF1" w:rsidRDefault="00F2570B" w:rsidP="00F2570B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C1CF1">
                    <w:rPr>
                      <w:rFonts w:asciiTheme="minorHAnsi" w:hAnsiTheme="minorHAnsi"/>
                      <w:sz w:val="22"/>
                      <w:szCs w:val="22"/>
                    </w:rPr>
                    <w:t xml:space="preserve">A self-report questionnaire of health status or health-related quality of life. </w:t>
                  </w:r>
                </w:p>
              </w:tc>
            </w:tr>
            <w:tr w:rsidR="00F2570B" w:rsidRPr="00DC1CF1" w14:paraId="214A34AF" w14:textId="77777777" w:rsidTr="00F2570B">
              <w:tc>
                <w:tcPr>
                  <w:tcW w:w="2901" w:type="dxa"/>
                </w:tcPr>
                <w:p w14:paraId="214A34AC" w14:textId="77777777" w:rsidR="00F2570B" w:rsidRPr="00DC1CF1" w:rsidRDefault="00F2570B" w:rsidP="00F2570B">
                  <w:r w:rsidRPr="00DC1CF1">
                    <w:t>SF-36 Physical Function (PF) domain</w:t>
                  </w:r>
                </w:p>
              </w:tc>
              <w:tc>
                <w:tcPr>
                  <w:tcW w:w="10352" w:type="dxa"/>
                </w:tcPr>
                <w:p w14:paraId="214A34AD" w14:textId="77777777" w:rsidR="00F2570B" w:rsidRPr="00DC1CF1" w:rsidRDefault="00F2570B" w:rsidP="00F2570B">
                  <w:r w:rsidRPr="00DC1CF1">
                    <w:t>Physical Function domain is one of the 8 subscales of the SF-36</w:t>
                  </w:r>
                  <w:r>
                    <w:t xml:space="preserve"> survey (see above)</w:t>
                  </w:r>
                  <w:r w:rsidRPr="00DC1CF1">
                    <w:t>.  This domain comprises 10 questions related to physical function</w:t>
                  </w:r>
                  <w:r>
                    <w:t>ing and</w:t>
                  </w:r>
                  <w:r w:rsidRPr="00DC1CF1">
                    <w:t xml:space="preserve"> activities.  Scores range from 0 to 100 and can be scored using standardized values (mean of 50, standard deviation of 10).  Higher scores indicate better health status.</w:t>
                  </w:r>
                </w:p>
                <w:p w14:paraId="214A34AE" w14:textId="77777777" w:rsidR="00F2570B" w:rsidRPr="00DC1CF1" w:rsidRDefault="00F2570B" w:rsidP="00F2570B"/>
              </w:tc>
            </w:tr>
            <w:tr w:rsidR="00F2570B" w:rsidRPr="00DC1CF1" w14:paraId="214A34B3" w14:textId="77777777" w:rsidTr="00F2570B">
              <w:tc>
                <w:tcPr>
                  <w:tcW w:w="2901" w:type="dxa"/>
                </w:tcPr>
                <w:p w14:paraId="214A34B0" w14:textId="77777777" w:rsidR="00F2570B" w:rsidRPr="00DC1CF1" w:rsidRDefault="00F2570B" w:rsidP="00F2570B">
                  <w:r w:rsidRPr="00DC1CF1">
                    <w:t>Medical Research Council (MRC) scale and MRC Sum score</w:t>
                  </w:r>
                </w:p>
              </w:tc>
              <w:tc>
                <w:tcPr>
                  <w:tcW w:w="10352" w:type="dxa"/>
                </w:tcPr>
                <w:p w14:paraId="214A34B1" w14:textId="77777777" w:rsidR="00F2570B" w:rsidRPr="00DC1CF1" w:rsidRDefault="00F2570B" w:rsidP="00F2570B">
                  <w:r w:rsidRPr="00DC1CF1">
                    <w:t xml:space="preserve">The MRC scale is a 6-point ordinal scale for scoring manual muscle testing (see above).  The MRC scale provides scores for each muscle group assessed, ranging from 0 (no visible or noticeable contraction of muscle) to 5 (maximum strength). The total MRC score from 3 specific muscle groups in each arm and each leg are </w:t>
                  </w:r>
                  <w:r>
                    <w:t>summed to create the MRC S</w:t>
                  </w:r>
                  <w:r w:rsidRPr="00DC1CF1">
                    <w:t xml:space="preserve">um score (range: 0 to 60), with a score </w:t>
                  </w:r>
                  <w:r>
                    <w:t>&lt;</w:t>
                  </w:r>
                  <w:r w:rsidRPr="00DC1CF1">
                    <w:t xml:space="preserve">48 frequently referred to as </w:t>
                  </w:r>
                  <w:r>
                    <w:t>“</w:t>
                  </w:r>
                  <w:r w:rsidRPr="00DC1CF1">
                    <w:t>intensive care acquired weakness</w:t>
                  </w:r>
                  <w:r>
                    <w:t>.”</w:t>
                  </w:r>
                  <w:r w:rsidRPr="00DC1CF1">
                    <w:t xml:space="preserve"> </w:t>
                  </w:r>
                </w:p>
                <w:p w14:paraId="214A34B2" w14:textId="77777777" w:rsidR="00F2570B" w:rsidRPr="00DC1CF1" w:rsidRDefault="00F2570B" w:rsidP="00F2570B"/>
              </w:tc>
            </w:tr>
            <w:tr w:rsidR="00F2570B" w:rsidRPr="00DC1CF1" w14:paraId="214A34B7" w14:textId="77777777" w:rsidTr="00F2570B">
              <w:tc>
                <w:tcPr>
                  <w:tcW w:w="2901" w:type="dxa"/>
                </w:tcPr>
                <w:p w14:paraId="214A34B4" w14:textId="77777777" w:rsidR="00F2570B" w:rsidRPr="00DC1CF1" w:rsidRDefault="00F2570B" w:rsidP="00F2570B">
                  <w:r w:rsidRPr="00DC1CF1">
                    <w:t>Physical Function Intensive Care Test Scored (PFITs)</w:t>
                  </w:r>
                </w:p>
              </w:tc>
              <w:tc>
                <w:tcPr>
                  <w:tcW w:w="10352" w:type="dxa"/>
                </w:tcPr>
                <w:p w14:paraId="214A34B5" w14:textId="77777777" w:rsidR="00F2570B" w:rsidRPr="00DC1CF1" w:rsidRDefault="00F2570B" w:rsidP="00F2570B">
                  <w:r w:rsidRPr="00DC1CF1">
                    <w:t xml:space="preserve">A performance-based assessment in which the participant performs four tasks: 1) sit to stand level of assistance, 2) marching on the spot cadence, 3) shoulder flexion strength, and 4) knee extensor strength. Each of the 4 items is scored from 0-3, with a total maximum score of 12. This ordinal score can be converted to an interval score out of 10. </w:t>
                  </w:r>
                </w:p>
                <w:p w14:paraId="214A34B6" w14:textId="77777777" w:rsidR="00F2570B" w:rsidRPr="00DC1CF1" w:rsidRDefault="00F2570B" w:rsidP="00F2570B"/>
              </w:tc>
            </w:tr>
            <w:tr w:rsidR="00F2570B" w:rsidRPr="00DC1CF1" w14:paraId="214A34BB" w14:textId="77777777" w:rsidTr="00F2570B">
              <w:tc>
                <w:tcPr>
                  <w:tcW w:w="2901" w:type="dxa"/>
                </w:tcPr>
                <w:p w14:paraId="214A34B8" w14:textId="77777777" w:rsidR="00F2570B" w:rsidRPr="00DC1CF1" w:rsidRDefault="00F2570B" w:rsidP="00F2570B">
                  <w:r w:rsidRPr="00DC1CF1">
                    <w:t>Timed Up and Go (TUG)</w:t>
                  </w:r>
                </w:p>
              </w:tc>
              <w:tc>
                <w:tcPr>
                  <w:tcW w:w="10352" w:type="dxa"/>
                </w:tcPr>
                <w:p w14:paraId="214A34B9" w14:textId="77777777" w:rsidR="00F2570B" w:rsidRDefault="00F2570B" w:rsidP="00F2570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C1CF1">
                    <w:rPr>
                      <w:rFonts w:asciiTheme="minorHAnsi" w:hAnsiTheme="minorHAnsi"/>
                      <w:sz w:val="22"/>
                      <w:szCs w:val="22"/>
                    </w:rPr>
                    <w:t>A performance-based assessment for evaluating mobility, and both static and dynamic balance.  This assessment measures the time (in seconds) for a patient to rise from a chair, walk three meters, turn around, walk back to the chair, and sit down.  Any mobility aid normally used by the patient can be used during this test.</w:t>
                  </w:r>
                </w:p>
                <w:p w14:paraId="214A34BA" w14:textId="77777777" w:rsidR="00F2570B" w:rsidRPr="00DC1CF1" w:rsidRDefault="00F2570B" w:rsidP="00F2570B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C1CF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14A34BC" w14:textId="77777777" w:rsidR="00F2570B" w:rsidRDefault="00F2570B" w:rsidP="00F2570B">
            <w:pPr>
              <w:spacing w:line="14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14A34BE" w14:textId="77777777" w:rsidR="00F2570B" w:rsidRPr="000374FC" w:rsidRDefault="00F2570B" w:rsidP="00F2570B">
      <w:pPr>
        <w:spacing w:line="14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ab/>
      </w:r>
    </w:p>
    <w:p w14:paraId="214A34BF" w14:textId="77777777" w:rsidR="000103C7" w:rsidRDefault="000103C7">
      <w:pPr>
        <w:rPr>
          <w:rFonts w:ascii="Times New Roman" w:eastAsia="Times New Roman" w:hAnsi="Times New Roman" w:cs="Times New Roman"/>
          <w:b/>
          <w:color w:val="000000"/>
          <w:highlight w:val="yellow"/>
        </w:rPr>
      </w:pPr>
    </w:p>
    <w:p w14:paraId="214A34C0" w14:textId="77777777" w:rsidR="000103C7" w:rsidRPr="00EA53BF" w:rsidRDefault="00EA53BF">
      <w:pPr>
        <w:rPr>
          <w:rFonts w:eastAsia="Times New Roman" w:cstheme="minorHAnsi"/>
          <w:b/>
          <w:color w:val="000000"/>
        </w:rPr>
      </w:pPr>
      <w:r w:rsidRPr="00EA53BF">
        <w:rPr>
          <w:rFonts w:eastAsia="Times New Roman" w:cstheme="minorHAnsi"/>
          <w:b/>
          <w:color w:val="000000"/>
        </w:rPr>
        <w:lastRenderedPageBreak/>
        <w:t>References</w:t>
      </w:r>
    </w:p>
    <w:p w14:paraId="214A34C1" w14:textId="77777777" w:rsidR="000103C7" w:rsidRPr="000103C7" w:rsidRDefault="000103C7" w:rsidP="000103C7">
      <w:pPr>
        <w:pStyle w:val="EndNoteBibliography"/>
        <w:ind w:left="720" w:hanging="720"/>
        <w:rPr>
          <w:noProof/>
        </w:rPr>
      </w:pPr>
      <w:r>
        <w:rPr>
          <w:rFonts w:ascii="Times New Roman" w:eastAsia="Times New Roman" w:hAnsi="Times New Roman" w:cs="Times New Roman"/>
          <w:b/>
          <w:color w:val="000000"/>
          <w:highlight w:val="yellow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highlight w:val="yellow"/>
        </w:rPr>
        <w:instrText xml:space="preserve"> ADDIN EN.REFLIST </w:instrText>
      </w:r>
      <w:r>
        <w:rPr>
          <w:rFonts w:ascii="Times New Roman" w:eastAsia="Times New Roman" w:hAnsi="Times New Roman" w:cs="Times New Roman"/>
          <w:b/>
          <w:color w:val="000000"/>
          <w:highlight w:val="yellow"/>
        </w:rPr>
        <w:fldChar w:fldCharType="separate"/>
      </w:r>
      <w:r w:rsidRPr="000103C7">
        <w:rPr>
          <w:noProof/>
        </w:rPr>
        <w:t>1.</w:t>
      </w:r>
      <w:r w:rsidRPr="000103C7">
        <w:rPr>
          <w:noProof/>
        </w:rPr>
        <w:tab/>
        <w:t xml:space="preserve">Amidei C: </w:t>
      </w:r>
      <w:r w:rsidRPr="000103C7">
        <w:rPr>
          <w:b/>
          <w:noProof/>
        </w:rPr>
        <w:t>Mobilisation in critical care: a concept analysis</w:t>
      </w:r>
      <w:r w:rsidRPr="000103C7">
        <w:rPr>
          <w:noProof/>
        </w:rPr>
        <w:t xml:space="preserve">. </w:t>
      </w:r>
      <w:r w:rsidRPr="000103C7">
        <w:rPr>
          <w:i/>
          <w:noProof/>
        </w:rPr>
        <w:t xml:space="preserve">Intensive Crit Care Nurs </w:t>
      </w:r>
      <w:r w:rsidRPr="000103C7">
        <w:rPr>
          <w:noProof/>
        </w:rPr>
        <w:t xml:space="preserve">2012, </w:t>
      </w:r>
      <w:r w:rsidRPr="000103C7">
        <w:rPr>
          <w:b/>
          <w:noProof/>
        </w:rPr>
        <w:t>28</w:t>
      </w:r>
      <w:r w:rsidRPr="000103C7">
        <w:rPr>
          <w:noProof/>
        </w:rPr>
        <w:t>(2):73-81.</w:t>
      </w:r>
    </w:p>
    <w:p w14:paraId="214A34C2" w14:textId="77777777" w:rsidR="000103C7" w:rsidRPr="000103C7" w:rsidRDefault="000103C7" w:rsidP="000103C7">
      <w:pPr>
        <w:pStyle w:val="EndNoteBibliography"/>
        <w:ind w:left="720" w:hanging="720"/>
        <w:rPr>
          <w:noProof/>
        </w:rPr>
      </w:pPr>
      <w:r w:rsidRPr="000103C7">
        <w:rPr>
          <w:noProof/>
        </w:rPr>
        <w:t>2.</w:t>
      </w:r>
      <w:r w:rsidRPr="000103C7">
        <w:rPr>
          <w:noProof/>
        </w:rPr>
        <w:tab/>
        <w:t xml:space="preserve">World Health O: </w:t>
      </w:r>
      <w:r w:rsidRPr="000103C7">
        <w:rPr>
          <w:b/>
          <w:noProof/>
        </w:rPr>
        <w:t>Rehabilitation: key for health in the 21st century</w:t>
      </w:r>
      <w:r w:rsidRPr="000103C7">
        <w:rPr>
          <w:noProof/>
        </w:rPr>
        <w:t>. In</w:t>
      </w:r>
      <w:r w:rsidRPr="000103C7">
        <w:rPr>
          <w:i/>
          <w:noProof/>
        </w:rPr>
        <w:t>.</w:t>
      </w:r>
      <w:r w:rsidRPr="000103C7">
        <w:rPr>
          <w:noProof/>
        </w:rPr>
        <w:t>: World Health Organization; 2017: 6.</w:t>
      </w:r>
    </w:p>
    <w:p w14:paraId="214A34C3" w14:textId="77777777" w:rsidR="00767B0C" w:rsidRDefault="000103C7">
      <w:pPr>
        <w:rPr>
          <w:rFonts w:ascii="Times New Roman" w:eastAsia="Times New Roman" w:hAnsi="Times New Roman" w:cs="Times New Roman"/>
          <w:b/>
          <w:color w:val="000000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highlight w:val="yellow"/>
        </w:rPr>
        <w:fldChar w:fldCharType="end"/>
      </w:r>
    </w:p>
    <w:sectPr w:rsidR="00767B0C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1658&lt;/item&gt;&lt;item&gt;1667&lt;/item&gt;&lt;/record-ids&gt;&lt;/item&gt;&lt;/Libraries&gt;"/>
  </w:docVars>
  <w:rsids>
    <w:rsidRoot w:val="00206842"/>
    <w:rsid w:val="000103C7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06109"/>
    <w:rsid w:val="00120307"/>
    <w:rsid w:val="0015199B"/>
    <w:rsid w:val="0016278C"/>
    <w:rsid w:val="0017102D"/>
    <w:rsid w:val="00180F3F"/>
    <w:rsid w:val="001E676C"/>
    <w:rsid w:val="0020495C"/>
    <w:rsid w:val="00206092"/>
    <w:rsid w:val="00206842"/>
    <w:rsid w:val="0025391E"/>
    <w:rsid w:val="0025734A"/>
    <w:rsid w:val="00272D4B"/>
    <w:rsid w:val="002937BF"/>
    <w:rsid w:val="002A605E"/>
    <w:rsid w:val="002B6F56"/>
    <w:rsid w:val="002E1184"/>
    <w:rsid w:val="00337F45"/>
    <w:rsid w:val="00345DDE"/>
    <w:rsid w:val="003801D7"/>
    <w:rsid w:val="00397F9B"/>
    <w:rsid w:val="003B3AF7"/>
    <w:rsid w:val="003E74AC"/>
    <w:rsid w:val="00400A03"/>
    <w:rsid w:val="00414F16"/>
    <w:rsid w:val="0043017F"/>
    <w:rsid w:val="004716D5"/>
    <w:rsid w:val="004B575E"/>
    <w:rsid w:val="004B7981"/>
    <w:rsid w:val="004D7A60"/>
    <w:rsid w:val="004E0F52"/>
    <w:rsid w:val="00504D2A"/>
    <w:rsid w:val="00525205"/>
    <w:rsid w:val="00530887"/>
    <w:rsid w:val="00532308"/>
    <w:rsid w:val="00542DBC"/>
    <w:rsid w:val="005B2D98"/>
    <w:rsid w:val="005C778A"/>
    <w:rsid w:val="005D06F0"/>
    <w:rsid w:val="00610867"/>
    <w:rsid w:val="0066095A"/>
    <w:rsid w:val="0066231F"/>
    <w:rsid w:val="006C41B8"/>
    <w:rsid w:val="006F155E"/>
    <w:rsid w:val="006F75FD"/>
    <w:rsid w:val="007015DD"/>
    <w:rsid w:val="007131D2"/>
    <w:rsid w:val="0072011C"/>
    <w:rsid w:val="00730CB2"/>
    <w:rsid w:val="00767B0C"/>
    <w:rsid w:val="00783DE7"/>
    <w:rsid w:val="00787CEE"/>
    <w:rsid w:val="00797F7B"/>
    <w:rsid w:val="007C405F"/>
    <w:rsid w:val="007E39FD"/>
    <w:rsid w:val="00805FAD"/>
    <w:rsid w:val="0083105A"/>
    <w:rsid w:val="00844096"/>
    <w:rsid w:val="0085598A"/>
    <w:rsid w:val="00874F39"/>
    <w:rsid w:val="008A05CC"/>
    <w:rsid w:val="00902336"/>
    <w:rsid w:val="00917B8A"/>
    <w:rsid w:val="0092104D"/>
    <w:rsid w:val="009C32E2"/>
    <w:rsid w:val="009C6800"/>
    <w:rsid w:val="009E2CFB"/>
    <w:rsid w:val="009F032A"/>
    <w:rsid w:val="00A261D8"/>
    <w:rsid w:val="00A31115"/>
    <w:rsid w:val="00A356AF"/>
    <w:rsid w:val="00A37B8F"/>
    <w:rsid w:val="00A83F38"/>
    <w:rsid w:val="00AA7DFA"/>
    <w:rsid w:val="00AD33E0"/>
    <w:rsid w:val="00B07ED5"/>
    <w:rsid w:val="00B6102A"/>
    <w:rsid w:val="00B7045B"/>
    <w:rsid w:val="00BB2891"/>
    <w:rsid w:val="00BB4F7F"/>
    <w:rsid w:val="00BC1FD5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D03F90"/>
    <w:rsid w:val="00D300D1"/>
    <w:rsid w:val="00D7055A"/>
    <w:rsid w:val="00D73235"/>
    <w:rsid w:val="00D839D3"/>
    <w:rsid w:val="00DE7A0F"/>
    <w:rsid w:val="00E320A4"/>
    <w:rsid w:val="00E705C8"/>
    <w:rsid w:val="00E75477"/>
    <w:rsid w:val="00E91401"/>
    <w:rsid w:val="00E920F6"/>
    <w:rsid w:val="00EA53BF"/>
    <w:rsid w:val="00EF7D73"/>
    <w:rsid w:val="00F1257D"/>
    <w:rsid w:val="00F2570B"/>
    <w:rsid w:val="00F36B28"/>
    <w:rsid w:val="00F42EB6"/>
    <w:rsid w:val="00F44908"/>
    <w:rsid w:val="00F452EF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3445"/>
  <w15:docId w15:val="{F0B484F6-1CCB-4BCB-B765-29DD3363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542DBC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0103C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03C7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ho.int/disabilities/care/KeyForHealth21stCentury.pdf?ua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4FD1-462E-47D9-8486-0FB33229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7347</Characters>
  <Application>Microsoft Office Word</Application>
  <DocSecurity>0</DocSecurity>
  <Lines>222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5</cp:revision>
  <dcterms:created xsi:type="dcterms:W3CDTF">2017-10-11T17:25:00Z</dcterms:created>
  <dcterms:modified xsi:type="dcterms:W3CDTF">2018-06-07T13:49:00Z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259802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