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80D9" w14:textId="063B2E3B" w:rsidR="003A3F66" w:rsidRPr="00FB4FF3" w:rsidRDefault="003A3F66" w:rsidP="00FB4FF3">
      <w:pPr>
        <w:rPr>
          <w:rFonts w:ascii="Arial" w:hAnsi="Arial" w:cs="Arial"/>
        </w:rPr>
      </w:pPr>
      <w:r>
        <w:rPr>
          <w:rFonts w:ascii="Arial" w:eastAsia="Times New Roman" w:hAnsi="Arial" w:cs="Arial"/>
          <w:color w:val="333333"/>
        </w:rPr>
        <w:t>Online Supplemental Content</w:t>
      </w:r>
    </w:p>
    <w:p w14:paraId="1444AF65" w14:textId="77777777" w:rsidR="003A3F66" w:rsidRDefault="003A3F66" w:rsidP="00F901D9">
      <w:pPr>
        <w:autoSpaceDE w:val="0"/>
        <w:autoSpaceDN w:val="0"/>
        <w:adjustRightInd w:val="0"/>
        <w:spacing w:after="0" w:line="240" w:lineRule="auto"/>
        <w:rPr>
          <w:rFonts w:ascii="Arial" w:hAnsi="Arial" w:cs="Arial"/>
        </w:rPr>
      </w:pPr>
    </w:p>
    <w:p w14:paraId="39E47A67" w14:textId="1A3569C7" w:rsidR="00C4643F" w:rsidRDefault="001B315C" w:rsidP="00306A7F">
      <w:pPr>
        <w:spacing w:after="0" w:line="480" w:lineRule="auto"/>
        <w:rPr>
          <w:rFonts w:ascii="Arial" w:hAnsi="Arial" w:cs="Arial"/>
        </w:rPr>
      </w:pPr>
      <w:r>
        <w:rPr>
          <w:rFonts w:ascii="Arial" w:eastAsia="Times New Roman" w:hAnsi="Arial" w:cs="Arial"/>
          <w:color w:val="333333"/>
        </w:rPr>
        <w:t xml:space="preserve">Supplemental </w:t>
      </w:r>
      <w:r w:rsidR="00306A7F">
        <w:rPr>
          <w:rFonts w:ascii="Arial" w:eastAsia="Times New Roman" w:hAnsi="Arial" w:cs="Arial"/>
          <w:color w:val="333333"/>
        </w:rPr>
        <w:t xml:space="preserve">Table </w:t>
      </w:r>
      <w:r>
        <w:rPr>
          <w:rFonts w:ascii="Arial" w:eastAsia="Times New Roman" w:hAnsi="Arial" w:cs="Arial"/>
          <w:color w:val="333333"/>
        </w:rPr>
        <w:t>1</w:t>
      </w:r>
      <w:r w:rsidR="00306A7F" w:rsidRPr="004C6586">
        <w:rPr>
          <w:rFonts w:ascii="Arial" w:eastAsia="Times New Roman" w:hAnsi="Arial" w:cs="Arial"/>
          <w:color w:val="333333"/>
        </w:rPr>
        <w:t xml:space="preserve">. </w:t>
      </w:r>
      <w:r w:rsidR="006B1FAC">
        <w:rPr>
          <w:rFonts w:ascii="Arial" w:eastAsia="Times New Roman" w:hAnsi="Arial" w:cs="Arial"/>
          <w:color w:val="333333"/>
        </w:rPr>
        <w:t>Key Items from National Summit Breakout Group on “</w:t>
      </w:r>
      <w:r w:rsidR="00306A7F" w:rsidRPr="004C6586">
        <w:rPr>
          <w:rFonts w:ascii="Arial" w:hAnsi="Arial" w:cs="Arial"/>
        </w:rPr>
        <w:t>Factors Influencing Burnout in ICU Professionals</w:t>
      </w:r>
      <w:r w:rsidR="006B1FAC">
        <w:rPr>
          <w:rFonts w:ascii="Arial" w:hAnsi="Arial" w:cs="Arial"/>
        </w:rPr>
        <w:t>”</w:t>
      </w:r>
    </w:p>
    <w:p w14:paraId="092BAC17" w14:textId="2E953E02" w:rsidR="00C4643F" w:rsidRPr="00C4643F" w:rsidRDefault="00926F34" w:rsidP="00306A7F">
      <w:pPr>
        <w:spacing w:after="0" w:line="480" w:lineRule="auto"/>
        <w:rPr>
          <w:rFonts w:ascii="Arial" w:hAnsi="Arial" w:cs="Arial"/>
          <w:b/>
        </w:rPr>
      </w:pPr>
      <w:r>
        <w:rPr>
          <w:rFonts w:ascii="Arial" w:hAnsi="Arial" w:cs="Arial"/>
          <w:b/>
        </w:rPr>
        <w:t>Influential Factors</w:t>
      </w:r>
    </w:p>
    <w:p w14:paraId="4687B6AC" w14:textId="77777777" w:rsidR="00306A7F" w:rsidRPr="00E1798A" w:rsidRDefault="00306A7F" w:rsidP="00306A7F">
      <w:pPr>
        <w:pStyle w:val="ListParagraph"/>
        <w:shd w:val="clear" w:color="auto" w:fill="FFFFFF"/>
        <w:spacing w:after="0" w:line="240" w:lineRule="auto"/>
        <w:rPr>
          <w:rFonts w:ascii="Arial" w:eastAsia="Times New Roman" w:hAnsi="Arial" w:cs="Arial"/>
          <w:color w:val="333333"/>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306A7F" w:rsidRPr="0040522E" w14:paraId="11B5F1D8" w14:textId="77777777" w:rsidTr="009917F8">
        <w:tc>
          <w:tcPr>
            <w:tcW w:w="9350" w:type="dxa"/>
          </w:tcPr>
          <w:p w14:paraId="5F77CB0F" w14:textId="77777777" w:rsidR="00306A7F" w:rsidRPr="0040522E" w:rsidRDefault="00306A7F" w:rsidP="009917F8">
            <w:pPr>
              <w:contextualSpacing/>
              <w:rPr>
                <w:rFonts w:ascii="Arial" w:hAnsi="Arial" w:cs="Arial"/>
              </w:rPr>
            </w:pPr>
            <w:r w:rsidRPr="0040522E">
              <w:rPr>
                <w:rFonts w:ascii="Arial" w:hAnsi="Arial" w:cs="Arial"/>
              </w:rPr>
              <w:t>Stress is inevitable in the ICU environment. Clinicians must build awareness of how they are reacting to it.</w:t>
            </w:r>
          </w:p>
        </w:tc>
      </w:tr>
      <w:tr w:rsidR="00306A7F" w:rsidRPr="0040522E" w14:paraId="334B0DB1" w14:textId="77777777" w:rsidTr="009917F8">
        <w:tc>
          <w:tcPr>
            <w:tcW w:w="9350" w:type="dxa"/>
          </w:tcPr>
          <w:p w14:paraId="0C0B9475" w14:textId="77777777" w:rsidR="00306A7F" w:rsidRPr="0040522E" w:rsidRDefault="00306A7F" w:rsidP="009917F8">
            <w:pPr>
              <w:contextualSpacing/>
              <w:rPr>
                <w:rFonts w:ascii="Arial" w:hAnsi="Arial" w:cs="Arial"/>
              </w:rPr>
            </w:pPr>
            <w:r w:rsidRPr="0040522E">
              <w:rPr>
                <w:rFonts w:ascii="Arial" w:hAnsi="Arial" w:cs="Arial"/>
              </w:rPr>
              <w:t>Burnout is a continuum. With reframing and interventions, it can be managed.</w:t>
            </w:r>
          </w:p>
        </w:tc>
      </w:tr>
      <w:tr w:rsidR="00306A7F" w:rsidRPr="0040522E" w14:paraId="324E89F1" w14:textId="77777777" w:rsidTr="009917F8">
        <w:tc>
          <w:tcPr>
            <w:tcW w:w="9350" w:type="dxa"/>
          </w:tcPr>
          <w:p w14:paraId="61591A30" w14:textId="77777777" w:rsidR="00306A7F" w:rsidRPr="0040522E" w:rsidRDefault="00306A7F" w:rsidP="009917F8">
            <w:pPr>
              <w:contextualSpacing/>
              <w:rPr>
                <w:rFonts w:ascii="Arial" w:hAnsi="Arial" w:cs="Arial"/>
              </w:rPr>
            </w:pPr>
            <w:r w:rsidRPr="0040522E">
              <w:rPr>
                <w:rFonts w:ascii="Arial" w:hAnsi="Arial" w:cs="Arial"/>
              </w:rPr>
              <w:t>Burnout is not a diagnostic code but rather a syndrome.</w:t>
            </w:r>
          </w:p>
        </w:tc>
      </w:tr>
      <w:tr w:rsidR="00306A7F" w:rsidRPr="0040522E" w14:paraId="6F673C24" w14:textId="77777777" w:rsidTr="009917F8">
        <w:tc>
          <w:tcPr>
            <w:tcW w:w="9350" w:type="dxa"/>
          </w:tcPr>
          <w:p w14:paraId="0A0EA89D" w14:textId="77777777" w:rsidR="00306A7F" w:rsidRPr="0040522E" w:rsidRDefault="00306A7F" w:rsidP="009917F8">
            <w:pPr>
              <w:pStyle w:val="Default"/>
              <w:contextualSpacing/>
              <w:rPr>
                <w:rFonts w:ascii="Arial" w:hAnsi="Arial" w:cs="Arial"/>
                <w:sz w:val="22"/>
                <w:szCs w:val="22"/>
              </w:rPr>
            </w:pPr>
            <w:r w:rsidRPr="0040522E">
              <w:rPr>
                <w:rFonts w:ascii="Arial" w:hAnsi="Arial" w:cs="Arial"/>
                <w:sz w:val="22"/>
                <w:szCs w:val="22"/>
              </w:rPr>
              <w:t>Posttraumatic stress disorder (PTSD) and major depressive disorder (MDD) are different from burnout, but burnout puts clinicians at risk for PTSD and MDD.</w:t>
            </w:r>
          </w:p>
        </w:tc>
      </w:tr>
      <w:tr w:rsidR="00306A7F" w:rsidRPr="0040522E" w14:paraId="1B5E541A" w14:textId="77777777" w:rsidTr="009917F8">
        <w:tc>
          <w:tcPr>
            <w:tcW w:w="9350" w:type="dxa"/>
          </w:tcPr>
          <w:p w14:paraId="667B1841" w14:textId="77777777" w:rsidR="00306A7F" w:rsidRPr="0040522E" w:rsidRDefault="00306A7F" w:rsidP="009917F8">
            <w:pPr>
              <w:contextualSpacing/>
              <w:rPr>
                <w:rFonts w:ascii="Arial" w:hAnsi="Arial" w:cs="Arial"/>
              </w:rPr>
            </w:pPr>
            <w:r w:rsidRPr="0040522E">
              <w:rPr>
                <w:rFonts w:ascii="Arial" w:hAnsi="Arial" w:cs="Arial"/>
              </w:rPr>
              <w:t>Resiliency and burnout are not necessarily dichotomous. Resiliency can exist within burnout.</w:t>
            </w:r>
          </w:p>
        </w:tc>
      </w:tr>
      <w:tr w:rsidR="00306A7F" w:rsidRPr="0040522E" w14:paraId="3423382D" w14:textId="77777777" w:rsidTr="009917F8">
        <w:tc>
          <w:tcPr>
            <w:tcW w:w="9350" w:type="dxa"/>
          </w:tcPr>
          <w:p w14:paraId="0CCD1ECC" w14:textId="77777777" w:rsidR="00306A7F" w:rsidRPr="0040522E" w:rsidRDefault="00306A7F" w:rsidP="009917F8">
            <w:pPr>
              <w:contextualSpacing/>
              <w:rPr>
                <w:rFonts w:ascii="Arial" w:hAnsi="Arial" w:cs="Arial"/>
              </w:rPr>
            </w:pPr>
            <w:r w:rsidRPr="0040522E">
              <w:rPr>
                <w:rFonts w:ascii="Arial" w:hAnsi="Arial" w:cs="Arial"/>
              </w:rPr>
              <w:t>Factors influencing the development of burnout include moral distress, the life-threatening nature of critical illness, and the management of pain, suffering, and dying.</w:t>
            </w:r>
            <w:bookmarkStart w:id="0" w:name="_GoBack"/>
            <w:bookmarkEnd w:id="0"/>
          </w:p>
        </w:tc>
      </w:tr>
    </w:tbl>
    <w:p w14:paraId="462ED570" w14:textId="77777777" w:rsidR="00306A7F" w:rsidRPr="004C6586" w:rsidRDefault="00306A7F" w:rsidP="00306A7F">
      <w:pPr>
        <w:autoSpaceDE w:val="0"/>
        <w:autoSpaceDN w:val="0"/>
        <w:adjustRightInd w:val="0"/>
        <w:spacing w:after="0" w:line="240" w:lineRule="auto"/>
        <w:ind w:left="360"/>
        <w:rPr>
          <w:rFonts w:ascii="Arial" w:hAnsi="Arial" w:cs="Arial"/>
        </w:rPr>
      </w:pPr>
      <w:r w:rsidRPr="004C6586">
        <w:rPr>
          <w:rFonts w:ascii="Arial" w:hAnsi="Arial" w:cs="Arial"/>
        </w:rPr>
        <w:t xml:space="preserve"> </w:t>
      </w:r>
    </w:p>
    <w:p w14:paraId="2277EEFF" w14:textId="77777777" w:rsidR="00306A7F" w:rsidRDefault="00306A7F" w:rsidP="00F901D9">
      <w:pPr>
        <w:autoSpaceDE w:val="0"/>
        <w:autoSpaceDN w:val="0"/>
        <w:adjustRightInd w:val="0"/>
        <w:spacing w:after="0" w:line="240" w:lineRule="auto"/>
        <w:rPr>
          <w:rFonts w:ascii="Arial" w:hAnsi="Arial" w:cs="Arial"/>
        </w:rPr>
      </w:pPr>
    </w:p>
    <w:p w14:paraId="54AC1361" w14:textId="481DD139" w:rsidR="00D934B4" w:rsidRPr="008F4418" w:rsidRDefault="00D934B4" w:rsidP="00F901D9">
      <w:pPr>
        <w:autoSpaceDE w:val="0"/>
        <w:autoSpaceDN w:val="0"/>
        <w:adjustRightInd w:val="0"/>
        <w:spacing w:after="0" w:line="240" w:lineRule="auto"/>
        <w:rPr>
          <w:rFonts w:ascii="Arial" w:hAnsi="Arial" w:cs="Arial"/>
        </w:rPr>
      </w:pPr>
    </w:p>
    <w:p w14:paraId="1E5B93D7" w14:textId="77777777" w:rsidR="00306A7F" w:rsidRDefault="00306A7F" w:rsidP="00306A7F">
      <w:pPr>
        <w:spacing w:line="240" w:lineRule="auto"/>
        <w:rPr>
          <w:rFonts w:ascii="Arial" w:hAnsi="Arial" w:cs="Arial"/>
        </w:rPr>
      </w:pPr>
      <w:r>
        <w:rPr>
          <w:rFonts w:ascii="Arial" w:hAnsi="Arial" w:cs="Arial"/>
        </w:rPr>
        <w:br/>
      </w:r>
      <w:r>
        <w:rPr>
          <w:rFonts w:ascii="Arial" w:hAnsi="Arial" w:cs="Arial"/>
        </w:rPr>
        <w:br/>
      </w:r>
      <w:r>
        <w:rPr>
          <w:rFonts w:ascii="Arial" w:hAnsi="Arial" w:cs="Arial"/>
        </w:rPr>
        <w:br/>
      </w:r>
    </w:p>
    <w:p w14:paraId="48951852" w14:textId="77777777" w:rsidR="00306A7F" w:rsidRDefault="00306A7F">
      <w:pPr>
        <w:rPr>
          <w:rFonts w:ascii="Arial" w:hAnsi="Arial" w:cs="Arial"/>
        </w:rPr>
      </w:pPr>
      <w:r>
        <w:rPr>
          <w:rFonts w:ascii="Arial" w:hAnsi="Arial" w:cs="Arial"/>
        </w:rPr>
        <w:br w:type="page"/>
      </w:r>
    </w:p>
    <w:p w14:paraId="4A6BE325" w14:textId="422E32EE" w:rsidR="00306A7F" w:rsidRDefault="001B315C" w:rsidP="00306A7F">
      <w:pPr>
        <w:spacing w:line="240" w:lineRule="auto"/>
        <w:rPr>
          <w:rFonts w:ascii="Arial" w:hAnsi="Arial" w:cs="Arial"/>
          <w:i/>
        </w:rPr>
      </w:pPr>
      <w:r>
        <w:rPr>
          <w:rFonts w:ascii="Arial" w:eastAsia="Times New Roman" w:hAnsi="Arial" w:cs="Arial"/>
          <w:color w:val="333333"/>
        </w:rPr>
        <w:lastRenderedPageBreak/>
        <w:t>Supplemental Table</w:t>
      </w:r>
      <w:r>
        <w:rPr>
          <w:rFonts w:ascii="Arial" w:eastAsia="Times New Roman" w:hAnsi="Arial" w:cs="Arial"/>
          <w:color w:val="333333"/>
        </w:rPr>
        <w:t xml:space="preserve"> 2</w:t>
      </w:r>
      <w:r w:rsidR="00306A7F">
        <w:rPr>
          <w:rFonts w:ascii="Arial" w:hAnsi="Arial" w:cs="Arial"/>
        </w:rPr>
        <w:t xml:space="preserve">. </w:t>
      </w:r>
      <w:r w:rsidR="006B1FAC">
        <w:rPr>
          <w:rFonts w:ascii="Arial" w:eastAsia="Times New Roman" w:hAnsi="Arial" w:cs="Arial"/>
          <w:color w:val="333333"/>
        </w:rPr>
        <w:t>Key Items from National Summit Breakout Group on “</w:t>
      </w:r>
      <w:r w:rsidR="00306A7F" w:rsidRPr="00F638D3">
        <w:rPr>
          <w:rFonts w:ascii="Arial" w:hAnsi="Arial" w:cs="Arial"/>
          <w:i/>
        </w:rPr>
        <w:t>Identifying burnout in ICU professionals</w:t>
      </w:r>
      <w:r w:rsidR="006B1FAC">
        <w:rPr>
          <w:rFonts w:ascii="Arial" w:hAnsi="Arial" w:cs="Arial"/>
          <w:i/>
        </w:rPr>
        <w:t>”</w:t>
      </w:r>
      <w:r w:rsidR="00306A7F" w:rsidRPr="00F638D3">
        <w:rPr>
          <w:rFonts w:ascii="Arial" w:hAnsi="Arial" w:cs="Arial"/>
          <w:i/>
        </w:rPr>
        <w:t xml:space="preserve"> </w:t>
      </w:r>
    </w:p>
    <w:p w14:paraId="16C8ECA7" w14:textId="053DB9E3" w:rsidR="00F953D7" w:rsidRPr="00F953D7" w:rsidRDefault="00926F34" w:rsidP="00306A7F">
      <w:pPr>
        <w:spacing w:line="240" w:lineRule="auto"/>
        <w:rPr>
          <w:rFonts w:ascii="Arial" w:eastAsia="Times New Roman" w:hAnsi="Arial" w:cs="Arial"/>
          <w:b/>
          <w:color w:val="333333"/>
        </w:rPr>
      </w:pPr>
      <w:r>
        <w:rPr>
          <w:rFonts w:ascii="Arial" w:eastAsia="Times New Roman" w:hAnsi="Arial" w:cs="Arial"/>
          <w:b/>
          <w:color w:val="333333"/>
        </w:rPr>
        <w:t>Identification of Burnout Considerations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306A7F" w:rsidRPr="0040522E" w14:paraId="0AEF9EA5" w14:textId="77777777" w:rsidTr="009917F8">
        <w:tc>
          <w:tcPr>
            <w:tcW w:w="9350" w:type="dxa"/>
          </w:tcPr>
          <w:p w14:paraId="4877DBE4" w14:textId="492A640A" w:rsidR="00306A7F" w:rsidRDefault="00306A7F" w:rsidP="00306A7F">
            <w:pPr>
              <w:pStyle w:val="Default"/>
              <w:rPr>
                <w:rFonts w:ascii="Arial" w:hAnsi="Arial" w:cs="Arial"/>
                <w:sz w:val="22"/>
                <w:szCs w:val="22"/>
              </w:rPr>
            </w:pPr>
            <w:r w:rsidRPr="00F638D3">
              <w:rPr>
                <w:rFonts w:ascii="Arial" w:hAnsi="Arial" w:cs="Arial"/>
                <w:sz w:val="22"/>
                <w:szCs w:val="22"/>
              </w:rPr>
              <w:t>Teaching clinicians to look for warning signs to prevent burnout is key. There is a need to empower providers to recognize burnout across the continuum starting with trainees</w:t>
            </w:r>
          </w:p>
          <w:p w14:paraId="5BE21294" w14:textId="36AFFE7E" w:rsidR="00306A7F" w:rsidRPr="0040522E" w:rsidRDefault="00306A7F" w:rsidP="009917F8">
            <w:pPr>
              <w:contextualSpacing/>
              <w:rPr>
                <w:rFonts w:ascii="Arial" w:hAnsi="Arial" w:cs="Arial"/>
              </w:rPr>
            </w:pPr>
          </w:p>
        </w:tc>
      </w:tr>
      <w:tr w:rsidR="00306A7F" w:rsidRPr="0040522E" w14:paraId="67EE478C" w14:textId="77777777" w:rsidTr="009917F8">
        <w:tc>
          <w:tcPr>
            <w:tcW w:w="9350" w:type="dxa"/>
          </w:tcPr>
          <w:p w14:paraId="3E017444" w14:textId="0D3F1C39" w:rsidR="00306A7F" w:rsidRPr="00F638D3" w:rsidRDefault="00306A7F" w:rsidP="00306A7F">
            <w:pPr>
              <w:rPr>
                <w:rFonts w:ascii="Arial" w:eastAsia="Times New Roman" w:hAnsi="Arial" w:cs="Arial"/>
                <w:color w:val="333333"/>
              </w:rPr>
            </w:pPr>
            <w:r w:rsidRPr="00F638D3">
              <w:rPr>
                <w:rFonts w:ascii="Arial" w:eastAsia="Times New Roman" w:hAnsi="Arial" w:cs="Arial"/>
                <w:color w:val="333333"/>
              </w:rPr>
              <w:t>Raising the level of awareness of clinicians, administrators, and critical care trainees can help to promote recognition</w:t>
            </w:r>
          </w:p>
          <w:p w14:paraId="25A5E27B" w14:textId="0D2FE98E" w:rsidR="00306A7F" w:rsidRPr="0040522E" w:rsidRDefault="00306A7F" w:rsidP="009917F8">
            <w:pPr>
              <w:contextualSpacing/>
              <w:rPr>
                <w:rFonts w:ascii="Arial" w:hAnsi="Arial" w:cs="Arial"/>
              </w:rPr>
            </w:pPr>
          </w:p>
        </w:tc>
      </w:tr>
      <w:tr w:rsidR="00306A7F" w:rsidRPr="0040522E" w14:paraId="7BB1ED71" w14:textId="77777777" w:rsidTr="009917F8">
        <w:tc>
          <w:tcPr>
            <w:tcW w:w="9350" w:type="dxa"/>
          </w:tcPr>
          <w:p w14:paraId="3B3BAEE9" w14:textId="7C4F5A5F" w:rsidR="00306A7F" w:rsidRPr="0040522E" w:rsidRDefault="00306A7F" w:rsidP="009917F8">
            <w:pPr>
              <w:contextualSpacing/>
              <w:rPr>
                <w:rFonts w:ascii="Arial" w:hAnsi="Arial" w:cs="Arial"/>
              </w:rPr>
            </w:pPr>
            <w:r w:rsidRPr="00F638D3">
              <w:rPr>
                <w:rFonts w:ascii="Arial" w:hAnsi="Arial" w:cs="Arial"/>
              </w:rPr>
              <w:t>The cost of turnover is significant and should be used to bring increasing awareness of the importance of addressing burnout as a priority in critical care</w:t>
            </w:r>
          </w:p>
        </w:tc>
      </w:tr>
      <w:tr w:rsidR="00306A7F" w:rsidRPr="0040522E" w14:paraId="3527CB42" w14:textId="77777777" w:rsidTr="009917F8">
        <w:tc>
          <w:tcPr>
            <w:tcW w:w="9350" w:type="dxa"/>
          </w:tcPr>
          <w:p w14:paraId="20EE1C25" w14:textId="77777777" w:rsidR="00306A7F" w:rsidRPr="00F638D3" w:rsidRDefault="00306A7F" w:rsidP="00306A7F">
            <w:pPr>
              <w:pStyle w:val="Default"/>
              <w:rPr>
                <w:rFonts w:ascii="Arial" w:hAnsi="Arial" w:cs="Arial"/>
                <w:sz w:val="22"/>
                <w:szCs w:val="22"/>
              </w:rPr>
            </w:pPr>
            <w:r>
              <w:rPr>
                <w:rFonts w:ascii="Arial" w:hAnsi="Arial" w:cs="Arial"/>
                <w:sz w:val="22"/>
                <w:szCs w:val="22"/>
              </w:rPr>
              <w:t xml:space="preserve"> </w:t>
            </w:r>
            <w:r w:rsidRPr="00F638D3">
              <w:rPr>
                <w:rFonts w:ascii="Arial" w:hAnsi="Arial" w:cs="Arial"/>
                <w:sz w:val="22"/>
                <w:szCs w:val="22"/>
              </w:rPr>
              <w:t>An overriding goal should be to provide a message of hope to clinicians as burnout is modifiable.  The conversation needs to be changed to focus on wellness rather than on burnout</w:t>
            </w:r>
          </w:p>
          <w:p w14:paraId="73EF0F38" w14:textId="0A566790" w:rsidR="00306A7F" w:rsidRPr="0040522E" w:rsidRDefault="00306A7F" w:rsidP="009917F8">
            <w:pPr>
              <w:pStyle w:val="Default"/>
              <w:contextualSpacing/>
              <w:rPr>
                <w:rFonts w:ascii="Arial" w:hAnsi="Arial" w:cs="Arial"/>
                <w:sz w:val="22"/>
                <w:szCs w:val="22"/>
              </w:rPr>
            </w:pPr>
          </w:p>
        </w:tc>
      </w:tr>
    </w:tbl>
    <w:p w14:paraId="1552A91B" w14:textId="77777777" w:rsidR="00306A7F" w:rsidRPr="00F638D3" w:rsidRDefault="00306A7F" w:rsidP="00306A7F">
      <w:pPr>
        <w:spacing w:line="240" w:lineRule="auto"/>
        <w:rPr>
          <w:rFonts w:ascii="Arial" w:hAnsi="Arial" w:cs="Arial"/>
        </w:rPr>
      </w:pPr>
    </w:p>
    <w:p w14:paraId="222FB29F" w14:textId="77777777" w:rsidR="00306A7F" w:rsidRDefault="00306A7F">
      <w:pPr>
        <w:rPr>
          <w:rFonts w:ascii="Arial" w:hAnsi="Arial" w:cs="Arial"/>
        </w:rPr>
      </w:pPr>
      <w:r>
        <w:rPr>
          <w:rFonts w:ascii="Arial" w:hAnsi="Arial" w:cs="Arial"/>
        </w:rPr>
        <w:br w:type="page"/>
      </w:r>
    </w:p>
    <w:p w14:paraId="1F2E2FD3" w14:textId="002D11C3" w:rsidR="00306A7F" w:rsidRDefault="001B315C" w:rsidP="00306A7F">
      <w:pPr>
        <w:spacing w:line="240" w:lineRule="auto"/>
        <w:rPr>
          <w:rFonts w:ascii="Arial" w:hAnsi="Arial" w:cs="Arial"/>
          <w:i/>
        </w:rPr>
      </w:pPr>
      <w:r>
        <w:rPr>
          <w:rFonts w:ascii="Arial" w:eastAsia="Times New Roman" w:hAnsi="Arial" w:cs="Arial"/>
          <w:color w:val="333333"/>
        </w:rPr>
        <w:lastRenderedPageBreak/>
        <w:t>Supplemental Table</w:t>
      </w:r>
      <w:r>
        <w:rPr>
          <w:rFonts w:ascii="Arial" w:eastAsia="Times New Roman" w:hAnsi="Arial" w:cs="Arial"/>
          <w:color w:val="333333"/>
        </w:rPr>
        <w:t xml:space="preserve"> 3</w:t>
      </w:r>
      <w:r w:rsidR="00306A7F">
        <w:rPr>
          <w:rFonts w:ascii="Arial" w:hAnsi="Arial" w:cs="Arial"/>
          <w:i/>
        </w:rPr>
        <w:t xml:space="preserve">. </w:t>
      </w:r>
      <w:r w:rsidR="006B1FAC">
        <w:rPr>
          <w:rFonts w:ascii="Arial" w:eastAsia="Times New Roman" w:hAnsi="Arial" w:cs="Arial"/>
          <w:color w:val="333333"/>
        </w:rPr>
        <w:t>Key Items from National Summit Breakout Group on “</w:t>
      </w:r>
      <w:r w:rsidR="00306A7F" w:rsidRPr="00F638D3">
        <w:rPr>
          <w:rFonts w:ascii="Arial" w:hAnsi="Arial" w:cs="Arial"/>
          <w:i/>
        </w:rPr>
        <w:t>Addressing burnout – the value of organizational interventions</w:t>
      </w:r>
      <w:r w:rsidR="006B1FAC">
        <w:rPr>
          <w:rFonts w:ascii="Arial" w:hAnsi="Arial" w:cs="Arial"/>
          <w:i/>
        </w:rPr>
        <w:t>”</w:t>
      </w:r>
    </w:p>
    <w:p w14:paraId="4ED1B6B2" w14:textId="2E71E0CE" w:rsidR="00F953D7" w:rsidRPr="00F953D7" w:rsidRDefault="00926F34" w:rsidP="00306A7F">
      <w:pPr>
        <w:spacing w:line="240" w:lineRule="auto"/>
        <w:rPr>
          <w:rFonts w:ascii="Arial" w:eastAsia="Times New Roman" w:hAnsi="Arial" w:cs="Arial"/>
          <w:b/>
          <w:color w:val="333333"/>
        </w:rPr>
      </w:pPr>
      <w:r>
        <w:rPr>
          <w:rFonts w:ascii="Arial" w:eastAsia="Times New Roman" w:hAnsi="Arial" w:cs="Arial"/>
          <w:b/>
          <w:color w:val="333333"/>
        </w:rPr>
        <w:t>Organizational Intervention Considerations</w:t>
      </w:r>
    </w:p>
    <w:p w14:paraId="6FBF01F2" w14:textId="77777777" w:rsidR="00F953D7" w:rsidRPr="00F953D7" w:rsidRDefault="00F953D7" w:rsidP="00306A7F">
      <w:pPr>
        <w:spacing w:line="240" w:lineRule="auto"/>
        <w:rPr>
          <w:rFonts w:ascii="Arial" w:eastAsia="Times New Roman" w:hAnsi="Arial" w:cs="Arial"/>
          <w:color w:val="333333"/>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306A7F" w:rsidRPr="0040522E" w14:paraId="6C999974" w14:textId="77777777" w:rsidTr="009917F8">
        <w:tc>
          <w:tcPr>
            <w:tcW w:w="9350" w:type="dxa"/>
          </w:tcPr>
          <w:p w14:paraId="4F88671A" w14:textId="6040DECA" w:rsidR="00306A7F" w:rsidRDefault="00306A7F" w:rsidP="009917F8">
            <w:pPr>
              <w:pStyle w:val="Default"/>
              <w:rPr>
                <w:rFonts w:ascii="Arial" w:hAnsi="Arial" w:cs="Arial"/>
                <w:sz w:val="22"/>
                <w:szCs w:val="22"/>
              </w:rPr>
            </w:pPr>
            <w:r>
              <w:rPr>
                <w:rFonts w:ascii="Arial" w:hAnsi="Arial" w:cs="Arial"/>
                <w:sz w:val="22"/>
                <w:szCs w:val="22"/>
              </w:rPr>
              <w:t xml:space="preserve"> </w:t>
            </w:r>
          </w:p>
          <w:p w14:paraId="02251A51" w14:textId="77777777" w:rsidR="00306A7F" w:rsidRPr="00F638D3" w:rsidRDefault="00306A7F" w:rsidP="00306A7F">
            <w:pPr>
              <w:rPr>
                <w:rFonts w:ascii="Arial" w:hAnsi="Arial" w:cs="Arial"/>
                <w:color w:val="333333"/>
                <w:shd w:val="clear" w:color="auto" w:fill="FFFFFF"/>
              </w:rPr>
            </w:pPr>
            <w:r w:rsidRPr="00F638D3">
              <w:rPr>
                <w:rFonts w:ascii="Arial" w:hAnsi="Arial" w:cs="Arial"/>
                <w:color w:val="333333"/>
                <w:shd w:val="clear" w:color="auto" w:fill="FFFFFF"/>
              </w:rPr>
              <w:t>Organizational accountability is needed to effectively mitigate burnout</w:t>
            </w:r>
          </w:p>
          <w:p w14:paraId="3EE83081" w14:textId="77777777" w:rsidR="00306A7F" w:rsidRPr="0040522E" w:rsidRDefault="00306A7F" w:rsidP="009917F8">
            <w:pPr>
              <w:contextualSpacing/>
              <w:rPr>
                <w:rFonts w:ascii="Arial" w:hAnsi="Arial" w:cs="Arial"/>
              </w:rPr>
            </w:pPr>
          </w:p>
        </w:tc>
      </w:tr>
      <w:tr w:rsidR="00306A7F" w:rsidRPr="0040522E" w14:paraId="0404B4ED" w14:textId="77777777" w:rsidTr="009917F8">
        <w:tc>
          <w:tcPr>
            <w:tcW w:w="9350" w:type="dxa"/>
          </w:tcPr>
          <w:p w14:paraId="656E04E7" w14:textId="77777777" w:rsidR="00306A7F" w:rsidRPr="00F638D3" w:rsidRDefault="00306A7F" w:rsidP="00306A7F">
            <w:pPr>
              <w:pStyle w:val="Default"/>
              <w:rPr>
                <w:rFonts w:ascii="Arial" w:hAnsi="Arial" w:cs="Arial"/>
                <w:sz w:val="22"/>
                <w:szCs w:val="22"/>
              </w:rPr>
            </w:pPr>
            <w:r w:rsidRPr="00F638D3">
              <w:rPr>
                <w:rFonts w:ascii="Arial" w:hAnsi="Arial" w:cs="Arial"/>
                <w:sz w:val="22"/>
                <w:szCs w:val="22"/>
              </w:rPr>
              <w:t>The climate and culture of the unit play a role – good leadership makes a difference. Unit morale is a ke</w:t>
            </w:r>
            <w:r>
              <w:rPr>
                <w:rFonts w:ascii="Arial" w:hAnsi="Arial" w:cs="Arial"/>
                <w:sz w:val="22"/>
                <w:szCs w:val="22"/>
              </w:rPr>
              <w:t>y component in managing stress</w:t>
            </w:r>
          </w:p>
          <w:p w14:paraId="185806AC" w14:textId="77777777" w:rsidR="00306A7F" w:rsidRDefault="00306A7F" w:rsidP="009917F8">
            <w:pPr>
              <w:pStyle w:val="Default"/>
              <w:rPr>
                <w:rFonts w:ascii="Arial" w:hAnsi="Arial" w:cs="Arial"/>
                <w:sz w:val="22"/>
                <w:szCs w:val="22"/>
              </w:rPr>
            </w:pPr>
          </w:p>
        </w:tc>
      </w:tr>
      <w:tr w:rsidR="00306A7F" w:rsidRPr="0040522E" w14:paraId="3FD0E67C" w14:textId="77777777" w:rsidTr="009917F8">
        <w:tc>
          <w:tcPr>
            <w:tcW w:w="9350" w:type="dxa"/>
          </w:tcPr>
          <w:p w14:paraId="3C8FF479" w14:textId="77777777" w:rsidR="00306A7F" w:rsidRPr="00F638D3" w:rsidRDefault="00306A7F" w:rsidP="00306A7F">
            <w:pPr>
              <w:pStyle w:val="Default"/>
              <w:rPr>
                <w:rFonts w:ascii="Arial" w:hAnsi="Arial" w:cs="Arial"/>
                <w:sz w:val="22"/>
                <w:szCs w:val="22"/>
              </w:rPr>
            </w:pPr>
          </w:p>
          <w:p w14:paraId="79A2941B" w14:textId="77777777" w:rsidR="00306A7F" w:rsidRPr="00F638D3" w:rsidRDefault="00306A7F" w:rsidP="00306A7F">
            <w:pPr>
              <w:pStyle w:val="Default"/>
              <w:rPr>
                <w:rFonts w:ascii="Arial" w:hAnsi="Arial" w:cs="Arial"/>
                <w:sz w:val="22"/>
                <w:szCs w:val="22"/>
              </w:rPr>
            </w:pPr>
            <w:r w:rsidRPr="00F638D3">
              <w:rPr>
                <w:rFonts w:ascii="Arial" w:hAnsi="Arial" w:cs="Arial"/>
                <w:sz w:val="22"/>
                <w:szCs w:val="22"/>
              </w:rPr>
              <w:t>There is a need for a comprehensive, nationally standardized tool (e.g., survey) that will include a focu</w:t>
            </w:r>
            <w:r>
              <w:rPr>
                <w:rFonts w:ascii="Arial" w:hAnsi="Arial" w:cs="Arial"/>
                <w:sz w:val="22"/>
                <w:szCs w:val="22"/>
              </w:rPr>
              <w:t>s on special ICU issues</w:t>
            </w:r>
            <w:r w:rsidRPr="00F638D3">
              <w:rPr>
                <w:rFonts w:ascii="Arial" w:hAnsi="Arial" w:cs="Arial"/>
                <w:sz w:val="22"/>
                <w:szCs w:val="22"/>
              </w:rPr>
              <w:t xml:space="preserve"> </w:t>
            </w:r>
          </w:p>
          <w:p w14:paraId="536F4A03" w14:textId="77777777" w:rsidR="00306A7F" w:rsidRPr="00F638D3" w:rsidRDefault="00306A7F" w:rsidP="00306A7F">
            <w:pPr>
              <w:pStyle w:val="Default"/>
              <w:rPr>
                <w:rFonts w:ascii="Arial" w:hAnsi="Arial" w:cs="Arial"/>
                <w:sz w:val="22"/>
                <w:szCs w:val="22"/>
              </w:rPr>
            </w:pPr>
            <w:r w:rsidRPr="00F638D3">
              <w:rPr>
                <w:rFonts w:ascii="Arial" w:hAnsi="Arial" w:cs="Arial"/>
                <w:sz w:val="22"/>
                <w:szCs w:val="22"/>
              </w:rPr>
              <w:t xml:space="preserve">Organizations need key assessment tools </w:t>
            </w:r>
          </w:p>
          <w:p w14:paraId="119C9A1C" w14:textId="77777777" w:rsidR="00306A7F" w:rsidRDefault="00306A7F" w:rsidP="009917F8">
            <w:pPr>
              <w:pStyle w:val="Default"/>
              <w:rPr>
                <w:rFonts w:ascii="Arial" w:hAnsi="Arial" w:cs="Arial"/>
                <w:sz w:val="22"/>
                <w:szCs w:val="22"/>
              </w:rPr>
            </w:pPr>
          </w:p>
        </w:tc>
      </w:tr>
      <w:tr w:rsidR="00306A7F" w:rsidRPr="0040522E" w14:paraId="50A806EC" w14:textId="77777777" w:rsidTr="009917F8">
        <w:tc>
          <w:tcPr>
            <w:tcW w:w="9350" w:type="dxa"/>
          </w:tcPr>
          <w:p w14:paraId="5BA0FA1D" w14:textId="7A280220" w:rsidR="00306A7F" w:rsidRPr="00F638D3" w:rsidRDefault="00306A7F" w:rsidP="009917F8">
            <w:pPr>
              <w:rPr>
                <w:rFonts w:ascii="Arial" w:eastAsia="Times New Roman" w:hAnsi="Arial" w:cs="Arial"/>
                <w:color w:val="333333"/>
              </w:rPr>
            </w:pPr>
            <w:r>
              <w:rPr>
                <w:rFonts w:ascii="Arial" w:eastAsia="Times New Roman" w:hAnsi="Arial" w:cs="Arial"/>
                <w:color w:val="333333"/>
              </w:rPr>
              <w:t xml:space="preserve"> </w:t>
            </w:r>
          </w:p>
          <w:p w14:paraId="6BAA74CF" w14:textId="77777777" w:rsidR="00306A7F" w:rsidRPr="00F638D3" w:rsidRDefault="00306A7F" w:rsidP="00306A7F">
            <w:pPr>
              <w:rPr>
                <w:rFonts w:ascii="Arial" w:hAnsi="Arial" w:cs="Arial"/>
              </w:rPr>
            </w:pPr>
            <w:r w:rsidRPr="00F638D3">
              <w:rPr>
                <w:rFonts w:ascii="Arial" w:hAnsi="Arial" w:cs="Arial"/>
              </w:rPr>
              <w:t xml:space="preserve">Identifying the return on investment in focusing on burnout identification, prevention, and treatment (eg. retention, vacancies, turnover, healthcare acquired infections, healthcare associated adverse events, bed flow, mortality) would help </w:t>
            </w:r>
            <w:r>
              <w:rPr>
                <w:rFonts w:ascii="Arial" w:hAnsi="Arial" w:cs="Arial"/>
              </w:rPr>
              <w:t>to promote awareness and action</w:t>
            </w:r>
          </w:p>
          <w:p w14:paraId="49A817DB" w14:textId="77777777" w:rsidR="00306A7F" w:rsidRPr="0040522E" w:rsidRDefault="00306A7F" w:rsidP="009917F8">
            <w:pPr>
              <w:contextualSpacing/>
              <w:rPr>
                <w:rFonts w:ascii="Arial" w:hAnsi="Arial" w:cs="Arial"/>
              </w:rPr>
            </w:pPr>
          </w:p>
        </w:tc>
      </w:tr>
      <w:tr w:rsidR="00306A7F" w:rsidRPr="0040522E" w14:paraId="7E81C631" w14:textId="77777777" w:rsidTr="009917F8">
        <w:tc>
          <w:tcPr>
            <w:tcW w:w="9350" w:type="dxa"/>
          </w:tcPr>
          <w:p w14:paraId="383BC871" w14:textId="77777777" w:rsidR="00306A7F" w:rsidRDefault="00306A7F" w:rsidP="00306A7F">
            <w:pPr>
              <w:pStyle w:val="Default"/>
              <w:rPr>
                <w:rFonts w:ascii="Arial" w:hAnsi="Arial" w:cs="Arial"/>
                <w:sz w:val="22"/>
                <w:szCs w:val="22"/>
              </w:rPr>
            </w:pPr>
            <w:r>
              <w:rPr>
                <w:rFonts w:ascii="Arial" w:hAnsi="Arial" w:cs="Arial"/>
              </w:rPr>
              <w:t xml:space="preserve"> </w:t>
            </w:r>
            <w:r w:rsidRPr="00F638D3">
              <w:rPr>
                <w:rFonts w:ascii="Arial" w:hAnsi="Arial" w:cs="Arial"/>
                <w:sz w:val="22"/>
                <w:szCs w:val="22"/>
              </w:rPr>
              <w:t xml:space="preserve">Career counseling may play a role in helping clinicians to </w:t>
            </w:r>
            <w:r>
              <w:rPr>
                <w:rFonts w:ascii="Arial" w:hAnsi="Arial" w:cs="Arial"/>
                <w:sz w:val="22"/>
                <w:szCs w:val="22"/>
              </w:rPr>
              <w:t>manage their exposure to stress</w:t>
            </w:r>
          </w:p>
          <w:p w14:paraId="591E67D2" w14:textId="039ADF5C" w:rsidR="00306A7F" w:rsidRPr="0040522E" w:rsidRDefault="00306A7F" w:rsidP="009917F8">
            <w:pPr>
              <w:contextualSpacing/>
              <w:rPr>
                <w:rFonts w:ascii="Arial" w:hAnsi="Arial" w:cs="Arial"/>
              </w:rPr>
            </w:pPr>
          </w:p>
        </w:tc>
      </w:tr>
      <w:tr w:rsidR="00306A7F" w:rsidRPr="0040522E" w14:paraId="27BF7DA7" w14:textId="77777777" w:rsidTr="009917F8">
        <w:tc>
          <w:tcPr>
            <w:tcW w:w="9350" w:type="dxa"/>
          </w:tcPr>
          <w:p w14:paraId="4947E780" w14:textId="6688F30A" w:rsidR="00306A7F" w:rsidRDefault="00306A7F" w:rsidP="00306A7F">
            <w:pPr>
              <w:pStyle w:val="Default"/>
              <w:rPr>
                <w:rFonts w:ascii="Arial" w:hAnsi="Arial" w:cs="Arial"/>
                <w:sz w:val="22"/>
                <w:szCs w:val="22"/>
              </w:rPr>
            </w:pPr>
            <w:r w:rsidRPr="00F638D3">
              <w:rPr>
                <w:rFonts w:ascii="Arial" w:hAnsi="Arial" w:cs="Arial"/>
                <w:sz w:val="22"/>
                <w:szCs w:val="22"/>
              </w:rPr>
              <w:t>Having flexibility in roles may be beneficial – ie. staffing in the ICU on one day, being on the rapid response team another day, serving on an ICU outreach team on another day might be useful. We need to look at creative roles, and new mo</w:t>
            </w:r>
            <w:r>
              <w:rPr>
                <w:rFonts w:ascii="Arial" w:hAnsi="Arial" w:cs="Arial"/>
                <w:sz w:val="22"/>
                <w:szCs w:val="22"/>
              </w:rPr>
              <w:t>dels of care for ICU clinicians</w:t>
            </w:r>
          </w:p>
          <w:p w14:paraId="539D3D03" w14:textId="6C6D0381" w:rsidR="00306A7F" w:rsidRPr="00F638D3" w:rsidRDefault="00306A7F" w:rsidP="009917F8">
            <w:pPr>
              <w:pStyle w:val="Default"/>
              <w:rPr>
                <w:rFonts w:ascii="Arial" w:hAnsi="Arial" w:cs="Arial"/>
                <w:sz w:val="22"/>
                <w:szCs w:val="22"/>
              </w:rPr>
            </w:pPr>
          </w:p>
          <w:p w14:paraId="523A75A1" w14:textId="77777777" w:rsidR="00306A7F" w:rsidRPr="0040522E" w:rsidRDefault="00306A7F" w:rsidP="009917F8">
            <w:pPr>
              <w:pStyle w:val="Default"/>
              <w:contextualSpacing/>
              <w:rPr>
                <w:rFonts w:ascii="Arial" w:hAnsi="Arial" w:cs="Arial"/>
                <w:sz w:val="22"/>
                <w:szCs w:val="22"/>
              </w:rPr>
            </w:pPr>
          </w:p>
        </w:tc>
      </w:tr>
    </w:tbl>
    <w:p w14:paraId="794D3F77" w14:textId="77777777" w:rsidR="00306A7F" w:rsidRDefault="00306A7F" w:rsidP="00306A7F">
      <w:pPr>
        <w:spacing w:line="240" w:lineRule="auto"/>
        <w:rPr>
          <w:rFonts w:ascii="Arial" w:eastAsia="Times New Roman" w:hAnsi="Arial" w:cs="Arial"/>
          <w:color w:val="333333"/>
        </w:rPr>
      </w:pPr>
    </w:p>
    <w:p w14:paraId="2388BB5B" w14:textId="77777777" w:rsidR="00306A7F" w:rsidRDefault="00306A7F" w:rsidP="00306A7F">
      <w:pPr>
        <w:spacing w:line="240" w:lineRule="auto"/>
        <w:rPr>
          <w:rFonts w:ascii="Arial" w:eastAsia="Times New Roman" w:hAnsi="Arial" w:cs="Arial"/>
          <w:color w:val="333333"/>
        </w:rPr>
      </w:pPr>
    </w:p>
    <w:p w14:paraId="5DDB682D" w14:textId="77777777" w:rsidR="00306A7F" w:rsidRPr="00F638D3" w:rsidRDefault="00306A7F" w:rsidP="00306A7F">
      <w:pPr>
        <w:pStyle w:val="Default"/>
        <w:rPr>
          <w:rFonts w:ascii="Arial" w:hAnsi="Arial" w:cs="Arial"/>
          <w:sz w:val="22"/>
          <w:szCs w:val="22"/>
        </w:rPr>
      </w:pPr>
    </w:p>
    <w:p w14:paraId="423D02B9" w14:textId="77777777" w:rsidR="00306A7F" w:rsidRDefault="00306A7F" w:rsidP="00306A7F">
      <w:pPr>
        <w:pStyle w:val="Default"/>
        <w:rPr>
          <w:rFonts w:ascii="Arial" w:hAnsi="Arial" w:cs="Arial"/>
          <w:sz w:val="22"/>
          <w:szCs w:val="22"/>
        </w:rPr>
      </w:pPr>
    </w:p>
    <w:p w14:paraId="0A99A48B" w14:textId="77777777" w:rsidR="00306A7F" w:rsidRPr="00F638D3" w:rsidRDefault="00306A7F" w:rsidP="00306A7F">
      <w:pPr>
        <w:pStyle w:val="Default"/>
        <w:rPr>
          <w:rFonts w:ascii="Arial" w:hAnsi="Arial" w:cs="Arial"/>
          <w:sz w:val="22"/>
          <w:szCs w:val="22"/>
        </w:rPr>
      </w:pPr>
    </w:p>
    <w:p w14:paraId="434A0DA9" w14:textId="77777777" w:rsidR="00306A7F" w:rsidRDefault="00306A7F" w:rsidP="00306A7F">
      <w:pPr>
        <w:rPr>
          <w:rFonts w:ascii="Arial" w:hAnsi="Arial" w:cs="Arial"/>
          <w:color w:val="000000"/>
        </w:rPr>
      </w:pPr>
      <w:r>
        <w:rPr>
          <w:rFonts w:ascii="Arial" w:hAnsi="Arial" w:cs="Arial"/>
        </w:rPr>
        <w:br w:type="page"/>
      </w:r>
    </w:p>
    <w:p w14:paraId="0AFAE9D5" w14:textId="77777777" w:rsidR="00306A7F" w:rsidRPr="00F638D3" w:rsidRDefault="00306A7F" w:rsidP="00306A7F">
      <w:pPr>
        <w:pStyle w:val="Default"/>
        <w:rPr>
          <w:rFonts w:ascii="Arial" w:hAnsi="Arial" w:cs="Arial"/>
          <w:sz w:val="22"/>
          <w:szCs w:val="22"/>
        </w:rPr>
      </w:pPr>
    </w:p>
    <w:p w14:paraId="56E95743" w14:textId="4102B20D" w:rsidR="00306A7F" w:rsidRPr="00F638D3" w:rsidRDefault="001B315C" w:rsidP="00306A7F">
      <w:pPr>
        <w:pStyle w:val="Default"/>
        <w:rPr>
          <w:rFonts w:ascii="Arial" w:hAnsi="Arial" w:cs="Arial"/>
          <w:i/>
          <w:sz w:val="22"/>
          <w:szCs w:val="22"/>
        </w:rPr>
      </w:pPr>
      <w:r>
        <w:rPr>
          <w:rFonts w:ascii="Arial" w:eastAsia="Times New Roman" w:hAnsi="Arial" w:cs="Arial"/>
          <w:color w:val="333333"/>
        </w:rPr>
        <w:t>Supplemental Table</w:t>
      </w:r>
      <w:r>
        <w:rPr>
          <w:rFonts w:ascii="Arial" w:eastAsia="Times New Roman" w:hAnsi="Arial" w:cs="Arial"/>
          <w:color w:val="333333"/>
        </w:rPr>
        <w:t xml:space="preserve"> 4</w:t>
      </w:r>
      <w:r w:rsidR="00306A7F" w:rsidRPr="009917F8">
        <w:rPr>
          <w:rFonts w:ascii="Arial" w:hAnsi="Arial" w:cs="Arial"/>
          <w:sz w:val="22"/>
          <w:szCs w:val="22"/>
        </w:rPr>
        <w:t>.</w:t>
      </w:r>
      <w:r w:rsidR="00306A7F">
        <w:rPr>
          <w:rFonts w:ascii="Arial" w:hAnsi="Arial" w:cs="Arial"/>
          <w:i/>
          <w:sz w:val="22"/>
          <w:szCs w:val="22"/>
        </w:rPr>
        <w:t xml:space="preserve"> </w:t>
      </w:r>
      <w:r w:rsidR="006B1FAC">
        <w:rPr>
          <w:rFonts w:ascii="Arial" w:eastAsia="Times New Roman" w:hAnsi="Arial" w:cs="Arial"/>
          <w:color w:val="333333"/>
        </w:rPr>
        <w:t>Key Items from National Summit Breakout Group on “</w:t>
      </w:r>
      <w:r w:rsidR="00306A7F" w:rsidRPr="00F638D3">
        <w:rPr>
          <w:rFonts w:ascii="Arial" w:hAnsi="Arial" w:cs="Arial"/>
          <w:i/>
          <w:sz w:val="22"/>
          <w:szCs w:val="22"/>
        </w:rPr>
        <w:t>Addressing burnout – the value of individual interventions</w:t>
      </w:r>
      <w:r w:rsidR="006B1FAC">
        <w:rPr>
          <w:rFonts w:ascii="Arial" w:hAnsi="Arial" w:cs="Arial"/>
          <w:i/>
          <w:sz w:val="22"/>
          <w:szCs w:val="22"/>
        </w:rPr>
        <w:t>”</w:t>
      </w:r>
      <w:r w:rsidR="00306A7F" w:rsidRPr="00F638D3">
        <w:rPr>
          <w:rFonts w:ascii="Arial" w:hAnsi="Arial" w:cs="Arial"/>
          <w:i/>
          <w:sz w:val="22"/>
          <w:szCs w:val="22"/>
        </w:rPr>
        <w:t xml:space="preserve">  </w:t>
      </w:r>
    </w:p>
    <w:p w14:paraId="50C578BC" w14:textId="0DBA95F5" w:rsidR="00306A7F" w:rsidRPr="00F953D7" w:rsidRDefault="00306A7F" w:rsidP="00306A7F">
      <w:pPr>
        <w:pStyle w:val="Default"/>
        <w:rPr>
          <w:rFonts w:ascii="Arial" w:hAnsi="Arial" w:cs="Arial"/>
          <w:b/>
          <w:i/>
          <w:sz w:val="22"/>
          <w:szCs w:val="22"/>
        </w:rPr>
      </w:pPr>
    </w:p>
    <w:p w14:paraId="4A1780FD" w14:textId="7E647D4E" w:rsidR="00F953D7" w:rsidRPr="00F953D7" w:rsidRDefault="00926F34" w:rsidP="00306A7F">
      <w:pPr>
        <w:pStyle w:val="Default"/>
        <w:rPr>
          <w:rFonts w:ascii="Arial" w:hAnsi="Arial" w:cs="Arial"/>
          <w:b/>
          <w:sz w:val="22"/>
          <w:szCs w:val="22"/>
        </w:rPr>
      </w:pPr>
      <w:r>
        <w:rPr>
          <w:rFonts w:ascii="Arial" w:hAnsi="Arial" w:cs="Arial"/>
          <w:b/>
          <w:sz w:val="22"/>
          <w:szCs w:val="22"/>
        </w:rPr>
        <w:t>Individual Intervention Considerations</w:t>
      </w:r>
    </w:p>
    <w:p w14:paraId="0C2B6FE0" w14:textId="77777777" w:rsidR="00306A7F" w:rsidRDefault="00306A7F" w:rsidP="00306A7F">
      <w:pPr>
        <w:pStyle w:val="Default"/>
        <w:rPr>
          <w:rFonts w:ascii="Arial" w:hAnsi="Arial" w:cs="Arial"/>
          <w:i/>
          <w:sz w:val="22"/>
          <w:szCs w:val="2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306A7F" w:rsidRPr="0040522E" w14:paraId="5BC49426" w14:textId="77777777" w:rsidTr="009917F8">
        <w:tc>
          <w:tcPr>
            <w:tcW w:w="9350" w:type="dxa"/>
          </w:tcPr>
          <w:p w14:paraId="376214FF" w14:textId="77777777" w:rsidR="00306A7F" w:rsidRPr="00F638D3" w:rsidRDefault="00306A7F" w:rsidP="00306A7F">
            <w:pPr>
              <w:pStyle w:val="Default"/>
              <w:rPr>
                <w:rFonts w:ascii="Arial" w:hAnsi="Arial" w:cs="Arial"/>
                <w:i/>
                <w:sz w:val="22"/>
                <w:szCs w:val="22"/>
              </w:rPr>
            </w:pPr>
          </w:p>
          <w:p w14:paraId="48CC5AFF" w14:textId="77777777" w:rsidR="00306A7F" w:rsidRPr="00F638D3" w:rsidRDefault="00306A7F" w:rsidP="00306A7F">
            <w:pPr>
              <w:pStyle w:val="Default"/>
              <w:rPr>
                <w:rFonts w:ascii="Arial" w:hAnsi="Arial" w:cs="Arial"/>
                <w:i/>
                <w:sz w:val="22"/>
                <w:szCs w:val="22"/>
              </w:rPr>
            </w:pPr>
            <w:r w:rsidRPr="00F638D3">
              <w:rPr>
                <w:rFonts w:ascii="Arial" w:hAnsi="Arial" w:cs="Arial"/>
                <w:sz w:val="22"/>
                <w:szCs w:val="22"/>
              </w:rPr>
              <w:t>It would be optimal to identify risk factors in individual</w:t>
            </w:r>
            <w:r>
              <w:rPr>
                <w:rFonts w:ascii="Arial" w:hAnsi="Arial" w:cs="Arial"/>
                <w:sz w:val="22"/>
                <w:szCs w:val="22"/>
              </w:rPr>
              <w:t>s</w:t>
            </w:r>
            <w:r w:rsidRPr="00F638D3">
              <w:rPr>
                <w:rFonts w:ascii="Arial" w:hAnsi="Arial" w:cs="Arial"/>
                <w:sz w:val="22"/>
                <w:szCs w:val="22"/>
              </w:rPr>
              <w:t xml:space="preserve"> and to tailor interventions</w:t>
            </w:r>
          </w:p>
          <w:p w14:paraId="493576F6" w14:textId="77777777" w:rsidR="00306A7F" w:rsidRDefault="00306A7F" w:rsidP="009917F8">
            <w:pPr>
              <w:pStyle w:val="Default"/>
              <w:rPr>
                <w:rFonts w:ascii="Arial" w:hAnsi="Arial" w:cs="Arial"/>
                <w:sz w:val="22"/>
                <w:szCs w:val="22"/>
              </w:rPr>
            </w:pPr>
          </w:p>
          <w:p w14:paraId="23219E59" w14:textId="77777777" w:rsidR="00306A7F" w:rsidRPr="0040522E" w:rsidRDefault="00306A7F" w:rsidP="009917F8">
            <w:pPr>
              <w:contextualSpacing/>
              <w:rPr>
                <w:rFonts w:ascii="Arial" w:hAnsi="Arial" w:cs="Arial"/>
              </w:rPr>
            </w:pPr>
          </w:p>
        </w:tc>
      </w:tr>
      <w:tr w:rsidR="00306A7F" w:rsidRPr="0040522E" w14:paraId="4B73C65F" w14:textId="77777777" w:rsidTr="009917F8">
        <w:tc>
          <w:tcPr>
            <w:tcW w:w="9350" w:type="dxa"/>
          </w:tcPr>
          <w:p w14:paraId="420B8D67" w14:textId="77777777" w:rsidR="00306A7F" w:rsidRPr="00F638D3" w:rsidRDefault="00306A7F" w:rsidP="00306A7F">
            <w:pPr>
              <w:rPr>
                <w:rFonts w:ascii="Arial" w:hAnsi="Arial" w:cs="Arial"/>
              </w:rPr>
            </w:pPr>
            <w:r w:rsidRPr="00F638D3">
              <w:rPr>
                <w:rFonts w:ascii="Arial" w:hAnsi="Arial" w:cs="Arial"/>
              </w:rPr>
              <w:t>More attention is needed on “foundational meas</w:t>
            </w:r>
            <w:r>
              <w:rPr>
                <w:rFonts w:ascii="Arial" w:hAnsi="Arial" w:cs="Arial"/>
              </w:rPr>
              <w:t>ures” to address stress such as</w:t>
            </w:r>
            <w:r w:rsidRPr="00F638D3">
              <w:rPr>
                <w:rFonts w:ascii="Arial" w:hAnsi="Arial" w:cs="Arial"/>
              </w:rPr>
              <w:t xml:space="preserve"> sleep, nutrition, managing fatigue, the role of exercise</w:t>
            </w:r>
            <w:r>
              <w:rPr>
                <w:rFonts w:ascii="Arial" w:hAnsi="Arial" w:cs="Arial"/>
              </w:rPr>
              <w:t>,</w:t>
            </w:r>
            <w:r w:rsidRPr="00F638D3">
              <w:rPr>
                <w:rFonts w:ascii="Arial" w:hAnsi="Arial" w:cs="Arial"/>
              </w:rPr>
              <w:t xml:space="preserve"> and stress </w:t>
            </w:r>
            <w:r>
              <w:rPr>
                <w:rFonts w:ascii="Arial" w:hAnsi="Arial" w:cs="Arial"/>
              </w:rPr>
              <w:t>reduction measures</w:t>
            </w:r>
          </w:p>
          <w:p w14:paraId="1F744B26" w14:textId="77777777" w:rsidR="00306A7F" w:rsidRDefault="00306A7F" w:rsidP="009917F8">
            <w:pPr>
              <w:pStyle w:val="Default"/>
              <w:rPr>
                <w:rFonts w:ascii="Arial" w:hAnsi="Arial" w:cs="Arial"/>
                <w:sz w:val="22"/>
                <w:szCs w:val="22"/>
              </w:rPr>
            </w:pPr>
          </w:p>
        </w:tc>
      </w:tr>
      <w:tr w:rsidR="00306A7F" w:rsidRPr="0040522E" w14:paraId="6CC7E5A8" w14:textId="77777777" w:rsidTr="009917F8">
        <w:tc>
          <w:tcPr>
            <w:tcW w:w="9350" w:type="dxa"/>
          </w:tcPr>
          <w:p w14:paraId="09CEED91" w14:textId="7C99F26D" w:rsidR="00306A7F" w:rsidRPr="00F638D3" w:rsidRDefault="00306A7F" w:rsidP="00306A7F">
            <w:pPr>
              <w:rPr>
                <w:rFonts w:ascii="Arial" w:hAnsi="Arial" w:cs="Arial"/>
              </w:rPr>
            </w:pPr>
            <w:r w:rsidRPr="00F638D3">
              <w:rPr>
                <w:rFonts w:ascii="Arial" w:hAnsi="Arial" w:cs="Arial"/>
              </w:rPr>
              <w:t xml:space="preserve">There is a need to help individuals identify interventions that work for them as many options exist: exercise, meditation, yoga, tai chi, </w:t>
            </w:r>
            <w:r w:rsidR="0037713B" w:rsidRPr="00F638D3">
              <w:rPr>
                <w:rFonts w:ascii="Arial" w:hAnsi="Arial" w:cs="Arial"/>
              </w:rPr>
              <w:t>mindfulness-based</w:t>
            </w:r>
            <w:r w:rsidRPr="00F638D3">
              <w:rPr>
                <w:rFonts w:ascii="Arial" w:hAnsi="Arial" w:cs="Arial"/>
              </w:rPr>
              <w:t xml:space="preserve"> stress reduction, time management, stress reduction training, relaxation techniques, assertiveness training, work-life balance measures such as hobbies</w:t>
            </w:r>
            <w:r>
              <w:rPr>
                <w:rFonts w:ascii="Arial" w:hAnsi="Arial" w:cs="Arial"/>
              </w:rPr>
              <w:t>, family and social activities</w:t>
            </w:r>
          </w:p>
          <w:p w14:paraId="338E14FC" w14:textId="77777777" w:rsidR="00306A7F" w:rsidRDefault="00306A7F" w:rsidP="009917F8">
            <w:pPr>
              <w:pStyle w:val="Default"/>
              <w:rPr>
                <w:rFonts w:ascii="Arial" w:hAnsi="Arial" w:cs="Arial"/>
                <w:sz w:val="22"/>
                <w:szCs w:val="22"/>
              </w:rPr>
            </w:pPr>
          </w:p>
        </w:tc>
      </w:tr>
      <w:tr w:rsidR="00306A7F" w:rsidRPr="0040522E" w14:paraId="42C3B5F6" w14:textId="77777777" w:rsidTr="009917F8">
        <w:tc>
          <w:tcPr>
            <w:tcW w:w="9350" w:type="dxa"/>
          </w:tcPr>
          <w:p w14:paraId="4BC23D44" w14:textId="77777777" w:rsidR="00306A7F" w:rsidRPr="00F638D3" w:rsidRDefault="00306A7F" w:rsidP="009917F8">
            <w:pPr>
              <w:rPr>
                <w:rFonts w:ascii="Arial" w:eastAsia="Times New Roman" w:hAnsi="Arial" w:cs="Arial"/>
                <w:color w:val="333333"/>
              </w:rPr>
            </w:pPr>
            <w:r>
              <w:rPr>
                <w:rFonts w:ascii="Arial" w:eastAsia="Times New Roman" w:hAnsi="Arial" w:cs="Arial"/>
                <w:color w:val="333333"/>
              </w:rPr>
              <w:t xml:space="preserve"> </w:t>
            </w:r>
          </w:p>
          <w:p w14:paraId="5148285B" w14:textId="77777777" w:rsidR="00306A7F" w:rsidRPr="00F638D3" w:rsidRDefault="00306A7F" w:rsidP="00306A7F">
            <w:pPr>
              <w:rPr>
                <w:rFonts w:ascii="Arial" w:hAnsi="Arial" w:cs="Arial"/>
              </w:rPr>
            </w:pPr>
            <w:r w:rsidRPr="00F638D3">
              <w:rPr>
                <w:rFonts w:ascii="Arial" w:hAnsi="Arial" w:cs="Arial"/>
              </w:rPr>
              <w:t>A “personalized plan” is optimal to tailor resiliency a</w:t>
            </w:r>
            <w:r>
              <w:rPr>
                <w:rFonts w:ascii="Arial" w:hAnsi="Arial" w:cs="Arial"/>
              </w:rPr>
              <w:t>nd stress mitigation techniques</w:t>
            </w:r>
          </w:p>
          <w:p w14:paraId="75B52E72" w14:textId="77777777" w:rsidR="00306A7F" w:rsidRPr="0040522E" w:rsidRDefault="00306A7F" w:rsidP="009917F8">
            <w:pPr>
              <w:contextualSpacing/>
              <w:rPr>
                <w:rFonts w:ascii="Arial" w:hAnsi="Arial" w:cs="Arial"/>
              </w:rPr>
            </w:pPr>
          </w:p>
        </w:tc>
      </w:tr>
      <w:tr w:rsidR="00306A7F" w:rsidRPr="0040522E" w14:paraId="524D4744" w14:textId="77777777" w:rsidTr="009917F8">
        <w:tc>
          <w:tcPr>
            <w:tcW w:w="9350" w:type="dxa"/>
          </w:tcPr>
          <w:p w14:paraId="7BD4504B" w14:textId="77777777" w:rsidR="00306A7F" w:rsidRPr="00F638D3" w:rsidRDefault="00306A7F" w:rsidP="00306A7F">
            <w:pPr>
              <w:rPr>
                <w:rFonts w:ascii="Arial" w:hAnsi="Arial" w:cs="Arial"/>
              </w:rPr>
            </w:pPr>
            <w:r>
              <w:rPr>
                <w:rFonts w:ascii="Arial" w:hAnsi="Arial" w:cs="Arial"/>
              </w:rPr>
              <w:t xml:space="preserve"> </w:t>
            </w:r>
            <w:r w:rsidRPr="00F638D3">
              <w:rPr>
                <w:rFonts w:ascii="Arial" w:hAnsi="Arial" w:cs="Arial"/>
              </w:rPr>
              <w:t>Clinicians will need to have an open mind to explore what options fit best with their template, lifestyle, etc. in order to most ben</w:t>
            </w:r>
            <w:r>
              <w:rPr>
                <w:rFonts w:ascii="Arial" w:hAnsi="Arial" w:cs="Arial"/>
              </w:rPr>
              <w:t>efit from building resiliency as s</w:t>
            </w:r>
            <w:r w:rsidRPr="00F638D3">
              <w:rPr>
                <w:rFonts w:ascii="Arial" w:hAnsi="Arial" w:cs="Arial"/>
              </w:rPr>
              <w:t>kills may need to be built over time over the duration of their career</w:t>
            </w:r>
          </w:p>
          <w:p w14:paraId="69288398" w14:textId="77777777" w:rsidR="00306A7F" w:rsidRPr="0040522E" w:rsidRDefault="00306A7F" w:rsidP="009917F8">
            <w:pPr>
              <w:contextualSpacing/>
              <w:rPr>
                <w:rFonts w:ascii="Arial" w:hAnsi="Arial" w:cs="Arial"/>
              </w:rPr>
            </w:pPr>
          </w:p>
        </w:tc>
      </w:tr>
      <w:tr w:rsidR="00306A7F" w:rsidRPr="0040522E" w14:paraId="4B5BA50E" w14:textId="77777777" w:rsidTr="009917F8">
        <w:tc>
          <w:tcPr>
            <w:tcW w:w="9350" w:type="dxa"/>
          </w:tcPr>
          <w:p w14:paraId="4A683966" w14:textId="5DE4D777" w:rsidR="00306A7F" w:rsidRPr="00F638D3" w:rsidRDefault="00306A7F" w:rsidP="00306A7F">
            <w:pPr>
              <w:rPr>
                <w:rFonts w:ascii="Arial" w:hAnsi="Arial" w:cs="Arial"/>
              </w:rPr>
            </w:pPr>
            <w:r w:rsidRPr="00F638D3">
              <w:rPr>
                <w:rFonts w:ascii="Arial" w:hAnsi="Arial" w:cs="Arial"/>
              </w:rPr>
              <w:t xml:space="preserve">Incentivizing prevention measures – </w:t>
            </w:r>
            <w:r w:rsidR="0037713B" w:rsidRPr="00F638D3">
              <w:rPr>
                <w:rFonts w:ascii="Arial" w:hAnsi="Arial" w:cs="Arial"/>
              </w:rPr>
              <w:t>i.e.</w:t>
            </w:r>
            <w:r w:rsidRPr="00F638D3">
              <w:rPr>
                <w:rFonts w:ascii="Arial" w:hAnsi="Arial" w:cs="Arial"/>
              </w:rPr>
              <w:t xml:space="preserve"> provide “CEUs” might be a useful way t</w:t>
            </w:r>
            <w:r>
              <w:rPr>
                <w:rFonts w:ascii="Arial" w:hAnsi="Arial" w:cs="Arial"/>
              </w:rPr>
              <w:t>o promote clinician involvement due to the fact that i</w:t>
            </w:r>
            <w:r w:rsidRPr="00F638D3">
              <w:rPr>
                <w:rFonts w:ascii="Arial" w:hAnsi="Arial" w:cs="Arial"/>
              </w:rPr>
              <w:t>n-person sessions are difficult due to shift and work hours</w:t>
            </w:r>
          </w:p>
          <w:p w14:paraId="79B3EEDD" w14:textId="77777777" w:rsidR="00306A7F" w:rsidRPr="00F638D3" w:rsidRDefault="00306A7F" w:rsidP="009917F8">
            <w:pPr>
              <w:pStyle w:val="Default"/>
              <w:rPr>
                <w:rFonts w:ascii="Arial" w:hAnsi="Arial" w:cs="Arial"/>
                <w:sz w:val="22"/>
                <w:szCs w:val="22"/>
              </w:rPr>
            </w:pPr>
          </w:p>
          <w:p w14:paraId="06DF9B76" w14:textId="77777777" w:rsidR="00306A7F" w:rsidRPr="0040522E" w:rsidRDefault="00306A7F" w:rsidP="009917F8">
            <w:pPr>
              <w:pStyle w:val="Default"/>
              <w:contextualSpacing/>
              <w:rPr>
                <w:rFonts w:ascii="Arial" w:hAnsi="Arial" w:cs="Arial"/>
                <w:sz w:val="22"/>
                <w:szCs w:val="22"/>
              </w:rPr>
            </w:pPr>
          </w:p>
        </w:tc>
      </w:tr>
      <w:tr w:rsidR="00306A7F" w:rsidRPr="0040522E" w14:paraId="1F9DB9EA" w14:textId="77777777" w:rsidTr="009917F8">
        <w:tc>
          <w:tcPr>
            <w:tcW w:w="9350" w:type="dxa"/>
          </w:tcPr>
          <w:p w14:paraId="7C11EAF4" w14:textId="77777777" w:rsidR="00306A7F" w:rsidRPr="00F638D3" w:rsidRDefault="00306A7F" w:rsidP="00306A7F">
            <w:pPr>
              <w:pStyle w:val="Default"/>
              <w:rPr>
                <w:rFonts w:ascii="Arial" w:hAnsi="Arial" w:cs="Arial"/>
                <w:sz w:val="22"/>
                <w:szCs w:val="22"/>
              </w:rPr>
            </w:pPr>
            <w:r>
              <w:rPr>
                <w:rFonts w:ascii="Arial" w:hAnsi="Arial" w:cs="Arial"/>
                <w:sz w:val="22"/>
                <w:szCs w:val="22"/>
              </w:rPr>
              <w:t xml:space="preserve">Additional information is </w:t>
            </w:r>
            <w:r w:rsidRPr="00F638D3">
              <w:rPr>
                <w:rFonts w:ascii="Arial" w:hAnsi="Arial" w:cs="Arial"/>
                <w:sz w:val="22"/>
                <w:szCs w:val="22"/>
              </w:rPr>
              <w:t>needed as to the best format for helping to build resiliency – ie. formal training, courses, workshops, toolkits, etc. Developing skills in gratitude, self-a</w:t>
            </w:r>
            <w:r>
              <w:rPr>
                <w:rFonts w:ascii="Arial" w:hAnsi="Arial" w:cs="Arial"/>
                <w:sz w:val="22"/>
                <w:szCs w:val="22"/>
              </w:rPr>
              <w:t>ppraisal, mindfulness take time and c</w:t>
            </w:r>
            <w:r w:rsidRPr="00F638D3">
              <w:rPr>
                <w:rFonts w:ascii="Arial" w:hAnsi="Arial" w:cs="Arial"/>
                <w:sz w:val="22"/>
                <w:szCs w:val="22"/>
              </w:rPr>
              <w:t>ommunicating to clinicians that there is no “quick fix” is important</w:t>
            </w:r>
          </w:p>
          <w:p w14:paraId="566F8295" w14:textId="77777777" w:rsidR="00306A7F" w:rsidRDefault="00306A7F" w:rsidP="00306A7F">
            <w:pPr>
              <w:rPr>
                <w:rFonts w:ascii="Arial" w:hAnsi="Arial" w:cs="Arial"/>
                <w:color w:val="000000"/>
              </w:rPr>
            </w:pPr>
            <w:r>
              <w:rPr>
                <w:rFonts w:ascii="Arial" w:hAnsi="Arial" w:cs="Arial"/>
              </w:rPr>
              <w:br w:type="page"/>
            </w:r>
          </w:p>
          <w:p w14:paraId="43A4AD6B" w14:textId="77777777" w:rsidR="00306A7F" w:rsidRPr="00F638D3" w:rsidRDefault="00306A7F" w:rsidP="00306A7F">
            <w:pPr>
              <w:rPr>
                <w:rFonts w:ascii="Arial" w:hAnsi="Arial" w:cs="Arial"/>
              </w:rPr>
            </w:pPr>
          </w:p>
        </w:tc>
      </w:tr>
    </w:tbl>
    <w:p w14:paraId="15D7E3DA" w14:textId="77777777" w:rsidR="00306A7F" w:rsidRDefault="00306A7F" w:rsidP="00306A7F">
      <w:pPr>
        <w:spacing w:line="240" w:lineRule="auto"/>
        <w:rPr>
          <w:rFonts w:ascii="Arial" w:eastAsia="Times New Roman" w:hAnsi="Arial" w:cs="Arial"/>
          <w:color w:val="333333"/>
        </w:rPr>
      </w:pPr>
    </w:p>
    <w:p w14:paraId="4D74CB65" w14:textId="77777777" w:rsidR="00306A7F" w:rsidRPr="00F638D3" w:rsidRDefault="00306A7F" w:rsidP="00306A7F">
      <w:pPr>
        <w:pStyle w:val="Default"/>
        <w:rPr>
          <w:rFonts w:ascii="Arial" w:hAnsi="Arial" w:cs="Arial"/>
          <w:sz w:val="22"/>
          <w:szCs w:val="22"/>
        </w:rPr>
      </w:pPr>
    </w:p>
    <w:p w14:paraId="32B98874" w14:textId="77777777" w:rsidR="00306A7F" w:rsidRPr="00F638D3" w:rsidRDefault="00306A7F" w:rsidP="00306A7F">
      <w:pPr>
        <w:pStyle w:val="Default"/>
        <w:rPr>
          <w:rFonts w:ascii="Arial" w:hAnsi="Arial" w:cs="Arial"/>
          <w:sz w:val="22"/>
          <w:szCs w:val="22"/>
        </w:rPr>
      </w:pPr>
    </w:p>
    <w:p w14:paraId="798EDFDE" w14:textId="77777777" w:rsidR="00306A7F" w:rsidRDefault="00306A7F">
      <w:pPr>
        <w:rPr>
          <w:rFonts w:ascii="Arial" w:hAnsi="Arial" w:cs="Arial"/>
        </w:rPr>
      </w:pPr>
      <w:r>
        <w:rPr>
          <w:rFonts w:ascii="Arial" w:hAnsi="Arial" w:cs="Arial"/>
        </w:rPr>
        <w:br w:type="page"/>
      </w:r>
    </w:p>
    <w:p w14:paraId="12B4A4F5" w14:textId="1CFF19F5" w:rsidR="00306A7F" w:rsidRDefault="001B315C" w:rsidP="00306A7F">
      <w:pPr>
        <w:spacing w:line="240" w:lineRule="auto"/>
        <w:rPr>
          <w:rFonts w:ascii="Arial" w:hAnsi="Arial" w:cs="Arial"/>
          <w:i/>
        </w:rPr>
      </w:pPr>
      <w:r>
        <w:rPr>
          <w:rFonts w:ascii="Arial" w:eastAsia="Times New Roman" w:hAnsi="Arial" w:cs="Arial"/>
          <w:color w:val="333333"/>
        </w:rPr>
        <w:lastRenderedPageBreak/>
        <w:t>Supplemental Table</w:t>
      </w:r>
      <w:r>
        <w:rPr>
          <w:rFonts w:ascii="Arial" w:eastAsia="Times New Roman" w:hAnsi="Arial" w:cs="Arial"/>
          <w:color w:val="333333"/>
        </w:rPr>
        <w:t xml:space="preserve"> 5</w:t>
      </w:r>
      <w:r w:rsidR="00306A7F" w:rsidRPr="009917F8">
        <w:rPr>
          <w:rFonts w:ascii="Arial" w:hAnsi="Arial" w:cs="Arial"/>
        </w:rPr>
        <w:t>.</w:t>
      </w:r>
      <w:r w:rsidR="00306A7F">
        <w:rPr>
          <w:rFonts w:ascii="Arial" w:hAnsi="Arial" w:cs="Arial"/>
          <w:i/>
        </w:rPr>
        <w:t xml:space="preserve"> </w:t>
      </w:r>
      <w:r w:rsidR="006B1FAC">
        <w:rPr>
          <w:rFonts w:ascii="Arial" w:eastAsia="Times New Roman" w:hAnsi="Arial" w:cs="Arial"/>
          <w:color w:val="333333"/>
        </w:rPr>
        <w:t>Key Items from National Summit Breakout Group on “</w:t>
      </w:r>
      <w:r w:rsidR="00306A7F" w:rsidRPr="00F638D3">
        <w:rPr>
          <w:rFonts w:ascii="Arial" w:hAnsi="Arial" w:cs="Arial"/>
          <w:i/>
        </w:rPr>
        <w:t>Advancing the research agenda</w:t>
      </w:r>
      <w:r w:rsidR="006B1FAC">
        <w:rPr>
          <w:rFonts w:ascii="Arial" w:hAnsi="Arial" w:cs="Arial"/>
          <w:i/>
        </w:rPr>
        <w:t>”</w:t>
      </w:r>
      <w:r w:rsidR="00306A7F" w:rsidRPr="00F638D3">
        <w:rPr>
          <w:rFonts w:ascii="Arial" w:hAnsi="Arial" w:cs="Arial"/>
          <w:i/>
        </w:rPr>
        <w:t xml:space="preserve"> </w:t>
      </w:r>
    </w:p>
    <w:p w14:paraId="15E128DC" w14:textId="50B1D507" w:rsidR="00F953D7" w:rsidRPr="00F953D7" w:rsidRDefault="00926F34" w:rsidP="00306A7F">
      <w:pPr>
        <w:spacing w:line="240" w:lineRule="auto"/>
        <w:rPr>
          <w:rFonts w:ascii="Arial" w:hAnsi="Arial" w:cs="Arial"/>
          <w:b/>
        </w:rPr>
      </w:pPr>
      <w:r>
        <w:rPr>
          <w:rFonts w:ascii="Arial" w:hAnsi="Arial" w:cs="Arial"/>
          <w:b/>
        </w:rPr>
        <w:t>Research Focus Areas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50"/>
      </w:tblGrid>
      <w:tr w:rsidR="00306A7F" w:rsidRPr="0040522E" w14:paraId="18D74A31" w14:textId="77777777" w:rsidTr="009917F8">
        <w:tc>
          <w:tcPr>
            <w:tcW w:w="9350" w:type="dxa"/>
          </w:tcPr>
          <w:p w14:paraId="4A9C611F" w14:textId="3AABD774" w:rsidR="00306A7F" w:rsidRPr="00F638D3" w:rsidRDefault="00306A7F" w:rsidP="009917F8">
            <w:pPr>
              <w:pStyle w:val="Default"/>
              <w:rPr>
                <w:rFonts w:ascii="Arial" w:hAnsi="Arial" w:cs="Arial"/>
                <w:i/>
                <w:sz w:val="22"/>
                <w:szCs w:val="22"/>
              </w:rPr>
            </w:pPr>
            <w:r>
              <w:rPr>
                <w:rFonts w:ascii="Arial" w:hAnsi="Arial" w:cs="Arial"/>
                <w:i/>
                <w:sz w:val="22"/>
                <w:szCs w:val="22"/>
              </w:rPr>
              <w:t xml:space="preserve"> </w:t>
            </w:r>
          </w:p>
          <w:p w14:paraId="5F583A4C" w14:textId="6966322B" w:rsidR="00306A7F" w:rsidRPr="00F638D3" w:rsidRDefault="00306A7F" w:rsidP="00306A7F">
            <w:pPr>
              <w:rPr>
                <w:rFonts w:ascii="Arial" w:hAnsi="Arial" w:cs="Arial"/>
              </w:rPr>
            </w:pPr>
            <w:r w:rsidRPr="00F638D3">
              <w:rPr>
                <w:rFonts w:ascii="Arial" w:hAnsi="Arial" w:cs="Arial"/>
              </w:rPr>
              <w:t xml:space="preserve">Factors that need further exploration might benefit from latent class analysis to determine what specific demographics are most likely to respond to specific interventions – </w:t>
            </w:r>
            <w:r w:rsidR="0037713B" w:rsidRPr="00F638D3">
              <w:rPr>
                <w:rFonts w:ascii="Arial" w:hAnsi="Arial" w:cs="Arial"/>
              </w:rPr>
              <w:t>i.e.</w:t>
            </w:r>
            <w:r w:rsidRPr="00F638D3">
              <w:rPr>
                <w:rFonts w:ascii="Arial" w:hAnsi="Arial" w:cs="Arial"/>
              </w:rPr>
              <w:t xml:space="preserve"> Are there phenotypes related to </w:t>
            </w:r>
            <w:r w:rsidR="0037713B" w:rsidRPr="00F638D3">
              <w:rPr>
                <w:rFonts w:ascii="Arial" w:hAnsi="Arial" w:cs="Arial"/>
              </w:rPr>
              <w:t>i.e.</w:t>
            </w:r>
            <w:r w:rsidRPr="00F638D3">
              <w:rPr>
                <w:rFonts w:ascii="Arial" w:hAnsi="Arial" w:cs="Arial"/>
              </w:rPr>
              <w:t xml:space="preserve"> age, years of experience, type of ICU setting, gender, etc. Interventions could be different based on these characteristics</w:t>
            </w:r>
          </w:p>
          <w:p w14:paraId="6C46BFB2" w14:textId="77777777" w:rsidR="00306A7F" w:rsidRDefault="00306A7F" w:rsidP="009917F8">
            <w:pPr>
              <w:pStyle w:val="Default"/>
              <w:rPr>
                <w:rFonts w:ascii="Arial" w:hAnsi="Arial" w:cs="Arial"/>
                <w:sz w:val="22"/>
                <w:szCs w:val="22"/>
              </w:rPr>
            </w:pPr>
          </w:p>
          <w:p w14:paraId="7134FCE8" w14:textId="77777777" w:rsidR="00306A7F" w:rsidRPr="0040522E" w:rsidRDefault="00306A7F" w:rsidP="009917F8">
            <w:pPr>
              <w:contextualSpacing/>
              <w:rPr>
                <w:rFonts w:ascii="Arial" w:hAnsi="Arial" w:cs="Arial"/>
              </w:rPr>
            </w:pPr>
          </w:p>
        </w:tc>
      </w:tr>
      <w:tr w:rsidR="00306A7F" w:rsidRPr="0040522E" w14:paraId="08B2C6E2" w14:textId="77777777" w:rsidTr="009917F8">
        <w:tc>
          <w:tcPr>
            <w:tcW w:w="9350" w:type="dxa"/>
          </w:tcPr>
          <w:p w14:paraId="164601A9" w14:textId="46ED6B81" w:rsidR="00306A7F" w:rsidRPr="00F638D3" w:rsidRDefault="00306A7F" w:rsidP="009917F8">
            <w:pPr>
              <w:rPr>
                <w:rFonts w:ascii="Arial" w:hAnsi="Arial" w:cs="Arial"/>
              </w:rPr>
            </w:pPr>
            <w:r>
              <w:rPr>
                <w:rFonts w:ascii="Arial" w:hAnsi="Arial" w:cs="Arial"/>
              </w:rPr>
              <w:t xml:space="preserve"> </w:t>
            </w:r>
          </w:p>
          <w:p w14:paraId="2B056658" w14:textId="77777777" w:rsidR="00306A7F" w:rsidRPr="00F638D3" w:rsidRDefault="00306A7F" w:rsidP="00306A7F">
            <w:pPr>
              <w:rPr>
                <w:rFonts w:ascii="Arial" w:hAnsi="Arial" w:cs="Arial"/>
                <w:i/>
              </w:rPr>
            </w:pPr>
          </w:p>
          <w:p w14:paraId="09340501" w14:textId="77777777" w:rsidR="00306A7F" w:rsidRPr="00F638D3" w:rsidRDefault="00306A7F" w:rsidP="00306A7F">
            <w:pPr>
              <w:rPr>
                <w:rFonts w:ascii="Arial" w:hAnsi="Arial" w:cs="Arial"/>
              </w:rPr>
            </w:pPr>
            <w:r>
              <w:rPr>
                <w:rFonts w:ascii="Arial" w:hAnsi="Arial" w:cs="Arial"/>
              </w:rPr>
              <w:t xml:space="preserve"> </w:t>
            </w:r>
            <w:r w:rsidRPr="00F638D3">
              <w:rPr>
                <w:rFonts w:ascii="Arial" w:hAnsi="Arial" w:cs="Arial"/>
              </w:rPr>
              <w:t>Research is needed to explore if there are triggers, neuroscience markers, or phenotypes, if they can be defined, and if they can be linked to outcome measures</w:t>
            </w:r>
          </w:p>
          <w:p w14:paraId="16BA6B4B" w14:textId="77777777" w:rsidR="00306A7F" w:rsidRDefault="00306A7F" w:rsidP="009917F8">
            <w:pPr>
              <w:pStyle w:val="Default"/>
              <w:rPr>
                <w:rFonts w:ascii="Arial" w:hAnsi="Arial" w:cs="Arial"/>
                <w:sz w:val="22"/>
                <w:szCs w:val="22"/>
              </w:rPr>
            </w:pPr>
          </w:p>
        </w:tc>
      </w:tr>
      <w:tr w:rsidR="00306A7F" w:rsidRPr="0040522E" w14:paraId="1041DA4A" w14:textId="77777777" w:rsidTr="009917F8">
        <w:tc>
          <w:tcPr>
            <w:tcW w:w="9350" w:type="dxa"/>
          </w:tcPr>
          <w:p w14:paraId="631CDE13" w14:textId="77777777" w:rsidR="00306A7F" w:rsidRPr="00F638D3" w:rsidRDefault="00306A7F" w:rsidP="00306A7F">
            <w:pPr>
              <w:rPr>
                <w:rFonts w:ascii="Arial" w:hAnsi="Arial" w:cs="Arial"/>
              </w:rPr>
            </w:pPr>
            <w:r>
              <w:rPr>
                <w:rFonts w:ascii="Arial" w:hAnsi="Arial" w:cs="Arial"/>
              </w:rPr>
              <w:t xml:space="preserve"> </w:t>
            </w:r>
            <w:r w:rsidRPr="00F638D3">
              <w:rPr>
                <w:rFonts w:ascii="Arial" w:hAnsi="Arial" w:cs="Arial"/>
              </w:rPr>
              <w:t>Consider the control group when testing interventions – what is the right comparison group?</w:t>
            </w:r>
          </w:p>
          <w:p w14:paraId="4D848D24" w14:textId="0CA9A652" w:rsidR="00306A7F" w:rsidRPr="00F638D3" w:rsidRDefault="00306A7F" w:rsidP="009917F8">
            <w:pPr>
              <w:rPr>
                <w:rFonts w:ascii="Arial" w:hAnsi="Arial" w:cs="Arial"/>
              </w:rPr>
            </w:pPr>
          </w:p>
          <w:p w14:paraId="71276B07" w14:textId="77777777" w:rsidR="00306A7F" w:rsidRDefault="00306A7F" w:rsidP="009917F8">
            <w:pPr>
              <w:pStyle w:val="Default"/>
              <w:rPr>
                <w:rFonts w:ascii="Arial" w:hAnsi="Arial" w:cs="Arial"/>
                <w:sz w:val="22"/>
                <w:szCs w:val="22"/>
              </w:rPr>
            </w:pPr>
          </w:p>
        </w:tc>
      </w:tr>
      <w:tr w:rsidR="00306A7F" w:rsidRPr="0040522E" w14:paraId="29943A10" w14:textId="77777777" w:rsidTr="009917F8">
        <w:tc>
          <w:tcPr>
            <w:tcW w:w="9350" w:type="dxa"/>
          </w:tcPr>
          <w:p w14:paraId="20C6165B" w14:textId="77777777" w:rsidR="00306A7F" w:rsidRPr="00F638D3" w:rsidRDefault="00306A7F" w:rsidP="00306A7F">
            <w:pPr>
              <w:rPr>
                <w:rFonts w:ascii="Arial" w:hAnsi="Arial" w:cs="Arial"/>
              </w:rPr>
            </w:pPr>
            <w:r>
              <w:rPr>
                <w:rFonts w:ascii="Arial" w:hAnsi="Arial" w:cs="Arial"/>
              </w:rPr>
              <w:t xml:space="preserve"> </w:t>
            </w:r>
            <w:r w:rsidRPr="00F638D3">
              <w:rPr>
                <w:rFonts w:ascii="Arial" w:hAnsi="Arial" w:cs="Arial"/>
              </w:rPr>
              <w:t>A number of strategies could be tested including the impact of implementing healthy work environments, appreciative recognition, gratitude, mindfulness, and others</w:t>
            </w:r>
          </w:p>
          <w:p w14:paraId="0513080F" w14:textId="35182EC1" w:rsidR="00306A7F" w:rsidRPr="00F638D3" w:rsidRDefault="00306A7F" w:rsidP="009917F8">
            <w:pPr>
              <w:rPr>
                <w:rFonts w:ascii="Arial" w:hAnsi="Arial" w:cs="Arial"/>
              </w:rPr>
            </w:pPr>
          </w:p>
          <w:p w14:paraId="4628E2DE" w14:textId="77777777" w:rsidR="00306A7F" w:rsidRPr="0040522E" w:rsidRDefault="00306A7F" w:rsidP="009917F8">
            <w:pPr>
              <w:contextualSpacing/>
              <w:rPr>
                <w:rFonts w:ascii="Arial" w:hAnsi="Arial" w:cs="Arial"/>
              </w:rPr>
            </w:pPr>
          </w:p>
        </w:tc>
      </w:tr>
      <w:tr w:rsidR="00306A7F" w:rsidRPr="0040522E" w14:paraId="227D924D" w14:textId="77777777" w:rsidTr="009917F8">
        <w:tc>
          <w:tcPr>
            <w:tcW w:w="9350" w:type="dxa"/>
          </w:tcPr>
          <w:p w14:paraId="3684425E" w14:textId="05CAF121" w:rsidR="00306A7F" w:rsidRPr="00F638D3" w:rsidRDefault="00306A7F" w:rsidP="009917F8">
            <w:pPr>
              <w:rPr>
                <w:rFonts w:ascii="Arial" w:hAnsi="Arial" w:cs="Arial"/>
              </w:rPr>
            </w:pPr>
            <w:r>
              <w:rPr>
                <w:rFonts w:ascii="Arial" w:hAnsi="Arial" w:cs="Arial"/>
              </w:rPr>
              <w:t xml:space="preserve">  </w:t>
            </w:r>
          </w:p>
          <w:p w14:paraId="1E55C7BF" w14:textId="77777777" w:rsidR="00306A7F" w:rsidRPr="00F638D3" w:rsidRDefault="00306A7F" w:rsidP="00306A7F">
            <w:pPr>
              <w:rPr>
                <w:rFonts w:ascii="Arial" w:hAnsi="Arial" w:cs="Arial"/>
              </w:rPr>
            </w:pPr>
            <w:r w:rsidRPr="00F638D3">
              <w:rPr>
                <w:rFonts w:ascii="Arial" w:hAnsi="Arial" w:cs="Arial"/>
              </w:rPr>
              <w:t>Teaching cognitive reframing may be useful. “Just in time interventions”, testing and tailoring multiple interventions to assess what work best, “SMART” trials might also be beneficial</w:t>
            </w:r>
          </w:p>
          <w:p w14:paraId="0AF2DFBA" w14:textId="77777777" w:rsidR="00306A7F" w:rsidRPr="0040522E" w:rsidRDefault="00306A7F" w:rsidP="009917F8">
            <w:pPr>
              <w:contextualSpacing/>
              <w:rPr>
                <w:rFonts w:ascii="Arial" w:hAnsi="Arial" w:cs="Arial"/>
              </w:rPr>
            </w:pPr>
          </w:p>
        </w:tc>
      </w:tr>
      <w:tr w:rsidR="00306A7F" w:rsidRPr="0040522E" w14:paraId="6C50920B" w14:textId="77777777" w:rsidTr="009917F8">
        <w:tc>
          <w:tcPr>
            <w:tcW w:w="9350" w:type="dxa"/>
          </w:tcPr>
          <w:p w14:paraId="4662627F" w14:textId="40AB357C" w:rsidR="00306A7F" w:rsidRPr="00F638D3" w:rsidRDefault="00306A7F" w:rsidP="009917F8">
            <w:pPr>
              <w:rPr>
                <w:rFonts w:ascii="Arial" w:hAnsi="Arial" w:cs="Arial"/>
              </w:rPr>
            </w:pPr>
            <w:r>
              <w:rPr>
                <w:rFonts w:ascii="Arial" w:hAnsi="Arial" w:cs="Arial"/>
              </w:rPr>
              <w:t xml:space="preserve"> </w:t>
            </w:r>
          </w:p>
          <w:p w14:paraId="5365F5BF" w14:textId="419EF877" w:rsidR="00306A7F" w:rsidRPr="00F638D3" w:rsidRDefault="00306A7F" w:rsidP="00306A7F">
            <w:pPr>
              <w:rPr>
                <w:rFonts w:ascii="Arial" w:hAnsi="Arial" w:cs="Arial"/>
              </w:rPr>
            </w:pPr>
            <w:r w:rsidRPr="00F638D3">
              <w:rPr>
                <w:rFonts w:ascii="Arial" w:hAnsi="Arial" w:cs="Arial"/>
              </w:rPr>
              <w:t>Considering that some clinicians do not “burn out”, more information is needed on how they are successful in managing the stress of the ICU environment</w:t>
            </w:r>
          </w:p>
          <w:p w14:paraId="476989C3" w14:textId="77777777" w:rsidR="00306A7F" w:rsidRPr="00F638D3" w:rsidRDefault="00306A7F" w:rsidP="009917F8">
            <w:pPr>
              <w:pStyle w:val="Default"/>
              <w:rPr>
                <w:rFonts w:ascii="Arial" w:hAnsi="Arial" w:cs="Arial"/>
                <w:sz w:val="22"/>
                <w:szCs w:val="22"/>
              </w:rPr>
            </w:pPr>
          </w:p>
          <w:p w14:paraId="36D6DFB2" w14:textId="77777777" w:rsidR="00306A7F" w:rsidRPr="0040522E" w:rsidRDefault="00306A7F" w:rsidP="009917F8">
            <w:pPr>
              <w:pStyle w:val="Default"/>
              <w:contextualSpacing/>
              <w:rPr>
                <w:rFonts w:ascii="Arial" w:hAnsi="Arial" w:cs="Arial"/>
                <w:sz w:val="22"/>
                <w:szCs w:val="22"/>
              </w:rPr>
            </w:pPr>
          </w:p>
        </w:tc>
      </w:tr>
      <w:tr w:rsidR="00306A7F" w:rsidRPr="0040522E" w14:paraId="71A76014" w14:textId="77777777" w:rsidTr="009917F8">
        <w:tc>
          <w:tcPr>
            <w:tcW w:w="9350" w:type="dxa"/>
          </w:tcPr>
          <w:p w14:paraId="69FF9CCA" w14:textId="58B79AE9" w:rsidR="00306A7F" w:rsidRPr="00F638D3" w:rsidRDefault="00306A7F" w:rsidP="009917F8">
            <w:pPr>
              <w:pStyle w:val="Default"/>
              <w:rPr>
                <w:rFonts w:ascii="Arial" w:hAnsi="Arial" w:cs="Arial"/>
                <w:sz w:val="22"/>
                <w:szCs w:val="22"/>
              </w:rPr>
            </w:pPr>
            <w:r>
              <w:rPr>
                <w:rFonts w:ascii="Arial" w:hAnsi="Arial" w:cs="Arial"/>
                <w:sz w:val="22"/>
                <w:szCs w:val="22"/>
              </w:rPr>
              <w:t xml:space="preserve"> </w:t>
            </w:r>
          </w:p>
          <w:p w14:paraId="6F654035" w14:textId="77777777" w:rsidR="00306A7F" w:rsidRPr="00F638D3" w:rsidRDefault="00306A7F" w:rsidP="00306A7F">
            <w:pPr>
              <w:rPr>
                <w:rFonts w:ascii="Arial" w:hAnsi="Arial" w:cs="Arial"/>
              </w:rPr>
            </w:pPr>
            <w:r>
              <w:rPr>
                <w:rFonts w:ascii="Arial" w:hAnsi="Arial" w:cs="Arial"/>
              </w:rPr>
              <w:br w:type="page"/>
            </w:r>
            <w:r w:rsidRPr="00F638D3">
              <w:rPr>
                <w:rFonts w:ascii="Arial" w:hAnsi="Arial" w:cs="Arial"/>
              </w:rPr>
              <w:t>Research which considers individual clinician careers is needed as different interventions may work better with clinicians younger in their careers compared to mid or late career stages</w:t>
            </w:r>
          </w:p>
          <w:p w14:paraId="0E2EE7B3" w14:textId="77777777" w:rsidR="00306A7F" w:rsidRDefault="00306A7F" w:rsidP="009917F8">
            <w:pPr>
              <w:rPr>
                <w:rFonts w:ascii="Arial" w:hAnsi="Arial" w:cs="Arial"/>
                <w:color w:val="000000"/>
              </w:rPr>
            </w:pPr>
          </w:p>
          <w:p w14:paraId="387B6A3C" w14:textId="77777777" w:rsidR="00306A7F" w:rsidRPr="00F638D3" w:rsidRDefault="00306A7F" w:rsidP="009917F8">
            <w:pPr>
              <w:rPr>
                <w:rFonts w:ascii="Arial" w:hAnsi="Arial" w:cs="Arial"/>
              </w:rPr>
            </w:pPr>
          </w:p>
        </w:tc>
      </w:tr>
      <w:tr w:rsidR="00306A7F" w:rsidRPr="0040522E" w14:paraId="47418911" w14:textId="77777777" w:rsidTr="009917F8">
        <w:tc>
          <w:tcPr>
            <w:tcW w:w="9350" w:type="dxa"/>
          </w:tcPr>
          <w:p w14:paraId="1F778A3E" w14:textId="77777777" w:rsidR="00306A7F" w:rsidRPr="00F638D3" w:rsidRDefault="00306A7F" w:rsidP="00306A7F">
            <w:pPr>
              <w:rPr>
                <w:rFonts w:ascii="Arial" w:hAnsi="Arial" w:cs="Arial"/>
              </w:rPr>
            </w:pPr>
            <w:r w:rsidRPr="00F638D3">
              <w:rPr>
                <w:rFonts w:ascii="Arial" w:hAnsi="Arial" w:cs="Arial"/>
              </w:rPr>
              <w:t xml:space="preserve">Research is needed to better delineate the benefit of addressing burnout prevention compared to </w:t>
            </w:r>
            <w:r>
              <w:rPr>
                <w:rFonts w:ascii="Arial" w:hAnsi="Arial" w:cs="Arial"/>
              </w:rPr>
              <w:t xml:space="preserve">the </w:t>
            </w:r>
            <w:r w:rsidRPr="00F638D3">
              <w:rPr>
                <w:rFonts w:ascii="Arial" w:hAnsi="Arial" w:cs="Arial"/>
              </w:rPr>
              <w:t>management of burnout</w:t>
            </w:r>
          </w:p>
          <w:p w14:paraId="0187868D" w14:textId="77777777" w:rsidR="00306A7F" w:rsidRDefault="00306A7F" w:rsidP="009917F8">
            <w:pPr>
              <w:pStyle w:val="Default"/>
              <w:rPr>
                <w:rFonts w:ascii="Arial" w:hAnsi="Arial" w:cs="Arial"/>
                <w:sz w:val="22"/>
                <w:szCs w:val="22"/>
              </w:rPr>
            </w:pPr>
          </w:p>
        </w:tc>
      </w:tr>
      <w:tr w:rsidR="00306A7F" w:rsidRPr="0040522E" w14:paraId="20280E8C" w14:textId="77777777" w:rsidTr="009917F8">
        <w:tc>
          <w:tcPr>
            <w:tcW w:w="9350" w:type="dxa"/>
          </w:tcPr>
          <w:p w14:paraId="3E6421AC" w14:textId="77777777" w:rsidR="00306A7F" w:rsidRPr="00F638D3" w:rsidRDefault="00306A7F" w:rsidP="00306A7F">
            <w:pPr>
              <w:rPr>
                <w:rFonts w:ascii="Arial" w:hAnsi="Arial" w:cs="Arial"/>
              </w:rPr>
            </w:pPr>
          </w:p>
          <w:p w14:paraId="226C9AB4" w14:textId="77777777" w:rsidR="00306A7F" w:rsidRDefault="00306A7F" w:rsidP="00306A7F">
            <w:pPr>
              <w:rPr>
                <w:rFonts w:ascii="Arial" w:hAnsi="Arial" w:cs="Arial"/>
              </w:rPr>
            </w:pPr>
            <w:r w:rsidRPr="00F638D3">
              <w:rPr>
                <w:rFonts w:ascii="Arial" w:hAnsi="Arial" w:cs="Arial"/>
              </w:rPr>
              <w:t>The CCSC can play a role in advocating for funding from NIH, PCORI, AHRQ and other funding agencies</w:t>
            </w:r>
          </w:p>
          <w:p w14:paraId="45B08696" w14:textId="77777777" w:rsidR="00306A7F" w:rsidRDefault="00306A7F" w:rsidP="009917F8">
            <w:pPr>
              <w:pStyle w:val="Default"/>
              <w:rPr>
                <w:rFonts w:ascii="Arial" w:hAnsi="Arial" w:cs="Arial"/>
                <w:sz w:val="22"/>
                <w:szCs w:val="22"/>
              </w:rPr>
            </w:pPr>
          </w:p>
        </w:tc>
      </w:tr>
    </w:tbl>
    <w:p w14:paraId="702AFC27" w14:textId="737486D4" w:rsidR="00386080" w:rsidRPr="00F901D9" w:rsidRDefault="00386080" w:rsidP="00C85D58">
      <w:pPr>
        <w:rPr>
          <w:rFonts w:ascii="Arial" w:hAnsi="Arial" w:cs="Arial"/>
        </w:rPr>
      </w:pPr>
    </w:p>
    <w:sectPr w:rsidR="00386080" w:rsidRPr="00F901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3EE3" w14:textId="77777777" w:rsidR="00E40357" w:rsidRDefault="00E40357" w:rsidP="007D3406">
      <w:pPr>
        <w:spacing w:after="0" w:line="240" w:lineRule="auto"/>
      </w:pPr>
      <w:r>
        <w:separator/>
      </w:r>
    </w:p>
  </w:endnote>
  <w:endnote w:type="continuationSeparator" w:id="0">
    <w:p w14:paraId="66213BD4" w14:textId="77777777" w:rsidR="00E40357" w:rsidRDefault="00E40357" w:rsidP="007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0646" w14:textId="77777777" w:rsidR="00E40357" w:rsidRDefault="00E40357" w:rsidP="007D3406">
      <w:pPr>
        <w:spacing w:after="0" w:line="240" w:lineRule="auto"/>
      </w:pPr>
      <w:r>
        <w:separator/>
      </w:r>
    </w:p>
  </w:footnote>
  <w:footnote w:type="continuationSeparator" w:id="0">
    <w:p w14:paraId="7EBBE36F" w14:textId="77777777" w:rsidR="00E40357" w:rsidRDefault="00E40357" w:rsidP="007D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128603"/>
      <w:docPartObj>
        <w:docPartGallery w:val="Page Numbers (Top of Page)"/>
        <w:docPartUnique/>
      </w:docPartObj>
    </w:sdtPr>
    <w:sdtEndPr>
      <w:rPr>
        <w:noProof/>
      </w:rPr>
    </w:sdtEndPr>
    <w:sdtContent>
      <w:p w14:paraId="620DEED9" w14:textId="3E2EE092" w:rsidR="003815B4" w:rsidRDefault="003815B4">
        <w:pPr>
          <w:pStyle w:val="Header"/>
          <w:jc w:val="right"/>
        </w:pPr>
        <w:r>
          <w:fldChar w:fldCharType="begin"/>
        </w:r>
        <w:r>
          <w:instrText xml:space="preserve"> PAGE   \* MERGEFORMAT </w:instrText>
        </w:r>
        <w:r>
          <w:fldChar w:fldCharType="separate"/>
        </w:r>
        <w:r w:rsidR="007A56A4">
          <w:rPr>
            <w:noProof/>
          </w:rPr>
          <w:t>19</w:t>
        </w:r>
        <w:r>
          <w:rPr>
            <w:noProof/>
          </w:rPr>
          <w:fldChar w:fldCharType="end"/>
        </w:r>
      </w:p>
    </w:sdtContent>
  </w:sdt>
  <w:p w14:paraId="4B90E5FB" w14:textId="77777777" w:rsidR="003815B4" w:rsidRDefault="0038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2BA9"/>
    <w:multiLevelType w:val="hybridMultilevel"/>
    <w:tmpl w:val="6BB8EFAC"/>
    <w:lvl w:ilvl="0" w:tplc="D2FA59A4">
      <w:start w:val="1"/>
      <w:numFmt w:val="decimal"/>
      <w:lvlText w:val="%1."/>
      <w:lvlJc w:val="left"/>
      <w:pPr>
        <w:ind w:left="720" w:hanging="360"/>
      </w:pPr>
      <w:rPr>
        <w:rFonts w:hint="default"/>
        <w:b w:val="0"/>
        <w:i w:val="0"/>
        <w:caps w:val="0"/>
        <w:strike w:val="0"/>
        <w:dstrike w:val="0"/>
        <w:vanish w:val="0"/>
        <w:color w:val="auto"/>
        <w:sz w:val="24"/>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F0DDB"/>
    <w:multiLevelType w:val="multilevel"/>
    <w:tmpl w:val="8502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37A24"/>
    <w:multiLevelType w:val="multilevel"/>
    <w:tmpl w:val="0186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B4"/>
    <w:rsid w:val="00006B28"/>
    <w:rsid w:val="00007877"/>
    <w:rsid w:val="00012FB3"/>
    <w:rsid w:val="00023C3F"/>
    <w:rsid w:val="00025AC2"/>
    <w:rsid w:val="00035640"/>
    <w:rsid w:val="00047B32"/>
    <w:rsid w:val="00083526"/>
    <w:rsid w:val="000A07F0"/>
    <w:rsid w:val="000A3C0E"/>
    <w:rsid w:val="000A737F"/>
    <w:rsid w:val="000B1612"/>
    <w:rsid w:val="000B3300"/>
    <w:rsid w:val="000C1D37"/>
    <w:rsid w:val="000C55AF"/>
    <w:rsid w:val="000C5997"/>
    <w:rsid w:val="000E1F75"/>
    <w:rsid w:val="000F2314"/>
    <w:rsid w:val="000F77B5"/>
    <w:rsid w:val="0012121E"/>
    <w:rsid w:val="00126411"/>
    <w:rsid w:val="00133F81"/>
    <w:rsid w:val="00150C88"/>
    <w:rsid w:val="00166A93"/>
    <w:rsid w:val="001671BF"/>
    <w:rsid w:val="00167D21"/>
    <w:rsid w:val="00170058"/>
    <w:rsid w:val="00180578"/>
    <w:rsid w:val="0018182E"/>
    <w:rsid w:val="001831FC"/>
    <w:rsid w:val="00184401"/>
    <w:rsid w:val="0019109A"/>
    <w:rsid w:val="001B0C1B"/>
    <w:rsid w:val="001B1820"/>
    <w:rsid w:val="001B315C"/>
    <w:rsid w:val="001C5531"/>
    <w:rsid w:val="001D1A65"/>
    <w:rsid w:val="001F5A56"/>
    <w:rsid w:val="002172FC"/>
    <w:rsid w:val="002412E3"/>
    <w:rsid w:val="00245560"/>
    <w:rsid w:val="002614AF"/>
    <w:rsid w:val="00293727"/>
    <w:rsid w:val="00295D49"/>
    <w:rsid w:val="00296E2E"/>
    <w:rsid w:val="002A1FF6"/>
    <w:rsid w:val="002A336F"/>
    <w:rsid w:val="002A65E6"/>
    <w:rsid w:val="002D33F7"/>
    <w:rsid w:val="002E3BE2"/>
    <w:rsid w:val="002F31D2"/>
    <w:rsid w:val="002F32C6"/>
    <w:rsid w:val="003062AF"/>
    <w:rsid w:val="00306A7F"/>
    <w:rsid w:val="00316682"/>
    <w:rsid w:val="00357243"/>
    <w:rsid w:val="00370AC9"/>
    <w:rsid w:val="00374E6D"/>
    <w:rsid w:val="0037713B"/>
    <w:rsid w:val="00380999"/>
    <w:rsid w:val="003815B4"/>
    <w:rsid w:val="00386080"/>
    <w:rsid w:val="00386227"/>
    <w:rsid w:val="003913A8"/>
    <w:rsid w:val="003A3F66"/>
    <w:rsid w:val="003A5876"/>
    <w:rsid w:val="003B00D1"/>
    <w:rsid w:val="003B2346"/>
    <w:rsid w:val="003C4BF6"/>
    <w:rsid w:val="003C65CE"/>
    <w:rsid w:val="003D24DF"/>
    <w:rsid w:val="003E2B2E"/>
    <w:rsid w:val="003E3A53"/>
    <w:rsid w:val="003E75E6"/>
    <w:rsid w:val="00401586"/>
    <w:rsid w:val="0040522E"/>
    <w:rsid w:val="00405F57"/>
    <w:rsid w:val="00424C6A"/>
    <w:rsid w:val="00437369"/>
    <w:rsid w:val="0045518C"/>
    <w:rsid w:val="00463089"/>
    <w:rsid w:val="00471930"/>
    <w:rsid w:val="004749AB"/>
    <w:rsid w:val="004C3DCA"/>
    <w:rsid w:val="004C657F"/>
    <w:rsid w:val="004C6586"/>
    <w:rsid w:val="004D57ED"/>
    <w:rsid w:val="004E4995"/>
    <w:rsid w:val="004F5F23"/>
    <w:rsid w:val="00521B1F"/>
    <w:rsid w:val="00540780"/>
    <w:rsid w:val="00550499"/>
    <w:rsid w:val="00571EA8"/>
    <w:rsid w:val="00572678"/>
    <w:rsid w:val="00573073"/>
    <w:rsid w:val="00575023"/>
    <w:rsid w:val="005834EA"/>
    <w:rsid w:val="00593BB2"/>
    <w:rsid w:val="005B4CDB"/>
    <w:rsid w:val="005F25C8"/>
    <w:rsid w:val="005F2F3D"/>
    <w:rsid w:val="005F6E74"/>
    <w:rsid w:val="005F7580"/>
    <w:rsid w:val="00603D04"/>
    <w:rsid w:val="006042E7"/>
    <w:rsid w:val="006049EB"/>
    <w:rsid w:val="00620E47"/>
    <w:rsid w:val="00623A24"/>
    <w:rsid w:val="00630B73"/>
    <w:rsid w:val="00644ABB"/>
    <w:rsid w:val="00672624"/>
    <w:rsid w:val="00672DCF"/>
    <w:rsid w:val="00673047"/>
    <w:rsid w:val="00684B69"/>
    <w:rsid w:val="00684EA3"/>
    <w:rsid w:val="006900A6"/>
    <w:rsid w:val="00692322"/>
    <w:rsid w:val="006A1965"/>
    <w:rsid w:val="006B1D12"/>
    <w:rsid w:val="006B1FAC"/>
    <w:rsid w:val="006D6E11"/>
    <w:rsid w:val="006E5384"/>
    <w:rsid w:val="006F4A1F"/>
    <w:rsid w:val="00701A93"/>
    <w:rsid w:val="00704C7D"/>
    <w:rsid w:val="007106EC"/>
    <w:rsid w:val="00713EAE"/>
    <w:rsid w:val="00724880"/>
    <w:rsid w:val="00725999"/>
    <w:rsid w:val="007439D1"/>
    <w:rsid w:val="0074616E"/>
    <w:rsid w:val="0074746D"/>
    <w:rsid w:val="007773F2"/>
    <w:rsid w:val="00780F8C"/>
    <w:rsid w:val="00791DCB"/>
    <w:rsid w:val="007A56A4"/>
    <w:rsid w:val="007A6AE9"/>
    <w:rsid w:val="007A7CE5"/>
    <w:rsid w:val="007B702A"/>
    <w:rsid w:val="007D3406"/>
    <w:rsid w:val="007F4CF0"/>
    <w:rsid w:val="008031F0"/>
    <w:rsid w:val="0080388D"/>
    <w:rsid w:val="00816416"/>
    <w:rsid w:val="008203FF"/>
    <w:rsid w:val="00837327"/>
    <w:rsid w:val="008429AF"/>
    <w:rsid w:val="0085108F"/>
    <w:rsid w:val="0085287C"/>
    <w:rsid w:val="008606CD"/>
    <w:rsid w:val="008639AA"/>
    <w:rsid w:val="00864AEA"/>
    <w:rsid w:val="008667EA"/>
    <w:rsid w:val="00880311"/>
    <w:rsid w:val="00880988"/>
    <w:rsid w:val="008859FF"/>
    <w:rsid w:val="00891C61"/>
    <w:rsid w:val="00892FA3"/>
    <w:rsid w:val="00897F30"/>
    <w:rsid w:val="008B342D"/>
    <w:rsid w:val="008B5539"/>
    <w:rsid w:val="008F0727"/>
    <w:rsid w:val="008F14A9"/>
    <w:rsid w:val="008F4418"/>
    <w:rsid w:val="00917B62"/>
    <w:rsid w:val="009231CB"/>
    <w:rsid w:val="00926F34"/>
    <w:rsid w:val="00931002"/>
    <w:rsid w:val="00931328"/>
    <w:rsid w:val="00934FAB"/>
    <w:rsid w:val="009377B9"/>
    <w:rsid w:val="009378F5"/>
    <w:rsid w:val="0094017E"/>
    <w:rsid w:val="0094317C"/>
    <w:rsid w:val="009459EF"/>
    <w:rsid w:val="00950214"/>
    <w:rsid w:val="0095206A"/>
    <w:rsid w:val="00960B5A"/>
    <w:rsid w:val="00975125"/>
    <w:rsid w:val="009753DB"/>
    <w:rsid w:val="009811BE"/>
    <w:rsid w:val="00994897"/>
    <w:rsid w:val="009A29FF"/>
    <w:rsid w:val="009B4BC7"/>
    <w:rsid w:val="009C1853"/>
    <w:rsid w:val="009E4375"/>
    <w:rsid w:val="009F0450"/>
    <w:rsid w:val="009F36DE"/>
    <w:rsid w:val="00A009A0"/>
    <w:rsid w:val="00A110F0"/>
    <w:rsid w:val="00A12F45"/>
    <w:rsid w:val="00A16380"/>
    <w:rsid w:val="00A2034A"/>
    <w:rsid w:val="00A23743"/>
    <w:rsid w:val="00A25F4E"/>
    <w:rsid w:val="00A35E9A"/>
    <w:rsid w:val="00A50BB9"/>
    <w:rsid w:val="00A53AFE"/>
    <w:rsid w:val="00A64BFC"/>
    <w:rsid w:val="00A7180F"/>
    <w:rsid w:val="00A92255"/>
    <w:rsid w:val="00A928C5"/>
    <w:rsid w:val="00A96440"/>
    <w:rsid w:val="00A97347"/>
    <w:rsid w:val="00A97E5D"/>
    <w:rsid w:val="00AA4812"/>
    <w:rsid w:val="00AA7E41"/>
    <w:rsid w:val="00AB73E0"/>
    <w:rsid w:val="00AC474C"/>
    <w:rsid w:val="00AC581D"/>
    <w:rsid w:val="00AD3018"/>
    <w:rsid w:val="00AF22C6"/>
    <w:rsid w:val="00B00780"/>
    <w:rsid w:val="00B10FA0"/>
    <w:rsid w:val="00B12926"/>
    <w:rsid w:val="00B16858"/>
    <w:rsid w:val="00B2034D"/>
    <w:rsid w:val="00B23F8E"/>
    <w:rsid w:val="00B264CD"/>
    <w:rsid w:val="00B36930"/>
    <w:rsid w:val="00B46EDD"/>
    <w:rsid w:val="00B46F19"/>
    <w:rsid w:val="00B55642"/>
    <w:rsid w:val="00B67789"/>
    <w:rsid w:val="00B73A20"/>
    <w:rsid w:val="00B740B6"/>
    <w:rsid w:val="00B855D3"/>
    <w:rsid w:val="00B8569A"/>
    <w:rsid w:val="00B862CF"/>
    <w:rsid w:val="00B872EE"/>
    <w:rsid w:val="00B92799"/>
    <w:rsid w:val="00B97A44"/>
    <w:rsid w:val="00BB0DC5"/>
    <w:rsid w:val="00BB2361"/>
    <w:rsid w:val="00BB7EC7"/>
    <w:rsid w:val="00BD0C2D"/>
    <w:rsid w:val="00BE5A3E"/>
    <w:rsid w:val="00BF27AE"/>
    <w:rsid w:val="00BF6A35"/>
    <w:rsid w:val="00C025A7"/>
    <w:rsid w:val="00C030DE"/>
    <w:rsid w:val="00C11513"/>
    <w:rsid w:val="00C12C9A"/>
    <w:rsid w:val="00C1584B"/>
    <w:rsid w:val="00C243E4"/>
    <w:rsid w:val="00C2574B"/>
    <w:rsid w:val="00C261F3"/>
    <w:rsid w:val="00C31554"/>
    <w:rsid w:val="00C316C8"/>
    <w:rsid w:val="00C4643F"/>
    <w:rsid w:val="00C50DAC"/>
    <w:rsid w:val="00C6257B"/>
    <w:rsid w:val="00C66C8F"/>
    <w:rsid w:val="00C704EC"/>
    <w:rsid w:val="00C73EA0"/>
    <w:rsid w:val="00C75D06"/>
    <w:rsid w:val="00C85D58"/>
    <w:rsid w:val="00C924D4"/>
    <w:rsid w:val="00C938F6"/>
    <w:rsid w:val="00CA0AF3"/>
    <w:rsid w:val="00CC26E1"/>
    <w:rsid w:val="00CC2A45"/>
    <w:rsid w:val="00CD020F"/>
    <w:rsid w:val="00CD1E3A"/>
    <w:rsid w:val="00CD21B3"/>
    <w:rsid w:val="00CE274F"/>
    <w:rsid w:val="00CF4DB9"/>
    <w:rsid w:val="00D034DE"/>
    <w:rsid w:val="00D1112A"/>
    <w:rsid w:val="00D27E3F"/>
    <w:rsid w:val="00D54E02"/>
    <w:rsid w:val="00D567E8"/>
    <w:rsid w:val="00D65E80"/>
    <w:rsid w:val="00D7122C"/>
    <w:rsid w:val="00D90911"/>
    <w:rsid w:val="00D934B4"/>
    <w:rsid w:val="00D93A09"/>
    <w:rsid w:val="00D95FC9"/>
    <w:rsid w:val="00DA46E5"/>
    <w:rsid w:val="00DD7285"/>
    <w:rsid w:val="00DD7A26"/>
    <w:rsid w:val="00DF1721"/>
    <w:rsid w:val="00E06469"/>
    <w:rsid w:val="00E12B36"/>
    <w:rsid w:val="00E1798A"/>
    <w:rsid w:val="00E27F5B"/>
    <w:rsid w:val="00E31C4D"/>
    <w:rsid w:val="00E34815"/>
    <w:rsid w:val="00E40357"/>
    <w:rsid w:val="00E41A88"/>
    <w:rsid w:val="00E43AF8"/>
    <w:rsid w:val="00E4724F"/>
    <w:rsid w:val="00E510C5"/>
    <w:rsid w:val="00E623DC"/>
    <w:rsid w:val="00E64BE2"/>
    <w:rsid w:val="00EA4560"/>
    <w:rsid w:val="00EB236C"/>
    <w:rsid w:val="00EC1FEB"/>
    <w:rsid w:val="00ED1854"/>
    <w:rsid w:val="00ED5238"/>
    <w:rsid w:val="00ED64D2"/>
    <w:rsid w:val="00ED7CC9"/>
    <w:rsid w:val="00EE11EA"/>
    <w:rsid w:val="00F0536F"/>
    <w:rsid w:val="00F05F70"/>
    <w:rsid w:val="00F06205"/>
    <w:rsid w:val="00F1082C"/>
    <w:rsid w:val="00F14529"/>
    <w:rsid w:val="00F16343"/>
    <w:rsid w:val="00F20E08"/>
    <w:rsid w:val="00F27CDA"/>
    <w:rsid w:val="00F33748"/>
    <w:rsid w:val="00F3375C"/>
    <w:rsid w:val="00F40D58"/>
    <w:rsid w:val="00F450DC"/>
    <w:rsid w:val="00F46783"/>
    <w:rsid w:val="00F50627"/>
    <w:rsid w:val="00F51089"/>
    <w:rsid w:val="00F61E19"/>
    <w:rsid w:val="00F638D3"/>
    <w:rsid w:val="00F6798C"/>
    <w:rsid w:val="00F75C6B"/>
    <w:rsid w:val="00F76087"/>
    <w:rsid w:val="00F800CB"/>
    <w:rsid w:val="00F847E7"/>
    <w:rsid w:val="00F901D9"/>
    <w:rsid w:val="00F953D7"/>
    <w:rsid w:val="00FA7802"/>
    <w:rsid w:val="00FB4626"/>
    <w:rsid w:val="00FB4FF3"/>
    <w:rsid w:val="00FC2A69"/>
    <w:rsid w:val="00FD24D4"/>
    <w:rsid w:val="00FD2A8C"/>
    <w:rsid w:val="00FE05E4"/>
    <w:rsid w:val="00FE40C2"/>
    <w:rsid w:val="00FF6289"/>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795C"/>
  <w15:docId w15:val="{BE70174F-A83D-418D-8853-C6F629FD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526"/>
    <w:pPr>
      <w:ind w:left="720"/>
      <w:contextualSpacing/>
    </w:pPr>
  </w:style>
  <w:style w:type="character" w:styleId="Hyperlink">
    <w:name w:val="Hyperlink"/>
    <w:basedOn w:val="DefaultParagraphFont"/>
    <w:uiPriority w:val="99"/>
    <w:unhideWhenUsed/>
    <w:rsid w:val="000C1D37"/>
    <w:rPr>
      <w:color w:val="0000FF"/>
      <w:u w:val="single"/>
    </w:rPr>
  </w:style>
  <w:style w:type="character" w:styleId="FollowedHyperlink">
    <w:name w:val="FollowedHyperlink"/>
    <w:basedOn w:val="DefaultParagraphFont"/>
    <w:uiPriority w:val="99"/>
    <w:semiHidden/>
    <w:unhideWhenUsed/>
    <w:rsid w:val="000C1D37"/>
    <w:rPr>
      <w:color w:val="954F72" w:themeColor="followedHyperlink"/>
      <w:u w:val="single"/>
    </w:rPr>
  </w:style>
  <w:style w:type="paragraph" w:styleId="Header">
    <w:name w:val="header"/>
    <w:basedOn w:val="Normal"/>
    <w:link w:val="HeaderChar"/>
    <w:uiPriority w:val="99"/>
    <w:unhideWhenUsed/>
    <w:rsid w:val="007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06"/>
  </w:style>
  <w:style w:type="paragraph" w:styleId="Footer">
    <w:name w:val="footer"/>
    <w:basedOn w:val="Normal"/>
    <w:link w:val="FooterChar"/>
    <w:uiPriority w:val="99"/>
    <w:unhideWhenUsed/>
    <w:rsid w:val="007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06"/>
  </w:style>
  <w:style w:type="character" w:styleId="CommentReference">
    <w:name w:val="annotation reference"/>
    <w:basedOn w:val="DefaultParagraphFont"/>
    <w:uiPriority w:val="99"/>
    <w:semiHidden/>
    <w:unhideWhenUsed/>
    <w:rsid w:val="00C704EC"/>
    <w:rPr>
      <w:sz w:val="16"/>
      <w:szCs w:val="16"/>
    </w:rPr>
  </w:style>
  <w:style w:type="paragraph" w:styleId="CommentText">
    <w:name w:val="annotation text"/>
    <w:basedOn w:val="Normal"/>
    <w:link w:val="CommentTextChar"/>
    <w:uiPriority w:val="99"/>
    <w:unhideWhenUsed/>
    <w:rsid w:val="00C704EC"/>
    <w:pPr>
      <w:spacing w:line="240" w:lineRule="auto"/>
    </w:pPr>
    <w:rPr>
      <w:sz w:val="20"/>
      <w:szCs w:val="20"/>
    </w:rPr>
  </w:style>
  <w:style w:type="character" w:customStyle="1" w:styleId="CommentTextChar">
    <w:name w:val="Comment Text Char"/>
    <w:basedOn w:val="DefaultParagraphFont"/>
    <w:link w:val="CommentText"/>
    <w:uiPriority w:val="99"/>
    <w:rsid w:val="00C704EC"/>
    <w:rPr>
      <w:sz w:val="20"/>
      <w:szCs w:val="20"/>
    </w:rPr>
  </w:style>
  <w:style w:type="paragraph" w:styleId="CommentSubject">
    <w:name w:val="annotation subject"/>
    <w:basedOn w:val="CommentText"/>
    <w:next w:val="CommentText"/>
    <w:link w:val="CommentSubjectChar"/>
    <w:uiPriority w:val="99"/>
    <w:semiHidden/>
    <w:unhideWhenUsed/>
    <w:rsid w:val="00C704EC"/>
    <w:rPr>
      <w:b/>
      <w:bCs/>
    </w:rPr>
  </w:style>
  <w:style w:type="character" w:customStyle="1" w:styleId="CommentSubjectChar">
    <w:name w:val="Comment Subject Char"/>
    <w:basedOn w:val="CommentTextChar"/>
    <w:link w:val="CommentSubject"/>
    <w:uiPriority w:val="99"/>
    <w:semiHidden/>
    <w:rsid w:val="00C704EC"/>
    <w:rPr>
      <w:b/>
      <w:bCs/>
      <w:sz w:val="20"/>
      <w:szCs w:val="20"/>
    </w:rPr>
  </w:style>
  <w:style w:type="paragraph" w:styleId="BalloonText">
    <w:name w:val="Balloon Text"/>
    <w:basedOn w:val="Normal"/>
    <w:link w:val="BalloonTextChar"/>
    <w:uiPriority w:val="99"/>
    <w:semiHidden/>
    <w:unhideWhenUsed/>
    <w:rsid w:val="00C7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EC"/>
    <w:rPr>
      <w:rFonts w:ascii="Segoe UI" w:hAnsi="Segoe UI" w:cs="Segoe UI"/>
      <w:sz w:val="18"/>
      <w:szCs w:val="18"/>
    </w:rPr>
  </w:style>
  <w:style w:type="paragraph" w:customStyle="1" w:styleId="Default">
    <w:name w:val="Default"/>
    <w:rsid w:val="00B8569A"/>
    <w:pPr>
      <w:autoSpaceDE w:val="0"/>
      <w:autoSpaceDN w:val="0"/>
      <w:adjustRightInd w:val="0"/>
      <w:spacing w:after="0" w:line="240" w:lineRule="auto"/>
    </w:pPr>
    <w:rPr>
      <w:rFonts w:ascii="Tahoma" w:hAnsi="Tahoma" w:cs="Tahoma"/>
      <w:color w:val="000000"/>
      <w:sz w:val="24"/>
      <w:szCs w:val="24"/>
    </w:rPr>
  </w:style>
  <w:style w:type="character" w:customStyle="1" w:styleId="slug-pub-date">
    <w:name w:val="slug-pub-date"/>
    <w:basedOn w:val="DefaultParagraphFont"/>
    <w:rsid w:val="002D33F7"/>
  </w:style>
  <w:style w:type="character" w:customStyle="1" w:styleId="slug-vol">
    <w:name w:val="slug-vol"/>
    <w:basedOn w:val="DefaultParagraphFont"/>
    <w:rsid w:val="002D33F7"/>
  </w:style>
  <w:style w:type="character" w:customStyle="1" w:styleId="slug-issue">
    <w:name w:val="slug-issue"/>
    <w:basedOn w:val="DefaultParagraphFont"/>
    <w:rsid w:val="002D33F7"/>
  </w:style>
  <w:style w:type="character" w:customStyle="1" w:styleId="slug-pages">
    <w:name w:val="slug-pages"/>
    <w:basedOn w:val="DefaultParagraphFont"/>
    <w:rsid w:val="002D33F7"/>
  </w:style>
  <w:style w:type="character" w:customStyle="1" w:styleId="current-selection">
    <w:name w:val="current-selection"/>
    <w:basedOn w:val="DefaultParagraphFont"/>
    <w:rsid w:val="009459EF"/>
  </w:style>
  <w:style w:type="character" w:customStyle="1" w:styleId="a">
    <w:name w:val="_"/>
    <w:basedOn w:val="DefaultParagraphFont"/>
    <w:rsid w:val="009459EF"/>
  </w:style>
  <w:style w:type="table" w:styleId="TableGrid">
    <w:name w:val="Table Grid"/>
    <w:basedOn w:val="TableNormal"/>
    <w:uiPriority w:val="39"/>
    <w:rsid w:val="00E4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616E"/>
    <w:rPr>
      <w:color w:val="808080"/>
      <w:shd w:val="clear" w:color="auto" w:fill="E6E6E6"/>
    </w:rPr>
  </w:style>
  <w:style w:type="paragraph" w:styleId="NormalWeb">
    <w:name w:val="Normal (Web)"/>
    <w:basedOn w:val="Normal"/>
    <w:uiPriority w:val="99"/>
    <w:semiHidden/>
    <w:unhideWhenUsed/>
    <w:rsid w:val="00F75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440">
      <w:bodyDiv w:val="1"/>
      <w:marLeft w:val="0"/>
      <w:marRight w:val="0"/>
      <w:marTop w:val="0"/>
      <w:marBottom w:val="0"/>
      <w:divBdr>
        <w:top w:val="none" w:sz="0" w:space="0" w:color="auto"/>
        <w:left w:val="none" w:sz="0" w:space="0" w:color="auto"/>
        <w:bottom w:val="none" w:sz="0" w:space="0" w:color="auto"/>
        <w:right w:val="none" w:sz="0" w:space="0" w:color="auto"/>
      </w:divBdr>
    </w:div>
    <w:div w:id="264270260">
      <w:bodyDiv w:val="1"/>
      <w:marLeft w:val="0"/>
      <w:marRight w:val="0"/>
      <w:marTop w:val="0"/>
      <w:marBottom w:val="0"/>
      <w:divBdr>
        <w:top w:val="none" w:sz="0" w:space="0" w:color="auto"/>
        <w:left w:val="none" w:sz="0" w:space="0" w:color="auto"/>
        <w:bottom w:val="none" w:sz="0" w:space="0" w:color="auto"/>
        <w:right w:val="none" w:sz="0" w:space="0" w:color="auto"/>
      </w:divBdr>
    </w:div>
    <w:div w:id="504249979">
      <w:bodyDiv w:val="1"/>
      <w:marLeft w:val="0"/>
      <w:marRight w:val="0"/>
      <w:marTop w:val="0"/>
      <w:marBottom w:val="0"/>
      <w:divBdr>
        <w:top w:val="none" w:sz="0" w:space="0" w:color="auto"/>
        <w:left w:val="none" w:sz="0" w:space="0" w:color="auto"/>
        <w:bottom w:val="none" w:sz="0" w:space="0" w:color="auto"/>
        <w:right w:val="none" w:sz="0" w:space="0" w:color="auto"/>
      </w:divBdr>
    </w:div>
    <w:div w:id="907610459">
      <w:bodyDiv w:val="1"/>
      <w:marLeft w:val="0"/>
      <w:marRight w:val="0"/>
      <w:marTop w:val="0"/>
      <w:marBottom w:val="0"/>
      <w:divBdr>
        <w:top w:val="none" w:sz="0" w:space="0" w:color="auto"/>
        <w:left w:val="none" w:sz="0" w:space="0" w:color="auto"/>
        <w:bottom w:val="none" w:sz="0" w:space="0" w:color="auto"/>
        <w:right w:val="none" w:sz="0" w:space="0" w:color="auto"/>
      </w:divBdr>
    </w:div>
    <w:div w:id="1222671043">
      <w:bodyDiv w:val="1"/>
      <w:marLeft w:val="0"/>
      <w:marRight w:val="0"/>
      <w:marTop w:val="0"/>
      <w:marBottom w:val="0"/>
      <w:divBdr>
        <w:top w:val="none" w:sz="0" w:space="0" w:color="auto"/>
        <w:left w:val="none" w:sz="0" w:space="0" w:color="auto"/>
        <w:bottom w:val="none" w:sz="0" w:space="0" w:color="auto"/>
        <w:right w:val="none" w:sz="0" w:space="0" w:color="auto"/>
      </w:divBdr>
      <w:divsChild>
        <w:div w:id="1088429465">
          <w:marLeft w:val="0"/>
          <w:marRight w:val="0"/>
          <w:marTop w:val="0"/>
          <w:marBottom w:val="225"/>
          <w:divBdr>
            <w:top w:val="none" w:sz="0" w:space="0" w:color="auto"/>
            <w:left w:val="none" w:sz="0" w:space="0" w:color="auto"/>
            <w:bottom w:val="none" w:sz="0" w:space="0" w:color="auto"/>
            <w:right w:val="none" w:sz="0" w:space="0" w:color="auto"/>
          </w:divBdr>
        </w:div>
        <w:div w:id="177042786">
          <w:marLeft w:val="0"/>
          <w:marRight w:val="0"/>
          <w:marTop w:val="0"/>
          <w:marBottom w:val="225"/>
          <w:divBdr>
            <w:top w:val="none" w:sz="0" w:space="0" w:color="auto"/>
            <w:left w:val="none" w:sz="0" w:space="0" w:color="auto"/>
            <w:bottom w:val="none" w:sz="0" w:space="0" w:color="auto"/>
            <w:right w:val="none" w:sz="0" w:space="0" w:color="auto"/>
          </w:divBdr>
        </w:div>
      </w:divsChild>
    </w:div>
    <w:div w:id="1345325423">
      <w:bodyDiv w:val="1"/>
      <w:marLeft w:val="0"/>
      <w:marRight w:val="0"/>
      <w:marTop w:val="0"/>
      <w:marBottom w:val="0"/>
      <w:divBdr>
        <w:top w:val="none" w:sz="0" w:space="0" w:color="auto"/>
        <w:left w:val="none" w:sz="0" w:space="0" w:color="auto"/>
        <w:bottom w:val="none" w:sz="0" w:space="0" w:color="auto"/>
        <w:right w:val="none" w:sz="0" w:space="0" w:color="auto"/>
      </w:divBdr>
      <w:divsChild>
        <w:div w:id="470101961">
          <w:marLeft w:val="0"/>
          <w:marRight w:val="0"/>
          <w:marTop w:val="0"/>
          <w:marBottom w:val="150"/>
          <w:divBdr>
            <w:top w:val="none" w:sz="0" w:space="0" w:color="auto"/>
            <w:left w:val="none" w:sz="0" w:space="0" w:color="auto"/>
            <w:bottom w:val="none" w:sz="0" w:space="0" w:color="auto"/>
            <w:right w:val="none" w:sz="0" w:space="0" w:color="auto"/>
          </w:divBdr>
        </w:div>
      </w:divsChild>
    </w:div>
    <w:div w:id="15040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2" ma:contentTypeDescription="Create a new document." ma:contentTypeScope="" ma:versionID="22bc7e68ea19b09ea32788e1a4cb26d5">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8e4522298ce07b1dffa4428ea8380a98"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0992B-E570-4846-A656-DC18E687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8353C-AE92-44AE-A1A7-A69814448475}">
  <ds:schemaRefs>
    <ds:schemaRef ds:uri="http://schemas.microsoft.com/sharepoint/v3/contenttype/forms"/>
  </ds:schemaRefs>
</ds:datastoreItem>
</file>

<file path=customXml/itemProps3.xml><?xml version="1.0" encoding="utf-8"?>
<ds:datastoreItem xmlns:ds="http://schemas.openxmlformats.org/officeDocument/2006/customXml" ds:itemID="{09F6CC5A-2542-4EB0-AE41-62070F7133E3}">
  <ds:schemaRefs>
    <ds:schemaRef ds:uri="http://purl.org/dc/elements/1.1/"/>
    <ds:schemaRef ds:uri="http://schemas.microsoft.com/office/2006/metadata/properties"/>
    <ds:schemaRef ds:uri="http://schemas.openxmlformats.org/package/2006/metadata/core-properties"/>
    <ds:schemaRef ds:uri="bfa70139-ae42-4297-a792-66046dc87817"/>
    <ds:schemaRef ds:uri="http://schemas.microsoft.com/office/infopath/2007/PartnerControls"/>
    <ds:schemaRef ds:uri="http://purl.org/dc/terms/"/>
    <ds:schemaRef ds:uri="176a5d19-4356-4fd8-a5bf-970fe0582d7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Kleinpell</dc:creator>
  <cp:lastModifiedBy>Baeuerlein, Christopher</cp:lastModifiedBy>
  <cp:revision>2</cp:revision>
  <cp:lastPrinted>2018-08-07T14:53:00Z</cp:lastPrinted>
  <dcterms:created xsi:type="dcterms:W3CDTF">2019-09-19T15:41:00Z</dcterms:created>
  <dcterms:modified xsi:type="dcterms:W3CDTF">2019-09-19T15:41:00Z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