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8857" w14:textId="53A69744" w:rsidR="00010C3E" w:rsidRPr="00282E3D" w:rsidRDefault="00010C3E" w:rsidP="00022BE3">
      <w:pPr>
        <w:pStyle w:val="Papardraft"/>
        <w:spacing w:line="276" w:lineRule="auto"/>
        <w:ind w:firstLine="0"/>
        <w:rPr>
          <w:b/>
          <w:bCs/>
          <w:lang w:val="en-US"/>
        </w:rPr>
      </w:pPr>
      <w:bookmarkStart w:id="0" w:name="_Hlk37691911"/>
      <w:r w:rsidRPr="00282E3D">
        <w:rPr>
          <w:b/>
          <w:bCs/>
          <w:lang w:val="en-US"/>
        </w:rPr>
        <w:t>SUPPLEMENTAL DIGITAL CONTENT</w:t>
      </w:r>
    </w:p>
    <w:p w14:paraId="3905F55A" w14:textId="77777777" w:rsidR="00022BE3" w:rsidRPr="00282E3D" w:rsidRDefault="00022BE3" w:rsidP="00E34F44">
      <w:pPr>
        <w:pStyle w:val="Papardraft"/>
        <w:spacing w:line="276" w:lineRule="auto"/>
        <w:ind w:firstLine="0"/>
        <w:jc w:val="center"/>
        <w:rPr>
          <w:b/>
          <w:bCs/>
          <w:lang w:val="en-US"/>
        </w:rPr>
      </w:pPr>
    </w:p>
    <w:p w14:paraId="0A123612" w14:textId="77777777" w:rsidR="00E34F44" w:rsidRPr="00282E3D" w:rsidRDefault="00E34F44" w:rsidP="00AA630F">
      <w:pPr>
        <w:pStyle w:val="Papardraft"/>
        <w:spacing w:line="276" w:lineRule="auto"/>
        <w:ind w:firstLine="0"/>
        <w:rPr>
          <w:b/>
          <w:bCs/>
          <w:sz w:val="22"/>
          <w:szCs w:val="22"/>
          <w:lang w:val="en-US"/>
        </w:rPr>
      </w:pPr>
    </w:p>
    <w:p w14:paraId="763D654E" w14:textId="77777777" w:rsidR="00022BE3" w:rsidRPr="00282E3D" w:rsidRDefault="00022BE3" w:rsidP="00022BE3">
      <w:pPr>
        <w:pStyle w:val="Papardraft"/>
        <w:ind w:firstLine="0"/>
        <w:rPr>
          <w:lang w:val="en-US"/>
        </w:rPr>
      </w:pPr>
      <w:r w:rsidRPr="00282E3D">
        <w:rPr>
          <w:b/>
          <w:bCs/>
          <w:lang w:val="en-US"/>
        </w:rPr>
        <w:t>Title:</w:t>
      </w:r>
      <w:r w:rsidRPr="00282E3D">
        <w:rPr>
          <w:lang w:val="en-US"/>
        </w:rPr>
        <w:t xml:space="preserve"> </w:t>
      </w:r>
    </w:p>
    <w:p w14:paraId="0D87F7CE" w14:textId="0E37301C" w:rsidR="00010C3E" w:rsidRPr="00282E3D" w:rsidRDefault="00010C3E" w:rsidP="00022BE3">
      <w:pPr>
        <w:pStyle w:val="Papardraft"/>
        <w:ind w:firstLine="0"/>
        <w:rPr>
          <w:b/>
          <w:bCs/>
          <w:lang w:val="en-US"/>
        </w:rPr>
      </w:pPr>
      <w:r w:rsidRPr="00282E3D">
        <w:rPr>
          <w:lang w:val="en-US"/>
        </w:rPr>
        <w:t>Limiting Acute kidney injury Progression In Sepsis (LAPIS): Study Protocol and Trial Simulation</w:t>
      </w:r>
    </w:p>
    <w:p w14:paraId="06042CCF" w14:textId="6DD4E1B3" w:rsidR="00A55AA4" w:rsidRPr="00282E3D" w:rsidRDefault="00A55AA4" w:rsidP="00A55AA4">
      <w:pPr>
        <w:pStyle w:val="Papardraft"/>
        <w:ind w:firstLine="0"/>
        <w:rPr>
          <w:lang w:val="en-US"/>
        </w:rPr>
      </w:pPr>
    </w:p>
    <w:p w14:paraId="208ECD6F" w14:textId="77777777" w:rsidR="00022BE3" w:rsidRPr="00282E3D" w:rsidRDefault="00022BE3" w:rsidP="00022BE3">
      <w:pPr>
        <w:pStyle w:val="Papardraft"/>
        <w:ind w:firstLine="0"/>
        <w:rPr>
          <w:b/>
          <w:bCs/>
          <w:szCs w:val="28"/>
        </w:rPr>
      </w:pPr>
      <w:r w:rsidRPr="00282E3D">
        <w:rPr>
          <w:b/>
          <w:bCs/>
          <w:szCs w:val="28"/>
        </w:rPr>
        <w:t>Authors:</w:t>
      </w:r>
    </w:p>
    <w:p w14:paraId="680DF50A" w14:textId="2C6457F3" w:rsidR="002B283E" w:rsidRPr="00282E3D" w:rsidRDefault="00A55AA4" w:rsidP="00022BE3">
      <w:pPr>
        <w:pStyle w:val="Papardraft"/>
        <w:ind w:firstLine="0"/>
        <w:rPr>
          <w:szCs w:val="28"/>
        </w:rPr>
      </w:pPr>
      <w:r w:rsidRPr="00282E3D">
        <w:rPr>
          <w:szCs w:val="28"/>
        </w:rPr>
        <w:t>Luca Molinari MD, Fabienne Heskia</w:t>
      </w:r>
      <w:r w:rsidR="00F039B8" w:rsidRPr="00282E3D">
        <w:rPr>
          <w:szCs w:val="28"/>
        </w:rPr>
        <w:t xml:space="preserve"> MS</w:t>
      </w:r>
      <w:r w:rsidRPr="00282E3D">
        <w:rPr>
          <w:szCs w:val="28"/>
        </w:rPr>
        <w:t>, Sadudee Peerapornratana MD,</w:t>
      </w:r>
    </w:p>
    <w:p w14:paraId="5FF3BC80" w14:textId="77777777" w:rsidR="002B283E" w:rsidRPr="00282E3D" w:rsidRDefault="00A55AA4" w:rsidP="00022BE3">
      <w:pPr>
        <w:pStyle w:val="Papardraft"/>
        <w:ind w:firstLine="0"/>
        <w:rPr>
          <w:szCs w:val="28"/>
          <w:lang w:val="en-US"/>
        </w:rPr>
      </w:pPr>
      <w:r w:rsidRPr="00282E3D">
        <w:rPr>
          <w:szCs w:val="28"/>
          <w:lang w:val="en-US"/>
        </w:rPr>
        <w:t>Claudio Ronco MD,</w:t>
      </w:r>
      <w:r w:rsidRPr="00282E3D">
        <w:rPr>
          <w:szCs w:val="28"/>
          <w:vertAlign w:val="superscript"/>
          <w:lang w:val="en-US"/>
        </w:rPr>
        <w:t xml:space="preserve"> </w:t>
      </w:r>
      <w:r w:rsidRPr="00282E3D">
        <w:rPr>
          <w:szCs w:val="28"/>
          <w:lang w:val="en-US"/>
        </w:rPr>
        <w:t>Louis Guzzi MD,</w:t>
      </w:r>
      <w:r w:rsidRPr="00282E3D">
        <w:rPr>
          <w:szCs w:val="28"/>
          <w:vertAlign w:val="superscript"/>
          <w:lang w:val="en-US"/>
        </w:rPr>
        <w:t xml:space="preserve"> </w:t>
      </w:r>
      <w:r w:rsidRPr="00282E3D">
        <w:rPr>
          <w:szCs w:val="28"/>
          <w:lang w:val="en-US"/>
        </w:rPr>
        <w:t>Seth Toback MD, Robert</w:t>
      </w:r>
      <w:r w:rsidRPr="00282E3D">
        <w:rPr>
          <w:lang w:val="en-US"/>
        </w:rPr>
        <w:t xml:space="preserve"> </w:t>
      </w:r>
      <w:r w:rsidRPr="00282E3D">
        <w:rPr>
          <w:szCs w:val="28"/>
          <w:lang w:val="en-US"/>
        </w:rPr>
        <w:t xml:space="preserve">Birch PhD, </w:t>
      </w:r>
    </w:p>
    <w:p w14:paraId="3D8358F0" w14:textId="77777777" w:rsidR="002B283E" w:rsidRPr="00282E3D" w:rsidRDefault="00A55AA4" w:rsidP="00022BE3">
      <w:pPr>
        <w:pStyle w:val="Papardraft"/>
        <w:ind w:firstLine="0"/>
        <w:rPr>
          <w:szCs w:val="28"/>
          <w:vertAlign w:val="superscript"/>
          <w:lang w:val="en-US"/>
        </w:rPr>
      </w:pPr>
      <w:r w:rsidRPr="00282E3D">
        <w:rPr>
          <w:szCs w:val="28"/>
          <w:lang w:val="en-US"/>
        </w:rPr>
        <w:t>Hadi Beyhaghi MD, Thomas Kwan PhD, J. Patrick Kampf PhD,</w:t>
      </w:r>
      <w:r w:rsidRPr="00282E3D">
        <w:rPr>
          <w:szCs w:val="28"/>
          <w:vertAlign w:val="superscript"/>
          <w:lang w:val="en-US"/>
        </w:rPr>
        <w:t xml:space="preserve"> </w:t>
      </w:r>
    </w:p>
    <w:p w14:paraId="612E6DC5" w14:textId="724E363B" w:rsidR="00A55AA4" w:rsidRPr="00282E3D" w:rsidRDefault="00A55AA4" w:rsidP="00022BE3">
      <w:pPr>
        <w:pStyle w:val="Papardraft"/>
        <w:ind w:firstLine="0"/>
        <w:rPr>
          <w:szCs w:val="28"/>
          <w:vertAlign w:val="superscript"/>
          <w:lang w:val="en-US"/>
        </w:rPr>
      </w:pPr>
      <w:r w:rsidRPr="00282E3D">
        <w:rPr>
          <w:szCs w:val="28"/>
          <w:lang w:val="en-US"/>
        </w:rPr>
        <w:t>Donald M. Yealy MD,</w:t>
      </w:r>
      <w:r w:rsidRPr="00282E3D">
        <w:rPr>
          <w:szCs w:val="28"/>
          <w:vertAlign w:val="superscript"/>
          <w:lang w:val="en-US"/>
        </w:rPr>
        <w:t xml:space="preserve"> </w:t>
      </w:r>
      <w:r w:rsidRPr="00282E3D">
        <w:rPr>
          <w:szCs w:val="28"/>
          <w:lang w:val="en-US"/>
        </w:rPr>
        <w:t>John A. Kellum MD, for the Sapphire and ProCESS investigators</w:t>
      </w:r>
      <w:r w:rsidR="00F31524" w:rsidRPr="00282E3D">
        <w:rPr>
          <w:szCs w:val="28"/>
          <w:lang w:val="en-US"/>
        </w:rPr>
        <w:t>.</w:t>
      </w:r>
    </w:p>
    <w:p w14:paraId="62A5104F" w14:textId="6C9782C2" w:rsidR="00A55AA4" w:rsidRPr="00282E3D" w:rsidRDefault="00A55AA4" w:rsidP="00A55AA4">
      <w:pPr>
        <w:pStyle w:val="heading2paperdraft"/>
        <w:rPr>
          <w:lang w:val="en-US"/>
        </w:rPr>
      </w:pPr>
    </w:p>
    <w:p w14:paraId="0B80456A" w14:textId="70A6E4F0" w:rsidR="00A55AA4" w:rsidRPr="00282E3D" w:rsidRDefault="00A55AA4">
      <w:pPr>
        <w:spacing w:after="160" w:line="259" w:lineRule="auto"/>
        <w:rPr>
          <w:rFonts w:ascii="Arial" w:eastAsiaTheme="minorHAnsi" w:hAnsi="Arial" w:cs="Arial"/>
          <w:b/>
          <w:kern w:val="0"/>
        </w:rPr>
      </w:pPr>
      <w:r w:rsidRPr="00282E3D">
        <w:rPr>
          <w:rFonts w:ascii="Arial" w:hAnsi="Arial" w:cs="Arial"/>
        </w:rPr>
        <w:br w:type="page"/>
      </w:r>
    </w:p>
    <w:bookmarkEnd w:id="0"/>
    <w:p w14:paraId="6EFC2CE1" w14:textId="77777777" w:rsidR="00F56B1D" w:rsidRPr="00282E3D" w:rsidRDefault="00F56B1D" w:rsidP="00F56B1D">
      <w:pPr>
        <w:pStyle w:val="Papardraft"/>
        <w:spacing w:line="276" w:lineRule="auto"/>
        <w:ind w:firstLine="0"/>
        <w:rPr>
          <w:b/>
          <w:bCs/>
          <w:lang w:val="en-US"/>
        </w:rPr>
      </w:pPr>
      <w:r w:rsidRPr="00282E3D">
        <w:rPr>
          <w:b/>
          <w:bCs/>
          <w:lang w:val="en-US"/>
        </w:rPr>
        <w:lastRenderedPageBreak/>
        <w:t>INDEX OF CONTENTS:</w:t>
      </w:r>
    </w:p>
    <w:p w14:paraId="5B52A960" w14:textId="77777777" w:rsidR="00F56B1D" w:rsidRPr="00282E3D" w:rsidRDefault="00F56B1D" w:rsidP="00F56B1D">
      <w:pPr>
        <w:pStyle w:val="Papardraft"/>
        <w:spacing w:line="276" w:lineRule="auto"/>
        <w:ind w:firstLine="0"/>
        <w:rPr>
          <w:b/>
          <w:bCs/>
          <w:lang w:val="en-US"/>
        </w:rPr>
      </w:pPr>
    </w:p>
    <w:bookmarkStart w:id="1" w:name="_Hlk53860450" w:displacedByCustomXml="next"/>
    <w:sdt>
      <w:sdtPr>
        <w:rPr>
          <w:rFonts w:ascii="Times New Roman" w:hAnsi="Times New Roman" w:cs="Times New Roman"/>
          <w:b w:val="0"/>
          <w:bCs w:val="0"/>
          <w:i w:val="0"/>
          <w:iCs w:val="0"/>
          <w:noProof w:val="0"/>
        </w:rPr>
        <w:id w:val="-657375059"/>
        <w:docPartObj>
          <w:docPartGallery w:val="Table of Contents"/>
          <w:docPartUnique/>
        </w:docPartObj>
      </w:sdtPr>
      <w:sdtEndPr>
        <w:rPr>
          <w:rFonts w:ascii="Arial" w:hAnsi="Arial" w:cs="Arial"/>
          <w:sz w:val="20"/>
          <w:szCs w:val="20"/>
        </w:rPr>
      </w:sdtEndPr>
      <w:sdtContent>
        <w:p w14:paraId="46E769FE" w14:textId="4B358011" w:rsidR="0007263F" w:rsidRPr="00282E3D" w:rsidRDefault="00F56B1D">
          <w:pPr>
            <w:pStyle w:val="TOC1"/>
            <w:rPr>
              <w:rFonts w:eastAsiaTheme="minorEastAsia"/>
              <w:b w:val="0"/>
              <w:bCs w:val="0"/>
              <w:i w:val="0"/>
              <w:iCs w:val="0"/>
              <w:kern w:val="0"/>
              <w:sz w:val="18"/>
              <w:szCs w:val="18"/>
            </w:rPr>
          </w:pPr>
          <w:r w:rsidRPr="00282E3D">
            <w:rPr>
              <w:i w:val="0"/>
              <w:iCs w:val="0"/>
              <w:sz w:val="20"/>
              <w:szCs w:val="20"/>
            </w:rPr>
            <w:fldChar w:fldCharType="begin"/>
          </w:r>
          <w:r w:rsidRPr="00282E3D">
            <w:rPr>
              <w:i w:val="0"/>
              <w:iCs w:val="0"/>
              <w:sz w:val="20"/>
              <w:szCs w:val="20"/>
            </w:rPr>
            <w:instrText xml:space="preserve"> TOC \o "1-3" \h \z \u </w:instrText>
          </w:r>
          <w:r w:rsidRPr="00282E3D">
            <w:rPr>
              <w:i w:val="0"/>
              <w:iCs w:val="0"/>
              <w:sz w:val="20"/>
              <w:szCs w:val="20"/>
            </w:rPr>
            <w:fldChar w:fldCharType="separate"/>
          </w:r>
          <w:hyperlink w:anchor="_Toc59643457" w:history="1">
            <w:r w:rsidR="0007263F" w:rsidRPr="00282E3D">
              <w:rPr>
                <w:rStyle w:val="Hyperlink"/>
                <w:i w:val="0"/>
                <w:iCs w:val="0"/>
                <w:color w:val="auto"/>
                <w:sz w:val="20"/>
                <w:szCs w:val="20"/>
              </w:rPr>
              <w:t>SUPPLEMENTAL TABLES</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_Toc59643457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3</w:t>
            </w:r>
            <w:r w:rsidR="0007263F" w:rsidRPr="00282E3D">
              <w:rPr>
                <w:b w:val="0"/>
                <w:bCs w:val="0"/>
                <w:i w:val="0"/>
                <w:iCs w:val="0"/>
                <w:webHidden/>
                <w:sz w:val="20"/>
                <w:szCs w:val="20"/>
              </w:rPr>
              <w:fldChar w:fldCharType="end"/>
            </w:r>
          </w:hyperlink>
        </w:p>
        <w:p w14:paraId="36D9FEDB" w14:textId="13CF4AEB"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58" w:history="1">
            <w:r w:rsidR="0007263F" w:rsidRPr="00282E3D">
              <w:rPr>
                <w:rStyle w:val="Hyperlink"/>
                <w:rFonts w:ascii="Arial" w:hAnsi="Arial" w:cs="Arial"/>
                <w:b/>
                <w:bCs/>
                <w:noProof/>
                <w:color w:val="auto"/>
                <w:sz w:val="20"/>
                <w:szCs w:val="20"/>
              </w:rPr>
              <w:t>Supplemental Table S1.</w:t>
            </w:r>
            <w:r w:rsidR="0007263F" w:rsidRPr="00282E3D">
              <w:rPr>
                <w:rStyle w:val="Hyperlink"/>
                <w:rFonts w:ascii="Arial" w:hAnsi="Arial" w:cs="Arial"/>
                <w:noProof/>
                <w:color w:val="auto"/>
                <w:sz w:val="20"/>
                <w:szCs w:val="20"/>
              </w:rPr>
              <w:t xml:space="preserve"> List of inclusion and exclusion criteria for LAPIS trial.</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_Toc59643458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3</w:t>
            </w:r>
            <w:r w:rsidR="0007263F" w:rsidRPr="00282E3D">
              <w:rPr>
                <w:rFonts w:ascii="Arial" w:hAnsi="Arial" w:cs="Arial"/>
                <w:noProof/>
                <w:webHidden/>
                <w:sz w:val="20"/>
                <w:szCs w:val="20"/>
              </w:rPr>
              <w:fldChar w:fldCharType="end"/>
            </w:r>
          </w:hyperlink>
        </w:p>
        <w:p w14:paraId="6412D945" w14:textId="0556FFC0"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59" w:history="1">
            <w:r w:rsidR="0007263F" w:rsidRPr="00282E3D">
              <w:rPr>
                <w:rStyle w:val="Hyperlink"/>
                <w:rFonts w:ascii="Arial" w:hAnsi="Arial" w:cs="Arial"/>
                <w:b/>
                <w:bCs/>
                <w:noProof/>
                <w:color w:val="auto"/>
                <w:sz w:val="20"/>
                <w:szCs w:val="20"/>
              </w:rPr>
              <w:t>Supplemental Table S2.</w:t>
            </w:r>
            <w:r w:rsidR="0007263F" w:rsidRPr="00282E3D">
              <w:rPr>
                <w:rStyle w:val="Hyperlink"/>
                <w:rFonts w:ascii="Arial" w:hAnsi="Arial" w:cs="Arial"/>
                <w:noProof/>
                <w:color w:val="auto"/>
                <w:sz w:val="20"/>
                <w:szCs w:val="20"/>
              </w:rPr>
              <w:t xml:space="preserve"> List of Potentially Nephrotoxic Agents.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_Toc59643459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4</w:t>
            </w:r>
            <w:r w:rsidR="0007263F" w:rsidRPr="00282E3D">
              <w:rPr>
                <w:rFonts w:ascii="Arial" w:hAnsi="Arial" w:cs="Arial"/>
                <w:noProof/>
                <w:webHidden/>
                <w:sz w:val="20"/>
                <w:szCs w:val="20"/>
              </w:rPr>
              <w:fldChar w:fldCharType="end"/>
            </w:r>
          </w:hyperlink>
        </w:p>
        <w:p w14:paraId="4226115F" w14:textId="267EE0F3"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0" w:history="1">
            <w:r w:rsidR="0007263F" w:rsidRPr="00282E3D">
              <w:rPr>
                <w:rStyle w:val="Hyperlink"/>
                <w:rFonts w:ascii="Arial" w:hAnsi="Arial" w:cs="Arial"/>
                <w:b/>
                <w:bCs/>
                <w:noProof/>
                <w:color w:val="auto"/>
                <w:sz w:val="20"/>
                <w:szCs w:val="20"/>
              </w:rPr>
              <w:t xml:space="preserve">Supplemental Table S3. </w:t>
            </w:r>
            <w:r w:rsidR="0007263F" w:rsidRPr="00282E3D">
              <w:rPr>
                <w:rStyle w:val="Hyperlink"/>
                <w:rFonts w:ascii="Arial" w:hAnsi="Arial" w:cs="Arial"/>
                <w:noProof/>
                <w:color w:val="auto"/>
                <w:sz w:val="20"/>
                <w:szCs w:val="20"/>
              </w:rPr>
              <w:t>General characteristics of the cohort from Sapphire study and comparison between patients with and without the primary endpoint.</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_Toc59643460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5</w:t>
            </w:r>
            <w:r w:rsidR="0007263F" w:rsidRPr="00282E3D">
              <w:rPr>
                <w:rFonts w:ascii="Arial" w:hAnsi="Arial" w:cs="Arial"/>
                <w:noProof/>
                <w:webHidden/>
                <w:sz w:val="20"/>
                <w:szCs w:val="20"/>
              </w:rPr>
              <w:fldChar w:fldCharType="end"/>
            </w:r>
          </w:hyperlink>
        </w:p>
        <w:p w14:paraId="4975332A" w14:textId="63C3C2F8"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1" w:history="1">
            <w:r w:rsidR="0007263F" w:rsidRPr="00282E3D">
              <w:rPr>
                <w:rStyle w:val="Hyperlink"/>
                <w:rFonts w:ascii="Arial" w:hAnsi="Arial" w:cs="Arial"/>
                <w:b/>
                <w:bCs/>
                <w:noProof/>
                <w:color w:val="auto"/>
                <w:sz w:val="20"/>
                <w:szCs w:val="20"/>
              </w:rPr>
              <w:t>Supplemental Table S4.</w:t>
            </w:r>
            <w:r w:rsidR="0007263F" w:rsidRPr="00282E3D">
              <w:rPr>
                <w:rStyle w:val="Hyperlink"/>
                <w:rFonts w:ascii="Arial" w:hAnsi="Arial" w:cs="Arial"/>
                <w:noProof/>
                <w:color w:val="auto"/>
                <w:sz w:val="20"/>
                <w:szCs w:val="20"/>
              </w:rPr>
              <w:t xml:space="preserve"> General characteristics of the cohort from ProCESS trial and comparison between patients with and without the primary endpoint.</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_Toc59643461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6</w:t>
            </w:r>
            <w:r w:rsidR="0007263F" w:rsidRPr="00282E3D">
              <w:rPr>
                <w:rFonts w:ascii="Arial" w:hAnsi="Arial" w:cs="Arial"/>
                <w:noProof/>
                <w:webHidden/>
                <w:sz w:val="20"/>
                <w:szCs w:val="20"/>
              </w:rPr>
              <w:fldChar w:fldCharType="end"/>
            </w:r>
          </w:hyperlink>
        </w:p>
        <w:p w14:paraId="3038C14E" w14:textId="2C4D29BF"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2" w:history="1">
            <w:r w:rsidR="0007263F" w:rsidRPr="00282E3D">
              <w:rPr>
                <w:rStyle w:val="Hyperlink"/>
                <w:rFonts w:ascii="Arial" w:hAnsi="Arial" w:cs="Arial"/>
                <w:b/>
                <w:bCs/>
                <w:noProof/>
                <w:color w:val="auto"/>
                <w:sz w:val="20"/>
                <w:szCs w:val="20"/>
              </w:rPr>
              <w:t>Supplemental Table S5.</w:t>
            </w:r>
            <w:r w:rsidR="0007263F" w:rsidRPr="00282E3D">
              <w:rPr>
                <w:rStyle w:val="Hyperlink"/>
                <w:rFonts w:ascii="Arial" w:hAnsi="Arial" w:cs="Arial"/>
                <w:noProof/>
                <w:color w:val="auto"/>
                <w:sz w:val="20"/>
                <w:szCs w:val="20"/>
              </w:rPr>
              <w:t xml:space="preserve"> Logistic regression in Sapphire cohort for the primary endpoint using predictors from LASSO regularization.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_Toc59643462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7</w:t>
            </w:r>
            <w:r w:rsidR="0007263F" w:rsidRPr="00282E3D">
              <w:rPr>
                <w:rFonts w:ascii="Arial" w:hAnsi="Arial" w:cs="Arial"/>
                <w:noProof/>
                <w:webHidden/>
                <w:sz w:val="20"/>
                <w:szCs w:val="20"/>
              </w:rPr>
              <w:fldChar w:fldCharType="end"/>
            </w:r>
          </w:hyperlink>
        </w:p>
        <w:p w14:paraId="0C5C8828" w14:textId="33BC8B5F"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3" w:history="1">
            <w:r w:rsidR="0007263F" w:rsidRPr="00282E3D">
              <w:rPr>
                <w:rStyle w:val="Hyperlink"/>
                <w:rFonts w:ascii="Arial" w:hAnsi="Arial" w:cs="Arial"/>
                <w:b/>
                <w:bCs/>
                <w:noProof/>
                <w:color w:val="auto"/>
                <w:sz w:val="20"/>
                <w:szCs w:val="20"/>
              </w:rPr>
              <w:t>Supplemental Table S6.</w:t>
            </w:r>
            <w:r w:rsidR="0007263F" w:rsidRPr="00282E3D">
              <w:rPr>
                <w:rStyle w:val="Hyperlink"/>
                <w:rFonts w:ascii="Arial" w:hAnsi="Arial" w:cs="Arial"/>
                <w:noProof/>
                <w:color w:val="auto"/>
                <w:sz w:val="20"/>
                <w:szCs w:val="20"/>
              </w:rPr>
              <w:t xml:space="preserve"> Logistic regression in ProCESS cohort for the primary endpoint using predictors from LASSO regularization.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_Toc59643463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8</w:t>
            </w:r>
            <w:r w:rsidR="0007263F" w:rsidRPr="00282E3D">
              <w:rPr>
                <w:rFonts w:ascii="Arial" w:hAnsi="Arial" w:cs="Arial"/>
                <w:noProof/>
                <w:webHidden/>
                <w:sz w:val="20"/>
                <w:szCs w:val="20"/>
              </w:rPr>
              <w:fldChar w:fldCharType="end"/>
            </w:r>
          </w:hyperlink>
        </w:p>
        <w:p w14:paraId="54E0308F" w14:textId="404EDC37"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4" w:history="1">
            <w:r w:rsidR="0007263F" w:rsidRPr="00282E3D">
              <w:rPr>
                <w:rStyle w:val="Hyperlink"/>
                <w:rFonts w:ascii="Arial" w:hAnsi="Arial" w:cs="Arial"/>
                <w:b/>
                <w:bCs/>
                <w:noProof/>
                <w:color w:val="auto"/>
                <w:sz w:val="20"/>
                <w:szCs w:val="20"/>
              </w:rPr>
              <w:t>Supplemental Table S7.</w:t>
            </w:r>
            <w:r w:rsidR="0007263F" w:rsidRPr="00282E3D">
              <w:rPr>
                <w:rStyle w:val="Hyperlink"/>
                <w:rFonts w:ascii="Arial" w:hAnsi="Arial" w:cs="Arial"/>
                <w:noProof/>
                <w:color w:val="auto"/>
                <w:sz w:val="20"/>
                <w:szCs w:val="20"/>
              </w:rPr>
              <w:t xml:space="preserve"> Summary of protocol simulation in ProCESS trial for patients </w:t>
            </w:r>
            <w:r w:rsidR="00F44E33" w:rsidRPr="00282E3D">
              <w:rPr>
                <w:rStyle w:val="Hyperlink"/>
                <w:rFonts w:ascii="Arial" w:hAnsi="Arial" w:cs="Arial"/>
                <w:noProof/>
                <w:color w:val="auto"/>
                <w:sz w:val="20"/>
                <w:szCs w:val="20"/>
              </w:rPr>
              <w:t xml:space="preserve">from the primary and </w:t>
            </w:r>
            <w:r w:rsidR="00E37D15" w:rsidRPr="00282E3D">
              <w:rPr>
                <w:rStyle w:val="Hyperlink"/>
                <w:rFonts w:ascii="Arial" w:hAnsi="Arial" w:cs="Arial"/>
                <w:noProof/>
                <w:color w:val="auto"/>
                <w:sz w:val="20"/>
                <w:szCs w:val="20"/>
              </w:rPr>
              <w:t>sensitivity</w:t>
            </w:r>
            <w:r w:rsidR="00F44E33" w:rsidRPr="00282E3D">
              <w:rPr>
                <w:rStyle w:val="Hyperlink"/>
                <w:rFonts w:ascii="Arial" w:hAnsi="Arial" w:cs="Arial"/>
                <w:noProof/>
                <w:color w:val="auto"/>
                <w:sz w:val="20"/>
                <w:szCs w:val="20"/>
              </w:rPr>
              <w:t xml:space="preserve"> analysis cohort</w:t>
            </w:r>
            <w:r w:rsidR="0007263F" w:rsidRPr="00282E3D">
              <w:rPr>
                <w:rStyle w:val="Hyperlink"/>
                <w:rFonts w:ascii="Arial" w:hAnsi="Arial" w:cs="Arial"/>
                <w:noProof/>
                <w:color w:val="auto"/>
                <w:sz w:val="20"/>
                <w:szCs w:val="20"/>
              </w:rPr>
              <w:t>.</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_Toc59643464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9</w:t>
            </w:r>
            <w:r w:rsidR="0007263F" w:rsidRPr="00282E3D">
              <w:rPr>
                <w:rFonts w:ascii="Arial" w:hAnsi="Arial" w:cs="Arial"/>
                <w:noProof/>
                <w:webHidden/>
                <w:sz w:val="20"/>
                <w:szCs w:val="20"/>
              </w:rPr>
              <w:fldChar w:fldCharType="end"/>
            </w:r>
          </w:hyperlink>
        </w:p>
        <w:p w14:paraId="37B3C979" w14:textId="2D9D3C09" w:rsidR="0007263F" w:rsidRPr="00282E3D" w:rsidRDefault="00282E3D">
          <w:pPr>
            <w:pStyle w:val="TOC1"/>
            <w:rPr>
              <w:rFonts w:eastAsiaTheme="minorEastAsia"/>
              <w:b w:val="0"/>
              <w:bCs w:val="0"/>
              <w:i w:val="0"/>
              <w:iCs w:val="0"/>
              <w:kern w:val="0"/>
              <w:sz w:val="18"/>
              <w:szCs w:val="18"/>
            </w:rPr>
          </w:pPr>
          <w:hyperlink w:anchor="_Toc59643465" w:history="1">
            <w:r w:rsidR="0007263F" w:rsidRPr="00282E3D">
              <w:rPr>
                <w:rStyle w:val="Hyperlink"/>
                <w:i w:val="0"/>
                <w:iCs w:val="0"/>
                <w:color w:val="auto"/>
                <w:sz w:val="20"/>
                <w:szCs w:val="20"/>
              </w:rPr>
              <w:t>SUPPLEMENTAL FIGURES</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_Toc59643465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10</w:t>
            </w:r>
            <w:r w:rsidR="0007263F" w:rsidRPr="00282E3D">
              <w:rPr>
                <w:b w:val="0"/>
                <w:bCs w:val="0"/>
                <w:i w:val="0"/>
                <w:iCs w:val="0"/>
                <w:webHidden/>
                <w:sz w:val="20"/>
                <w:szCs w:val="20"/>
              </w:rPr>
              <w:fldChar w:fldCharType="end"/>
            </w:r>
          </w:hyperlink>
        </w:p>
        <w:p w14:paraId="0744F38A" w14:textId="55B9D517"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6" w:history="1">
            <w:r w:rsidR="0007263F" w:rsidRPr="00282E3D">
              <w:rPr>
                <w:rStyle w:val="Hyperlink"/>
                <w:rFonts w:ascii="Arial" w:hAnsi="Arial" w:cs="Arial"/>
                <w:b/>
                <w:bCs/>
                <w:noProof/>
                <w:color w:val="auto"/>
                <w:sz w:val="20"/>
                <w:szCs w:val="20"/>
              </w:rPr>
              <w:t>Supplemental Figure S1.</w:t>
            </w:r>
            <w:r w:rsidR="0007263F" w:rsidRPr="00282E3D">
              <w:rPr>
                <w:rStyle w:val="Hyperlink"/>
                <w:rFonts w:ascii="Arial" w:hAnsi="Arial" w:cs="Arial"/>
                <w:noProof/>
                <w:color w:val="auto"/>
                <w:sz w:val="20"/>
                <w:szCs w:val="20"/>
              </w:rPr>
              <w:t xml:space="preserve"> Experimental plan.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_Toc59643466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10</w:t>
            </w:r>
            <w:r w:rsidR="0007263F" w:rsidRPr="00282E3D">
              <w:rPr>
                <w:rFonts w:ascii="Arial" w:hAnsi="Arial" w:cs="Arial"/>
                <w:noProof/>
                <w:webHidden/>
                <w:sz w:val="20"/>
                <w:szCs w:val="20"/>
              </w:rPr>
              <w:fldChar w:fldCharType="end"/>
            </w:r>
          </w:hyperlink>
        </w:p>
        <w:p w14:paraId="7B3F9AAB" w14:textId="649BCA58"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7" w:history="1">
            <w:r w:rsidR="0007263F" w:rsidRPr="00282E3D">
              <w:rPr>
                <w:rStyle w:val="Hyperlink"/>
                <w:rFonts w:ascii="Arial" w:hAnsi="Arial" w:cs="Arial"/>
                <w:b/>
                <w:bCs/>
                <w:noProof/>
                <w:color w:val="auto"/>
                <w:sz w:val="20"/>
                <w:szCs w:val="20"/>
              </w:rPr>
              <w:t>Supplemental Figure S2.</w:t>
            </w:r>
            <w:r w:rsidR="0007263F" w:rsidRPr="00282E3D">
              <w:rPr>
                <w:rStyle w:val="Hyperlink"/>
                <w:rFonts w:ascii="Arial" w:hAnsi="Arial" w:cs="Arial"/>
                <w:noProof/>
                <w:color w:val="auto"/>
                <w:sz w:val="20"/>
                <w:szCs w:val="20"/>
              </w:rPr>
              <w:t xml:space="preserve"> Study Design.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_Toc59643467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11</w:t>
            </w:r>
            <w:r w:rsidR="0007263F" w:rsidRPr="00282E3D">
              <w:rPr>
                <w:rFonts w:ascii="Arial" w:hAnsi="Arial" w:cs="Arial"/>
                <w:noProof/>
                <w:webHidden/>
                <w:sz w:val="20"/>
                <w:szCs w:val="20"/>
              </w:rPr>
              <w:fldChar w:fldCharType="end"/>
            </w:r>
          </w:hyperlink>
        </w:p>
        <w:p w14:paraId="521D9266" w14:textId="2E770C60"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68" w:history="1">
            <w:r w:rsidR="0007263F" w:rsidRPr="00282E3D">
              <w:rPr>
                <w:rStyle w:val="Hyperlink"/>
                <w:rFonts w:ascii="Arial" w:hAnsi="Arial" w:cs="Arial"/>
                <w:b/>
                <w:bCs/>
                <w:noProof/>
                <w:color w:val="auto"/>
                <w:sz w:val="20"/>
                <w:szCs w:val="20"/>
              </w:rPr>
              <w:t>Supplemental Figure S3.</w:t>
            </w:r>
            <w:r w:rsidR="0007263F" w:rsidRPr="00282E3D">
              <w:rPr>
                <w:rStyle w:val="Hyperlink"/>
                <w:rFonts w:ascii="Arial" w:hAnsi="Arial" w:cs="Arial"/>
                <w:noProof/>
                <w:color w:val="auto"/>
                <w:sz w:val="20"/>
                <w:szCs w:val="20"/>
              </w:rPr>
              <w:t xml:space="preserve"> Protocol simulation in ProCESS trial in sensitivity analysis cohort.</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_Toc59643468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12</w:t>
            </w:r>
            <w:r w:rsidR="0007263F" w:rsidRPr="00282E3D">
              <w:rPr>
                <w:rFonts w:ascii="Arial" w:hAnsi="Arial" w:cs="Arial"/>
                <w:noProof/>
                <w:webHidden/>
                <w:sz w:val="20"/>
                <w:szCs w:val="20"/>
              </w:rPr>
              <w:fldChar w:fldCharType="end"/>
            </w:r>
          </w:hyperlink>
        </w:p>
        <w:p w14:paraId="53862BB2" w14:textId="2913CD57" w:rsidR="0007263F" w:rsidRPr="00282E3D" w:rsidRDefault="00282E3D">
          <w:pPr>
            <w:pStyle w:val="TOC1"/>
            <w:rPr>
              <w:rFonts w:eastAsiaTheme="minorEastAsia"/>
              <w:b w:val="0"/>
              <w:bCs w:val="0"/>
              <w:i w:val="0"/>
              <w:iCs w:val="0"/>
              <w:kern w:val="0"/>
              <w:sz w:val="18"/>
              <w:szCs w:val="18"/>
            </w:rPr>
          </w:pPr>
          <w:hyperlink w:anchor="_Toc59643469" w:history="1">
            <w:r w:rsidR="0007263F" w:rsidRPr="00282E3D">
              <w:rPr>
                <w:rStyle w:val="Hyperlink"/>
                <w:i w:val="0"/>
                <w:iCs w:val="0"/>
                <w:color w:val="auto"/>
                <w:sz w:val="20"/>
                <w:szCs w:val="20"/>
              </w:rPr>
              <w:t>SAPPHIRE PARTICIPATING SITES AND INVESTIGATORS</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_Toc59643469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13</w:t>
            </w:r>
            <w:r w:rsidR="0007263F" w:rsidRPr="00282E3D">
              <w:rPr>
                <w:b w:val="0"/>
                <w:bCs w:val="0"/>
                <w:i w:val="0"/>
                <w:iCs w:val="0"/>
                <w:webHidden/>
                <w:sz w:val="20"/>
                <w:szCs w:val="20"/>
              </w:rPr>
              <w:fldChar w:fldCharType="end"/>
            </w:r>
          </w:hyperlink>
        </w:p>
        <w:p w14:paraId="5D4720EE" w14:textId="1A5B8476" w:rsidR="0007263F" w:rsidRPr="00282E3D" w:rsidRDefault="00282E3D">
          <w:pPr>
            <w:pStyle w:val="TOC1"/>
            <w:rPr>
              <w:rFonts w:eastAsiaTheme="minorEastAsia"/>
              <w:b w:val="0"/>
              <w:bCs w:val="0"/>
              <w:i w:val="0"/>
              <w:iCs w:val="0"/>
              <w:kern w:val="0"/>
              <w:sz w:val="18"/>
              <w:szCs w:val="18"/>
            </w:rPr>
          </w:pPr>
          <w:hyperlink w:anchor="_Toc59643470" w:history="1">
            <w:r w:rsidR="0007263F" w:rsidRPr="00282E3D">
              <w:rPr>
                <w:rStyle w:val="Hyperlink"/>
                <w:i w:val="0"/>
                <w:iCs w:val="0"/>
                <w:color w:val="auto"/>
                <w:sz w:val="20"/>
                <w:szCs w:val="20"/>
              </w:rPr>
              <w:t>PROCESS PARTICIPATING SITES AND INVESTIGATORS</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_Toc59643470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15</w:t>
            </w:r>
            <w:r w:rsidR="0007263F" w:rsidRPr="00282E3D">
              <w:rPr>
                <w:b w:val="0"/>
                <w:bCs w:val="0"/>
                <w:i w:val="0"/>
                <w:iCs w:val="0"/>
                <w:webHidden/>
                <w:sz w:val="20"/>
                <w:szCs w:val="20"/>
              </w:rPr>
              <w:fldChar w:fldCharType="end"/>
            </w:r>
          </w:hyperlink>
        </w:p>
        <w:p w14:paraId="0CC73F6D" w14:textId="0D4A9246" w:rsidR="0007263F" w:rsidRPr="00282E3D" w:rsidRDefault="00282E3D">
          <w:pPr>
            <w:pStyle w:val="TOC1"/>
            <w:rPr>
              <w:rFonts w:eastAsiaTheme="minorEastAsia"/>
              <w:b w:val="0"/>
              <w:bCs w:val="0"/>
              <w:i w:val="0"/>
              <w:iCs w:val="0"/>
              <w:kern w:val="0"/>
              <w:sz w:val="18"/>
              <w:szCs w:val="18"/>
            </w:rPr>
          </w:pPr>
          <w:hyperlink w:anchor="_Toc59643471" w:history="1">
            <w:r w:rsidR="0007263F" w:rsidRPr="00282E3D">
              <w:rPr>
                <w:rStyle w:val="Hyperlink"/>
                <w:i w:val="0"/>
                <w:iCs w:val="0"/>
                <w:color w:val="auto"/>
                <w:sz w:val="20"/>
                <w:szCs w:val="20"/>
              </w:rPr>
              <w:t>LAPIS SIMULATION</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_Toc59643471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16</w:t>
            </w:r>
            <w:r w:rsidR="0007263F" w:rsidRPr="00282E3D">
              <w:rPr>
                <w:b w:val="0"/>
                <w:bCs w:val="0"/>
                <w:i w:val="0"/>
                <w:iCs w:val="0"/>
                <w:webHidden/>
                <w:sz w:val="20"/>
                <w:szCs w:val="20"/>
              </w:rPr>
              <w:fldChar w:fldCharType="end"/>
            </w:r>
          </w:hyperlink>
        </w:p>
        <w:p w14:paraId="52D900D4" w14:textId="3D737B77"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2" w:history="1">
            <w:r w:rsidR="0007263F" w:rsidRPr="00282E3D">
              <w:rPr>
                <w:rStyle w:val="Hyperlink"/>
                <w:rFonts w:ascii="Arial" w:hAnsi="Arial" w:cs="Arial"/>
                <w:b/>
                <w:bCs/>
                <w:noProof/>
                <w:color w:val="auto"/>
                <w:sz w:val="20"/>
                <w:szCs w:val="20"/>
              </w:rPr>
              <w:t>Methods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_Toc59643472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16</w:t>
            </w:r>
            <w:r w:rsidR="0007263F" w:rsidRPr="00282E3D">
              <w:rPr>
                <w:rFonts w:ascii="Arial" w:hAnsi="Arial" w:cs="Arial"/>
                <w:noProof/>
                <w:webHidden/>
                <w:sz w:val="20"/>
                <w:szCs w:val="20"/>
              </w:rPr>
              <w:fldChar w:fldCharType="end"/>
            </w:r>
          </w:hyperlink>
        </w:p>
        <w:p w14:paraId="6A01A2C0" w14:textId="6FB1A768"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3" w:history="1">
            <w:r w:rsidR="0007263F" w:rsidRPr="00282E3D">
              <w:rPr>
                <w:rStyle w:val="Hyperlink"/>
                <w:rFonts w:ascii="Arial" w:hAnsi="Arial" w:cs="Arial"/>
                <w:b/>
                <w:bCs/>
                <w:noProof/>
                <w:color w:val="auto"/>
                <w:sz w:val="20"/>
                <w:szCs w:val="20"/>
              </w:rPr>
              <w:t>Sensitivity analysis for ProCESS trial</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_Toc59643473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17</w:t>
            </w:r>
            <w:r w:rsidR="0007263F" w:rsidRPr="00282E3D">
              <w:rPr>
                <w:rFonts w:ascii="Arial" w:hAnsi="Arial" w:cs="Arial"/>
                <w:noProof/>
                <w:webHidden/>
                <w:sz w:val="20"/>
                <w:szCs w:val="20"/>
              </w:rPr>
              <w:fldChar w:fldCharType="end"/>
            </w:r>
          </w:hyperlink>
        </w:p>
        <w:p w14:paraId="5BCD8281" w14:textId="60E2CF71" w:rsidR="0007263F" w:rsidRPr="00282E3D" w:rsidRDefault="00282E3D">
          <w:pPr>
            <w:pStyle w:val="TOC1"/>
            <w:rPr>
              <w:rFonts w:eastAsiaTheme="minorEastAsia"/>
              <w:b w:val="0"/>
              <w:bCs w:val="0"/>
              <w:i w:val="0"/>
              <w:iCs w:val="0"/>
              <w:kern w:val="0"/>
              <w:sz w:val="18"/>
              <w:szCs w:val="18"/>
            </w:rPr>
          </w:pPr>
          <w:hyperlink w:anchor="_Toc59643474" w:history="1">
            <w:r w:rsidR="0007263F" w:rsidRPr="00282E3D">
              <w:rPr>
                <w:rStyle w:val="Hyperlink"/>
                <w:i w:val="0"/>
                <w:iCs w:val="0"/>
                <w:color w:val="auto"/>
                <w:sz w:val="20"/>
                <w:szCs w:val="20"/>
              </w:rPr>
              <w:t>LAPIS TRIAL PROTOCOL</w:t>
            </w:r>
            <w:r w:rsidR="0007263F" w:rsidRPr="00282E3D">
              <w:rPr>
                <w:b w:val="0"/>
                <w:bCs w:val="0"/>
                <w:i w:val="0"/>
                <w:iCs w:val="0"/>
                <w:webHidden/>
                <w:sz w:val="20"/>
                <w:szCs w:val="20"/>
              </w:rPr>
              <w:tab/>
            </w:r>
            <w:r w:rsidR="0007263F" w:rsidRPr="00282E3D">
              <w:rPr>
                <w:b w:val="0"/>
                <w:bCs w:val="0"/>
                <w:i w:val="0"/>
                <w:iCs w:val="0"/>
                <w:webHidden/>
                <w:sz w:val="20"/>
                <w:szCs w:val="20"/>
              </w:rPr>
              <w:fldChar w:fldCharType="begin"/>
            </w:r>
            <w:r w:rsidR="0007263F" w:rsidRPr="00282E3D">
              <w:rPr>
                <w:b w:val="0"/>
                <w:bCs w:val="0"/>
                <w:i w:val="0"/>
                <w:iCs w:val="0"/>
                <w:webHidden/>
                <w:sz w:val="20"/>
                <w:szCs w:val="20"/>
              </w:rPr>
              <w:instrText xml:space="preserve"> PAGEREF _Toc59643474 \h </w:instrText>
            </w:r>
            <w:r w:rsidR="0007263F" w:rsidRPr="00282E3D">
              <w:rPr>
                <w:b w:val="0"/>
                <w:bCs w:val="0"/>
                <w:i w:val="0"/>
                <w:iCs w:val="0"/>
                <w:webHidden/>
                <w:sz w:val="20"/>
                <w:szCs w:val="20"/>
              </w:rPr>
            </w:r>
            <w:r w:rsidR="0007263F" w:rsidRPr="00282E3D">
              <w:rPr>
                <w:b w:val="0"/>
                <w:bCs w:val="0"/>
                <w:i w:val="0"/>
                <w:iCs w:val="0"/>
                <w:webHidden/>
                <w:sz w:val="20"/>
                <w:szCs w:val="20"/>
              </w:rPr>
              <w:fldChar w:fldCharType="separate"/>
            </w:r>
            <w:r w:rsidR="0074215D" w:rsidRPr="00282E3D">
              <w:rPr>
                <w:b w:val="0"/>
                <w:bCs w:val="0"/>
                <w:i w:val="0"/>
                <w:iCs w:val="0"/>
                <w:webHidden/>
                <w:sz w:val="20"/>
                <w:szCs w:val="20"/>
              </w:rPr>
              <w:t>18</w:t>
            </w:r>
            <w:r w:rsidR="0007263F" w:rsidRPr="00282E3D">
              <w:rPr>
                <w:b w:val="0"/>
                <w:bCs w:val="0"/>
                <w:i w:val="0"/>
                <w:iCs w:val="0"/>
                <w:webHidden/>
                <w:sz w:val="20"/>
                <w:szCs w:val="20"/>
              </w:rPr>
              <w:fldChar w:fldCharType="end"/>
            </w:r>
          </w:hyperlink>
        </w:p>
        <w:p w14:paraId="76147822" w14:textId="4D8E26CF"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5" w:history="1">
            <w:r w:rsidR="0007263F" w:rsidRPr="00282E3D">
              <w:rPr>
                <w:rStyle w:val="Hyperlink"/>
                <w:rFonts w:ascii="Arial" w:hAnsi="Arial" w:cs="Arial"/>
                <w:b/>
                <w:bCs/>
                <w:noProof/>
                <w:color w:val="auto"/>
                <w:sz w:val="20"/>
                <w:szCs w:val="20"/>
              </w:rPr>
              <w:t>Objectives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_Toc59643475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18</w:t>
            </w:r>
            <w:r w:rsidR="0007263F" w:rsidRPr="00282E3D">
              <w:rPr>
                <w:rFonts w:ascii="Arial" w:hAnsi="Arial" w:cs="Arial"/>
                <w:noProof/>
                <w:webHidden/>
                <w:sz w:val="20"/>
                <w:szCs w:val="20"/>
              </w:rPr>
              <w:fldChar w:fldCharType="end"/>
            </w:r>
          </w:hyperlink>
        </w:p>
        <w:p w14:paraId="0A51B86D" w14:textId="6396D635"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6" w:history="1">
            <w:r w:rsidR="0007263F" w:rsidRPr="00282E3D">
              <w:rPr>
                <w:rStyle w:val="Hyperlink"/>
                <w:rFonts w:ascii="Arial" w:hAnsi="Arial" w:cs="Arial"/>
                <w:b/>
                <w:bCs/>
                <w:noProof/>
                <w:color w:val="auto"/>
                <w:sz w:val="20"/>
                <w:szCs w:val="20"/>
              </w:rPr>
              <w:t>Endpoints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_Toc59643476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18</w:t>
            </w:r>
            <w:r w:rsidR="0007263F" w:rsidRPr="00282E3D">
              <w:rPr>
                <w:rFonts w:ascii="Arial" w:hAnsi="Arial" w:cs="Arial"/>
                <w:noProof/>
                <w:webHidden/>
                <w:sz w:val="20"/>
                <w:szCs w:val="20"/>
              </w:rPr>
              <w:fldChar w:fldCharType="end"/>
            </w:r>
          </w:hyperlink>
        </w:p>
        <w:p w14:paraId="7C1CDBAD" w14:textId="16F1C81A"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7" w:history="1">
            <w:r w:rsidR="0007263F" w:rsidRPr="00282E3D">
              <w:rPr>
                <w:rStyle w:val="Hyperlink"/>
                <w:rFonts w:ascii="Arial" w:hAnsi="Arial" w:cs="Arial"/>
                <w:b/>
                <w:bCs/>
                <w:noProof/>
                <w:color w:val="auto"/>
                <w:sz w:val="20"/>
                <w:szCs w:val="20"/>
              </w:rPr>
              <w:t>Study Population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_Toc59643477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20</w:t>
            </w:r>
            <w:r w:rsidR="0007263F" w:rsidRPr="00282E3D">
              <w:rPr>
                <w:rFonts w:ascii="Arial" w:hAnsi="Arial" w:cs="Arial"/>
                <w:noProof/>
                <w:webHidden/>
                <w:sz w:val="20"/>
                <w:szCs w:val="20"/>
              </w:rPr>
              <w:fldChar w:fldCharType="end"/>
            </w:r>
          </w:hyperlink>
        </w:p>
        <w:p w14:paraId="7A2470E2" w14:textId="49643A01"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8" w:history="1">
            <w:r w:rsidR="0007263F" w:rsidRPr="00282E3D">
              <w:rPr>
                <w:rStyle w:val="Hyperlink"/>
                <w:rFonts w:ascii="Arial" w:hAnsi="Arial" w:cs="Arial"/>
                <w:b/>
                <w:bCs/>
                <w:noProof/>
                <w:color w:val="auto"/>
                <w:sz w:val="20"/>
                <w:szCs w:val="20"/>
              </w:rPr>
              <w:t>Study Treatments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_Toc59643478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21</w:t>
            </w:r>
            <w:r w:rsidR="0007263F" w:rsidRPr="00282E3D">
              <w:rPr>
                <w:rFonts w:ascii="Arial" w:hAnsi="Arial" w:cs="Arial"/>
                <w:noProof/>
                <w:webHidden/>
                <w:sz w:val="20"/>
                <w:szCs w:val="20"/>
              </w:rPr>
              <w:fldChar w:fldCharType="end"/>
            </w:r>
          </w:hyperlink>
        </w:p>
        <w:p w14:paraId="630B83D0" w14:textId="5DB1ADC9"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79" w:history="1">
            <w:r w:rsidR="0007263F" w:rsidRPr="00282E3D">
              <w:rPr>
                <w:rStyle w:val="Hyperlink"/>
                <w:rFonts w:ascii="Arial" w:hAnsi="Arial" w:cs="Arial"/>
                <w:b/>
                <w:bCs/>
                <w:noProof/>
                <w:color w:val="auto"/>
                <w:sz w:val="20"/>
                <w:szCs w:val="20"/>
              </w:rPr>
              <w:t>Determination of Study Reference SCr and Staging of AKI</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_Toc59643479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21</w:t>
            </w:r>
            <w:r w:rsidR="0007263F" w:rsidRPr="00282E3D">
              <w:rPr>
                <w:rFonts w:ascii="Arial" w:hAnsi="Arial" w:cs="Arial"/>
                <w:noProof/>
                <w:webHidden/>
                <w:sz w:val="20"/>
                <w:szCs w:val="20"/>
              </w:rPr>
              <w:fldChar w:fldCharType="end"/>
            </w:r>
          </w:hyperlink>
        </w:p>
        <w:p w14:paraId="4BCCAA30" w14:textId="671C340B"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0" w:history="1">
            <w:r w:rsidR="0007263F" w:rsidRPr="00282E3D">
              <w:rPr>
                <w:rStyle w:val="Hyperlink"/>
                <w:rFonts w:ascii="Arial" w:hAnsi="Arial" w:cs="Arial"/>
                <w:b/>
                <w:bCs/>
                <w:noProof/>
                <w:color w:val="auto"/>
                <w:sz w:val="20"/>
                <w:szCs w:val="20"/>
              </w:rPr>
              <w:t>Samples Collection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_Toc59643480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22</w:t>
            </w:r>
            <w:r w:rsidR="0007263F" w:rsidRPr="00282E3D">
              <w:rPr>
                <w:rFonts w:ascii="Arial" w:hAnsi="Arial" w:cs="Arial"/>
                <w:noProof/>
                <w:webHidden/>
                <w:sz w:val="20"/>
                <w:szCs w:val="20"/>
              </w:rPr>
              <w:fldChar w:fldCharType="end"/>
            </w:r>
          </w:hyperlink>
        </w:p>
        <w:p w14:paraId="05A9D54C" w14:textId="648AC3F7"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1" w:history="1">
            <w:r w:rsidR="0007263F" w:rsidRPr="00282E3D">
              <w:rPr>
                <w:rStyle w:val="Hyperlink"/>
                <w:rFonts w:ascii="Arial" w:hAnsi="Arial" w:cs="Arial"/>
                <w:b/>
                <w:bCs/>
                <w:noProof/>
                <w:color w:val="auto"/>
                <w:sz w:val="20"/>
                <w:szCs w:val="20"/>
              </w:rPr>
              <w:t>Study Interventions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_Toc59643481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23</w:t>
            </w:r>
            <w:r w:rsidR="0007263F" w:rsidRPr="00282E3D">
              <w:rPr>
                <w:rFonts w:ascii="Arial" w:hAnsi="Arial" w:cs="Arial"/>
                <w:noProof/>
                <w:webHidden/>
                <w:sz w:val="20"/>
                <w:szCs w:val="20"/>
              </w:rPr>
              <w:fldChar w:fldCharType="end"/>
            </w:r>
          </w:hyperlink>
        </w:p>
        <w:p w14:paraId="5F6880A0" w14:textId="2AA166C8"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2" w:history="1">
            <w:r w:rsidR="0007263F" w:rsidRPr="00282E3D">
              <w:rPr>
                <w:rStyle w:val="Hyperlink"/>
                <w:rFonts w:ascii="Arial" w:hAnsi="Arial" w:cs="Arial"/>
                <w:b/>
                <w:bCs/>
                <w:noProof/>
                <w:color w:val="auto"/>
                <w:sz w:val="20"/>
                <w:szCs w:val="20"/>
              </w:rPr>
              <w:t>Safety Assessment</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_Toc59643482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24</w:t>
            </w:r>
            <w:r w:rsidR="0007263F" w:rsidRPr="00282E3D">
              <w:rPr>
                <w:rFonts w:ascii="Arial" w:hAnsi="Arial" w:cs="Arial"/>
                <w:noProof/>
                <w:webHidden/>
                <w:sz w:val="20"/>
                <w:szCs w:val="20"/>
              </w:rPr>
              <w:fldChar w:fldCharType="end"/>
            </w:r>
          </w:hyperlink>
        </w:p>
        <w:p w14:paraId="471B66EC" w14:textId="789454DA"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3" w:history="1">
            <w:r w:rsidR="0007263F" w:rsidRPr="00282E3D">
              <w:rPr>
                <w:rStyle w:val="Hyperlink"/>
                <w:rFonts w:ascii="Arial" w:hAnsi="Arial" w:cs="Arial"/>
                <w:b/>
                <w:bCs/>
                <w:noProof/>
                <w:color w:val="auto"/>
                <w:sz w:val="20"/>
                <w:szCs w:val="20"/>
              </w:rPr>
              <w:t>Sample size calculation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_Toc59643483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25</w:t>
            </w:r>
            <w:r w:rsidR="0007263F" w:rsidRPr="00282E3D">
              <w:rPr>
                <w:rFonts w:ascii="Arial" w:hAnsi="Arial" w:cs="Arial"/>
                <w:noProof/>
                <w:webHidden/>
                <w:sz w:val="20"/>
                <w:szCs w:val="20"/>
              </w:rPr>
              <w:fldChar w:fldCharType="end"/>
            </w:r>
          </w:hyperlink>
        </w:p>
        <w:p w14:paraId="01483BB0" w14:textId="7D309B20"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4" w:history="1">
            <w:r w:rsidR="0007263F" w:rsidRPr="00282E3D">
              <w:rPr>
                <w:rStyle w:val="Hyperlink"/>
                <w:rFonts w:ascii="Arial" w:hAnsi="Arial" w:cs="Arial"/>
                <w:b/>
                <w:bCs/>
                <w:noProof/>
                <w:color w:val="auto"/>
                <w:sz w:val="20"/>
                <w:szCs w:val="20"/>
              </w:rPr>
              <w:t>Adaptive Changes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_Toc59643484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25</w:t>
            </w:r>
            <w:r w:rsidR="0007263F" w:rsidRPr="00282E3D">
              <w:rPr>
                <w:rFonts w:ascii="Arial" w:hAnsi="Arial" w:cs="Arial"/>
                <w:noProof/>
                <w:webHidden/>
                <w:sz w:val="20"/>
                <w:szCs w:val="20"/>
              </w:rPr>
              <w:fldChar w:fldCharType="end"/>
            </w:r>
          </w:hyperlink>
        </w:p>
        <w:p w14:paraId="4B267B25" w14:textId="66723AAD"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5" w:history="1">
            <w:r w:rsidR="0007263F" w:rsidRPr="00282E3D">
              <w:rPr>
                <w:rStyle w:val="Hyperlink"/>
                <w:rFonts w:ascii="Arial" w:hAnsi="Arial" w:cs="Arial"/>
                <w:b/>
                <w:bCs/>
                <w:noProof/>
                <w:color w:val="auto"/>
                <w:sz w:val="20"/>
                <w:szCs w:val="20"/>
              </w:rPr>
              <w:t>Analysis</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_Toc59643485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26</w:t>
            </w:r>
            <w:r w:rsidR="0007263F" w:rsidRPr="00282E3D">
              <w:rPr>
                <w:rFonts w:ascii="Arial" w:hAnsi="Arial" w:cs="Arial"/>
                <w:noProof/>
                <w:webHidden/>
                <w:sz w:val="20"/>
                <w:szCs w:val="20"/>
              </w:rPr>
              <w:fldChar w:fldCharType="end"/>
            </w:r>
          </w:hyperlink>
        </w:p>
        <w:p w14:paraId="1E4F1ABA" w14:textId="535F8A18" w:rsidR="0007263F" w:rsidRPr="00282E3D" w:rsidRDefault="00282E3D">
          <w:pPr>
            <w:pStyle w:val="TOC2"/>
            <w:tabs>
              <w:tab w:val="right" w:leader="dot" w:pos="9628"/>
            </w:tabs>
            <w:rPr>
              <w:rFonts w:ascii="Arial" w:eastAsiaTheme="minorEastAsia" w:hAnsi="Arial" w:cs="Arial"/>
              <w:noProof/>
              <w:kern w:val="0"/>
              <w:sz w:val="18"/>
              <w:szCs w:val="18"/>
            </w:rPr>
          </w:pPr>
          <w:hyperlink w:anchor="_Toc59643486" w:history="1">
            <w:r w:rsidR="0007263F" w:rsidRPr="00282E3D">
              <w:rPr>
                <w:rStyle w:val="Hyperlink"/>
                <w:rFonts w:ascii="Arial" w:hAnsi="Arial" w:cs="Arial"/>
                <w:b/>
                <w:bCs/>
                <w:noProof/>
                <w:color w:val="auto"/>
                <w:sz w:val="20"/>
                <w:szCs w:val="20"/>
              </w:rPr>
              <w:t>Process Evaluation</w:t>
            </w:r>
            <w:r w:rsidR="0007263F" w:rsidRPr="00282E3D">
              <w:rPr>
                <w:rFonts w:ascii="Arial" w:hAnsi="Arial" w:cs="Arial"/>
                <w:noProof/>
                <w:webHidden/>
                <w:sz w:val="20"/>
                <w:szCs w:val="20"/>
              </w:rPr>
              <w:tab/>
            </w:r>
            <w:r w:rsidR="0007263F" w:rsidRPr="00282E3D">
              <w:rPr>
                <w:rFonts w:ascii="Arial" w:hAnsi="Arial" w:cs="Arial"/>
                <w:noProof/>
                <w:webHidden/>
                <w:sz w:val="20"/>
                <w:szCs w:val="20"/>
              </w:rPr>
              <w:fldChar w:fldCharType="begin"/>
            </w:r>
            <w:r w:rsidR="0007263F" w:rsidRPr="00282E3D">
              <w:rPr>
                <w:rFonts w:ascii="Arial" w:hAnsi="Arial" w:cs="Arial"/>
                <w:noProof/>
                <w:webHidden/>
                <w:sz w:val="20"/>
                <w:szCs w:val="20"/>
              </w:rPr>
              <w:instrText xml:space="preserve"> PAGEREF _Toc59643486 \h </w:instrText>
            </w:r>
            <w:r w:rsidR="0007263F" w:rsidRPr="00282E3D">
              <w:rPr>
                <w:rFonts w:ascii="Arial" w:hAnsi="Arial" w:cs="Arial"/>
                <w:noProof/>
                <w:webHidden/>
                <w:sz w:val="20"/>
                <w:szCs w:val="20"/>
              </w:rPr>
            </w:r>
            <w:r w:rsidR="0007263F" w:rsidRPr="00282E3D">
              <w:rPr>
                <w:rFonts w:ascii="Arial" w:hAnsi="Arial" w:cs="Arial"/>
                <w:noProof/>
                <w:webHidden/>
                <w:sz w:val="20"/>
                <w:szCs w:val="20"/>
              </w:rPr>
              <w:fldChar w:fldCharType="separate"/>
            </w:r>
            <w:r w:rsidR="0074215D" w:rsidRPr="00282E3D">
              <w:rPr>
                <w:rFonts w:ascii="Arial" w:hAnsi="Arial" w:cs="Arial"/>
                <w:noProof/>
                <w:webHidden/>
                <w:sz w:val="20"/>
                <w:szCs w:val="20"/>
              </w:rPr>
              <w:t>27</w:t>
            </w:r>
            <w:r w:rsidR="0007263F" w:rsidRPr="00282E3D">
              <w:rPr>
                <w:rFonts w:ascii="Arial" w:hAnsi="Arial" w:cs="Arial"/>
                <w:noProof/>
                <w:webHidden/>
                <w:sz w:val="20"/>
                <w:szCs w:val="20"/>
              </w:rPr>
              <w:fldChar w:fldCharType="end"/>
            </w:r>
          </w:hyperlink>
        </w:p>
        <w:p w14:paraId="2E5B5B8F" w14:textId="5BC1202B" w:rsidR="00792E6F" w:rsidRPr="00282E3D" w:rsidRDefault="00F56B1D" w:rsidP="0007263F">
          <w:pPr>
            <w:pStyle w:val="TOC2"/>
            <w:tabs>
              <w:tab w:val="right" w:leader="dot" w:pos="9628"/>
            </w:tabs>
            <w:spacing w:line="360" w:lineRule="auto"/>
            <w:ind w:left="0"/>
            <w:rPr>
              <w:rFonts w:ascii="Arial" w:hAnsi="Arial" w:cs="Arial"/>
              <w:sz w:val="20"/>
              <w:szCs w:val="20"/>
            </w:rPr>
          </w:pPr>
          <w:r w:rsidRPr="00282E3D">
            <w:rPr>
              <w:rFonts w:ascii="Arial" w:hAnsi="Arial" w:cs="Arial"/>
              <w:sz w:val="20"/>
              <w:szCs w:val="20"/>
            </w:rPr>
            <w:fldChar w:fldCharType="end"/>
          </w:r>
        </w:p>
      </w:sdtContent>
    </w:sdt>
    <w:bookmarkEnd w:id="1" w:displacedByCustomXml="prev"/>
    <w:p w14:paraId="2D34E8C8" w14:textId="24C403B2" w:rsidR="00FC58A0" w:rsidRPr="00282E3D" w:rsidRDefault="00FC58A0" w:rsidP="00624501">
      <w:pPr>
        <w:pStyle w:val="Papardraft"/>
        <w:ind w:firstLine="0"/>
        <w:outlineLvl w:val="0"/>
        <w:rPr>
          <w:b/>
          <w:bCs/>
          <w:lang w:val="en-US"/>
        </w:rPr>
      </w:pPr>
      <w:bookmarkStart w:id="2" w:name="_Toc59032033"/>
      <w:bookmarkStart w:id="3" w:name="_Toc59643457"/>
      <w:r w:rsidRPr="00282E3D">
        <w:rPr>
          <w:b/>
          <w:bCs/>
          <w:lang w:val="en-US"/>
        </w:rPr>
        <w:lastRenderedPageBreak/>
        <w:t>SUPPLEMENTAL TABLES</w:t>
      </w:r>
      <w:bookmarkEnd w:id="2"/>
      <w:bookmarkEnd w:id="3"/>
    </w:p>
    <w:p w14:paraId="43EE0F7B" w14:textId="0BA40B2F" w:rsidR="00075858" w:rsidRPr="00282E3D" w:rsidRDefault="00D81606" w:rsidP="00075858">
      <w:pPr>
        <w:pStyle w:val="Papardraft"/>
        <w:ind w:firstLine="0"/>
        <w:outlineLvl w:val="1"/>
        <w:rPr>
          <w:lang w:val="en-US"/>
        </w:rPr>
      </w:pPr>
      <w:bookmarkStart w:id="4" w:name="_Hlk42522652"/>
      <w:bookmarkStart w:id="5" w:name="_Hlk52982797"/>
      <w:bookmarkStart w:id="6" w:name="_Toc59032034"/>
      <w:bookmarkStart w:id="7" w:name="_Toc59643458"/>
      <w:r w:rsidRPr="00282E3D">
        <w:rPr>
          <w:b/>
          <w:bCs/>
          <w:lang w:val="en-US"/>
        </w:rPr>
        <w:t xml:space="preserve">Supplemental Table </w:t>
      </w:r>
      <w:r w:rsidR="00340866" w:rsidRPr="00282E3D">
        <w:rPr>
          <w:b/>
          <w:bCs/>
          <w:lang w:val="en-US"/>
        </w:rPr>
        <w:t>S</w:t>
      </w:r>
      <w:r w:rsidRPr="00282E3D">
        <w:rPr>
          <w:b/>
          <w:bCs/>
          <w:lang w:val="en-US"/>
        </w:rPr>
        <w:t>1.</w:t>
      </w:r>
      <w:r w:rsidRPr="00282E3D">
        <w:rPr>
          <w:lang w:val="en-US"/>
        </w:rPr>
        <w:t xml:space="preserve"> List of inclusion and exclusion criteria for LAPIS trial.</w:t>
      </w:r>
      <w:bookmarkEnd w:id="4"/>
      <w:bookmarkEnd w:id="5"/>
      <w:bookmarkEnd w:id="6"/>
      <w:bookmarkEnd w:id="7"/>
    </w:p>
    <w:tbl>
      <w:tblPr>
        <w:tblStyle w:val="TableGrid"/>
        <w:tblW w:w="9634" w:type="dxa"/>
        <w:tblLayout w:type="fixed"/>
        <w:tblLook w:val="04A0" w:firstRow="1" w:lastRow="0" w:firstColumn="1" w:lastColumn="0" w:noHBand="0" w:noVBand="1"/>
      </w:tblPr>
      <w:tblGrid>
        <w:gridCol w:w="704"/>
        <w:gridCol w:w="8930"/>
      </w:tblGrid>
      <w:tr w:rsidR="00282E3D" w:rsidRPr="00282E3D" w14:paraId="64D6F692" w14:textId="77777777" w:rsidTr="00114023">
        <w:trPr>
          <w:trHeight w:val="454"/>
        </w:trPr>
        <w:tc>
          <w:tcPr>
            <w:tcW w:w="9634" w:type="dxa"/>
            <w:gridSpan w:val="2"/>
            <w:vAlign w:val="center"/>
          </w:tcPr>
          <w:p w14:paraId="1ED4CD5C"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b/>
                <w:bCs/>
                <w:sz w:val="20"/>
                <w:szCs w:val="20"/>
                <w:lang w:val="en-US"/>
              </w:rPr>
              <w:t>INCLUSION CRITERIA</w:t>
            </w:r>
          </w:p>
        </w:tc>
      </w:tr>
      <w:tr w:rsidR="00282E3D" w:rsidRPr="00282E3D" w14:paraId="50BC8AEB" w14:textId="77777777" w:rsidTr="00114023">
        <w:trPr>
          <w:trHeight w:val="454"/>
        </w:trPr>
        <w:tc>
          <w:tcPr>
            <w:tcW w:w="704" w:type="dxa"/>
            <w:vAlign w:val="center"/>
          </w:tcPr>
          <w:p w14:paraId="25BE2911"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w:t>
            </w:r>
          </w:p>
        </w:tc>
        <w:tc>
          <w:tcPr>
            <w:tcW w:w="8930" w:type="dxa"/>
            <w:vAlign w:val="center"/>
          </w:tcPr>
          <w:p w14:paraId="0B3A257B"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Male or female, 21 years of age or older</w:t>
            </w:r>
          </w:p>
        </w:tc>
      </w:tr>
      <w:tr w:rsidR="00282E3D" w:rsidRPr="00282E3D" w14:paraId="08D4AD2D" w14:textId="77777777" w:rsidTr="00114023">
        <w:trPr>
          <w:trHeight w:val="454"/>
        </w:trPr>
        <w:tc>
          <w:tcPr>
            <w:tcW w:w="704" w:type="dxa"/>
            <w:vAlign w:val="center"/>
          </w:tcPr>
          <w:p w14:paraId="6C2A2BCA"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2</w:t>
            </w:r>
          </w:p>
        </w:tc>
        <w:tc>
          <w:tcPr>
            <w:tcW w:w="8930" w:type="dxa"/>
            <w:vAlign w:val="center"/>
          </w:tcPr>
          <w:p w14:paraId="28DEDD18"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Clinical diagnosis of sepsis or septic shock per the Sepsis-3 definitions</w:t>
            </w:r>
          </w:p>
        </w:tc>
      </w:tr>
      <w:tr w:rsidR="00282E3D" w:rsidRPr="00282E3D" w14:paraId="067D7677" w14:textId="77777777" w:rsidTr="00114023">
        <w:trPr>
          <w:trHeight w:val="454"/>
        </w:trPr>
        <w:tc>
          <w:tcPr>
            <w:tcW w:w="704" w:type="dxa"/>
            <w:vAlign w:val="center"/>
          </w:tcPr>
          <w:p w14:paraId="62044773"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3</w:t>
            </w:r>
          </w:p>
        </w:tc>
        <w:tc>
          <w:tcPr>
            <w:tcW w:w="8930" w:type="dxa"/>
            <w:vAlign w:val="center"/>
          </w:tcPr>
          <w:p w14:paraId="5935F825"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Admission to the ICU or planned admission to the ICU with an expected stay in the hospital of more than 48 hours</w:t>
            </w:r>
          </w:p>
        </w:tc>
      </w:tr>
      <w:tr w:rsidR="00282E3D" w:rsidRPr="00282E3D" w14:paraId="76B86B8D" w14:textId="77777777" w:rsidTr="00114023">
        <w:trPr>
          <w:trHeight w:val="454"/>
        </w:trPr>
        <w:tc>
          <w:tcPr>
            <w:tcW w:w="704" w:type="dxa"/>
            <w:vAlign w:val="center"/>
          </w:tcPr>
          <w:p w14:paraId="1636709A"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4</w:t>
            </w:r>
          </w:p>
        </w:tc>
        <w:tc>
          <w:tcPr>
            <w:tcW w:w="8930" w:type="dxa"/>
            <w:vAlign w:val="center"/>
          </w:tcPr>
          <w:p w14:paraId="418A6E5B"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Expected to have an indwelling urinary catheter placed and kept until at least 48 hours after enrollment</w:t>
            </w:r>
          </w:p>
        </w:tc>
      </w:tr>
      <w:tr w:rsidR="00282E3D" w:rsidRPr="00282E3D" w14:paraId="79E67638" w14:textId="77777777" w:rsidTr="00114023">
        <w:trPr>
          <w:trHeight w:val="454"/>
        </w:trPr>
        <w:tc>
          <w:tcPr>
            <w:tcW w:w="704" w:type="dxa"/>
            <w:vAlign w:val="center"/>
          </w:tcPr>
          <w:p w14:paraId="1C02FFE7"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5</w:t>
            </w:r>
          </w:p>
        </w:tc>
        <w:tc>
          <w:tcPr>
            <w:tcW w:w="8930" w:type="dxa"/>
            <w:vAlign w:val="center"/>
          </w:tcPr>
          <w:p w14:paraId="3A20082D"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Patient (or legal representative, or independent physician in accordance with national law) is able and willing to provide written informed consent</w:t>
            </w:r>
          </w:p>
        </w:tc>
      </w:tr>
      <w:tr w:rsidR="00282E3D" w:rsidRPr="00282E3D" w14:paraId="01AD9F2F" w14:textId="77777777" w:rsidTr="00114023">
        <w:trPr>
          <w:trHeight w:val="454"/>
        </w:trPr>
        <w:tc>
          <w:tcPr>
            <w:tcW w:w="9634" w:type="dxa"/>
            <w:gridSpan w:val="2"/>
            <w:vAlign w:val="center"/>
          </w:tcPr>
          <w:p w14:paraId="19523450"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b/>
                <w:bCs/>
                <w:sz w:val="20"/>
                <w:szCs w:val="20"/>
                <w:lang w:val="en-US"/>
              </w:rPr>
              <w:t>EXCLUSION CRITERIA</w:t>
            </w:r>
          </w:p>
        </w:tc>
      </w:tr>
      <w:tr w:rsidR="00282E3D" w:rsidRPr="00282E3D" w14:paraId="34AF8618" w14:textId="77777777" w:rsidTr="00114023">
        <w:trPr>
          <w:trHeight w:val="454"/>
        </w:trPr>
        <w:tc>
          <w:tcPr>
            <w:tcW w:w="704" w:type="dxa"/>
            <w:vAlign w:val="center"/>
          </w:tcPr>
          <w:p w14:paraId="7CC07170"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w:t>
            </w:r>
          </w:p>
        </w:tc>
        <w:tc>
          <w:tcPr>
            <w:tcW w:w="8930" w:type="dxa"/>
            <w:vAlign w:val="center"/>
          </w:tcPr>
          <w:p w14:paraId="7DCCCBB3"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Special populations, including women with known pregnancy, prisoners, or institutionalized individuals</w:t>
            </w:r>
          </w:p>
        </w:tc>
      </w:tr>
      <w:tr w:rsidR="00282E3D" w:rsidRPr="00282E3D" w14:paraId="2A75D7CC" w14:textId="77777777" w:rsidTr="00114023">
        <w:trPr>
          <w:trHeight w:val="454"/>
        </w:trPr>
        <w:tc>
          <w:tcPr>
            <w:tcW w:w="704" w:type="dxa"/>
            <w:vAlign w:val="center"/>
          </w:tcPr>
          <w:p w14:paraId="4CB80821"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2</w:t>
            </w:r>
          </w:p>
        </w:tc>
        <w:tc>
          <w:tcPr>
            <w:tcW w:w="8930" w:type="dxa"/>
            <w:vAlign w:val="center"/>
          </w:tcPr>
          <w:p w14:paraId="4B1CC9C8"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Previous renal transplant</w:t>
            </w:r>
          </w:p>
        </w:tc>
      </w:tr>
      <w:tr w:rsidR="00282E3D" w:rsidRPr="00282E3D" w14:paraId="59B3E9E4" w14:textId="77777777" w:rsidTr="00114023">
        <w:trPr>
          <w:trHeight w:val="454"/>
        </w:trPr>
        <w:tc>
          <w:tcPr>
            <w:tcW w:w="704" w:type="dxa"/>
            <w:vAlign w:val="center"/>
          </w:tcPr>
          <w:p w14:paraId="05E4744C"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3</w:t>
            </w:r>
          </w:p>
        </w:tc>
        <w:tc>
          <w:tcPr>
            <w:tcW w:w="8930" w:type="dxa"/>
            <w:vAlign w:val="center"/>
          </w:tcPr>
          <w:p w14:paraId="284E2A27"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Stage 2 or 3 AKI at the time of screening; defined as the enrollment SCr to Study Reference SCr ratio ≥ 2.0 or enrollment SCr ≥ 4.0 mg/dL (≥ 353.6 µmol/L)</w:t>
            </w:r>
          </w:p>
        </w:tc>
      </w:tr>
      <w:tr w:rsidR="00282E3D" w:rsidRPr="00282E3D" w14:paraId="25BA4445" w14:textId="77777777" w:rsidTr="00114023">
        <w:trPr>
          <w:trHeight w:val="454"/>
        </w:trPr>
        <w:tc>
          <w:tcPr>
            <w:tcW w:w="704" w:type="dxa"/>
            <w:vAlign w:val="center"/>
          </w:tcPr>
          <w:p w14:paraId="6620B3DB"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4</w:t>
            </w:r>
          </w:p>
        </w:tc>
        <w:tc>
          <w:tcPr>
            <w:tcW w:w="8930" w:type="dxa"/>
            <w:vAlign w:val="center"/>
          </w:tcPr>
          <w:p w14:paraId="0FA0C535"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Receiving dialysis (either acute or chronic) or in imminent need of dialysis (defined as within 6 hours per attending physician judgment) at the time of enrollment</w:t>
            </w:r>
          </w:p>
        </w:tc>
      </w:tr>
      <w:tr w:rsidR="00282E3D" w:rsidRPr="00282E3D" w14:paraId="19C027AB" w14:textId="77777777" w:rsidTr="00114023">
        <w:trPr>
          <w:trHeight w:val="454"/>
        </w:trPr>
        <w:tc>
          <w:tcPr>
            <w:tcW w:w="704" w:type="dxa"/>
            <w:vAlign w:val="center"/>
          </w:tcPr>
          <w:p w14:paraId="75D9BF83"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5</w:t>
            </w:r>
          </w:p>
        </w:tc>
        <w:tc>
          <w:tcPr>
            <w:tcW w:w="8930" w:type="dxa"/>
            <w:vAlign w:val="center"/>
          </w:tcPr>
          <w:p w14:paraId="3D950A7D"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eGFR &lt; 45 mL/min/1.73 m</w:t>
            </w:r>
            <w:r w:rsidRPr="00282E3D">
              <w:rPr>
                <w:rFonts w:ascii="Arial" w:hAnsi="Arial" w:cs="Arial"/>
                <w:sz w:val="20"/>
                <w:szCs w:val="20"/>
                <w:vertAlign w:val="superscript"/>
                <w:lang w:val="en-US"/>
              </w:rPr>
              <w:t>2</w:t>
            </w:r>
            <w:r w:rsidRPr="00282E3D">
              <w:rPr>
                <w:rFonts w:ascii="Arial" w:hAnsi="Arial" w:cs="Arial"/>
                <w:sz w:val="20"/>
                <w:szCs w:val="20"/>
                <w:lang w:val="en-US"/>
              </w:rPr>
              <w:t>, calculated using the modification of diet in renal disease study formula based on the SCr measurement obtained at the time closest to enrollment</w:t>
            </w:r>
          </w:p>
        </w:tc>
      </w:tr>
      <w:tr w:rsidR="00282E3D" w:rsidRPr="00282E3D" w14:paraId="5DD725C0" w14:textId="77777777" w:rsidTr="00114023">
        <w:trPr>
          <w:trHeight w:val="454"/>
        </w:trPr>
        <w:tc>
          <w:tcPr>
            <w:tcW w:w="704" w:type="dxa"/>
            <w:vAlign w:val="center"/>
          </w:tcPr>
          <w:p w14:paraId="7BBE7ED1"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6</w:t>
            </w:r>
          </w:p>
        </w:tc>
        <w:tc>
          <w:tcPr>
            <w:tcW w:w="8930" w:type="dxa"/>
            <w:vAlign w:val="center"/>
          </w:tcPr>
          <w:p w14:paraId="561424DD"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Known ESRD or history of active nephrotic syndrome within the last 3 months</w:t>
            </w:r>
          </w:p>
        </w:tc>
      </w:tr>
      <w:tr w:rsidR="00282E3D" w:rsidRPr="00282E3D" w14:paraId="132C9D93" w14:textId="77777777" w:rsidTr="00114023">
        <w:trPr>
          <w:trHeight w:val="454"/>
        </w:trPr>
        <w:tc>
          <w:tcPr>
            <w:tcW w:w="704" w:type="dxa"/>
            <w:vAlign w:val="center"/>
          </w:tcPr>
          <w:p w14:paraId="21D00D12"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7</w:t>
            </w:r>
          </w:p>
        </w:tc>
        <w:tc>
          <w:tcPr>
            <w:tcW w:w="8930" w:type="dxa"/>
            <w:vAlign w:val="center"/>
          </w:tcPr>
          <w:p w14:paraId="4592289B"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Known Stage 2-3 AKI within the last 2 weeks</w:t>
            </w:r>
          </w:p>
        </w:tc>
      </w:tr>
      <w:tr w:rsidR="00282E3D" w:rsidRPr="00282E3D" w14:paraId="4A05EC32" w14:textId="77777777" w:rsidTr="00114023">
        <w:trPr>
          <w:trHeight w:val="454"/>
        </w:trPr>
        <w:tc>
          <w:tcPr>
            <w:tcW w:w="704" w:type="dxa"/>
            <w:vAlign w:val="center"/>
          </w:tcPr>
          <w:p w14:paraId="31A5CD05"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8</w:t>
            </w:r>
          </w:p>
        </w:tc>
        <w:tc>
          <w:tcPr>
            <w:tcW w:w="8930" w:type="dxa"/>
            <w:vAlign w:val="center"/>
          </w:tcPr>
          <w:p w14:paraId="40B710A2"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Terminally ill (defined as an expectation of death within 6 months), has a do not resuscitate order that would restrict protocol required procedures, or is being admitted only for palliative care</w:t>
            </w:r>
          </w:p>
        </w:tc>
      </w:tr>
      <w:tr w:rsidR="00282E3D" w:rsidRPr="00282E3D" w14:paraId="54556AE4" w14:textId="77777777" w:rsidTr="00114023">
        <w:trPr>
          <w:trHeight w:val="454"/>
        </w:trPr>
        <w:tc>
          <w:tcPr>
            <w:tcW w:w="704" w:type="dxa"/>
            <w:vAlign w:val="center"/>
          </w:tcPr>
          <w:p w14:paraId="60430FBB"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9</w:t>
            </w:r>
          </w:p>
        </w:tc>
        <w:tc>
          <w:tcPr>
            <w:tcW w:w="8930" w:type="dxa"/>
            <w:vAlign w:val="center"/>
          </w:tcPr>
          <w:p w14:paraId="07BF6369" w14:textId="090B2ECE"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History of organ transplant and receiving calcineurin inhibitors</w:t>
            </w:r>
          </w:p>
        </w:tc>
      </w:tr>
      <w:tr w:rsidR="00282E3D" w:rsidRPr="00282E3D" w14:paraId="790F5069" w14:textId="77777777" w:rsidTr="00114023">
        <w:trPr>
          <w:trHeight w:val="454"/>
        </w:trPr>
        <w:tc>
          <w:tcPr>
            <w:tcW w:w="704" w:type="dxa"/>
            <w:vAlign w:val="center"/>
          </w:tcPr>
          <w:p w14:paraId="6BF28C0F"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10</w:t>
            </w:r>
          </w:p>
        </w:tc>
        <w:tc>
          <w:tcPr>
            <w:tcW w:w="8930" w:type="dxa"/>
            <w:vAlign w:val="center"/>
          </w:tcPr>
          <w:p w14:paraId="52F4167B"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Documented serious allergy (i.e., anaphylaxis) to vancomycin, aminoglycosides, penicillins, or cephalosporins (intravenous or oral)</w:t>
            </w:r>
          </w:p>
        </w:tc>
      </w:tr>
      <w:tr w:rsidR="00282E3D" w:rsidRPr="00282E3D" w14:paraId="3E6366B9" w14:textId="77777777" w:rsidTr="00114023">
        <w:trPr>
          <w:trHeight w:val="454"/>
        </w:trPr>
        <w:tc>
          <w:tcPr>
            <w:tcW w:w="704" w:type="dxa"/>
            <w:vAlign w:val="center"/>
          </w:tcPr>
          <w:p w14:paraId="5B8CC347"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11</w:t>
            </w:r>
          </w:p>
        </w:tc>
        <w:tc>
          <w:tcPr>
            <w:tcW w:w="8930" w:type="dxa"/>
            <w:vAlign w:val="center"/>
          </w:tcPr>
          <w:p w14:paraId="422C73CD" w14:textId="77777777" w:rsidR="00075858" w:rsidRPr="00282E3D" w:rsidRDefault="00075858" w:rsidP="00114023">
            <w:pPr>
              <w:pStyle w:val="NoSpacing"/>
              <w:spacing w:line="276" w:lineRule="auto"/>
              <w:jc w:val="both"/>
              <w:rPr>
                <w:rFonts w:ascii="Arial" w:hAnsi="Arial" w:cs="Arial"/>
                <w:b/>
                <w:bCs/>
                <w:sz w:val="20"/>
                <w:szCs w:val="20"/>
                <w:lang w:val="en-US"/>
              </w:rPr>
            </w:pPr>
            <w:r w:rsidRPr="00282E3D">
              <w:rPr>
                <w:rFonts w:ascii="Arial" w:hAnsi="Arial" w:cs="Arial"/>
                <w:sz w:val="20"/>
                <w:szCs w:val="20"/>
                <w:lang w:val="en-US"/>
              </w:rPr>
              <w:t>Known current serum total bilirubin &gt; 4 mg/dL</w:t>
            </w:r>
          </w:p>
        </w:tc>
      </w:tr>
      <w:tr w:rsidR="00282E3D" w:rsidRPr="00282E3D" w14:paraId="17EE2A27" w14:textId="77777777" w:rsidTr="00114023">
        <w:trPr>
          <w:trHeight w:val="454"/>
        </w:trPr>
        <w:tc>
          <w:tcPr>
            <w:tcW w:w="704" w:type="dxa"/>
            <w:vAlign w:val="center"/>
          </w:tcPr>
          <w:p w14:paraId="0668AC97"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12</w:t>
            </w:r>
          </w:p>
        </w:tc>
        <w:tc>
          <w:tcPr>
            <w:tcW w:w="8930" w:type="dxa"/>
            <w:vAlign w:val="center"/>
          </w:tcPr>
          <w:p w14:paraId="78B1C71D"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 xml:space="preserve">Patients already included in an observational study can be co-enrolled in LAPIS. </w:t>
            </w:r>
          </w:p>
          <w:p w14:paraId="57308E75"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Patients already included in an interventional study may be enrolled with pre-approval of the sponsor according to the following rules:</w:t>
            </w:r>
          </w:p>
          <w:p w14:paraId="7CD60022" w14:textId="77777777" w:rsidR="00075858" w:rsidRPr="00282E3D" w:rsidRDefault="00075858" w:rsidP="00114023">
            <w:pPr>
              <w:pStyle w:val="NoSpacing"/>
              <w:numPr>
                <w:ilvl w:val="0"/>
                <w:numId w:val="38"/>
              </w:numPr>
              <w:spacing w:line="276" w:lineRule="auto"/>
              <w:jc w:val="both"/>
              <w:rPr>
                <w:rFonts w:ascii="Arial" w:hAnsi="Arial" w:cs="Arial"/>
                <w:sz w:val="20"/>
                <w:szCs w:val="20"/>
                <w:lang w:val="en-US"/>
              </w:rPr>
            </w:pPr>
            <w:r w:rsidRPr="00282E3D">
              <w:rPr>
                <w:rFonts w:ascii="Arial" w:hAnsi="Arial" w:cs="Arial"/>
                <w:sz w:val="20"/>
                <w:szCs w:val="20"/>
                <w:lang w:val="en-US"/>
              </w:rPr>
              <w:t>Co-enrollment in LAPIS will not be allowed with investigational drug and devices studies</w:t>
            </w:r>
          </w:p>
          <w:p w14:paraId="38D00C31" w14:textId="77777777" w:rsidR="00075858" w:rsidRPr="00282E3D" w:rsidRDefault="00075858" w:rsidP="00114023">
            <w:pPr>
              <w:pStyle w:val="NoSpacing"/>
              <w:numPr>
                <w:ilvl w:val="0"/>
                <w:numId w:val="38"/>
              </w:numPr>
              <w:spacing w:line="276" w:lineRule="auto"/>
              <w:jc w:val="both"/>
              <w:rPr>
                <w:rFonts w:ascii="Arial" w:hAnsi="Arial" w:cs="Arial"/>
                <w:sz w:val="20"/>
                <w:szCs w:val="20"/>
                <w:lang w:val="en-US"/>
              </w:rPr>
            </w:pPr>
            <w:r w:rsidRPr="00282E3D">
              <w:rPr>
                <w:rFonts w:ascii="Arial" w:hAnsi="Arial" w:cs="Arial"/>
                <w:sz w:val="20"/>
                <w:szCs w:val="20"/>
                <w:lang w:val="en-US"/>
              </w:rPr>
              <w:t>Studies may be allowed if AKI or kidney function is not an endpoint with pre-approval of the LAPIS sponsor</w:t>
            </w:r>
          </w:p>
          <w:p w14:paraId="207086C0" w14:textId="77777777" w:rsidR="00075858" w:rsidRPr="00282E3D" w:rsidRDefault="00075858" w:rsidP="00114023">
            <w:pPr>
              <w:pStyle w:val="NoSpacing"/>
              <w:numPr>
                <w:ilvl w:val="0"/>
                <w:numId w:val="38"/>
              </w:numPr>
              <w:spacing w:line="276" w:lineRule="auto"/>
              <w:jc w:val="both"/>
              <w:rPr>
                <w:rFonts w:ascii="Arial" w:hAnsi="Arial" w:cs="Arial"/>
                <w:b/>
                <w:bCs/>
                <w:sz w:val="20"/>
                <w:szCs w:val="20"/>
                <w:lang w:val="en-US"/>
              </w:rPr>
            </w:pPr>
            <w:r w:rsidRPr="00282E3D">
              <w:rPr>
                <w:rFonts w:ascii="Arial" w:hAnsi="Arial" w:cs="Arial"/>
                <w:sz w:val="20"/>
                <w:szCs w:val="20"/>
                <w:lang w:val="en-US"/>
              </w:rPr>
              <w:t>Co-enrollment in LAPIS will not be allowed if co-enrollment is an exclusion criterion in the other study</w:t>
            </w:r>
          </w:p>
        </w:tc>
      </w:tr>
      <w:tr w:rsidR="00075858" w:rsidRPr="00282E3D" w14:paraId="69E787A3" w14:textId="77777777" w:rsidTr="00114023">
        <w:trPr>
          <w:trHeight w:val="454"/>
        </w:trPr>
        <w:tc>
          <w:tcPr>
            <w:tcW w:w="704" w:type="dxa"/>
            <w:vAlign w:val="center"/>
          </w:tcPr>
          <w:p w14:paraId="26D3C8B3"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13</w:t>
            </w:r>
          </w:p>
        </w:tc>
        <w:tc>
          <w:tcPr>
            <w:tcW w:w="8930" w:type="dxa"/>
            <w:vAlign w:val="center"/>
          </w:tcPr>
          <w:p w14:paraId="25C74D27" w14:textId="77777777" w:rsidR="00075858" w:rsidRPr="00282E3D" w:rsidRDefault="00075858" w:rsidP="00114023">
            <w:pPr>
              <w:pStyle w:val="NoSpacing"/>
              <w:spacing w:line="276" w:lineRule="auto"/>
              <w:jc w:val="both"/>
              <w:rPr>
                <w:rFonts w:ascii="Arial" w:hAnsi="Arial" w:cs="Arial"/>
                <w:sz w:val="20"/>
                <w:szCs w:val="20"/>
                <w:lang w:val="en-US"/>
              </w:rPr>
            </w:pPr>
            <w:r w:rsidRPr="00282E3D">
              <w:rPr>
                <w:rFonts w:ascii="Arial" w:hAnsi="Arial" w:cs="Arial"/>
                <w:sz w:val="20"/>
                <w:szCs w:val="20"/>
                <w:lang w:val="en-US"/>
              </w:rPr>
              <w:t>Subjects with laboratory confirmed COVID-19 infection as the primary reason for hospital admission</w:t>
            </w:r>
          </w:p>
        </w:tc>
      </w:tr>
    </w:tbl>
    <w:p w14:paraId="2AF60A13" w14:textId="77777777" w:rsidR="00EF57E8" w:rsidRPr="00282E3D" w:rsidRDefault="00EF57E8" w:rsidP="00075858">
      <w:pPr>
        <w:pStyle w:val="Papardraft"/>
        <w:spacing w:line="240" w:lineRule="auto"/>
        <w:ind w:firstLine="0"/>
        <w:jc w:val="both"/>
        <w:rPr>
          <w:sz w:val="20"/>
          <w:szCs w:val="20"/>
          <w:lang w:val="en-US"/>
        </w:rPr>
      </w:pPr>
    </w:p>
    <w:p w14:paraId="724B7A70" w14:textId="30759C32" w:rsidR="00075858" w:rsidRPr="00282E3D" w:rsidRDefault="00075858" w:rsidP="00075858">
      <w:pPr>
        <w:pStyle w:val="Papardraft"/>
        <w:spacing w:line="240" w:lineRule="auto"/>
        <w:ind w:firstLine="0"/>
        <w:jc w:val="both"/>
        <w:rPr>
          <w:sz w:val="20"/>
          <w:szCs w:val="20"/>
          <w:lang w:val="en-US"/>
        </w:rPr>
      </w:pPr>
      <w:r w:rsidRPr="00282E3D">
        <w:rPr>
          <w:sz w:val="20"/>
          <w:szCs w:val="20"/>
          <w:lang w:val="en-US"/>
        </w:rPr>
        <w:t xml:space="preserve">AKI = acute kidney injury; </w:t>
      </w:r>
      <w:r w:rsidR="000E0D09" w:rsidRPr="00282E3D">
        <w:rPr>
          <w:sz w:val="20"/>
          <w:szCs w:val="20"/>
          <w:lang w:val="en-US"/>
        </w:rPr>
        <w:t xml:space="preserve">COVID-19 = Coronavirus disease 2019; </w:t>
      </w:r>
      <w:r w:rsidRPr="00282E3D">
        <w:rPr>
          <w:sz w:val="20"/>
          <w:szCs w:val="20"/>
          <w:lang w:val="en-US"/>
        </w:rPr>
        <w:t>eGFR = estimated glomerular filtration rate; ESDR = end-stage renal disease; ICU = intensive care unit; SCr = serum creatinine.</w:t>
      </w:r>
    </w:p>
    <w:p w14:paraId="4DF4A0C4" w14:textId="3CC86388" w:rsidR="00D81606" w:rsidRPr="00282E3D" w:rsidRDefault="00D81606">
      <w:pPr>
        <w:spacing w:after="160" w:line="259" w:lineRule="auto"/>
        <w:rPr>
          <w:rFonts w:ascii="Arial" w:hAnsi="Arial" w:cs="Arial"/>
          <w:b/>
          <w:kern w:val="28"/>
        </w:rPr>
      </w:pPr>
      <w:r w:rsidRPr="00282E3D">
        <w:rPr>
          <w:rFonts w:ascii="Arial" w:hAnsi="Arial" w:cs="Arial"/>
        </w:rPr>
        <w:br w:type="page"/>
      </w:r>
    </w:p>
    <w:p w14:paraId="6DD528AF" w14:textId="2918215B" w:rsidR="00FC58A0" w:rsidRPr="00282E3D" w:rsidRDefault="00FC58A0" w:rsidP="00624501">
      <w:pPr>
        <w:pStyle w:val="Papardraft"/>
        <w:ind w:firstLine="0"/>
        <w:outlineLvl w:val="1"/>
        <w:rPr>
          <w:lang w:val="en-US"/>
        </w:rPr>
      </w:pPr>
      <w:bookmarkStart w:id="8" w:name="_Toc59032035"/>
      <w:bookmarkStart w:id="9" w:name="_Toc59643459"/>
      <w:bookmarkStart w:id="10" w:name="_Hlk52982829"/>
      <w:r w:rsidRPr="00282E3D">
        <w:rPr>
          <w:b/>
          <w:bCs/>
          <w:lang w:val="en-US"/>
        </w:rPr>
        <w:lastRenderedPageBreak/>
        <w:t xml:space="preserve">Supplemental Table </w:t>
      </w:r>
      <w:r w:rsidR="00340866" w:rsidRPr="00282E3D">
        <w:rPr>
          <w:b/>
          <w:bCs/>
          <w:lang w:val="en-US"/>
        </w:rPr>
        <w:t>S</w:t>
      </w:r>
      <w:r w:rsidR="00D81606" w:rsidRPr="00282E3D">
        <w:rPr>
          <w:b/>
          <w:bCs/>
          <w:lang w:val="en-US"/>
        </w:rPr>
        <w:t>2</w:t>
      </w:r>
      <w:r w:rsidRPr="00282E3D">
        <w:rPr>
          <w:b/>
          <w:bCs/>
          <w:lang w:val="en-US"/>
        </w:rPr>
        <w:t>.</w:t>
      </w:r>
      <w:r w:rsidRPr="00282E3D">
        <w:rPr>
          <w:lang w:val="en-US"/>
        </w:rPr>
        <w:t xml:space="preserve"> List of Potentially Nephrotoxic Agents.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82E3D" w:rsidRPr="00282E3D" w14:paraId="4537D2D8" w14:textId="77777777" w:rsidTr="004711A1">
        <w:trPr>
          <w:trHeight w:val="340"/>
        </w:trPr>
        <w:tc>
          <w:tcPr>
            <w:tcW w:w="2835" w:type="dxa"/>
            <w:shd w:val="clear" w:color="auto" w:fill="auto"/>
          </w:tcPr>
          <w:p w14:paraId="10C2E492" w14:textId="77777777" w:rsidR="00075858" w:rsidRPr="00282E3D" w:rsidRDefault="00075858" w:rsidP="004711A1">
            <w:pPr>
              <w:spacing w:before="40" w:after="40" w:line="240" w:lineRule="auto"/>
              <w:rPr>
                <w:rFonts w:ascii="Arial" w:eastAsia="MS PGothic" w:hAnsi="Arial" w:cs="Arial"/>
                <w:bCs/>
                <w:sz w:val="20"/>
                <w:szCs w:val="20"/>
              </w:rPr>
            </w:pPr>
            <w:bookmarkStart w:id="11" w:name="_Hlk41663918"/>
            <w:bookmarkEnd w:id="10"/>
            <w:r w:rsidRPr="00282E3D">
              <w:rPr>
                <w:rFonts w:ascii="Arial" w:eastAsia="MS PGothic" w:hAnsi="Arial" w:cs="Arial"/>
                <w:bCs/>
                <w:sz w:val="20"/>
                <w:szCs w:val="20"/>
              </w:rPr>
              <w:t>Acyclovir</w:t>
            </w:r>
          </w:p>
        </w:tc>
        <w:tc>
          <w:tcPr>
            <w:tcW w:w="2835" w:type="dxa"/>
          </w:tcPr>
          <w:p w14:paraId="1FC7684B"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Enalapril</w:t>
            </w:r>
          </w:p>
        </w:tc>
        <w:tc>
          <w:tcPr>
            <w:tcW w:w="2835" w:type="dxa"/>
          </w:tcPr>
          <w:p w14:paraId="3FF8C203"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Lithium</w:t>
            </w:r>
          </w:p>
        </w:tc>
      </w:tr>
      <w:tr w:rsidR="00282E3D" w:rsidRPr="00282E3D" w14:paraId="568D3CBF" w14:textId="77777777" w:rsidTr="004711A1">
        <w:trPr>
          <w:trHeight w:val="340"/>
        </w:trPr>
        <w:tc>
          <w:tcPr>
            <w:tcW w:w="2835" w:type="dxa"/>
            <w:shd w:val="clear" w:color="auto" w:fill="auto"/>
          </w:tcPr>
          <w:p w14:paraId="09A07593"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Ambisome</w:t>
            </w:r>
          </w:p>
        </w:tc>
        <w:tc>
          <w:tcPr>
            <w:tcW w:w="2835" w:type="dxa"/>
          </w:tcPr>
          <w:p w14:paraId="6BCB385B"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Enalaprilat</w:t>
            </w:r>
          </w:p>
        </w:tc>
        <w:tc>
          <w:tcPr>
            <w:tcW w:w="2835" w:type="dxa"/>
          </w:tcPr>
          <w:p w14:paraId="6E3DDE7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Mesalamine</w:t>
            </w:r>
          </w:p>
        </w:tc>
      </w:tr>
      <w:tr w:rsidR="00282E3D" w:rsidRPr="00282E3D" w14:paraId="2C559188" w14:textId="77777777" w:rsidTr="004711A1">
        <w:trPr>
          <w:trHeight w:val="340"/>
        </w:trPr>
        <w:tc>
          <w:tcPr>
            <w:tcW w:w="2835" w:type="dxa"/>
            <w:shd w:val="clear" w:color="auto" w:fill="auto"/>
          </w:tcPr>
          <w:p w14:paraId="0360556A"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Amikacin</w:t>
            </w:r>
          </w:p>
        </w:tc>
        <w:tc>
          <w:tcPr>
            <w:tcW w:w="2835" w:type="dxa"/>
          </w:tcPr>
          <w:p w14:paraId="21B977CF"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Foscarnet</w:t>
            </w:r>
          </w:p>
        </w:tc>
        <w:tc>
          <w:tcPr>
            <w:tcW w:w="2835" w:type="dxa"/>
          </w:tcPr>
          <w:p w14:paraId="633611CB"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Methotrexate</w:t>
            </w:r>
          </w:p>
        </w:tc>
      </w:tr>
      <w:tr w:rsidR="00282E3D" w:rsidRPr="00282E3D" w14:paraId="126CA88F" w14:textId="77777777" w:rsidTr="004711A1">
        <w:trPr>
          <w:trHeight w:val="340"/>
        </w:trPr>
        <w:tc>
          <w:tcPr>
            <w:tcW w:w="2835" w:type="dxa"/>
            <w:shd w:val="clear" w:color="auto" w:fill="auto"/>
          </w:tcPr>
          <w:p w14:paraId="69BCE0C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Amphotericin B</w:t>
            </w:r>
          </w:p>
        </w:tc>
        <w:tc>
          <w:tcPr>
            <w:tcW w:w="2835" w:type="dxa"/>
          </w:tcPr>
          <w:p w14:paraId="0E07177F"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Gadopentetate dimeglumine</w:t>
            </w:r>
          </w:p>
        </w:tc>
        <w:tc>
          <w:tcPr>
            <w:tcW w:w="2835" w:type="dxa"/>
          </w:tcPr>
          <w:p w14:paraId="411D0C46"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Nafcillin</w:t>
            </w:r>
          </w:p>
        </w:tc>
      </w:tr>
      <w:tr w:rsidR="00282E3D" w:rsidRPr="00282E3D" w14:paraId="3680DF01" w14:textId="77777777" w:rsidTr="004711A1">
        <w:trPr>
          <w:trHeight w:val="340"/>
        </w:trPr>
        <w:tc>
          <w:tcPr>
            <w:tcW w:w="2835" w:type="dxa"/>
            <w:shd w:val="clear" w:color="auto" w:fill="auto"/>
          </w:tcPr>
          <w:p w14:paraId="6D8B223B"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Captopril</w:t>
            </w:r>
          </w:p>
        </w:tc>
        <w:tc>
          <w:tcPr>
            <w:tcW w:w="2835" w:type="dxa"/>
          </w:tcPr>
          <w:p w14:paraId="0DAD18B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Gadoextate disodium</w:t>
            </w:r>
          </w:p>
        </w:tc>
        <w:tc>
          <w:tcPr>
            <w:tcW w:w="2835" w:type="dxa"/>
          </w:tcPr>
          <w:p w14:paraId="4498D71A"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Piperacillin/tazobactam</w:t>
            </w:r>
          </w:p>
        </w:tc>
      </w:tr>
      <w:tr w:rsidR="00282E3D" w:rsidRPr="00282E3D" w14:paraId="5E8EE38A" w14:textId="77777777" w:rsidTr="004711A1">
        <w:trPr>
          <w:trHeight w:val="340"/>
        </w:trPr>
        <w:tc>
          <w:tcPr>
            <w:tcW w:w="2835" w:type="dxa"/>
            <w:shd w:val="clear" w:color="auto" w:fill="auto"/>
          </w:tcPr>
          <w:p w14:paraId="08F80C0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Carboplatin</w:t>
            </w:r>
          </w:p>
        </w:tc>
        <w:tc>
          <w:tcPr>
            <w:tcW w:w="2835" w:type="dxa"/>
          </w:tcPr>
          <w:p w14:paraId="2EF2E44E"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Ganciclovir</w:t>
            </w:r>
          </w:p>
        </w:tc>
        <w:tc>
          <w:tcPr>
            <w:tcW w:w="2835" w:type="dxa"/>
          </w:tcPr>
          <w:p w14:paraId="372D43CD"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Piperacillin</w:t>
            </w:r>
          </w:p>
        </w:tc>
      </w:tr>
      <w:tr w:rsidR="00282E3D" w:rsidRPr="00282E3D" w14:paraId="267F3199" w14:textId="77777777" w:rsidTr="004711A1">
        <w:trPr>
          <w:trHeight w:val="340"/>
        </w:trPr>
        <w:tc>
          <w:tcPr>
            <w:tcW w:w="2835" w:type="dxa"/>
            <w:shd w:val="clear" w:color="auto" w:fill="auto"/>
          </w:tcPr>
          <w:p w14:paraId="2ABC1DB2"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Cefotaxime</w:t>
            </w:r>
          </w:p>
        </w:tc>
        <w:tc>
          <w:tcPr>
            <w:tcW w:w="2835" w:type="dxa"/>
          </w:tcPr>
          <w:p w14:paraId="0DCBF31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Ibuprofen</w:t>
            </w:r>
          </w:p>
        </w:tc>
        <w:tc>
          <w:tcPr>
            <w:tcW w:w="2835" w:type="dxa"/>
          </w:tcPr>
          <w:p w14:paraId="643A2A8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Sirolimus</w:t>
            </w:r>
          </w:p>
        </w:tc>
      </w:tr>
      <w:tr w:rsidR="00282E3D" w:rsidRPr="00282E3D" w14:paraId="73A5E160" w14:textId="77777777" w:rsidTr="004711A1">
        <w:trPr>
          <w:trHeight w:val="340"/>
        </w:trPr>
        <w:tc>
          <w:tcPr>
            <w:tcW w:w="2835" w:type="dxa"/>
            <w:shd w:val="clear" w:color="auto" w:fill="auto"/>
          </w:tcPr>
          <w:p w14:paraId="789E9445"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Ceftazidime</w:t>
            </w:r>
          </w:p>
        </w:tc>
        <w:tc>
          <w:tcPr>
            <w:tcW w:w="2835" w:type="dxa"/>
          </w:tcPr>
          <w:p w14:paraId="76AB0529"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Ifosfamide</w:t>
            </w:r>
          </w:p>
        </w:tc>
        <w:tc>
          <w:tcPr>
            <w:tcW w:w="2835" w:type="dxa"/>
          </w:tcPr>
          <w:p w14:paraId="19F1FDE4"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Tacrolimus</w:t>
            </w:r>
          </w:p>
        </w:tc>
      </w:tr>
      <w:tr w:rsidR="00282E3D" w:rsidRPr="00282E3D" w14:paraId="7DCDFF91" w14:textId="77777777" w:rsidTr="004711A1">
        <w:trPr>
          <w:trHeight w:val="340"/>
        </w:trPr>
        <w:tc>
          <w:tcPr>
            <w:tcW w:w="2835" w:type="dxa"/>
            <w:shd w:val="clear" w:color="auto" w:fill="auto"/>
          </w:tcPr>
          <w:p w14:paraId="3DC42001"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Cefuroxime</w:t>
            </w:r>
          </w:p>
        </w:tc>
        <w:tc>
          <w:tcPr>
            <w:tcW w:w="2835" w:type="dxa"/>
          </w:tcPr>
          <w:p w14:paraId="280C9138"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Iodixanol</w:t>
            </w:r>
          </w:p>
        </w:tc>
        <w:tc>
          <w:tcPr>
            <w:tcW w:w="2835" w:type="dxa"/>
          </w:tcPr>
          <w:p w14:paraId="052BD66E"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Ticarcillin/clavulanic acid</w:t>
            </w:r>
          </w:p>
        </w:tc>
      </w:tr>
      <w:tr w:rsidR="00282E3D" w:rsidRPr="00282E3D" w14:paraId="5A06CE6E" w14:textId="77777777" w:rsidTr="004711A1">
        <w:trPr>
          <w:trHeight w:val="340"/>
        </w:trPr>
        <w:tc>
          <w:tcPr>
            <w:tcW w:w="2835" w:type="dxa"/>
            <w:shd w:val="clear" w:color="auto" w:fill="auto"/>
          </w:tcPr>
          <w:p w14:paraId="62D2541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Cidofovir</w:t>
            </w:r>
          </w:p>
        </w:tc>
        <w:tc>
          <w:tcPr>
            <w:tcW w:w="2835" w:type="dxa"/>
          </w:tcPr>
          <w:p w14:paraId="39EFC35A"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Iohexol</w:t>
            </w:r>
          </w:p>
        </w:tc>
        <w:tc>
          <w:tcPr>
            <w:tcW w:w="2835" w:type="dxa"/>
          </w:tcPr>
          <w:p w14:paraId="3E262FD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Tobramycin</w:t>
            </w:r>
          </w:p>
        </w:tc>
      </w:tr>
      <w:tr w:rsidR="00282E3D" w:rsidRPr="00282E3D" w14:paraId="70A4D2EF" w14:textId="77777777" w:rsidTr="004711A1">
        <w:trPr>
          <w:trHeight w:val="340"/>
        </w:trPr>
        <w:tc>
          <w:tcPr>
            <w:tcW w:w="2835" w:type="dxa"/>
            <w:shd w:val="clear" w:color="auto" w:fill="auto"/>
          </w:tcPr>
          <w:p w14:paraId="522A450D"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Cisplatin</w:t>
            </w:r>
          </w:p>
        </w:tc>
        <w:tc>
          <w:tcPr>
            <w:tcW w:w="2835" w:type="dxa"/>
          </w:tcPr>
          <w:p w14:paraId="3AA7DD9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Iopamidol</w:t>
            </w:r>
          </w:p>
        </w:tc>
        <w:tc>
          <w:tcPr>
            <w:tcW w:w="2835" w:type="dxa"/>
          </w:tcPr>
          <w:p w14:paraId="54EBAEF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Valacyclovir</w:t>
            </w:r>
          </w:p>
        </w:tc>
      </w:tr>
      <w:tr w:rsidR="00282E3D" w:rsidRPr="00282E3D" w14:paraId="260F8B2E" w14:textId="77777777" w:rsidTr="004711A1">
        <w:trPr>
          <w:trHeight w:val="340"/>
        </w:trPr>
        <w:tc>
          <w:tcPr>
            <w:tcW w:w="2835" w:type="dxa"/>
            <w:shd w:val="clear" w:color="auto" w:fill="auto"/>
          </w:tcPr>
          <w:p w14:paraId="7E3D0F69"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Colistimethate</w:t>
            </w:r>
          </w:p>
        </w:tc>
        <w:tc>
          <w:tcPr>
            <w:tcW w:w="2835" w:type="dxa"/>
          </w:tcPr>
          <w:p w14:paraId="07852144"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Ioversol</w:t>
            </w:r>
          </w:p>
        </w:tc>
        <w:tc>
          <w:tcPr>
            <w:tcW w:w="2835" w:type="dxa"/>
          </w:tcPr>
          <w:p w14:paraId="1959D365"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Valganciclovir</w:t>
            </w:r>
          </w:p>
        </w:tc>
      </w:tr>
      <w:tr w:rsidR="00282E3D" w:rsidRPr="00282E3D" w14:paraId="08B31DE2" w14:textId="77777777" w:rsidTr="004711A1">
        <w:trPr>
          <w:trHeight w:val="340"/>
        </w:trPr>
        <w:tc>
          <w:tcPr>
            <w:tcW w:w="2835" w:type="dxa"/>
            <w:shd w:val="clear" w:color="auto" w:fill="auto"/>
          </w:tcPr>
          <w:p w14:paraId="3D5B341C"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Cyclosporine</w:t>
            </w:r>
          </w:p>
        </w:tc>
        <w:tc>
          <w:tcPr>
            <w:tcW w:w="2835" w:type="dxa"/>
          </w:tcPr>
          <w:p w14:paraId="6EEAEC3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Ketorolac</w:t>
            </w:r>
          </w:p>
        </w:tc>
        <w:tc>
          <w:tcPr>
            <w:tcW w:w="2835" w:type="dxa"/>
          </w:tcPr>
          <w:p w14:paraId="4573DB5B"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Vancomycin</w:t>
            </w:r>
          </w:p>
        </w:tc>
      </w:tr>
      <w:tr w:rsidR="00075858" w:rsidRPr="00282E3D" w14:paraId="7AD47807" w14:textId="77777777" w:rsidTr="004711A1">
        <w:trPr>
          <w:trHeight w:val="340"/>
        </w:trPr>
        <w:tc>
          <w:tcPr>
            <w:tcW w:w="2835" w:type="dxa"/>
            <w:shd w:val="clear" w:color="auto" w:fill="auto"/>
          </w:tcPr>
          <w:p w14:paraId="5A8E2930"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Dapsone</w:t>
            </w:r>
          </w:p>
        </w:tc>
        <w:tc>
          <w:tcPr>
            <w:tcW w:w="2835" w:type="dxa"/>
          </w:tcPr>
          <w:p w14:paraId="1ACEF839"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Lisinopril</w:t>
            </w:r>
          </w:p>
        </w:tc>
        <w:tc>
          <w:tcPr>
            <w:tcW w:w="2835" w:type="dxa"/>
          </w:tcPr>
          <w:p w14:paraId="111557C2" w14:textId="77777777" w:rsidR="00075858" w:rsidRPr="00282E3D" w:rsidRDefault="00075858" w:rsidP="004711A1">
            <w:pPr>
              <w:spacing w:before="40" w:after="40" w:line="240" w:lineRule="auto"/>
              <w:rPr>
                <w:rFonts w:ascii="Arial" w:eastAsia="MS PGothic" w:hAnsi="Arial" w:cs="Arial"/>
                <w:bCs/>
                <w:sz w:val="20"/>
                <w:szCs w:val="20"/>
              </w:rPr>
            </w:pPr>
            <w:r w:rsidRPr="00282E3D">
              <w:rPr>
                <w:rFonts w:ascii="Arial" w:eastAsia="MS PGothic" w:hAnsi="Arial" w:cs="Arial"/>
                <w:bCs/>
                <w:sz w:val="20"/>
                <w:szCs w:val="20"/>
              </w:rPr>
              <w:t>Zonisamide</w:t>
            </w:r>
          </w:p>
        </w:tc>
      </w:tr>
      <w:bookmarkEnd w:id="11"/>
    </w:tbl>
    <w:p w14:paraId="2E7E98BE" w14:textId="1BF9F76E" w:rsidR="00FC58A0" w:rsidRPr="00282E3D" w:rsidRDefault="00FC58A0" w:rsidP="00FC58A0">
      <w:pPr>
        <w:pStyle w:val="Papardraft"/>
        <w:ind w:firstLine="0"/>
        <w:rPr>
          <w:b/>
          <w:bCs/>
          <w:highlight w:val="yellow"/>
          <w:lang w:val="en-US"/>
        </w:rPr>
      </w:pPr>
    </w:p>
    <w:p w14:paraId="5F95F42D" w14:textId="16C54B8D" w:rsidR="00AC7B45" w:rsidRPr="00282E3D" w:rsidRDefault="00AC7B45">
      <w:pPr>
        <w:spacing w:after="160" w:line="259" w:lineRule="auto"/>
        <w:rPr>
          <w:rFonts w:ascii="Arial" w:eastAsiaTheme="minorHAnsi" w:hAnsi="Arial" w:cs="Arial"/>
          <w:b/>
          <w:bCs/>
          <w:kern w:val="0"/>
          <w:highlight w:val="yellow"/>
        </w:rPr>
      </w:pPr>
      <w:r w:rsidRPr="00282E3D">
        <w:rPr>
          <w:rFonts w:ascii="Arial" w:hAnsi="Arial" w:cs="Arial"/>
          <w:b/>
          <w:bCs/>
          <w:highlight w:val="yellow"/>
        </w:rPr>
        <w:br w:type="page"/>
      </w:r>
    </w:p>
    <w:p w14:paraId="2D0CCDFC" w14:textId="1FEDB25B" w:rsidR="00624501" w:rsidRPr="00282E3D" w:rsidRDefault="00624501" w:rsidP="00A81F2F">
      <w:pPr>
        <w:pStyle w:val="Papardraft"/>
        <w:spacing w:line="276" w:lineRule="auto"/>
        <w:ind w:firstLine="0"/>
        <w:outlineLvl w:val="1"/>
        <w:rPr>
          <w:lang w:val="en-US"/>
        </w:rPr>
      </w:pPr>
      <w:bookmarkStart w:id="12" w:name="_Toc59032036"/>
      <w:bookmarkStart w:id="13" w:name="_Toc59643460"/>
      <w:r w:rsidRPr="00282E3D">
        <w:rPr>
          <w:b/>
          <w:bCs/>
          <w:lang w:val="en-US"/>
        </w:rPr>
        <w:lastRenderedPageBreak/>
        <w:t>Supplemental Table S</w:t>
      </w:r>
      <w:r w:rsidR="001271EB" w:rsidRPr="00282E3D">
        <w:rPr>
          <w:b/>
          <w:bCs/>
          <w:lang w:val="en-US"/>
        </w:rPr>
        <w:t>3</w:t>
      </w:r>
      <w:r w:rsidR="00F31524" w:rsidRPr="00282E3D">
        <w:rPr>
          <w:b/>
          <w:bCs/>
          <w:lang w:val="en-US"/>
        </w:rPr>
        <w:t>.</w:t>
      </w:r>
      <w:r w:rsidRPr="00282E3D">
        <w:rPr>
          <w:b/>
          <w:bCs/>
          <w:lang w:val="en-US"/>
        </w:rPr>
        <w:t xml:space="preserve"> </w:t>
      </w:r>
      <w:r w:rsidRPr="00282E3D">
        <w:rPr>
          <w:lang w:val="en-US"/>
        </w:rPr>
        <w:t>General characteristics of the cohort from Sapphire study and comparison between patients with and without the primary endpoint.</w:t>
      </w:r>
      <w:bookmarkEnd w:id="12"/>
      <w:bookmarkEnd w:id="13"/>
    </w:p>
    <w:tbl>
      <w:tblPr>
        <w:tblStyle w:val="TableGridLight"/>
        <w:tblW w:w="9920" w:type="dxa"/>
        <w:tblInd w:w="0" w:type="dxa"/>
        <w:tblLayout w:type="fixed"/>
        <w:tblLook w:val="04A0" w:firstRow="1" w:lastRow="0" w:firstColumn="1" w:lastColumn="0" w:noHBand="0" w:noVBand="1"/>
      </w:tblPr>
      <w:tblGrid>
        <w:gridCol w:w="3515"/>
        <w:gridCol w:w="1757"/>
        <w:gridCol w:w="1757"/>
        <w:gridCol w:w="1757"/>
        <w:gridCol w:w="1134"/>
      </w:tblGrid>
      <w:tr w:rsidR="00282E3D" w:rsidRPr="00282E3D" w14:paraId="11210803" w14:textId="77777777" w:rsidTr="004711A1">
        <w:trPr>
          <w:trHeight w:val="680"/>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3C2A3" w14:textId="77777777" w:rsidR="00075858" w:rsidRPr="00282E3D" w:rsidRDefault="00075858" w:rsidP="004711A1">
            <w:pPr>
              <w:pStyle w:val="NoSpacing"/>
              <w:spacing w:line="276" w:lineRule="auto"/>
              <w:rPr>
                <w:rFonts w:ascii="Arial" w:hAnsi="Arial" w:cs="Arial"/>
                <w:b/>
                <w:bCs/>
                <w:sz w:val="20"/>
                <w:szCs w:val="20"/>
              </w:rPr>
            </w:pPr>
            <w:bookmarkStart w:id="14" w:name="_Hlk48223259"/>
            <w:r w:rsidRPr="00282E3D">
              <w:rPr>
                <w:rFonts w:ascii="Arial" w:hAnsi="Arial" w:cs="Arial"/>
                <w:b/>
                <w:bCs/>
                <w:sz w:val="20"/>
                <w:szCs w:val="20"/>
              </w:rPr>
              <w:t>Sapphire - Patient characteristics</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40E5B8" w14:textId="77777777"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Total</w:t>
            </w:r>
          </w:p>
          <w:p w14:paraId="77245DDA" w14:textId="4ABB15D2"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(N = 203)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748F4D" w14:textId="7E6EE923"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Endpoint –</w:t>
            </w:r>
          </w:p>
          <w:p w14:paraId="0A5972A6" w14:textId="6641C6CD"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(N = 158)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3AAEF3" w14:textId="77777777"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Endpoint +</w:t>
            </w:r>
          </w:p>
          <w:p w14:paraId="43720E8B" w14:textId="21B5C45C" w:rsidR="00075858" w:rsidRPr="00282E3D" w:rsidRDefault="00075858" w:rsidP="004711A1">
            <w:pPr>
              <w:pStyle w:val="NoSpacing"/>
              <w:spacing w:line="276" w:lineRule="auto"/>
              <w:jc w:val="center"/>
              <w:rPr>
                <w:rFonts w:ascii="Arial" w:hAnsi="Arial" w:cs="Arial"/>
                <w:b/>
                <w:bCs/>
                <w:sz w:val="20"/>
                <w:szCs w:val="20"/>
              </w:rPr>
            </w:pPr>
            <w:r w:rsidRPr="00282E3D">
              <w:rPr>
                <w:rFonts w:ascii="Arial" w:hAnsi="Arial" w:cs="Arial"/>
                <w:b/>
                <w:bCs/>
                <w:sz w:val="20"/>
                <w:szCs w:val="20"/>
              </w:rPr>
              <w:t>(N = 45)</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A4C4DD" w14:textId="64D0BA44" w:rsidR="00075858" w:rsidRPr="00282E3D" w:rsidRDefault="00075858" w:rsidP="004711A1">
            <w:pPr>
              <w:pStyle w:val="NoSpacing"/>
              <w:spacing w:line="276" w:lineRule="auto"/>
              <w:jc w:val="center"/>
              <w:rPr>
                <w:rFonts w:ascii="Arial" w:hAnsi="Arial" w:cs="Arial"/>
                <w:b/>
                <w:bCs/>
                <w:i/>
                <w:iCs/>
                <w:sz w:val="20"/>
                <w:szCs w:val="20"/>
              </w:rPr>
            </w:pPr>
            <w:r w:rsidRPr="00282E3D">
              <w:rPr>
                <w:rFonts w:ascii="Arial" w:hAnsi="Arial" w:cs="Arial"/>
                <w:b/>
                <w:bCs/>
                <w:i/>
                <w:iCs/>
                <w:sz w:val="20"/>
                <w:szCs w:val="20"/>
              </w:rPr>
              <w:t>P</w:t>
            </w:r>
          </w:p>
        </w:tc>
      </w:tr>
      <w:tr w:rsidR="00282E3D" w:rsidRPr="00282E3D" w14:paraId="7B788CEB"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3D17A2" w14:textId="77777777" w:rsidR="00075858" w:rsidRPr="00282E3D" w:rsidRDefault="00075858"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Age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C072B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66 (54 - 74)</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FD167E"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65 (53 - 74)</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54B4F8"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70 (58 - 75)</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AF55B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0.142</w:t>
            </w:r>
          </w:p>
        </w:tc>
      </w:tr>
      <w:tr w:rsidR="00282E3D" w:rsidRPr="00282E3D" w14:paraId="2EB45FE8" w14:textId="77777777" w:rsidTr="004711A1">
        <w:trPr>
          <w:trHeight w:val="90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C31718"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 xml:space="preserve">Sex, </w:t>
            </w:r>
          </w:p>
          <w:p w14:paraId="0959DA26" w14:textId="77777777" w:rsidR="00075858" w:rsidRPr="00282E3D" w:rsidRDefault="00075858"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Male</w:t>
            </w:r>
          </w:p>
          <w:p w14:paraId="5712A2E5" w14:textId="77777777" w:rsidR="00075858" w:rsidRPr="00282E3D" w:rsidRDefault="00075858"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Female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002C9" w14:textId="77777777" w:rsidR="00075858" w:rsidRPr="00282E3D" w:rsidRDefault="00075858" w:rsidP="004711A1">
            <w:pPr>
              <w:pStyle w:val="NoSpacing"/>
              <w:spacing w:line="276" w:lineRule="auto"/>
              <w:jc w:val="center"/>
              <w:rPr>
                <w:rFonts w:ascii="Arial" w:hAnsi="Arial" w:cs="Arial"/>
                <w:sz w:val="20"/>
                <w:szCs w:val="20"/>
                <w:lang w:val="en-US"/>
              </w:rPr>
            </w:pPr>
          </w:p>
          <w:p w14:paraId="78779974"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107 (52.7%)</w:t>
            </w:r>
          </w:p>
          <w:p w14:paraId="1F46FF7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96 (47.3%)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23A4B" w14:textId="77777777" w:rsidR="00075858" w:rsidRPr="00282E3D" w:rsidRDefault="00075858" w:rsidP="004711A1">
            <w:pPr>
              <w:pStyle w:val="NoSpacing"/>
              <w:spacing w:line="276" w:lineRule="auto"/>
              <w:jc w:val="center"/>
              <w:rPr>
                <w:rFonts w:ascii="Arial" w:hAnsi="Arial" w:cs="Arial"/>
                <w:sz w:val="20"/>
                <w:szCs w:val="20"/>
                <w:lang w:val="en-US"/>
              </w:rPr>
            </w:pPr>
          </w:p>
          <w:p w14:paraId="1342F11E"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85 (53.8%)</w:t>
            </w:r>
          </w:p>
          <w:p w14:paraId="0A28C347"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73 (46.2%)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827D3" w14:textId="77777777" w:rsidR="00075858" w:rsidRPr="00282E3D" w:rsidRDefault="00075858" w:rsidP="004711A1">
            <w:pPr>
              <w:pStyle w:val="NoSpacing"/>
              <w:spacing w:line="276" w:lineRule="auto"/>
              <w:jc w:val="center"/>
              <w:rPr>
                <w:rFonts w:ascii="Arial" w:hAnsi="Arial" w:cs="Arial"/>
                <w:sz w:val="20"/>
                <w:szCs w:val="20"/>
                <w:lang w:val="en-US"/>
              </w:rPr>
            </w:pPr>
          </w:p>
          <w:p w14:paraId="777CA9D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22 (48.9%)</w:t>
            </w:r>
          </w:p>
          <w:p w14:paraId="048D3F75"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23 (51.1%)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81996" w14:textId="77777777" w:rsidR="00075858" w:rsidRPr="00282E3D" w:rsidRDefault="00075858" w:rsidP="004711A1">
            <w:pPr>
              <w:pStyle w:val="NoSpacing"/>
              <w:spacing w:line="276" w:lineRule="auto"/>
              <w:jc w:val="center"/>
              <w:rPr>
                <w:rFonts w:ascii="Arial" w:hAnsi="Arial" w:cs="Arial"/>
                <w:sz w:val="20"/>
                <w:szCs w:val="20"/>
                <w:lang w:val="en-US"/>
              </w:rPr>
            </w:pPr>
          </w:p>
          <w:p w14:paraId="4C8A5E2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0.680</w:t>
            </w:r>
          </w:p>
          <w:p w14:paraId="734B66D1" w14:textId="77777777" w:rsidR="00075858" w:rsidRPr="00282E3D" w:rsidRDefault="00075858" w:rsidP="004711A1">
            <w:pPr>
              <w:pStyle w:val="NoSpacing"/>
              <w:spacing w:line="276" w:lineRule="auto"/>
              <w:jc w:val="center"/>
              <w:rPr>
                <w:rFonts w:ascii="Arial" w:hAnsi="Arial" w:cs="Arial"/>
                <w:sz w:val="20"/>
                <w:szCs w:val="20"/>
                <w:lang w:val="en-US"/>
              </w:rPr>
            </w:pPr>
          </w:p>
        </w:tc>
      </w:tr>
      <w:tr w:rsidR="00282E3D" w:rsidRPr="00282E3D" w14:paraId="4F794D22" w14:textId="77777777" w:rsidTr="004711A1">
        <w:trPr>
          <w:trHeight w:val="107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D0040C"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Race,</w:t>
            </w:r>
          </w:p>
          <w:p w14:paraId="3F38261D" w14:textId="77777777" w:rsidR="00075858" w:rsidRPr="00282E3D" w:rsidRDefault="00075858"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White</w:t>
            </w:r>
          </w:p>
          <w:p w14:paraId="681AF3A2" w14:textId="77777777" w:rsidR="00075858" w:rsidRPr="00282E3D" w:rsidRDefault="00075858"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Black</w:t>
            </w:r>
          </w:p>
          <w:p w14:paraId="6D018A88" w14:textId="77777777" w:rsidR="00075858" w:rsidRPr="00282E3D" w:rsidRDefault="00075858"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Other</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C66D5" w14:textId="77777777" w:rsidR="00075858" w:rsidRPr="00282E3D" w:rsidRDefault="00075858" w:rsidP="004711A1">
            <w:pPr>
              <w:pStyle w:val="NoSpacing"/>
              <w:spacing w:line="276" w:lineRule="auto"/>
              <w:jc w:val="center"/>
              <w:rPr>
                <w:rFonts w:ascii="Arial" w:hAnsi="Arial" w:cs="Arial"/>
                <w:sz w:val="20"/>
                <w:szCs w:val="20"/>
                <w:lang w:val="en-US"/>
              </w:rPr>
            </w:pPr>
          </w:p>
          <w:p w14:paraId="1571FB15"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156 (76.8%)</w:t>
            </w:r>
          </w:p>
          <w:p w14:paraId="50BA184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18 (8.9%)</w:t>
            </w:r>
          </w:p>
          <w:p w14:paraId="0E42A98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29 (14.3%)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6F3175" w14:textId="77777777" w:rsidR="00075858" w:rsidRPr="00282E3D" w:rsidRDefault="00075858" w:rsidP="004711A1">
            <w:pPr>
              <w:pStyle w:val="NoSpacing"/>
              <w:spacing w:line="276" w:lineRule="auto"/>
              <w:jc w:val="center"/>
              <w:rPr>
                <w:rFonts w:ascii="Arial" w:hAnsi="Arial" w:cs="Arial"/>
                <w:sz w:val="20"/>
                <w:szCs w:val="20"/>
                <w:lang w:val="en-US"/>
              </w:rPr>
            </w:pPr>
          </w:p>
          <w:p w14:paraId="7AC927EC"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117 (74.1%)</w:t>
            </w:r>
          </w:p>
          <w:p w14:paraId="120D8172"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15 (9.5%)</w:t>
            </w:r>
          </w:p>
          <w:p w14:paraId="2B2BBDDE"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26 (16.5%)</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FC41E" w14:textId="77777777" w:rsidR="00075858" w:rsidRPr="00282E3D" w:rsidRDefault="00075858" w:rsidP="004711A1">
            <w:pPr>
              <w:pStyle w:val="NoSpacing"/>
              <w:spacing w:line="276" w:lineRule="auto"/>
              <w:jc w:val="center"/>
              <w:rPr>
                <w:rFonts w:ascii="Arial" w:hAnsi="Arial" w:cs="Arial"/>
                <w:sz w:val="20"/>
                <w:szCs w:val="20"/>
                <w:lang w:val="en-US"/>
              </w:rPr>
            </w:pPr>
          </w:p>
          <w:p w14:paraId="05B37DE8"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39 (86.7%)</w:t>
            </w:r>
          </w:p>
          <w:p w14:paraId="51F1D9F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 (6.7%)</w:t>
            </w:r>
          </w:p>
          <w:p w14:paraId="4642AFE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 (6.7%)</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639B26" w14:textId="77777777" w:rsidR="00075858" w:rsidRPr="00282E3D" w:rsidRDefault="00075858" w:rsidP="004711A1">
            <w:pPr>
              <w:pStyle w:val="NoSpacing"/>
              <w:spacing w:line="276" w:lineRule="auto"/>
              <w:jc w:val="center"/>
              <w:rPr>
                <w:rFonts w:ascii="Arial" w:hAnsi="Arial" w:cs="Arial"/>
                <w:sz w:val="20"/>
                <w:szCs w:val="20"/>
                <w:lang w:val="en-US"/>
              </w:rPr>
            </w:pPr>
          </w:p>
          <w:p w14:paraId="1343ACF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0.184</w:t>
            </w:r>
          </w:p>
          <w:p w14:paraId="264E4C81" w14:textId="77777777" w:rsidR="00075858" w:rsidRPr="00282E3D" w:rsidRDefault="00075858" w:rsidP="004711A1">
            <w:pPr>
              <w:pStyle w:val="NoSpacing"/>
              <w:spacing w:line="276" w:lineRule="auto"/>
              <w:jc w:val="center"/>
              <w:rPr>
                <w:rFonts w:ascii="Arial" w:hAnsi="Arial" w:cs="Arial"/>
                <w:sz w:val="20"/>
                <w:szCs w:val="20"/>
                <w:lang w:val="en-US"/>
              </w:rPr>
            </w:pPr>
          </w:p>
          <w:p w14:paraId="24D9B81F" w14:textId="77777777" w:rsidR="00075858" w:rsidRPr="00282E3D" w:rsidRDefault="00075858" w:rsidP="004711A1">
            <w:pPr>
              <w:pStyle w:val="NoSpacing"/>
              <w:spacing w:line="276" w:lineRule="auto"/>
              <w:jc w:val="center"/>
              <w:rPr>
                <w:rFonts w:ascii="Arial" w:hAnsi="Arial" w:cs="Arial"/>
                <w:sz w:val="20"/>
                <w:szCs w:val="20"/>
                <w:lang w:val="en-US"/>
              </w:rPr>
            </w:pPr>
          </w:p>
        </w:tc>
      </w:tr>
      <w:tr w:rsidR="00282E3D" w:rsidRPr="00282E3D" w14:paraId="0C3194FD"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910350"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Hypertension</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91ED5"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125 (61.6%)</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60942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93 (58.9%)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1FFCD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 (71.1%)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33EDA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0.188</w:t>
            </w:r>
          </w:p>
        </w:tc>
      </w:tr>
      <w:tr w:rsidR="00282E3D" w:rsidRPr="00282E3D" w14:paraId="01108672"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2D558C"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Diabetes</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37B91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58 (28.6%)</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C3BFE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44 (27.8%)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3A4FA8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14 (31.1%)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2AB93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0.810</w:t>
            </w:r>
          </w:p>
        </w:tc>
      </w:tr>
      <w:tr w:rsidR="00282E3D" w:rsidRPr="00282E3D" w14:paraId="7B2C9EC1"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26282"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Coronary artery disease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9FDA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43 (21.2%)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5C32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 (20.3%)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D22FC"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11 (24.4%)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3F9A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0.689</w:t>
            </w:r>
          </w:p>
        </w:tc>
      </w:tr>
      <w:tr w:rsidR="00282E3D" w:rsidRPr="00282E3D" w14:paraId="747E70CA"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D34952"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Chronic heart failure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B0CEB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30 (14.8%)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F6388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22 (13.9%)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E3D09C"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(17.8%)</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C6DFA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0.686</w:t>
            </w:r>
          </w:p>
        </w:tc>
      </w:tr>
      <w:tr w:rsidR="00282E3D" w:rsidRPr="00282E3D" w14:paraId="61228AD6"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B9E9E6"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COPD</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4EE16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37 (18.2%)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2A7694"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25 (15.8%)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13C1C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12 (26.7%)</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FE3AC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0.149</w:t>
            </w:r>
          </w:p>
        </w:tc>
      </w:tr>
      <w:tr w:rsidR="00282E3D" w:rsidRPr="00282E3D" w14:paraId="73B6DF8A"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50EB6"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History of cancer</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81FCDC"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63 (31.0%)</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CE6C3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46 (29.1%)</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1A9A8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17 (37.8%)</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A7F6E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0.355</w:t>
            </w:r>
          </w:p>
        </w:tc>
      </w:tr>
      <w:tr w:rsidR="00282E3D" w:rsidRPr="00282E3D" w14:paraId="1FE40CA6"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AAAE1D"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History of CKD</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E6677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14 (6.9%)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1C7E1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(5.1%)</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1E699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 (13.3%)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C4830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0.110</w:t>
            </w:r>
          </w:p>
        </w:tc>
      </w:tr>
      <w:tr w:rsidR="00282E3D" w:rsidRPr="00282E3D" w14:paraId="1DCF0E24"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C5F302" w14:textId="071F3E53" w:rsidR="00075858" w:rsidRPr="00282E3D" w:rsidRDefault="007B1223"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M</w:t>
            </w:r>
            <w:r w:rsidR="00075858" w:rsidRPr="00282E3D">
              <w:rPr>
                <w:rFonts w:ascii="Arial" w:hAnsi="Arial" w:cs="Arial"/>
                <w:b/>
                <w:bCs/>
                <w:sz w:val="20"/>
                <w:szCs w:val="20"/>
                <w:lang w:val="en-US"/>
              </w:rPr>
              <w:t>yocardial infarction</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0837C4"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 (1.0%)</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504234"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 (0.6%)</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08A33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 (2.2%)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6AB5D8"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0.923</w:t>
            </w:r>
          </w:p>
        </w:tc>
      </w:tr>
      <w:tr w:rsidR="00282E3D" w:rsidRPr="00282E3D" w14:paraId="622D3BE6"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5E396C" w14:textId="2F9CE29C" w:rsidR="00075858" w:rsidRPr="00282E3D" w:rsidRDefault="007B1223"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w:t>
            </w:r>
            <w:r w:rsidR="00075858" w:rsidRPr="00282E3D">
              <w:rPr>
                <w:rFonts w:ascii="Arial" w:hAnsi="Arial" w:cs="Arial"/>
                <w:b/>
                <w:bCs/>
                <w:sz w:val="20"/>
                <w:szCs w:val="20"/>
                <w:lang w:val="en-US"/>
              </w:rPr>
              <w:t>erebrovascular accident</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CD9C8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(3.9%)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F9EA8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 (3.8%)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A681C7"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 (4.4%)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CD6F22"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1.000</w:t>
            </w:r>
          </w:p>
        </w:tc>
      </w:tr>
      <w:tr w:rsidR="00282E3D" w:rsidRPr="00282E3D" w14:paraId="719D4F60"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5FCA81"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Peripheral vascular disease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E8C2E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23 (11.3%)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8A047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15 (9.5%)</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DB10D2"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(17.8%)</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2117D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0.200</w:t>
            </w:r>
          </w:p>
        </w:tc>
      </w:tr>
      <w:tr w:rsidR="00282E3D" w:rsidRPr="00282E3D" w14:paraId="3D4C9EA6"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FB0AC4"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Liver cirrhosis</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D8C277"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 (2.0%)</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A93116"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 (2.5%)</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CCFB5F"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 (0.0%)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D4585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0.638</w:t>
            </w:r>
          </w:p>
        </w:tc>
      </w:tr>
      <w:tr w:rsidR="00282E3D" w:rsidRPr="00282E3D" w14:paraId="023E8956"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6F18E0" w14:textId="77777777"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Peptic ulcer disease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1A29A9"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(3.9%)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BCFB88"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(5.1%)</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0A60A7"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 (0.0%)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2AD51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0.269</w:t>
            </w:r>
          </w:p>
        </w:tc>
      </w:tr>
      <w:tr w:rsidR="00282E3D" w:rsidRPr="00282E3D" w14:paraId="54351D2D"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276CE1" w14:textId="77777777" w:rsidR="00075858" w:rsidRPr="00282E3D" w:rsidRDefault="00075858" w:rsidP="004711A1">
            <w:pPr>
              <w:pStyle w:val="NoSpacing"/>
              <w:spacing w:line="276" w:lineRule="auto"/>
              <w:rPr>
                <w:rFonts w:ascii="Arial" w:hAnsi="Arial" w:cs="Arial"/>
                <w:sz w:val="20"/>
                <w:szCs w:val="20"/>
                <w:vertAlign w:val="superscript"/>
                <w:lang w:val="en-US"/>
              </w:rPr>
            </w:pPr>
            <w:r w:rsidRPr="00282E3D">
              <w:rPr>
                <w:rFonts w:ascii="Arial" w:hAnsi="Arial" w:cs="Arial"/>
                <w:b/>
                <w:bCs/>
                <w:sz w:val="20"/>
                <w:szCs w:val="20"/>
                <w:lang w:val="en-US"/>
              </w:rPr>
              <w:t>Hyperlactatemia at baseline</w:t>
            </w:r>
            <w:r w:rsidRPr="00282E3D">
              <w:rPr>
                <w:rFonts w:ascii="Arial" w:hAnsi="Arial" w:cs="Arial"/>
                <w:b/>
                <w:bCs/>
                <w:sz w:val="20"/>
                <w:szCs w:val="20"/>
                <w:vertAlign w:val="superscript"/>
                <w:lang w:val="en-US"/>
              </w:rPr>
              <w:t>a</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8B5E6"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47 (23.2%)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7385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41 (25.9%)</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7FCED"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 (13.3%)</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EDBD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0.116</w:t>
            </w:r>
          </w:p>
        </w:tc>
      </w:tr>
      <w:tr w:rsidR="00282E3D" w:rsidRPr="00282E3D" w14:paraId="41DCBFD7"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AD1F2B" w14:textId="77777777" w:rsidR="00075858" w:rsidRPr="00282E3D" w:rsidRDefault="00075858"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APACHE III score at baseline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91639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75 (55 - 97)</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6E083"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73 (53 - 93)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FEC1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93 (68 - 114)</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0000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0.002</w:t>
            </w:r>
          </w:p>
        </w:tc>
      </w:tr>
      <w:tr w:rsidR="00282E3D" w:rsidRPr="00282E3D" w14:paraId="36F588A5"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CB86BA7" w14:textId="77777777" w:rsidR="00075858" w:rsidRPr="00282E3D" w:rsidRDefault="00075858"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SOFA score at baseline</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06C99F"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(5 - 10)</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1BE7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(5 - 10)</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3BB3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(6 - 11)</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0D484"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0.263</w:t>
            </w:r>
          </w:p>
        </w:tc>
      </w:tr>
      <w:tr w:rsidR="00282E3D" w:rsidRPr="00282E3D" w14:paraId="6EBD76BF"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8800BB" w14:textId="5ED00A64" w:rsidR="00075858" w:rsidRPr="00282E3D" w:rsidRDefault="00075858" w:rsidP="004711A1">
            <w:pPr>
              <w:pStyle w:val="NoSpacing"/>
              <w:spacing w:line="276" w:lineRule="auto"/>
              <w:rPr>
                <w:rFonts w:ascii="Arial" w:hAnsi="Arial" w:cs="Arial"/>
                <w:b/>
                <w:bCs/>
                <w:sz w:val="20"/>
                <w:szCs w:val="20"/>
                <w:vertAlign w:val="superscript"/>
                <w:lang w:val="en-US"/>
              </w:rPr>
            </w:pPr>
            <w:r w:rsidRPr="00282E3D">
              <w:rPr>
                <w:rFonts w:ascii="Arial" w:hAnsi="Arial" w:cs="Arial"/>
                <w:b/>
                <w:bCs/>
                <w:sz w:val="20"/>
                <w:szCs w:val="20"/>
                <w:lang w:val="en-US"/>
              </w:rPr>
              <w:t>[TIMP-2]•[</w:t>
            </w:r>
            <w:r w:rsidR="00E40189" w:rsidRPr="00282E3D">
              <w:rPr>
                <w:rFonts w:ascii="Arial" w:hAnsi="Arial" w:cs="Arial"/>
                <w:b/>
                <w:bCs/>
                <w:sz w:val="20"/>
                <w:szCs w:val="20"/>
                <w:lang w:val="en-US"/>
              </w:rPr>
              <w:t>IGFBP7</w:t>
            </w:r>
            <w:r w:rsidRPr="00282E3D">
              <w:rPr>
                <w:rFonts w:ascii="Arial" w:hAnsi="Arial" w:cs="Arial"/>
                <w:b/>
                <w:bCs/>
                <w:sz w:val="20"/>
                <w:szCs w:val="20"/>
                <w:lang w:val="en-US"/>
              </w:rPr>
              <w:t>], first test</w:t>
            </w:r>
            <w:r w:rsidRPr="00282E3D">
              <w:rPr>
                <w:rFonts w:ascii="Arial" w:hAnsi="Arial" w:cs="Arial"/>
                <w:b/>
                <w:bCs/>
                <w:sz w:val="20"/>
                <w:szCs w:val="20"/>
                <w:vertAlign w:val="superscript"/>
                <w:lang w:val="en-US"/>
              </w:rPr>
              <w:t>b</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0B0CA"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0.47 (0.18 - 1.18)</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B31B0"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0.41 (0.14 - 0.93)</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0E13F6"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0.80 (0.35 - 1.72)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20BB47"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4CE52A61"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816310" w14:textId="188D8EAE" w:rsidR="00075858" w:rsidRPr="00282E3D" w:rsidRDefault="00075858" w:rsidP="004711A1">
            <w:pPr>
              <w:pStyle w:val="NoSpacing"/>
              <w:spacing w:line="276" w:lineRule="auto"/>
              <w:rPr>
                <w:rFonts w:ascii="Arial" w:hAnsi="Arial" w:cs="Arial"/>
                <w:b/>
                <w:bCs/>
                <w:sz w:val="20"/>
                <w:szCs w:val="20"/>
                <w:vertAlign w:val="superscript"/>
                <w:lang w:val="en-US"/>
              </w:rPr>
            </w:pPr>
            <w:r w:rsidRPr="00282E3D">
              <w:rPr>
                <w:rFonts w:ascii="Arial" w:hAnsi="Arial" w:cs="Arial"/>
                <w:b/>
                <w:bCs/>
                <w:sz w:val="20"/>
                <w:szCs w:val="20"/>
                <w:lang w:val="en-US"/>
              </w:rPr>
              <w:t>[TIMP-2]•[</w:t>
            </w:r>
            <w:r w:rsidR="00E40189" w:rsidRPr="00282E3D">
              <w:rPr>
                <w:rFonts w:ascii="Arial" w:hAnsi="Arial" w:cs="Arial"/>
                <w:b/>
                <w:bCs/>
                <w:sz w:val="20"/>
                <w:szCs w:val="20"/>
                <w:lang w:val="en-US"/>
              </w:rPr>
              <w:t>IGFBP7</w:t>
            </w:r>
            <w:r w:rsidRPr="00282E3D">
              <w:rPr>
                <w:rFonts w:ascii="Arial" w:hAnsi="Arial" w:cs="Arial"/>
                <w:b/>
                <w:bCs/>
                <w:sz w:val="20"/>
                <w:szCs w:val="20"/>
                <w:lang w:val="en-US"/>
              </w:rPr>
              <w:t>], second test</w:t>
            </w:r>
            <w:r w:rsidRPr="00282E3D">
              <w:rPr>
                <w:rFonts w:ascii="Arial" w:hAnsi="Arial" w:cs="Arial"/>
                <w:b/>
                <w:bCs/>
                <w:sz w:val="20"/>
                <w:szCs w:val="20"/>
                <w:vertAlign w:val="superscript"/>
                <w:lang w:val="en-US"/>
              </w:rPr>
              <w:t>c</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2496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0.49 (0.21 - 0.95)</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861615"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0.41 (0.14 - 0.82)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0A099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0.91 (0.56 - 2.66)</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F615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75B1D84A" w14:textId="77777777" w:rsidTr="004711A1">
        <w:trPr>
          <w:trHeight w:val="397"/>
        </w:trPr>
        <w:tc>
          <w:tcPr>
            <w:tcW w:w="3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97AFCC" w14:textId="74342243" w:rsidR="00075858" w:rsidRPr="00282E3D" w:rsidRDefault="00075858"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[TIMP-2]•[</w:t>
            </w:r>
            <w:r w:rsidR="00E40189" w:rsidRPr="00282E3D">
              <w:rPr>
                <w:rFonts w:ascii="Arial" w:hAnsi="Arial" w:cs="Arial"/>
                <w:b/>
                <w:bCs/>
                <w:sz w:val="20"/>
                <w:szCs w:val="20"/>
                <w:lang w:val="en-US"/>
              </w:rPr>
              <w:t>IGFBP7</w:t>
            </w:r>
            <w:r w:rsidRPr="00282E3D">
              <w:rPr>
                <w:rFonts w:ascii="Arial" w:hAnsi="Arial" w:cs="Arial"/>
                <w:b/>
                <w:bCs/>
                <w:sz w:val="20"/>
                <w:szCs w:val="20"/>
                <w:lang w:val="en-US"/>
              </w:rPr>
              <w:t>], third test</w:t>
            </w:r>
            <w:r w:rsidRPr="00282E3D">
              <w:rPr>
                <w:rFonts w:ascii="Arial" w:hAnsi="Arial" w:cs="Arial"/>
                <w:b/>
                <w:bCs/>
                <w:sz w:val="20"/>
                <w:szCs w:val="20"/>
                <w:vertAlign w:val="superscript"/>
                <w:lang w:val="en-US"/>
              </w:rPr>
              <w:t>d</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3FCF7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0.33 (0.15 - 0.74)</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613F1"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0.27 (0.11 - 0.62)</w:t>
            </w:r>
          </w:p>
        </w:tc>
        <w:tc>
          <w:tcPr>
            <w:tcW w:w="17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7E1FC"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0.86 (0.38 - 3.22)</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56DCB" w14:textId="77777777" w:rsidR="00075858" w:rsidRPr="00282E3D" w:rsidRDefault="00075858"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bl>
    <w:bookmarkEnd w:id="14"/>
    <w:p w14:paraId="41300C33" w14:textId="77777777"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The primary endpoint is a composite of progression of 2 or more stages of AKI, death, or dialysis within 72 hours from enrollment.</w:t>
      </w:r>
    </w:p>
    <w:p w14:paraId="6B50E468" w14:textId="1E418D73"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Categorical variables are presented as numbers (%), continuous variables as medians (interquartile range).</w:t>
      </w:r>
    </w:p>
    <w:p w14:paraId="6F2CE6EE" w14:textId="77777777" w:rsidR="00275B96" w:rsidRPr="00282E3D" w:rsidRDefault="004711A1" w:rsidP="00275B96">
      <w:pPr>
        <w:pStyle w:val="NoSpacing"/>
        <w:rPr>
          <w:rFonts w:ascii="Arial" w:hAnsi="Arial" w:cs="Arial"/>
          <w:sz w:val="20"/>
          <w:szCs w:val="20"/>
          <w:lang w:val="en-US"/>
        </w:rPr>
      </w:pPr>
      <w:r w:rsidRPr="00282E3D">
        <w:rPr>
          <w:rFonts w:ascii="Arial" w:hAnsi="Arial" w:cs="Arial"/>
          <w:sz w:val="20"/>
          <w:szCs w:val="20"/>
          <w:vertAlign w:val="superscript"/>
          <w:lang w:val="en-US"/>
        </w:rPr>
        <w:t>a</w:t>
      </w:r>
      <w:r w:rsidRPr="00282E3D">
        <w:rPr>
          <w:rFonts w:ascii="Arial" w:hAnsi="Arial" w:cs="Arial"/>
          <w:sz w:val="20"/>
          <w:szCs w:val="20"/>
          <w:lang w:val="en-US"/>
        </w:rPr>
        <w:t>Categorical variable defined as value above the upper limit of laboratory normality reference.</w:t>
      </w:r>
    </w:p>
    <w:p w14:paraId="4484D407" w14:textId="75EA3230" w:rsidR="004711A1" w:rsidRPr="00282E3D" w:rsidRDefault="004711A1" w:rsidP="004711A1">
      <w:pPr>
        <w:pStyle w:val="NoSpacing"/>
        <w:rPr>
          <w:rFonts w:ascii="Arial" w:hAnsi="Arial" w:cs="Arial"/>
          <w:sz w:val="20"/>
          <w:szCs w:val="20"/>
          <w:lang w:val="en-US"/>
        </w:rPr>
      </w:pPr>
      <w:bookmarkStart w:id="15" w:name="_Hlk52987589"/>
      <w:r w:rsidRPr="00282E3D">
        <w:rPr>
          <w:rFonts w:ascii="Arial" w:hAnsi="Arial" w:cs="Arial"/>
          <w:sz w:val="20"/>
          <w:szCs w:val="20"/>
          <w:vertAlign w:val="superscript"/>
          <w:lang w:val="en-US"/>
        </w:rPr>
        <w:t>b</w:t>
      </w:r>
      <w:r w:rsidRPr="00282E3D">
        <w:rPr>
          <w:rFonts w:ascii="Arial" w:hAnsi="Arial" w:cs="Arial"/>
          <w:sz w:val="20"/>
          <w:szCs w:val="20"/>
          <w:lang w:val="en-US"/>
        </w:rPr>
        <w:t>At approximately 6 from sepsis diagnosis and start of the treatment.</w:t>
      </w:r>
      <w:r w:rsidR="00F56B1D" w:rsidRPr="00282E3D">
        <w:rPr>
          <w:rFonts w:ascii="Arial" w:hAnsi="Arial" w:cs="Arial"/>
          <w:sz w:val="20"/>
          <w:szCs w:val="20"/>
          <w:lang w:val="en-US"/>
        </w:rPr>
        <w:t xml:space="preserve"> No missing values.</w:t>
      </w:r>
    </w:p>
    <w:p w14:paraId="36C6EA9C" w14:textId="30A5B8FC"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c</w:t>
      </w:r>
      <w:r w:rsidRPr="00282E3D">
        <w:rPr>
          <w:rFonts w:ascii="Arial" w:hAnsi="Arial" w:cs="Arial"/>
          <w:sz w:val="20"/>
          <w:szCs w:val="20"/>
          <w:lang w:val="en-US"/>
        </w:rPr>
        <w:t>At approximately 18 from sepsis diagnosis and start of the treatment.</w:t>
      </w:r>
      <w:r w:rsidR="00F56B1D" w:rsidRPr="00282E3D">
        <w:rPr>
          <w:rFonts w:ascii="Arial" w:hAnsi="Arial" w:cs="Arial"/>
          <w:sz w:val="20"/>
          <w:szCs w:val="20"/>
          <w:lang w:val="en-US"/>
        </w:rPr>
        <w:t xml:space="preserve"> 8 missing values (4%).</w:t>
      </w:r>
    </w:p>
    <w:p w14:paraId="76B4AEE9" w14:textId="6BCFD068" w:rsidR="00275B96"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d</w:t>
      </w:r>
      <w:r w:rsidRPr="00282E3D">
        <w:rPr>
          <w:rFonts w:ascii="Arial" w:hAnsi="Arial" w:cs="Arial"/>
          <w:sz w:val="20"/>
          <w:szCs w:val="20"/>
          <w:lang w:val="en-US"/>
        </w:rPr>
        <w:t>At approximately 30 from sepsis diagnosis and start of the treatment.</w:t>
      </w:r>
      <w:r w:rsidR="00F56B1D" w:rsidRPr="00282E3D">
        <w:rPr>
          <w:rFonts w:ascii="Arial" w:hAnsi="Arial" w:cs="Arial"/>
          <w:sz w:val="20"/>
          <w:szCs w:val="20"/>
          <w:lang w:val="en-US"/>
        </w:rPr>
        <w:t xml:space="preserve"> 16 missing values (</w:t>
      </w:r>
      <w:r w:rsidR="0005423E" w:rsidRPr="00282E3D">
        <w:rPr>
          <w:rFonts w:ascii="Arial" w:hAnsi="Arial" w:cs="Arial"/>
          <w:sz w:val="20"/>
          <w:szCs w:val="20"/>
          <w:lang w:val="en-US"/>
        </w:rPr>
        <w:t>8%), 5 of th</w:t>
      </w:r>
      <w:r w:rsidR="00AF1F9D" w:rsidRPr="00282E3D">
        <w:rPr>
          <w:rFonts w:ascii="Arial" w:hAnsi="Arial" w:cs="Arial"/>
          <w:sz w:val="20"/>
          <w:szCs w:val="20"/>
          <w:lang w:val="en-US"/>
        </w:rPr>
        <w:t>e</w:t>
      </w:r>
      <w:r w:rsidR="0005423E" w:rsidRPr="00282E3D">
        <w:rPr>
          <w:rFonts w:ascii="Arial" w:hAnsi="Arial" w:cs="Arial"/>
          <w:sz w:val="20"/>
          <w:szCs w:val="20"/>
          <w:lang w:val="en-US"/>
        </w:rPr>
        <w:t>se have missing value also at the second test.</w:t>
      </w:r>
    </w:p>
    <w:bookmarkEnd w:id="15"/>
    <w:p w14:paraId="774F0201" w14:textId="39430EC8" w:rsidR="00A81F2F" w:rsidRPr="00282E3D" w:rsidRDefault="004711A1" w:rsidP="002E3029">
      <w:pPr>
        <w:pStyle w:val="NoSpacing"/>
        <w:rPr>
          <w:rFonts w:ascii="Arial" w:hAnsi="Arial" w:cs="Arial"/>
          <w:highlight w:val="yellow"/>
          <w:lang w:val="en-US"/>
        </w:rPr>
      </w:pPr>
      <w:r w:rsidRPr="00282E3D">
        <w:rPr>
          <w:rFonts w:ascii="Arial" w:hAnsi="Arial" w:cs="Arial"/>
          <w:sz w:val="20"/>
          <w:szCs w:val="20"/>
          <w:lang w:val="en-US"/>
        </w:rPr>
        <w:t xml:space="preserve">APACHE = acute physiology and chronic health evaluation </w:t>
      </w:r>
      <w:r w:rsidR="00F039B8" w:rsidRPr="00282E3D">
        <w:rPr>
          <w:rFonts w:ascii="Arial" w:hAnsi="Arial" w:cs="Arial"/>
          <w:sz w:val="20"/>
          <w:szCs w:val="20"/>
          <w:lang w:val="en-US"/>
        </w:rPr>
        <w:t>I</w:t>
      </w:r>
      <w:r w:rsidRPr="00282E3D">
        <w:rPr>
          <w:rFonts w:ascii="Arial" w:hAnsi="Arial" w:cs="Arial"/>
          <w:sz w:val="20"/>
          <w:szCs w:val="20"/>
          <w:lang w:val="en-US"/>
        </w:rPr>
        <w:t>II; CKD = chronic kidney disease; COP</w:t>
      </w:r>
      <w:r w:rsidR="007B1223" w:rsidRPr="00282E3D">
        <w:rPr>
          <w:rFonts w:ascii="Arial" w:hAnsi="Arial" w:cs="Arial"/>
          <w:sz w:val="20"/>
          <w:szCs w:val="20"/>
          <w:lang w:val="en-US"/>
        </w:rPr>
        <w:t>D</w:t>
      </w:r>
      <w:r w:rsidRPr="00282E3D">
        <w:rPr>
          <w:rFonts w:ascii="Arial" w:hAnsi="Arial" w:cs="Arial"/>
          <w:sz w:val="20"/>
          <w:szCs w:val="20"/>
          <w:lang w:val="en-US"/>
        </w:rPr>
        <w:t xml:space="preserve"> = chronic obstructive pulmonary disease; IGFBP7 = insulin-like growth factor binding protein 7; SOFA = sequential organ failure assessment; TIMP-2 = </w:t>
      </w:r>
      <w:r w:rsidR="007B1223" w:rsidRPr="00282E3D">
        <w:rPr>
          <w:rFonts w:ascii="Arial" w:hAnsi="Arial" w:cs="Arial"/>
          <w:sz w:val="20"/>
          <w:szCs w:val="20"/>
          <w:lang w:val="en-US"/>
        </w:rPr>
        <w:t>tissue inhibitor of metalloproteinases-2</w:t>
      </w:r>
      <w:r w:rsidRPr="00282E3D">
        <w:rPr>
          <w:rFonts w:ascii="Arial" w:hAnsi="Arial" w:cs="Arial"/>
          <w:sz w:val="20"/>
          <w:szCs w:val="20"/>
          <w:lang w:val="en-US"/>
        </w:rPr>
        <w:t>.</w:t>
      </w:r>
      <w:r w:rsidR="00A81F2F" w:rsidRPr="00282E3D">
        <w:rPr>
          <w:rFonts w:ascii="Arial" w:hAnsi="Arial" w:cs="Arial"/>
          <w:highlight w:val="yellow"/>
          <w:lang w:val="en-US"/>
        </w:rPr>
        <w:br w:type="page"/>
      </w:r>
    </w:p>
    <w:p w14:paraId="2889F744" w14:textId="57101B21" w:rsidR="00BB126F" w:rsidRPr="00282E3D" w:rsidRDefault="00BB126F" w:rsidP="00524006">
      <w:pPr>
        <w:pStyle w:val="Papardraft"/>
        <w:spacing w:line="276" w:lineRule="auto"/>
        <w:ind w:firstLine="0"/>
        <w:outlineLvl w:val="1"/>
        <w:rPr>
          <w:lang w:val="en-US"/>
        </w:rPr>
      </w:pPr>
      <w:bookmarkStart w:id="16" w:name="_Toc59032037"/>
      <w:bookmarkStart w:id="17" w:name="_Toc59643461"/>
      <w:r w:rsidRPr="00282E3D">
        <w:rPr>
          <w:b/>
          <w:bCs/>
          <w:lang w:val="en-US"/>
        </w:rPr>
        <w:lastRenderedPageBreak/>
        <w:t>Supplemental Table S</w:t>
      </w:r>
      <w:r w:rsidR="001271EB" w:rsidRPr="00282E3D">
        <w:rPr>
          <w:b/>
          <w:bCs/>
          <w:lang w:val="en-US"/>
        </w:rPr>
        <w:t>4</w:t>
      </w:r>
      <w:r w:rsidRPr="00282E3D">
        <w:rPr>
          <w:b/>
          <w:bCs/>
          <w:lang w:val="en-US"/>
        </w:rPr>
        <w:t>.</w:t>
      </w:r>
      <w:r w:rsidRPr="00282E3D">
        <w:rPr>
          <w:lang w:val="en-US"/>
        </w:rPr>
        <w:t xml:space="preserve"> General characteristics of the cohort from ProCESS trial and comparison between patients with and without the primary endpoint.</w:t>
      </w:r>
      <w:bookmarkEnd w:id="16"/>
      <w:bookmarkEnd w:id="17"/>
    </w:p>
    <w:tbl>
      <w:tblPr>
        <w:tblStyle w:val="TableGridLight"/>
        <w:tblW w:w="10091" w:type="dxa"/>
        <w:tblInd w:w="0" w:type="dxa"/>
        <w:tblLayout w:type="fixed"/>
        <w:tblLook w:val="0000" w:firstRow="0" w:lastRow="0" w:firstColumn="0" w:lastColumn="0" w:noHBand="0" w:noVBand="0"/>
      </w:tblPr>
      <w:tblGrid>
        <w:gridCol w:w="3515"/>
        <w:gridCol w:w="1814"/>
        <w:gridCol w:w="1814"/>
        <w:gridCol w:w="1814"/>
        <w:gridCol w:w="1134"/>
      </w:tblGrid>
      <w:tr w:rsidR="00282E3D" w:rsidRPr="00282E3D" w14:paraId="19D4F1E2" w14:textId="77777777" w:rsidTr="004711A1">
        <w:trPr>
          <w:trHeight w:val="680"/>
        </w:trPr>
        <w:tc>
          <w:tcPr>
            <w:tcW w:w="3515" w:type="dxa"/>
            <w:vAlign w:val="center"/>
          </w:tcPr>
          <w:p w14:paraId="7142F6DD"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ProCESS - Patient characteristics</w:t>
            </w:r>
          </w:p>
        </w:tc>
        <w:tc>
          <w:tcPr>
            <w:tcW w:w="1814" w:type="dxa"/>
            <w:vAlign w:val="center"/>
          </w:tcPr>
          <w:p w14:paraId="3105621D" w14:textId="77777777" w:rsidR="004711A1" w:rsidRPr="00282E3D" w:rsidRDefault="004711A1" w:rsidP="004711A1">
            <w:pPr>
              <w:pStyle w:val="NoSpacing"/>
              <w:spacing w:line="276" w:lineRule="auto"/>
              <w:jc w:val="center"/>
              <w:rPr>
                <w:rFonts w:ascii="Arial" w:hAnsi="Arial" w:cs="Arial"/>
                <w:b/>
                <w:bCs/>
                <w:sz w:val="20"/>
                <w:szCs w:val="20"/>
                <w:lang w:val="en-US"/>
              </w:rPr>
            </w:pPr>
            <w:r w:rsidRPr="00282E3D">
              <w:rPr>
                <w:rFonts w:ascii="Arial" w:hAnsi="Arial" w:cs="Arial"/>
                <w:b/>
                <w:bCs/>
                <w:sz w:val="20"/>
                <w:szCs w:val="20"/>
                <w:lang w:val="en-US"/>
              </w:rPr>
              <w:t>Total</w:t>
            </w:r>
          </w:p>
          <w:p w14:paraId="3691C6A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b/>
                <w:bCs/>
                <w:sz w:val="20"/>
                <w:szCs w:val="20"/>
                <w:lang w:val="en-US"/>
              </w:rPr>
              <w:t>(N. 607)</w:t>
            </w:r>
          </w:p>
        </w:tc>
        <w:tc>
          <w:tcPr>
            <w:tcW w:w="1814" w:type="dxa"/>
            <w:vAlign w:val="center"/>
          </w:tcPr>
          <w:p w14:paraId="117FDA61" w14:textId="77777777" w:rsidR="004711A1" w:rsidRPr="00282E3D" w:rsidRDefault="004711A1" w:rsidP="004711A1">
            <w:pPr>
              <w:pStyle w:val="NoSpacing"/>
              <w:spacing w:line="276" w:lineRule="auto"/>
              <w:jc w:val="center"/>
              <w:rPr>
                <w:rFonts w:ascii="Arial" w:hAnsi="Arial" w:cs="Arial"/>
                <w:b/>
                <w:bCs/>
                <w:sz w:val="20"/>
                <w:szCs w:val="20"/>
                <w:lang w:val="en-US"/>
              </w:rPr>
            </w:pPr>
            <w:r w:rsidRPr="00282E3D">
              <w:rPr>
                <w:rFonts w:ascii="Arial" w:hAnsi="Arial" w:cs="Arial"/>
                <w:b/>
                <w:bCs/>
                <w:sz w:val="20"/>
                <w:szCs w:val="20"/>
                <w:lang w:val="en-US"/>
              </w:rPr>
              <w:t>Endpoint –</w:t>
            </w:r>
          </w:p>
          <w:p w14:paraId="70E9748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b/>
                <w:bCs/>
                <w:sz w:val="20"/>
                <w:szCs w:val="20"/>
                <w:lang w:val="en-US"/>
              </w:rPr>
              <w:t>(N. 463)</w:t>
            </w:r>
          </w:p>
        </w:tc>
        <w:tc>
          <w:tcPr>
            <w:tcW w:w="1814" w:type="dxa"/>
            <w:vAlign w:val="center"/>
          </w:tcPr>
          <w:p w14:paraId="47296A11" w14:textId="77777777" w:rsidR="004711A1" w:rsidRPr="00282E3D" w:rsidRDefault="004711A1" w:rsidP="004711A1">
            <w:pPr>
              <w:pStyle w:val="NoSpacing"/>
              <w:spacing w:line="276" w:lineRule="auto"/>
              <w:jc w:val="center"/>
              <w:rPr>
                <w:rFonts w:ascii="Arial" w:hAnsi="Arial" w:cs="Arial"/>
                <w:b/>
                <w:bCs/>
                <w:sz w:val="20"/>
                <w:szCs w:val="20"/>
                <w:lang w:val="en-US"/>
              </w:rPr>
            </w:pPr>
            <w:r w:rsidRPr="00282E3D">
              <w:rPr>
                <w:rFonts w:ascii="Arial" w:hAnsi="Arial" w:cs="Arial"/>
                <w:b/>
                <w:bCs/>
                <w:sz w:val="20"/>
                <w:szCs w:val="20"/>
                <w:lang w:val="en-US"/>
              </w:rPr>
              <w:t>Endpoint +</w:t>
            </w:r>
          </w:p>
          <w:p w14:paraId="1AD6D908"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b/>
                <w:bCs/>
                <w:sz w:val="20"/>
                <w:szCs w:val="20"/>
                <w:lang w:val="en-US"/>
              </w:rPr>
              <w:t>(N. 144)</w:t>
            </w:r>
          </w:p>
        </w:tc>
        <w:tc>
          <w:tcPr>
            <w:tcW w:w="1134" w:type="dxa"/>
            <w:vAlign w:val="center"/>
          </w:tcPr>
          <w:p w14:paraId="3F50CCFE" w14:textId="77777777" w:rsidR="004711A1" w:rsidRPr="00282E3D" w:rsidRDefault="004711A1" w:rsidP="004711A1">
            <w:pPr>
              <w:pStyle w:val="NoSpacing"/>
              <w:spacing w:line="276" w:lineRule="auto"/>
              <w:jc w:val="center"/>
              <w:rPr>
                <w:rFonts w:ascii="Arial" w:hAnsi="Arial" w:cs="Arial"/>
                <w:b/>
                <w:bCs/>
                <w:i/>
                <w:iCs/>
                <w:sz w:val="20"/>
                <w:szCs w:val="20"/>
                <w:lang w:val="en-US"/>
              </w:rPr>
            </w:pPr>
            <w:r w:rsidRPr="00282E3D">
              <w:rPr>
                <w:rFonts w:ascii="Arial" w:hAnsi="Arial" w:cs="Arial"/>
                <w:b/>
                <w:bCs/>
                <w:i/>
                <w:iCs/>
                <w:sz w:val="20"/>
                <w:szCs w:val="20"/>
                <w:lang w:val="en-US"/>
              </w:rPr>
              <w:t>p</w:t>
            </w:r>
          </w:p>
        </w:tc>
      </w:tr>
      <w:tr w:rsidR="00282E3D" w:rsidRPr="00282E3D" w14:paraId="3FC68760" w14:textId="77777777" w:rsidTr="004711A1">
        <w:trPr>
          <w:trHeight w:val="397"/>
        </w:trPr>
        <w:tc>
          <w:tcPr>
            <w:tcW w:w="3515" w:type="dxa"/>
            <w:vAlign w:val="center"/>
          </w:tcPr>
          <w:p w14:paraId="19503B21" w14:textId="77777777" w:rsidR="004711A1" w:rsidRPr="00282E3D" w:rsidRDefault="004711A1"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Age</w:t>
            </w:r>
          </w:p>
        </w:tc>
        <w:tc>
          <w:tcPr>
            <w:tcW w:w="1814" w:type="dxa"/>
            <w:vAlign w:val="center"/>
          </w:tcPr>
          <w:p w14:paraId="35F9142A"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61 (49 - 73)</w:t>
            </w:r>
          </w:p>
        </w:tc>
        <w:tc>
          <w:tcPr>
            <w:tcW w:w="1814" w:type="dxa"/>
            <w:vAlign w:val="center"/>
          </w:tcPr>
          <w:p w14:paraId="2F876B6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60 (48 - 72)</w:t>
            </w:r>
          </w:p>
        </w:tc>
        <w:tc>
          <w:tcPr>
            <w:tcW w:w="1814" w:type="dxa"/>
            <w:vAlign w:val="center"/>
          </w:tcPr>
          <w:p w14:paraId="7930D1B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66 (55 - 78)</w:t>
            </w:r>
          </w:p>
        </w:tc>
        <w:tc>
          <w:tcPr>
            <w:tcW w:w="1134" w:type="dxa"/>
            <w:vAlign w:val="center"/>
          </w:tcPr>
          <w:p w14:paraId="60EB591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7BA47D98" w14:textId="77777777" w:rsidTr="004711A1">
        <w:trPr>
          <w:trHeight w:val="907"/>
        </w:trPr>
        <w:tc>
          <w:tcPr>
            <w:tcW w:w="3515" w:type="dxa"/>
            <w:vAlign w:val="center"/>
          </w:tcPr>
          <w:p w14:paraId="3E443F8C"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Sex,</w:t>
            </w:r>
          </w:p>
          <w:p w14:paraId="5B46B73F" w14:textId="77777777" w:rsidR="004711A1" w:rsidRPr="00282E3D" w:rsidRDefault="004711A1"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Male</w:t>
            </w:r>
          </w:p>
          <w:p w14:paraId="42F0E07A" w14:textId="77777777" w:rsidR="004711A1" w:rsidRPr="00282E3D" w:rsidRDefault="004711A1"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Female</w:t>
            </w:r>
          </w:p>
        </w:tc>
        <w:tc>
          <w:tcPr>
            <w:tcW w:w="1814" w:type="dxa"/>
            <w:vAlign w:val="center"/>
          </w:tcPr>
          <w:p w14:paraId="2DE07413" w14:textId="77777777" w:rsidR="004711A1" w:rsidRPr="00282E3D" w:rsidRDefault="004711A1" w:rsidP="004711A1">
            <w:pPr>
              <w:pStyle w:val="NoSpacing"/>
              <w:spacing w:line="276" w:lineRule="auto"/>
              <w:jc w:val="center"/>
              <w:rPr>
                <w:rFonts w:ascii="Arial" w:hAnsi="Arial" w:cs="Arial"/>
                <w:sz w:val="20"/>
                <w:szCs w:val="20"/>
                <w:lang w:val="en-US"/>
              </w:rPr>
            </w:pPr>
          </w:p>
          <w:p w14:paraId="16D1C8E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329 (54.2%)</w:t>
            </w:r>
          </w:p>
          <w:p w14:paraId="091440A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278 (45.8%)</w:t>
            </w:r>
          </w:p>
        </w:tc>
        <w:tc>
          <w:tcPr>
            <w:tcW w:w="1814" w:type="dxa"/>
            <w:vAlign w:val="center"/>
          </w:tcPr>
          <w:p w14:paraId="68FFE847" w14:textId="77777777" w:rsidR="004711A1" w:rsidRPr="00282E3D" w:rsidRDefault="004711A1" w:rsidP="004711A1">
            <w:pPr>
              <w:pStyle w:val="NoSpacing"/>
              <w:spacing w:line="276" w:lineRule="auto"/>
              <w:jc w:val="center"/>
              <w:rPr>
                <w:rFonts w:ascii="Arial" w:hAnsi="Arial" w:cs="Arial"/>
                <w:sz w:val="20"/>
                <w:szCs w:val="20"/>
                <w:lang w:val="en-US"/>
              </w:rPr>
            </w:pPr>
          </w:p>
          <w:p w14:paraId="3C7EE7C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260 (56.2%)</w:t>
            </w:r>
          </w:p>
          <w:p w14:paraId="6B8F6E8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203 (43.8%)</w:t>
            </w:r>
          </w:p>
        </w:tc>
        <w:tc>
          <w:tcPr>
            <w:tcW w:w="1814" w:type="dxa"/>
            <w:vAlign w:val="center"/>
          </w:tcPr>
          <w:p w14:paraId="7890F135" w14:textId="77777777" w:rsidR="004711A1" w:rsidRPr="00282E3D" w:rsidRDefault="004711A1" w:rsidP="004711A1">
            <w:pPr>
              <w:pStyle w:val="NoSpacing"/>
              <w:spacing w:line="276" w:lineRule="auto"/>
              <w:jc w:val="center"/>
              <w:rPr>
                <w:rFonts w:ascii="Arial" w:hAnsi="Arial" w:cs="Arial"/>
                <w:sz w:val="20"/>
                <w:szCs w:val="20"/>
                <w:lang w:val="en-US"/>
              </w:rPr>
            </w:pPr>
          </w:p>
          <w:p w14:paraId="6B82844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69 (47.9%)</w:t>
            </w:r>
          </w:p>
          <w:p w14:paraId="091A562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75 (52.1%)</w:t>
            </w:r>
          </w:p>
        </w:tc>
        <w:tc>
          <w:tcPr>
            <w:tcW w:w="1134" w:type="dxa"/>
            <w:vAlign w:val="center"/>
          </w:tcPr>
          <w:p w14:paraId="52685B27" w14:textId="77777777" w:rsidR="004711A1" w:rsidRPr="00282E3D" w:rsidRDefault="004711A1" w:rsidP="004711A1">
            <w:pPr>
              <w:pStyle w:val="NoSpacing"/>
              <w:spacing w:line="276" w:lineRule="auto"/>
              <w:jc w:val="center"/>
              <w:rPr>
                <w:rFonts w:ascii="Arial" w:hAnsi="Arial" w:cs="Arial"/>
                <w:sz w:val="20"/>
                <w:szCs w:val="20"/>
                <w:lang w:val="en-US"/>
              </w:rPr>
            </w:pPr>
          </w:p>
          <w:p w14:paraId="087DD57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0.083</w:t>
            </w:r>
          </w:p>
          <w:p w14:paraId="5E72F817" w14:textId="77777777" w:rsidR="004711A1" w:rsidRPr="00282E3D" w:rsidRDefault="004711A1" w:rsidP="004711A1">
            <w:pPr>
              <w:pStyle w:val="NoSpacing"/>
              <w:spacing w:line="276" w:lineRule="auto"/>
              <w:jc w:val="center"/>
              <w:rPr>
                <w:rFonts w:ascii="Arial" w:hAnsi="Arial" w:cs="Arial"/>
                <w:sz w:val="20"/>
                <w:szCs w:val="20"/>
                <w:lang w:val="en-US"/>
              </w:rPr>
            </w:pPr>
          </w:p>
        </w:tc>
      </w:tr>
      <w:tr w:rsidR="00282E3D" w:rsidRPr="00282E3D" w14:paraId="050FCAF0" w14:textId="77777777" w:rsidTr="004711A1">
        <w:trPr>
          <w:trHeight w:val="1077"/>
        </w:trPr>
        <w:tc>
          <w:tcPr>
            <w:tcW w:w="3515" w:type="dxa"/>
            <w:vAlign w:val="center"/>
          </w:tcPr>
          <w:p w14:paraId="707317FE"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Race,</w:t>
            </w:r>
          </w:p>
          <w:p w14:paraId="0A6C5B25" w14:textId="77777777" w:rsidR="004711A1" w:rsidRPr="00282E3D" w:rsidRDefault="004711A1"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White</w:t>
            </w:r>
          </w:p>
          <w:p w14:paraId="79F15542" w14:textId="77777777" w:rsidR="004711A1" w:rsidRPr="00282E3D" w:rsidRDefault="004711A1"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Black</w:t>
            </w:r>
          </w:p>
          <w:p w14:paraId="3A60B55F" w14:textId="77777777" w:rsidR="004711A1" w:rsidRPr="00282E3D" w:rsidRDefault="004711A1" w:rsidP="004711A1">
            <w:pPr>
              <w:pStyle w:val="NoSpacing"/>
              <w:spacing w:line="276" w:lineRule="auto"/>
              <w:ind w:left="708"/>
              <w:rPr>
                <w:rFonts w:ascii="Arial" w:hAnsi="Arial" w:cs="Arial"/>
                <w:b/>
                <w:bCs/>
                <w:sz w:val="20"/>
                <w:szCs w:val="20"/>
                <w:lang w:val="en-US"/>
              </w:rPr>
            </w:pPr>
            <w:r w:rsidRPr="00282E3D">
              <w:rPr>
                <w:rFonts w:ascii="Arial" w:hAnsi="Arial" w:cs="Arial"/>
                <w:b/>
                <w:bCs/>
                <w:sz w:val="20"/>
                <w:szCs w:val="20"/>
                <w:lang w:val="en-US"/>
              </w:rPr>
              <w:t>Other</w:t>
            </w:r>
          </w:p>
        </w:tc>
        <w:tc>
          <w:tcPr>
            <w:tcW w:w="1814" w:type="dxa"/>
            <w:vAlign w:val="center"/>
          </w:tcPr>
          <w:p w14:paraId="2B1AC2AC" w14:textId="77777777" w:rsidR="004711A1" w:rsidRPr="00282E3D" w:rsidRDefault="004711A1" w:rsidP="004711A1">
            <w:pPr>
              <w:pStyle w:val="NoSpacing"/>
              <w:spacing w:line="276" w:lineRule="auto"/>
              <w:jc w:val="center"/>
              <w:rPr>
                <w:rFonts w:ascii="Arial" w:hAnsi="Arial" w:cs="Arial"/>
                <w:sz w:val="20"/>
                <w:szCs w:val="20"/>
                <w:lang w:val="en-US"/>
              </w:rPr>
            </w:pPr>
          </w:p>
          <w:p w14:paraId="3CAB0D1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432 (71.2%)</w:t>
            </w:r>
          </w:p>
          <w:p w14:paraId="0920EAB8"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127 (20.9%)</w:t>
            </w:r>
          </w:p>
          <w:p w14:paraId="4ED94865"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48 (7.9%)</w:t>
            </w:r>
          </w:p>
        </w:tc>
        <w:tc>
          <w:tcPr>
            <w:tcW w:w="1814" w:type="dxa"/>
            <w:vAlign w:val="center"/>
          </w:tcPr>
          <w:p w14:paraId="00BB2356" w14:textId="77777777" w:rsidR="004711A1" w:rsidRPr="00282E3D" w:rsidRDefault="004711A1" w:rsidP="004711A1">
            <w:pPr>
              <w:pStyle w:val="NoSpacing"/>
              <w:spacing w:line="276" w:lineRule="auto"/>
              <w:jc w:val="center"/>
              <w:rPr>
                <w:rFonts w:ascii="Arial" w:hAnsi="Arial" w:cs="Arial"/>
                <w:sz w:val="20"/>
                <w:szCs w:val="20"/>
                <w:lang w:val="en-US"/>
              </w:rPr>
            </w:pPr>
          </w:p>
          <w:p w14:paraId="2647492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326 (70.4%)</w:t>
            </w:r>
          </w:p>
          <w:p w14:paraId="17CE056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97 (21%)</w:t>
            </w:r>
          </w:p>
          <w:p w14:paraId="55B23A83"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40 (8.6%)</w:t>
            </w:r>
          </w:p>
        </w:tc>
        <w:tc>
          <w:tcPr>
            <w:tcW w:w="1814" w:type="dxa"/>
            <w:vAlign w:val="center"/>
          </w:tcPr>
          <w:p w14:paraId="317B9FFA" w14:textId="77777777" w:rsidR="004711A1" w:rsidRPr="00282E3D" w:rsidRDefault="004711A1" w:rsidP="004711A1">
            <w:pPr>
              <w:pStyle w:val="NoSpacing"/>
              <w:spacing w:line="276" w:lineRule="auto"/>
              <w:jc w:val="center"/>
              <w:rPr>
                <w:rFonts w:ascii="Arial" w:hAnsi="Arial" w:cs="Arial"/>
                <w:sz w:val="20"/>
                <w:szCs w:val="20"/>
                <w:lang w:val="en-US"/>
              </w:rPr>
            </w:pPr>
          </w:p>
          <w:p w14:paraId="6EB4F6A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106 (73.6%)</w:t>
            </w:r>
          </w:p>
          <w:p w14:paraId="2F679E1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30 (20.8%)</w:t>
            </w:r>
          </w:p>
          <w:p w14:paraId="3529ADF4"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 (5.6%)</w:t>
            </w:r>
          </w:p>
        </w:tc>
        <w:tc>
          <w:tcPr>
            <w:tcW w:w="1134" w:type="dxa"/>
            <w:vAlign w:val="center"/>
          </w:tcPr>
          <w:p w14:paraId="1B03474E" w14:textId="77777777" w:rsidR="004711A1" w:rsidRPr="00282E3D" w:rsidRDefault="004711A1" w:rsidP="004711A1">
            <w:pPr>
              <w:pStyle w:val="NoSpacing"/>
              <w:spacing w:line="276" w:lineRule="auto"/>
              <w:jc w:val="center"/>
              <w:rPr>
                <w:rFonts w:ascii="Arial" w:hAnsi="Arial" w:cs="Arial"/>
                <w:sz w:val="20"/>
                <w:szCs w:val="20"/>
                <w:lang w:val="en-US"/>
              </w:rPr>
            </w:pPr>
          </w:p>
          <w:p w14:paraId="67D330C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0.477</w:t>
            </w:r>
          </w:p>
          <w:p w14:paraId="2C026FE0" w14:textId="77777777" w:rsidR="004711A1" w:rsidRPr="00282E3D" w:rsidRDefault="004711A1" w:rsidP="004711A1">
            <w:pPr>
              <w:pStyle w:val="NoSpacing"/>
              <w:spacing w:line="276" w:lineRule="auto"/>
              <w:jc w:val="center"/>
              <w:rPr>
                <w:rFonts w:ascii="Arial" w:hAnsi="Arial" w:cs="Arial"/>
                <w:sz w:val="20"/>
                <w:szCs w:val="20"/>
                <w:lang w:val="en-US"/>
              </w:rPr>
            </w:pPr>
          </w:p>
          <w:p w14:paraId="748A9F57" w14:textId="77777777" w:rsidR="004711A1" w:rsidRPr="00282E3D" w:rsidRDefault="004711A1" w:rsidP="004711A1">
            <w:pPr>
              <w:pStyle w:val="NoSpacing"/>
              <w:spacing w:line="276" w:lineRule="auto"/>
              <w:jc w:val="center"/>
              <w:rPr>
                <w:rFonts w:ascii="Arial" w:hAnsi="Arial" w:cs="Arial"/>
                <w:sz w:val="20"/>
                <w:szCs w:val="20"/>
                <w:lang w:val="en-US"/>
              </w:rPr>
            </w:pPr>
          </w:p>
        </w:tc>
      </w:tr>
      <w:tr w:rsidR="00282E3D" w:rsidRPr="00282E3D" w14:paraId="6816FA69" w14:textId="77777777" w:rsidTr="004711A1">
        <w:trPr>
          <w:trHeight w:val="397"/>
        </w:trPr>
        <w:tc>
          <w:tcPr>
            <w:tcW w:w="3515" w:type="dxa"/>
            <w:vAlign w:val="center"/>
          </w:tcPr>
          <w:p w14:paraId="49E91641"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Hypertension</w:t>
            </w:r>
          </w:p>
        </w:tc>
        <w:tc>
          <w:tcPr>
            <w:tcW w:w="1814" w:type="dxa"/>
            <w:vAlign w:val="center"/>
          </w:tcPr>
          <w:p w14:paraId="0E0796E1"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343 (56.5%)</w:t>
            </w:r>
          </w:p>
        </w:tc>
        <w:tc>
          <w:tcPr>
            <w:tcW w:w="1814" w:type="dxa"/>
            <w:vAlign w:val="center"/>
          </w:tcPr>
          <w:p w14:paraId="5433F25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252 (54.4%)</w:t>
            </w:r>
          </w:p>
        </w:tc>
        <w:tc>
          <w:tcPr>
            <w:tcW w:w="1814" w:type="dxa"/>
            <w:vAlign w:val="center"/>
          </w:tcPr>
          <w:p w14:paraId="67E564DF"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91 (63.2%)</w:t>
            </w:r>
          </w:p>
        </w:tc>
        <w:tc>
          <w:tcPr>
            <w:tcW w:w="1134" w:type="dxa"/>
            <w:vAlign w:val="center"/>
          </w:tcPr>
          <w:p w14:paraId="665BBAB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0.064</w:t>
            </w:r>
          </w:p>
        </w:tc>
      </w:tr>
      <w:tr w:rsidR="00282E3D" w:rsidRPr="00282E3D" w14:paraId="5092B892" w14:textId="77777777" w:rsidTr="004711A1">
        <w:trPr>
          <w:trHeight w:val="397"/>
        </w:trPr>
        <w:tc>
          <w:tcPr>
            <w:tcW w:w="3515" w:type="dxa"/>
            <w:vAlign w:val="center"/>
          </w:tcPr>
          <w:p w14:paraId="5491789E"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Diabetes</w:t>
            </w:r>
          </w:p>
        </w:tc>
        <w:tc>
          <w:tcPr>
            <w:tcW w:w="1814" w:type="dxa"/>
            <w:vAlign w:val="center"/>
          </w:tcPr>
          <w:p w14:paraId="6BCD238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195 (32.1%)</w:t>
            </w:r>
          </w:p>
        </w:tc>
        <w:tc>
          <w:tcPr>
            <w:tcW w:w="1814" w:type="dxa"/>
            <w:vAlign w:val="center"/>
          </w:tcPr>
          <w:p w14:paraId="37D8117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142 (30.7%)</w:t>
            </w:r>
          </w:p>
        </w:tc>
        <w:tc>
          <w:tcPr>
            <w:tcW w:w="1814" w:type="dxa"/>
            <w:vAlign w:val="center"/>
          </w:tcPr>
          <w:p w14:paraId="7722B09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53 (36.8%)</w:t>
            </w:r>
          </w:p>
        </w:tc>
        <w:tc>
          <w:tcPr>
            <w:tcW w:w="1134" w:type="dxa"/>
            <w:vAlign w:val="center"/>
          </w:tcPr>
          <w:p w14:paraId="08DE3B3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0.168</w:t>
            </w:r>
          </w:p>
        </w:tc>
      </w:tr>
      <w:tr w:rsidR="00282E3D" w:rsidRPr="00282E3D" w14:paraId="38993951" w14:textId="77777777" w:rsidTr="004711A1">
        <w:trPr>
          <w:trHeight w:val="397"/>
        </w:trPr>
        <w:tc>
          <w:tcPr>
            <w:tcW w:w="3515" w:type="dxa"/>
            <w:vAlign w:val="center"/>
          </w:tcPr>
          <w:p w14:paraId="27BFA217"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Chronic heart failure</w:t>
            </w:r>
          </w:p>
        </w:tc>
        <w:tc>
          <w:tcPr>
            <w:tcW w:w="1814" w:type="dxa"/>
            <w:vAlign w:val="center"/>
          </w:tcPr>
          <w:p w14:paraId="7DBA192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63 (10.4%)</w:t>
            </w:r>
          </w:p>
        </w:tc>
        <w:tc>
          <w:tcPr>
            <w:tcW w:w="1814" w:type="dxa"/>
            <w:vAlign w:val="center"/>
          </w:tcPr>
          <w:p w14:paraId="6763F45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41 (8.9%)</w:t>
            </w:r>
          </w:p>
        </w:tc>
        <w:tc>
          <w:tcPr>
            <w:tcW w:w="1814" w:type="dxa"/>
            <w:vAlign w:val="center"/>
          </w:tcPr>
          <w:p w14:paraId="00A17B2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22 (15.3%)</w:t>
            </w:r>
          </w:p>
        </w:tc>
        <w:tc>
          <w:tcPr>
            <w:tcW w:w="1134" w:type="dxa"/>
            <w:vAlign w:val="center"/>
          </w:tcPr>
          <w:p w14:paraId="4DFE874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0.027</w:t>
            </w:r>
          </w:p>
        </w:tc>
      </w:tr>
      <w:tr w:rsidR="00282E3D" w:rsidRPr="00282E3D" w14:paraId="2C25E8F6" w14:textId="77777777" w:rsidTr="004711A1">
        <w:trPr>
          <w:trHeight w:val="397"/>
        </w:trPr>
        <w:tc>
          <w:tcPr>
            <w:tcW w:w="3515" w:type="dxa"/>
            <w:vAlign w:val="center"/>
          </w:tcPr>
          <w:p w14:paraId="69389B09"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Chronic respiratory disease</w:t>
            </w:r>
          </w:p>
        </w:tc>
        <w:tc>
          <w:tcPr>
            <w:tcW w:w="1814" w:type="dxa"/>
            <w:vAlign w:val="center"/>
          </w:tcPr>
          <w:p w14:paraId="3BA0947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129 (21.3%)</w:t>
            </w:r>
          </w:p>
        </w:tc>
        <w:tc>
          <w:tcPr>
            <w:tcW w:w="1814" w:type="dxa"/>
            <w:vAlign w:val="center"/>
          </w:tcPr>
          <w:p w14:paraId="1A6C7E2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97 (21.0%)</w:t>
            </w:r>
          </w:p>
        </w:tc>
        <w:tc>
          <w:tcPr>
            <w:tcW w:w="1814" w:type="dxa"/>
            <w:vAlign w:val="center"/>
          </w:tcPr>
          <w:p w14:paraId="4F30B81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 (22.2%)</w:t>
            </w:r>
          </w:p>
        </w:tc>
        <w:tc>
          <w:tcPr>
            <w:tcW w:w="1134" w:type="dxa"/>
            <w:vAlign w:val="center"/>
          </w:tcPr>
          <w:p w14:paraId="1B1267D4"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0.745</w:t>
            </w:r>
          </w:p>
        </w:tc>
      </w:tr>
      <w:tr w:rsidR="00282E3D" w:rsidRPr="00282E3D" w14:paraId="75BD6AD3" w14:textId="77777777" w:rsidTr="004711A1">
        <w:trPr>
          <w:trHeight w:val="397"/>
        </w:trPr>
        <w:tc>
          <w:tcPr>
            <w:tcW w:w="3515" w:type="dxa"/>
            <w:vAlign w:val="center"/>
          </w:tcPr>
          <w:p w14:paraId="45670101"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Active cancer</w:t>
            </w:r>
          </w:p>
        </w:tc>
        <w:tc>
          <w:tcPr>
            <w:tcW w:w="1814" w:type="dxa"/>
            <w:vAlign w:val="center"/>
          </w:tcPr>
          <w:p w14:paraId="1B9E62D3"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117 (19.3%)</w:t>
            </w:r>
          </w:p>
        </w:tc>
        <w:tc>
          <w:tcPr>
            <w:tcW w:w="1814" w:type="dxa"/>
            <w:vAlign w:val="center"/>
          </w:tcPr>
          <w:p w14:paraId="2641FBD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86 (18.6%)</w:t>
            </w:r>
          </w:p>
        </w:tc>
        <w:tc>
          <w:tcPr>
            <w:tcW w:w="1814" w:type="dxa"/>
            <w:vAlign w:val="center"/>
          </w:tcPr>
          <w:p w14:paraId="4C68248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31 (21.5%)</w:t>
            </w:r>
          </w:p>
        </w:tc>
        <w:tc>
          <w:tcPr>
            <w:tcW w:w="1134" w:type="dxa"/>
            <w:vAlign w:val="center"/>
          </w:tcPr>
          <w:p w14:paraId="524D2CD3"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0.433</w:t>
            </w:r>
          </w:p>
        </w:tc>
      </w:tr>
      <w:tr w:rsidR="00282E3D" w:rsidRPr="00282E3D" w14:paraId="7A2E8616" w14:textId="77777777" w:rsidTr="004711A1">
        <w:trPr>
          <w:trHeight w:val="397"/>
        </w:trPr>
        <w:tc>
          <w:tcPr>
            <w:tcW w:w="3515" w:type="dxa"/>
            <w:vAlign w:val="center"/>
          </w:tcPr>
          <w:p w14:paraId="7EB80820"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Renal disease history</w:t>
            </w:r>
          </w:p>
        </w:tc>
        <w:tc>
          <w:tcPr>
            <w:tcW w:w="1814" w:type="dxa"/>
            <w:vAlign w:val="center"/>
          </w:tcPr>
          <w:p w14:paraId="751CADF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37 (6.1%)</w:t>
            </w:r>
          </w:p>
        </w:tc>
        <w:tc>
          <w:tcPr>
            <w:tcW w:w="1814" w:type="dxa"/>
            <w:vAlign w:val="center"/>
          </w:tcPr>
          <w:p w14:paraId="684B67D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23 (5.0%)</w:t>
            </w:r>
          </w:p>
        </w:tc>
        <w:tc>
          <w:tcPr>
            <w:tcW w:w="1814" w:type="dxa"/>
            <w:vAlign w:val="center"/>
          </w:tcPr>
          <w:p w14:paraId="2FDBDEC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14 (9.7%)</w:t>
            </w:r>
          </w:p>
        </w:tc>
        <w:tc>
          <w:tcPr>
            <w:tcW w:w="1134" w:type="dxa"/>
            <w:vAlign w:val="center"/>
          </w:tcPr>
          <w:p w14:paraId="20FF38B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0.037</w:t>
            </w:r>
          </w:p>
        </w:tc>
      </w:tr>
      <w:tr w:rsidR="00282E3D" w:rsidRPr="00282E3D" w14:paraId="4DD08B52" w14:textId="77777777" w:rsidTr="004711A1">
        <w:trPr>
          <w:trHeight w:val="397"/>
        </w:trPr>
        <w:tc>
          <w:tcPr>
            <w:tcW w:w="3515" w:type="dxa"/>
            <w:vAlign w:val="center"/>
          </w:tcPr>
          <w:p w14:paraId="65DAE523"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Myocardial infarction</w:t>
            </w:r>
          </w:p>
        </w:tc>
        <w:tc>
          <w:tcPr>
            <w:tcW w:w="1814" w:type="dxa"/>
            <w:vAlign w:val="center"/>
          </w:tcPr>
          <w:p w14:paraId="19956654"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65 (10.7%)</w:t>
            </w:r>
          </w:p>
        </w:tc>
        <w:tc>
          <w:tcPr>
            <w:tcW w:w="1814" w:type="dxa"/>
            <w:vAlign w:val="center"/>
          </w:tcPr>
          <w:p w14:paraId="13836C9A"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49 (10.6%)</w:t>
            </w:r>
          </w:p>
        </w:tc>
        <w:tc>
          <w:tcPr>
            <w:tcW w:w="1814" w:type="dxa"/>
            <w:vAlign w:val="center"/>
          </w:tcPr>
          <w:p w14:paraId="33E9F96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16 (11.1%)</w:t>
            </w:r>
          </w:p>
        </w:tc>
        <w:tc>
          <w:tcPr>
            <w:tcW w:w="1134" w:type="dxa"/>
            <w:vAlign w:val="center"/>
          </w:tcPr>
          <w:p w14:paraId="3210E93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0.858</w:t>
            </w:r>
          </w:p>
        </w:tc>
      </w:tr>
      <w:tr w:rsidR="00282E3D" w:rsidRPr="00282E3D" w14:paraId="0B05C271" w14:textId="77777777" w:rsidTr="004711A1">
        <w:trPr>
          <w:trHeight w:val="397"/>
        </w:trPr>
        <w:tc>
          <w:tcPr>
            <w:tcW w:w="3515" w:type="dxa"/>
            <w:vAlign w:val="center"/>
          </w:tcPr>
          <w:p w14:paraId="547DB18A"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Cerebral vascular disease</w:t>
            </w:r>
          </w:p>
        </w:tc>
        <w:tc>
          <w:tcPr>
            <w:tcW w:w="1814" w:type="dxa"/>
            <w:vAlign w:val="center"/>
          </w:tcPr>
          <w:p w14:paraId="7510D26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59 (9.7%)</w:t>
            </w:r>
          </w:p>
        </w:tc>
        <w:tc>
          <w:tcPr>
            <w:tcW w:w="1814" w:type="dxa"/>
            <w:vAlign w:val="center"/>
          </w:tcPr>
          <w:p w14:paraId="21656A8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37 (8.0%)</w:t>
            </w:r>
          </w:p>
        </w:tc>
        <w:tc>
          <w:tcPr>
            <w:tcW w:w="1814" w:type="dxa"/>
            <w:vAlign w:val="center"/>
          </w:tcPr>
          <w:p w14:paraId="4AB48918"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22 (15.3%)</w:t>
            </w:r>
          </w:p>
        </w:tc>
        <w:tc>
          <w:tcPr>
            <w:tcW w:w="1134" w:type="dxa"/>
            <w:vAlign w:val="center"/>
          </w:tcPr>
          <w:p w14:paraId="0AFC4593"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0.010</w:t>
            </w:r>
          </w:p>
        </w:tc>
      </w:tr>
      <w:tr w:rsidR="00282E3D" w:rsidRPr="00282E3D" w14:paraId="1E2D091F" w14:textId="77777777" w:rsidTr="004711A1">
        <w:trPr>
          <w:trHeight w:val="397"/>
        </w:trPr>
        <w:tc>
          <w:tcPr>
            <w:tcW w:w="3515" w:type="dxa"/>
            <w:vAlign w:val="center"/>
          </w:tcPr>
          <w:p w14:paraId="770118B4"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Peripheral vascular disease</w:t>
            </w:r>
          </w:p>
        </w:tc>
        <w:tc>
          <w:tcPr>
            <w:tcW w:w="1814" w:type="dxa"/>
            <w:vAlign w:val="center"/>
          </w:tcPr>
          <w:p w14:paraId="001D9F51"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47 (7.7%)</w:t>
            </w:r>
          </w:p>
        </w:tc>
        <w:tc>
          <w:tcPr>
            <w:tcW w:w="1814" w:type="dxa"/>
            <w:vAlign w:val="center"/>
          </w:tcPr>
          <w:p w14:paraId="0B75858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32 (6.9%)</w:t>
            </w:r>
          </w:p>
        </w:tc>
        <w:tc>
          <w:tcPr>
            <w:tcW w:w="1814" w:type="dxa"/>
            <w:vAlign w:val="center"/>
          </w:tcPr>
          <w:p w14:paraId="369027C5"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15 (10.4%)</w:t>
            </w:r>
          </w:p>
        </w:tc>
        <w:tc>
          <w:tcPr>
            <w:tcW w:w="1134" w:type="dxa"/>
            <w:vAlign w:val="center"/>
          </w:tcPr>
          <w:p w14:paraId="53527A5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0.169</w:t>
            </w:r>
          </w:p>
        </w:tc>
      </w:tr>
      <w:tr w:rsidR="00282E3D" w:rsidRPr="00282E3D" w14:paraId="5DC754B8" w14:textId="77777777" w:rsidTr="004711A1">
        <w:trPr>
          <w:trHeight w:val="397"/>
        </w:trPr>
        <w:tc>
          <w:tcPr>
            <w:tcW w:w="3515" w:type="dxa"/>
            <w:vAlign w:val="center"/>
          </w:tcPr>
          <w:p w14:paraId="40C39ABE"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Dementia</w:t>
            </w:r>
          </w:p>
        </w:tc>
        <w:tc>
          <w:tcPr>
            <w:tcW w:w="1814" w:type="dxa"/>
            <w:vAlign w:val="center"/>
          </w:tcPr>
          <w:p w14:paraId="2B14328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52 (8.6%)</w:t>
            </w:r>
          </w:p>
        </w:tc>
        <w:tc>
          <w:tcPr>
            <w:tcW w:w="1814" w:type="dxa"/>
            <w:vAlign w:val="center"/>
          </w:tcPr>
          <w:p w14:paraId="40E263A4"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33 (7.1%)</w:t>
            </w:r>
          </w:p>
        </w:tc>
        <w:tc>
          <w:tcPr>
            <w:tcW w:w="1814" w:type="dxa"/>
            <w:vAlign w:val="center"/>
          </w:tcPr>
          <w:p w14:paraId="4815702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19 (13.2%)</w:t>
            </w:r>
          </w:p>
        </w:tc>
        <w:tc>
          <w:tcPr>
            <w:tcW w:w="1134" w:type="dxa"/>
            <w:vAlign w:val="center"/>
          </w:tcPr>
          <w:p w14:paraId="797D7A3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0.023</w:t>
            </w:r>
          </w:p>
        </w:tc>
      </w:tr>
      <w:tr w:rsidR="00282E3D" w:rsidRPr="00282E3D" w14:paraId="1E7AF18E" w14:textId="77777777" w:rsidTr="004711A1">
        <w:trPr>
          <w:trHeight w:val="397"/>
        </w:trPr>
        <w:tc>
          <w:tcPr>
            <w:tcW w:w="3515" w:type="dxa"/>
            <w:vAlign w:val="center"/>
          </w:tcPr>
          <w:p w14:paraId="4309F9AD"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Liver cirrhosis</w:t>
            </w:r>
          </w:p>
        </w:tc>
        <w:tc>
          <w:tcPr>
            <w:tcW w:w="1814" w:type="dxa"/>
            <w:vAlign w:val="center"/>
          </w:tcPr>
          <w:p w14:paraId="70BC2BB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35 (5.8%)</w:t>
            </w:r>
          </w:p>
        </w:tc>
        <w:tc>
          <w:tcPr>
            <w:tcW w:w="1814" w:type="dxa"/>
            <w:vAlign w:val="center"/>
          </w:tcPr>
          <w:p w14:paraId="7DE65C2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25 (5.4%)</w:t>
            </w:r>
          </w:p>
        </w:tc>
        <w:tc>
          <w:tcPr>
            <w:tcW w:w="1814" w:type="dxa"/>
            <w:vAlign w:val="center"/>
          </w:tcPr>
          <w:p w14:paraId="096A3F6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10 (6.9%)</w:t>
            </w:r>
          </w:p>
        </w:tc>
        <w:tc>
          <w:tcPr>
            <w:tcW w:w="1134" w:type="dxa"/>
            <w:vAlign w:val="center"/>
          </w:tcPr>
          <w:p w14:paraId="4C100AC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0.474</w:t>
            </w:r>
          </w:p>
        </w:tc>
      </w:tr>
      <w:tr w:rsidR="00282E3D" w:rsidRPr="00282E3D" w14:paraId="56BE7323" w14:textId="77777777" w:rsidTr="004711A1">
        <w:trPr>
          <w:trHeight w:val="397"/>
        </w:trPr>
        <w:tc>
          <w:tcPr>
            <w:tcW w:w="3515" w:type="dxa"/>
            <w:vAlign w:val="center"/>
          </w:tcPr>
          <w:p w14:paraId="6D9185F6"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Peptic ulcer disease</w:t>
            </w:r>
          </w:p>
        </w:tc>
        <w:tc>
          <w:tcPr>
            <w:tcW w:w="1814" w:type="dxa"/>
            <w:vAlign w:val="center"/>
          </w:tcPr>
          <w:p w14:paraId="02CD231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30 (4.9%)</w:t>
            </w:r>
          </w:p>
        </w:tc>
        <w:tc>
          <w:tcPr>
            <w:tcW w:w="1814" w:type="dxa"/>
            <w:vAlign w:val="center"/>
          </w:tcPr>
          <w:p w14:paraId="12C89CA7"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25 (5.4%)</w:t>
            </w:r>
          </w:p>
        </w:tc>
        <w:tc>
          <w:tcPr>
            <w:tcW w:w="1814" w:type="dxa"/>
            <w:vAlign w:val="center"/>
          </w:tcPr>
          <w:p w14:paraId="352E5DFB"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 (3.5%)</w:t>
            </w:r>
          </w:p>
        </w:tc>
        <w:tc>
          <w:tcPr>
            <w:tcW w:w="1134" w:type="dxa"/>
            <w:vAlign w:val="center"/>
          </w:tcPr>
          <w:p w14:paraId="4ED8303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0.351</w:t>
            </w:r>
          </w:p>
        </w:tc>
      </w:tr>
      <w:tr w:rsidR="00282E3D" w:rsidRPr="00282E3D" w14:paraId="2883C120" w14:textId="77777777" w:rsidTr="004711A1">
        <w:trPr>
          <w:trHeight w:val="397"/>
        </w:trPr>
        <w:tc>
          <w:tcPr>
            <w:tcW w:w="3515" w:type="dxa"/>
            <w:vAlign w:val="center"/>
          </w:tcPr>
          <w:p w14:paraId="6353F8A7" w14:textId="77777777" w:rsidR="004711A1" w:rsidRPr="00282E3D" w:rsidRDefault="004711A1" w:rsidP="004711A1">
            <w:pPr>
              <w:pStyle w:val="NoSpacing"/>
              <w:spacing w:line="276" w:lineRule="auto"/>
              <w:rPr>
                <w:rFonts w:ascii="Arial" w:hAnsi="Arial" w:cs="Arial"/>
                <w:b/>
                <w:bCs/>
                <w:sz w:val="20"/>
                <w:szCs w:val="20"/>
                <w:lang w:val="en-US"/>
              </w:rPr>
            </w:pPr>
            <w:r w:rsidRPr="00282E3D">
              <w:rPr>
                <w:rFonts w:ascii="Arial" w:hAnsi="Arial" w:cs="Arial"/>
                <w:b/>
                <w:bCs/>
                <w:sz w:val="20"/>
                <w:szCs w:val="20"/>
                <w:lang w:val="en-US"/>
              </w:rPr>
              <w:t>HIV infection</w:t>
            </w:r>
          </w:p>
        </w:tc>
        <w:tc>
          <w:tcPr>
            <w:tcW w:w="1814" w:type="dxa"/>
            <w:vAlign w:val="center"/>
          </w:tcPr>
          <w:p w14:paraId="277710EF"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15 (2.5%)</w:t>
            </w:r>
          </w:p>
        </w:tc>
        <w:tc>
          <w:tcPr>
            <w:tcW w:w="1814" w:type="dxa"/>
            <w:vAlign w:val="center"/>
          </w:tcPr>
          <w:p w14:paraId="1DD17AB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12 (2.6%)</w:t>
            </w:r>
          </w:p>
        </w:tc>
        <w:tc>
          <w:tcPr>
            <w:tcW w:w="1814" w:type="dxa"/>
            <w:vAlign w:val="center"/>
          </w:tcPr>
          <w:p w14:paraId="085E7D4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3 (2.1%)</w:t>
            </w:r>
          </w:p>
        </w:tc>
        <w:tc>
          <w:tcPr>
            <w:tcW w:w="1134" w:type="dxa"/>
            <w:vAlign w:val="center"/>
          </w:tcPr>
          <w:p w14:paraId="2BF9C83E"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0.731</w:t>
            </w:r>
          </w:p>
        </w:tc>
      </w:tr>
      <w:tr w:rsidR="00282E3D" w:rsidRPr="00282E3D" w14:paraId="60E8D607" w14:textId="77777777" w:rsidTr="004711A1">
        <w:trPr>
          <w:trHeight w:val="397"/>
        </w:trPr>
        <w:tc>
          <w:tcPr>
            <w:tcW w:w="3515" w:type="dxa"/>
            <w:vAlign w:val="center"/>
          </w:tcPr>
          <w:p w14:paraId="6194B0DB" w14:textId="77777777" w:rsidR="004711A1" w:rsidRPr="00282E3D" w:rsidRDefault="004711A1"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Lactate at baseline, mmol/L</w:t>
            </w:r>
          </w:p>
        </w:tc>
        <w:tc>
          <w:tcPr>
            <w:tcW w:w="1814" w:type="dxa"/>
            <w:vAlign w:val="center"/>
          </w:tcPr>
          <w:p w14:paraId="20519F4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4.23 (2.3 - 5.4)</w:t>
            </w:r>
          </w:p>
        </w:tc>
        <w:tc>
          <w:tcPr>
            <w:tcW w:w="1814" w:type="dxa"/>
            <w:vAlign w:val="center"/>
          </w:tcPr>
          <w:p w14:paraId="7658E30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4.2 (2.3 - 5.3)</w:t>
            </w:r>
          </w:p>
        </w:tc>
        <w:tc>
          <w:tcPr>
            <w:tcW w:w="1814" w:type="dxa"/>
            <w:vAlign w:val="center"/>
          </w:tcPr>
          <w:p w14:paraId="4B09604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4.4 (2.3 - 5.6)</w:t>
            </w:r>
          </w:p>
        </w:tc>
        <w:tc>
          <w:tcPr>
            <w:tcW w:w="1134" w:type="dxa"/>
            <w:vAlign w:val="center"/>
          </w:tcPr>
          <w:p w14:paraId="41BF3F36"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0.358</w:t>
            </w:r>
          </w:p>
        </w:tc>
      </w:tr>
      <w:tr w:rsidR="00282E3D" w:rsidRPr="00282E3D" w14:paraId="04AB9AEB" w14:textId="77777777" w:rsidTr="004711A1">
        <w:trPr>
          <w:trHeight w:val="397"/>
        </w:trPr>
        <w:tc>
          <w:tcPr>
            <w:tcW w:w="3515" w:type="dxa"/>
            <w:vAlign w:val="center"/>
          </w:tcPr>
          <w:p w14:paraId="5F67BB75" w14:textId="77777777" w:rsidR="004711A1" w:rsidRPr="00282E3D" w:rsidRDefault="004711A1"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APACHE II score at baseline</w:t>
            </w:r>
          </w:p>
        </w:tc>
        <w:tc>
          <w:tcPr>
            <w:tcW w:w="1814" w:type="dxa"/>
            <w:vAlign w:val="center"/>
          </w:tcPr>
          <w:p w14:paraId="298F6D71"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17 (14 - 22)</w:t>
            </w:r>
          </w:p>
        </w:tc>
        <w:tc>
          <w:tcPr>
            <w:tcW w:w="1814" w:type="dxa"/>
            <w:vAlign w:val="center"/>
          </w:tcPr>
          <w:p w14:paraId="7E665E24"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17 (13 - 21)</w:t>
            </w:r>
          </w:p>
        </w:tc>
        <w:tc>
          <w:tcPr>
            <w:tcW w:w="1814" w:type="dxa"/>
            <w:vAlign w:val="center"/>
          </w:tcPr>
          <w:p w14:paraId="38367FF8"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20 (16 - 25)</w:t>
            </w:r>
          </w:p>
        </w:tc>
        <w:tc>
          <w:tcPr>
            <w:tcW w:w="1134" w:type="dxa"/>
            <w:vAlign w:val="center"/>
          </w:tcPr>
          <w:p w14:paraId="1DD80E5C"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1319913D" w14:textId="77777777" w:rsidTr="004711A1">
        <w:trPr>
          <w:trHeight w:val="397"/>
        </w:trPr>
        <w:tc>
          <w:tcPr>
            <w:tcW w:w="3515" w:type="dxa"/>
            <w:vAlign w:val="center"/>
          </w:tcPr>
          <w:p w14:paraId="4662E563" w14:textId="77777777" w:rsidR="004711A1" w:rsidRPr="00282E3D" w:rsidRDefault="004711A1" w:rsidP="004711A1">
            <w:pPr>
              <w:pStyle w:val="NoSpacing"/>
              <w:spacing w:line="276" w:lineRule="auto"/>
              <w:rPr>
                <w:rFonts w:ascii="Arial" w:hAnsi="Arial" w:cs="Arial"/>
                <w:sz w:val="20"/>
                <w:szCs w:val="20"/>
                <w:lang w:val="en-US"/>
              </w:rPr>
            </w:pPr>
            <w:r w:rsidRPr="00282E3D">
              <w:rPr>
                <w:rFonts w:ascii="Arial" w:hAnsi="Arial" w:cs="Arial"/>
                <w:b/>
                <w:bCs/>
                <w:sz w:val="20"/>
                <w:szCs w:val="20"/>
                <w:lang w:val="en-US"/>
              </w:rPr>
              <w:t>SOFA score at baseline</w:t>
            </w:r>
          </w:p>
        </w:tc>
        <w:tc>
          <w:tcPr>
            <w:tcW w:w="1814" w:type="dxa"/>
            <w:vAlign w:val="center"/>
          </w:tcPr>
          <w:p w14:paraId="5B06F3C2"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6 (3 - 8)</w:t>
            </w:r>
          </w:p>
        </w:tc>
        <w:tc>
          <w:tcPr>
            <w:tcW w:w="1814" w:type="dxa"/>
            <w:vAlign w:val="center"/>
          </w:tcPr>
          <w:p w14:paraId="34C24FCA"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5 (3 - 8)</w:t>
            </w:r>
          </w:p>
        </w:tc>
        <w:tc>
          <w:tcPr>
            <w:tcW w:w="1814" w:type="dxa"/>
            <w:vAlign w:val="center"/>
          </w:tcPr>
          <w:p w14:paraId="1D7BCAF5"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7 (5 - 9)</w:t>
            </w:r>
          </w:p>
        </w:tc>
        <w:tc>
          <w:tcPr>
            <w:tcW w:w="1134" w:type="dxa"/>
            <w:vAlign w:val="center"/>
          </w:tcPr>
          <w:p w14:paraId="3125D2ED"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33E7FFE2" w14:textId="77777777" w:rsidTr="004711A1">
        <w:trPr>
          <w:trHeight w:val="397"/>
        </w:trPr>
        <w:tc>
          <w:tcPr>
            <w:tcW w:w="3515" w:type="dxa"/>
            <w:vAlign w:val="center"/>
          </w:tcPr>
          <w:p w14:paraId="56E57B0B" w14:textId="753043CF" w:rsidR="004711A1" w:rsidRPr="00282E3D" w:rsidRDefault="004711A1" w:rsidP="004711A1">
            <w:pPr>
              <w:pStyle w:val="NoSpacing"/>
              <w:spacing w:line="276" w:lineRule="auto"/>
              <w:rPr>
                <w:rFonts w:ascii="Arial" w:hAnsi="Arial" w:cs="Arial"/>
                <w:sz w:val="20"/>
                <w:szCs w:val="20"/>
                <w:vertAlign w:val="superscript"/>
                <w:lang w:val="en-US"/>
              </w:rPr>
            </w:pPr>
            <w:r w:rsidRPr="00282E3D">
              <w:rPr>
                <w:rFonts w:ascii="Arial" w:hAnsi="Arial" w:cs="Arial"/>
                <w:b/>
                <w:bCs/>
                <w:sz w:val="20"/>
                <w:szCs w:val="20"/>
                <w:lang w:val="en-US"/>
              </w:rPr>
              <w:t>[TIMP-2]•[</w:t>
            </w:r>
            <w:r w:rsidR="00E40189" w:rsidRPr="00282E3D">
              <w:rPr>
                <w:rFonts w:ascii="Arial" w:hAnsi="Arial" w:cs="Arial"/>
                <w:b/>
                <w:bCs/>
                <w:sz w:val="20"/>
                <w:szCs w:val="20"/>
                <w:lang w:val="en-US"/>
              </w:rPr>
              <w:t>IGFBP7</w:t>
            </w:r>
            <w:r w:rsidRPr="00282E3D">
              <w:rPr>
                <w:rFonts w:ascii="Arial" w:hAnsi="Arial" w:cs="Arial"/>
                <w:b/>
                <w:bCs/>
                <w:sz w:val="20"/>
                <w:szCs w:val="20"/>
                <w:lang w:val="en-US"/>
              </w:rPr>
              <w:t>], first test</w:t>
            </w:r>
            <w:r w:rsidRPr="00282E3D">
              <w:rPr>
                <w:rFonts w:ascii="Arial" w:hAnsi="Arial" w:cs="Arial"/>
                <w:b/>
                <w:bCs/>
                <w:sz w:val="20"/>
                <w:szCs w:val="20"/>
                <w:vertAlign w:val="superscript"/>
                <w:lang w:val="en-US"/>
              </w:rPr>
              <w:t>a</w:t>
            </w:r>
          </w:p>
        </w:tc>
        <w:tc>
          <w:tcPr>
            <w:tcW w:w="1814" w:type="dxa"/>
            <w:vAlign w:val="center"/>
          </w:tcPr>
          <w:p w14:paraId="3CAE4371"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0.27 (0.10 - 0.81)</w:t>
            </w:r>
          </w:p>
        </w:tc>
        <w:tc>
          <w:tcPr>
            <w:tcW w:w="1814" w:type="dxa"/>
            <w:vAlign w:val="center"/>
          </w:tcPr>
          <w:p w14:paraId="045E15DA"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0.23 (0.09 - 0.62)</w:t>
            </w:r>
          </w:p>
        </w:tc>
        <w:tc>
          <w:tcPr>
            <w:tcW w:w="1814" w:type="dxa"/>
            <w:vAlign w:val="center"/>
          </w:tcPr>
          <w:p w14:paraId="287910D5"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0.57 (0.16 - 1.97)</w:t>
            </w:r>
          </w:p>
        </w:tc>
        <w:tc>
          <w:tcPr>
            <w:tcW w:w="1134" w:type="dxa"/>
            <w:vAlign w:val="center"/>
          </w:tcPr>
          <w:p w14:paraId="47877D8A"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r w:rsidR="00282E3D" w:rsidRPr="00282E3D" w14:paraId="7BC23F5F" w14:textId="77777777" w:rsidTr="004711A1">
        <w:trPr>
          <w:trHeight w:val="397"/>
        </w:trPr>
        <w:tc>
          <w:tcPr>
            <w:tcW w:w="3515" w:type="dxa"/>
            <w:vAlign w:val="center"/>
          </w:tcPr>
          <w:p w14:paraId="66505864" w14:textId="24E30534" w:rsidR="004711A1" w:rsidRPr="00282E3D" w:rsidRDefault="004711A1" w:rsidP="004711A1">
            <w:pPr>
              <w:pStyle w:val="NoSpacing"/>
              <w:spacing w:line="276" w:lineRule="auto"/>
              <w:rPr>
                <w:rFonts w:ascii="Arial" w:hAnsi="Arial" w:cs="Arial"/>
                <w:sz w:val="20"/>
                <w:szCs w:val="20"/>
                <w:vertAlign w:val="superscript"/>
                <w:lang w:val="en-US"/>
              </w:rPr>
            </w:pPr>
            <w:r w:rsidRPr="00282E3D">
              <w:rPr>
                <w:rFonts w:ascii="Arial" w:hAnsi="Arial" w:cs="Arial"/>
                <w:b/>
                <w:bCs/>
                <w:sz w:val="20"/>
                <w:szCs w:val="20"/>
                <w:lang w:val="en-US"/>
              </w:rPr>
              <w:t>[TIMP-2]•[</w:t>
            </w:r>
            <w:r w:rsidR="00E40189" w:rsidRPr="00282E3D">
              <w:rPr>
                <w:rFonts w:ascii="Arial" w:hAnsi="Arial" w:cs="Arial"/>
                <w:b/>
                <w:bCs/>
                <w:sz w:val="20"/>
                <w:szCs w:val="20"/>
                <w:lang w:val="en-US"/>
              </w:rPr>
              <w:t>IGFBP7</w:t>
            </w:r>
            <w:r w:rsidRPr="00282E3D">
              <w:rPr>
                <w:rFonts w:ascii="Arial" w:hAnsi="Arial" w:cs="Arial"/>
                <w:b/>
                <w:bCs/>
                <w:sz w:val="20"/>
                <w:szCs w:val="20"/>
                <w:lang w:val="en-US"/>
              </w:rPr>
              <w:t>], second test</w:t>
            </w:r>
            <w:r w:rsidRPr="00282E3D">
              <w:rPr>
                <w:rFonts w:ascii="Arial" w:hAnsi="Arial" w:cs="Arial"/>
                <w:b/>
                <w:bCs/>
                <w:sz w:val="20"/>
                <w:szCs w:val="20"/>
                <w:vertAlign w:val="superscript"/>
                <w:lang w:val="en-US"/>
              </w:rPr>
              <w:t>b</w:t>
            </w:r>
          </w:p>
        </w:tc>
        <w:tc>
          <w:tcPr>
            <w:tcW w:w="1814" w:type="dxa"/>
            <w:vAlign w:val="center"/>
          </w:tcPr>
          <w:p w14:paraId="335BE59F"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0.26 (0.10 - 0.62)</w:t>
            </w:r>
          </w:p>
        </w:tc>
        <w:tc>
          <w:tcPr>
            <w:tcW w:w="1814" w:type="dxa"/>
            <w:vAlign w:val="center"/>
          </w:tcPr>
          <w:p w14:paraId="6784D0D0"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0.22 (0.09 - 0.50)</w:t>
            </w:r>
          </w:p>
        </w:tc>
        <w:tc>
          <w:tcPr>
            <w:tcW w:w="1814" w:type="dxa"/>
            <w:vAlign w:val="center"/>
          </w:tcPr>
          <w:p w14:paraId="6D4BA36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0.5 (0.16 - 1.24)</w:t>
            </w:r>
          </w:p>
        </w:tc>
        <w:tc>
          <w:tcPr>
            <w:tcW w:w="1134" w:type="dxa"/>
            <w:vAlign w:val="center"/>
          </w:tcPr>
          <w:p w14:paraId="09C8E9E9" w14:textId="77777777" w:rsidR="004711A1" w:rsidRPr="00282E3D" w:rsidRDefault="004711A1" w:rsidP="004711A1">
            <w:pPr>
              <w:pStyle w:val="NoSpacing"/>
              <w:spacing w:line="276" w:lineRule="auto"/>
              <w:jc w:val="center"/>
              <w:rPr>
                <w:rFonts w:ascii="Arial" w:hAnsi="Arial" w:cs="Arial"/>
                <w:sz w:val="20"/>
                <w:szCs w:val="20"/>
                <w:lang w:val="en-US"/>
              </w:rPr>
            </w:pPr>
            <w:r w:rsidRPr="00282E3D">
              <w:rPr>
                <w:rFonts w:ascii="Arial" w:hAnsi="Arial" w:cs="Arial"/>
                <w:sz w:val="20"/>
                <w:szCs w:val="20"/>
                <w:lang w:val="en-US"/>
              </w:rPr>
              <w:t>&lt;0.001</w:t>
            </w:r>
          </w:p>
        </w:tc>
      </w:tr>
    </w:tbl>
    <w:p w14:paraId="4B693EFB" w14:textId="77777777"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The primary endpoint is a composite of progression of 2 or more stages of AKI or death within 72 hours, or dialysis within 48 hours from enrollment.</w:t>
      </w:r>
    </w:p>
    <w:p w14:paraId="31CF5569" w14:textId="0659B5D0" w:rsidR="00F56B1D"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Categorical variables are presented as numbers (%), continuous variables as medians (interquartile range).</w:t>
      </w:r>
    </w:p>
    <w:p w14:paraId="26602ABD" w14:textId="0D6A1E2C"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a</w:t>
      </w:r>
      <w:r w:rsidRPr="00282E3D">
        <w:rPr>
          <w:rFonts w:ascii="Arial" w:hAnsi="Arial" w:cs="Arial"/>
          <w:sz w:val="20"/>
          <w:szCs w:val="20"/>
          <w:lang w:val="en-US"/>
        </w:rPr>
        <w:t>At 6 hours from enrollment/sepsis diagnosis.</w:t>
      </w:r>
      <w:r w:rsidR="00F56B1D" w:rsidRPr="00282E3D">
        <w:rPr>
          <w:rFonts w:ascii="Arial" w:hAnsi="Arial" w:cs="Arial"/>
          <w:sz w:val="20"/>
          <w:szCs w:val="20"/>
          <w:lang w:val="en-US"/>
        </w:rPr>
        <w:t xml:space="preserve"> No missing values.</w:t>
      </w:r>
    </w:p>
    <w:p w14:paraId="52545FE3" w14:textId="0E2DC84E"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b</w:t>
      </w:r>
      <w:r w:rsidRPr="00282E3D">
        <w:rPr>
          <w:rFonts w:ascii="Arial" w:hAnsi="Arial" w:cs="Arial"/>
          <w:sz w:val="20"/>
          <w:szCs w:val="20"/>
          <w:lang w:val="en-US"/>
        </w:rPr>
        <w:t>At 24 hours from enrollment/sepsis diagnosis.</w:t>
      </w:r>
      <w:r w:rsidR="00F56B1D" w:rsidRPr="00282E3D">
        <w:rPr>
          <w:rFonts w:ascii="Arial" w:hAnsi="Arial" w:cs="Arial"/>
          <w:sz w:val="20"/>
          <w:szCs w:val="20"/>
          <w:lang w:val="en-US"/>
        </w:rPr>
        <w:t xml:space="preserve"> No missing values.</w:t>
      </w:r>
    </w:p>
    <w:p w14:paraId="09EF6F65" w14:textId="487ED6F5" w:rsidR="004711A1" w:rsidRPr="00282E3D" w:rsidRDefault="004711A1" w:rsidP="004711A1">
      <w:pPr>
        <w:pStyle w:val="NoSpacing"/>
        <w:rPr>
          <w:rFonts w:ascii="Arial" w:hAnsi="Arial" w:cs="Arial"/>
          <w:sz w:val="20"/>
          <w:szCs w:val="20"/>
          <w:lang w:val="en-US"/>
        </w:rPr>
      </w:pPr>
      <w:bookmarkStart w:id="18" w:name="_Hlk48238222"/>
      <w:r w:rsidRPr="00282E3D">
        <w:rPr>
          <w:rFonts w:ascii="Arial" w:hAnsi="Arial" w:cs="Arial"/>
          <w:sz w:val="20"/>
          <w:szCs w:val="20"/>
          <w:lang w:val="en-US"/>
        </w:rPr>
        <w:t xml:space="preserve">APACHE = acute physiology and chronic health evaluation II; HIV = human immunodeficiency virus; IGFBP7 = insulin-like growth factor binding protein 7; SOFA = sequential organ failure assessment; TIMP-2 = </w:t>
      </w:r>
      <w:r w:rsidR="007B1223" w:rsidRPr="00282E3D">
        <w:rPr>
          <w:rFonts w:ascii="Arial" w:hAnsi="Arial" w:cs="Arial"/>
          <w:sz w:val="20"/>
          <w:szCs w:val="20"/>
          <w:lang w:val="en-US"/>
        </w:rPr>
        <w:t>tissue inhibitor of metalloproteinases-2</w:t>
      </w:r>
      <w:r w:rsidRPr="00282E3D">
        <w:rPr>
          <w:rFonts w:ascii="Arial" w:hAnsi="Arial" w:cs="Arial"/>
          <w:sz w:val="20"/>
          <w:szCs w:val="20"/>
          <w:lang w:val="en-US"/>
        </w:rPr>
        <w:t>.</w:t>
      </w:r>
    </w:p>
    <w:bookmarkEnd w:id="18"/>
    <w:p w14:paraId="6706DF1C" w14:textId="77777777" w:rsidR="00BB126F" w:rsidRPr="00282E3D" w:rsidRDefault="00BB126F" w:rsidP="00BB126F">
      <w:pPr>
        <w:rPr>
          <w:rFonts w:ascii="Arial" w:hAnsi="Arial" w:cs="Arial"/>
          <w:b/>
          <w:bCs/>
        </w:rPr>
      </w:pPr>
    </w:p>
    <w:p w14:paraId="0DAA1143" w14:textId="77777777" w:rsidR="00BB126F" w:rsidRPr="00282E3D" w:rsidRDefault="00BB126F" w:rsidP="00BB126F">
      <w:pPr>
        <w:rPr>
          <w:rFonts w:ascii="Arial" w:hAnsi="Arial" w:cs="Arial"/>
          <w:b/>
          <w:bCs/>
        </w:rPr>
      </w:pPr>
      <w:r w:rsidRPr="00282E3D">
        <w:rPr>
          <w:rFonts w:ascii="Arial" w:hAnsi="Arial" w:cs="Arial"/>
          <w:b/>
          <w:bCs/>
        </w:rPr>
        <w:br w:type="page"/>
      </w:r>
    </w:p>
    <w:p w14:paraId="76A32A52" w14:textId="7CE02013" w:rsidR="00420675" w:rsidRPr="00282E3D" w:rsidRDefault="00AC7B45" w:rsidP="0041280B">
      <w:pPr>
        <w:pStyle w:val="Papardraft"/>
        <w:spacing w:line="276" w:lineRule="auto"/>
        <w:ind w:firstLine="0"/>
        <w:outlineLvl w:val="1"/>
        <w:rPr>
          <w:lang w:val="en-US"/>
        </w:rPr>
      </w:pPr>
      <w:bookmarkStart w:id="19" w:name="_Toc59032038"/>
      <w:bookmarkStart w:id="20" w:name="_Toc59643462"/>
      <w:r w:rsidRPr="00282E3D">
        <w:rPr>
          <w:b/>
          <w:bCs/>
          <w:lang w:val="en-US"/>
        </w:rPr>
        <w:lastRenderedPageBreak/>
        <w:t xml:space="preserve">Supplemental Table </w:t>
      </w:r>
      <w:r w:rsidR="00BB126F" w:rsidRPr="00282E3D">
        <w:rPr>
          <w:b/>
          <w:bCs/>
          <w:lang w:val="en-US"/>
        </w:rPr>
        <w:t>S</w:t>
      </w:r>
      <w:r w:rsidR="001271EB" w:rsidRPr="00282E3D">
        <w:rPr>
          <w:b/>
          <w:bCs/>
          <w:lang w:val="en-US"/>
        </w:rPr>
        <w:t>5</w:t>
      </w:r>
      <w:r w:rsidRPr="00282E3D">
        <w:rPr>
          <w:b/>
          <w:bCs/>
          <w:lang w:val="en-US"/>
        </w:rPr>
        <w:t>.</w:t>
      </w:r>
      <w:r w:rsidRPr="00282E3D">
        <w:rPr>
          <w:lang w:val="en-US"/>
        </w:rPr>
        <w:t xml:space="preserve"> </w:t>
      </w:r>
      <w:bookmarkStart w:id="21" w:name="_Hlk49965813"/>
      <w:r w:rsidRPr="00282E3D">
        <w:rPr>
          <w:lang w:val="en-US"/>
        </w:rPr>
        <w:t>Logistic regression in Sapphire cohort for the primary endpoint using predictors from LASSO regularization</w:t>
      </w:r>
      <w:bookmarkEnd w:id="21"/>
      <w:r w:rsidR="00420675" w:rsidRPr="00282E3D">
        <w:rPr>
          <w:lang w:val="en-US"/>
        </w:rPr>
        <w:t>.</w:t>
      </w:r>
      <w:bookmarkEnd w:id="19"/>
      <w:bookmarkEnd w:id="20"/>
    </w:p>
    <w:p w14:paraId="7FD11BCF" w14:textId="77777777" w:rsidR="00420675" w:rsidRPr="00282E3D" w:rsidRDefault="00420675" w:rsidP="00420675">
      <w:pPr>
        <w:pStyle w:val="Papardraft"/>
        <w:spacing w:line="276" w:lineRule="auto"/>
        <w:ind w:firstLine="0"/>
        <w:rPr>
          <w:lang w:val="en-US"/>
        </w:rPr>
      </w:pPr>
    </w:p>
    <w:tbl>
      <w:tblPr>
        <w:tblStyle w:val="TableGridLight"/>
        <w:tblW w:w="8505" w:type="dxa"/>
        <w:tblInd w:w="0" w:type="dxa"/>
        <w:tblLayout w:type="fixed"/>
        <w:tblLook w:val="0000" w:firstRow="0" w:lastRow="0" w:firstColumn="0" w:lastColumn="0" w:noHBand="0" w:noVBand="0"/>
      </w:tblPr>
      <w:tblGrid>
        <w:gridCol w:w="3969"/>
        <w:gridCol w:w="2268"/>
        <w:gridCol w:w="2268"/>
      </w:tblGrid>
      <w:tr w:rsidR="00282E3D" w:rsidRPr="00282E3D" w14:paraId="697471EB" w14:textId="77777777" w:rsidTr="008C72F0">
        <w:trPr>
          <w:trHeight w:val="567"/>
        </w:trPr>
        <w:tc>
          <w:tcPr>
            <w:tcW w:w="3969" w:type="dxa"/>
            <w:vAlign w:val="center"/>
          </w:tcPr>
          <w:p w14:paraId="1867196D" w14:textId="77777777" w:rsidR="00AC7B45" w:rsidRPr="00282E3D" w:rsidRDefault="00AC7B45" w:rsidP="00420675">
            <w:pPr>
              <w:pStyle w:val="NoSpacing"/>
              <w:rPr>
                <w:rFonts w:ascii="Arial" w:hAnsi="Arial" w:cs="Arial"/>
                <w:b/>
                <w:bCs/>
                <w:sz w:val="24"/>
                <w:szCs w:val="24"/>
                <w:lang w:val="en-US"/>
              </w:rPr>
            </w:pPr>
            <w:r w:rsidRPr="00282E3D">
              <w:rPr>
                <w:rFonts w:ascii="Arial" w:hAnsi="Arial" w:cs="Arial"/>
                <w:b/>
                <w:bCs/>
                <w:sz w:val="24"/>
                <w:szCs w:val="24"/>
                <w:lang w:val="en-US"/>
              </w:rPr>
              <w:t>Predictors - Sapphire</w:t>
            </w:r>
          </w:p>
        </w:tc>
        <w:tc>
          <w:tcPr>
            <w:tcW w:w="2268" w:type="dxa"/>
            <w:vAlign w:val="center"/>
          </w:tcPr>
          <w:p w14:paraId="46472843" w14:textId="77777777" w:rsidR="00AC7B45" w:rsidRPr="00282E3D" w:rsidRDefault="00AC7B45" w:rsidP="00420675">
            <w:pPr>
              <w:pStyle w:val="NoSpacing"/>
              <w:jc w:val="center"/>
              <w:rPr>
                <w:rFonts w:ascii="Arial" w:hAnsi="Arial" w:cs="Arial"/>
                <w:b/>
                <w:bCs/>
                <w:sz w:val="24"/>
                <w:szCs w:val="24"/>
                <w:lang w:val="en-US"/>
              </w:rPr>
            </w:pPr>
            <w:r w:rsidRPr="00282E3D">
              <w:rPr>
                <w:rFonts w:ascii="Arial" w:hAnsi="Arial" w:cs="Arial"/>
                <w:b/>
                <w:bCs/>
                <w:sz w:val="24"/>
                <w:szCs w:val="24"/>
                <w:lang w:val="en-US"/>
              </w:rPr>
              <w:t>OR (95% CI)</w:t>
            </w:r>
          </w:p>
        </w:tc>
        <w:tc>
          <w:tcPr>
            <w:tcW w:w="2268" w:type="dxa"/>
            <w:vAlign w:val="center"/>
          </w:tcPr>
          <w:p w14:paraId="32E07EFD" w14:textId="760B4B59" w:rsidR="00AC7B45" w:rsidRPr="00282E3D" w:rsidRDefault="008C72F0" w:rsidP="00420675">
            <w:pPr>
              <w:pStyle w:val="NoSpacing"/>
              <w:jc w:val="center"/>
              <w:rPr>
                <w:rFonts w:ascii="Arial" w:hAnsi="Arial" w:cs="Arial"/>
                <w:b/>
                <w:bCs/>
                <w:i/>
                <w:iCs/>
                <w:sz w:val="24"/>
                <w:szCs w:val="24"/>
                <w:lang w:val="en-US"/>
              </w:rPr>
            </w:pPr>
            <w:r w:rsidRPr="00282E3D">
              <w:rPr>
                <w:rFonts w:ascii="Arial" w:hAnsi="Arial" w:cs="Arial"/>
                <w:b/>
                <w:bCs/>
                <w:i/>
                <w:iCs/>
                <w:sz w:val="24"/>
                <w:szCs w:val="24"/>
                <w:lang w:val="en-US"/>
              </w:rPr>
              <w:t>p</w:t>
            </w:r>
          </w:p>
        </w:tc>
      </w:tr>
      <w:tr w:rsidR="00282E3D" w:rsidRPr="00282E3D" w14:paraId="78197D1B" w14:textId="77777777" w:rsidTr="008C72F0">
        <w:trPr>
          <w:trHeight w:val="567"/>
        </w:trPr>
        <w:tc>
          <w:tcPr>
            <w:tcW w:w="3969" w:type="dxa"/>
            <w:vAlign w:val="center"/>
          </w:tcPr>
          <w:p w14:paraId="3343458C" w14:textId="4AB19DFB" w:rsidR="00AC7B45" w:rsidRPr="00282E3D" w:rsidRDefault="00AC7B45" w:rsidP="00420675">
            <w:pPr>
              <w:pStyle w:val="NoSpacing"/>
              <w:rPr>
                <w:rFonts w:ascii="Arial" w:hAnsi="Arial" w:cs="Arial"/>
                <w:b/>
                <w:bCs/>
                <w:sz w:val="24"/>
                <w:szCs w:val="24"/>
                <w:vertAlign w:val="superscript"/>
                <w:lang w:val="en-US"/>
              </w:rPr>
            </w:pPr>
            <w:r w:rsidRPr="00282E3D">
              <w:rPr>
                <w:rFonts w:ascii="Arial" w:hAnsi="Arial" w:cs="Arial"/>
                <w:b/>
                <w:bCs/>
                <w:sz w:val="24"/>
                <w:szCs w:val="24"/>
                <w:lang w:val="en-US"/>
              </w:rPr>
              <w:t>[TIMP-2]•[</w:t>
            </w:r>
            <w:r w:rsidR="00E40189" w:rsidRPr="00282E3D">
              <w:rPr>
                <w:rFonts w:ascii="Arial" w:hAnsi="Arial" w:cs="Arial"/>
                <w:b/>
                <w:bCs/>
                <w:sz w:val="24"/>
                <w:szCs w:val="24"/>
                <w:lang w:val="en-US"/>
              </w:rPr>
              <w:t>IGFBP7</w:t>
            </w:r>
            <w:r w:rsidRPr="00282E3D">
              <w:rPr>
                <w:rFonts w:ascii="Arial" w:hAnsi="Arial" w:cs="Arial"/>
                <w:b/>
                <w:bCs/>
                <w:sz w:val="24"/>
                <w:szCs w:val="24"/>
                <w:lang w:val="en-US"/>
              </w:rPr>
              <w:t>], first test</w:t>
            </w:r>
            <w:r w:rsidRPr="00282E3D">
              <w:rPr>
                <w:rFonts w:ascii="Arial" w:hAnsi="Arial" w:cs="Arial"/>
                <w:b/>
                <w:bCs/>
                <w:sz w:val="24"/>
                <w:szCs w:val="24"/>
                <w:vertAlign w:val="superscript"/>
                <w:lang w:val="en-US"/>
              </w:rPr>
              <w:t>a</w:t>
            </w:r>
          </w:p>
        </w:tc>
        <w:tc>
          <w:tcPr>
            <w:tcW w:w="2268" w:type="dxa"/>
            <w:vAlign w:val="center"/>
          </w:tcPr>
          <w:p w14:paraId="36CFEB65" w14:textId="77777777" w:rsidR="00AC7B45" w:rsidRPr="00282E3D" w:rsidRDefault="00AC7B45" w:rsidP="00420675">
            <w:pPr>
              <w:pStyle w:val="NoSpacing"/>
              <w:jc w:val="center"/>
              <w:rPr>
                <w:rFonts w:ascii="Arial" w:hAnsi="Arial" w:cs="Arial"/>
                <w:sz w:val="24"/>
                <w:szCs w:val="24"/>
                <w:lang w:val="en-US"/>
              </w:rPr>
            </w:pPr>
            <w:r w:rsidRPr="00282E3D">
              <w:rPr>
                <w:rFonts w:ascii="Arial" w:hAnsi="Arial" w:cs="Arial"/>
                <w:sz w:val="24"/>
                <w:szCs w:val="24"/>
                <w:lang w:val="en-US"/>
              </w:rPr>
              <w:t>1.03 (0.63 - 1.72)</w:t>
            </w:r>
          </w:p>
        </w:tc>
        <w:tc>
          <w:tcPr>
            <w:tcW w:w="2268" w:type="dxa"/>
            <w:vAlign w:val="center"/>
          </w:tcPr>
          <w:p w14:paraId="61864BDE" w14:textId="77777777" w:rsidR="00AC7B45" w:rsidRPr="00282E3D" w:rsidRDefault="00AC7B45" w:rsidP="00420675">
            <w:pPr>
              <w:pStyle w:val="NoSpacing"/>
              <w:jc w:val="center"/>
              <w:rPr>
                <w:rFonts w:ascii="Arial" w:hAnsi="Arial" w:cs="Arial"/>
                <w:sz w:val="24"/>
                <w:szCs w:val="24"/>
                <w:lang w:val="en-US"/>
              </w:rPr>
            </w:pPr>
            <w:r w:rsidRPr="00282E3D">
              <w:rPr>
                <w:rFonts w:ascii="Arial" w:hAnsi="Arial" w:cs="Arial"/>
                <w:sz w:val="24"/>
                <w:szCs w:val="24"/>
                <w:lang w:val="en-US"/>
              </w:rPr>
              <w:t>0.914</w:t>
            </w:r>
          </w:p>
        </w:tc>
      </w:tr>
      <w:tr w:rsidR="00282E3D" w:rsidRPr="00282E3D" w14:paraId="74E9F276" w14:textId="77777777" w:rsidTr="008C72F0">
        <w:trPr>
          <w:trHeight w:val="567"/>
        </w:trPr>
        <w:tc>
          <w:tcPr>
            <w:tcW w:w="3969" w:type="dxa"/>
            <w:vAlign w:val="center"/>
          </w:tcPr>
          <w:p w14:paraId="04E15F83" w14:textId="639B15A7" w:rsidR="00AC7B45" w:rsidRPr="00282E3D" w:rsidRDefault="00AC7B45" w:rsidP="008C72F0">
            <w:pPr>
              <w:pStyle w:val="NoSpacing"/>
              <w:rPr>
                <w:rFonts w:ascii="Arial" w:hAnsi="Arial" w:cs="Arial"/>
                <w:b/>
                <w:bCs/>
                <w:sz w:val="24"/>
                <w:szCs w:val="24"/>
                <w:vertAlign w:val="superscript"/>
                <w:lang w:val="en-US"/>
              </w:rPr>
            </w:pPr>
            <w:r w:rsidRPr="00282E3D">
              <w:rPr>
                <w:rFonts w:ascii="Arial" w:hAnsi="Arial" w:cs="Arial"/>
                <w:b/>
                <w:bCs/>
                <w:sz w:val="24"/>
                <w:szCs w:val="24"/>
                <w:lang w:val="en-US"/>
              </w:rPr>
              <w:t>[TIMP-2]•[</w:t>
            </w:r>
            <w:r w:rsidR="00E40189" w:rsidRPr="00282E3D">
              <w:rPr>
                <w:rFonts w:ascii="Arial" w:hAnsi="Arial" w:cs="Arial"/>
                <w:b/>
                <w:bCs/>
                <w:sz w:val="24"/>
                <w:szCs w:val="24"/>
                <w:lang w:val="en-US"/>
              </w:rPr>
              <w:t>IGFBP7</w:t>
            </w:r>
            <w:r w:rsidRPr="00282E3D">
              <w:rPr>
                <w:rFonts w:ascii="Arial" w:hAnsi="Arial" w:cs="Arial"/>
                <w:b/>
                <w:bCs/>
                <w:sz w:val="24"/>
                <w:szCs w:val="24"/>
                <w:lang w:val="en-US"/>
              </w:rPr>
              <w:t>], second test</w:t>
            </w:r>
            <w:r w:rsidRPr="00282E3D">
              <w:rPr>
                <w:rFonts w:ascii="Arial" w:hAnsi="Arial" w:cs="Arial"/>
                <w:b/>
                <w:bCs/>
                <w:sz w:val="24"/>
                <w:szCs w:val="24"/>
                <w:vertAlign w:val="superscript"/>
                <w:lang w:val="en-US"/>
              </w:rPr>
              <w:t>b</w:t>
            </w:r>
          </w:p>
        </w:tc>
        <w:tc>
          <w:tcPr>
            <w:tcW w:w="2268" w:type="dxa"/>
            <w:vAlign w:val="center"/>
          </w:tcPr>
          <w:p w14:paraId="5519CAE1"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1.44 (0.78 - 2.73)</w:t>
            </w:r>
          </w:p>
        </w:tc>
        <w:tc>
          <w:tcPr>
            <w:tcW w:w="2268" w:type="dxa"/>
            <w:vAlign w:val="center"/>
          </w:tcPr>
          <w:p w14:paraId="5988EC9C"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0.253</w:t>
            </w:r>
          </w:p>
        </w:tc>
      </w:tr>
      <w:tr w:rsidR="00282E3D" w:rsidRPr="00282E3D" w14:paraId="2977D6B9" w14:textId="77777777" w:rsidTr="008C72F0">
        <w:trPr>
          <w:trHeight w:val="567"/>
        </w:trPr>
        <w:tc>
          <w:tcPr>
            <w:tcW w:w="3969" w:type="dxa"/>
            <w:vAlign w:val="center"/>
          </w:tcPr>
          <w:p w14:paraId="4E07983F" w14:textId="7655BF29" w:rsidR="00AC7B45" w:rsidRPr="00282E3D" w:rsidRDefault="00AC7B45" w:rsidP="008C72F0">
            <w:pPr>
              <w:pStyle w:val="NoSpacing"/>
              <w:rPr>
                <w:rFonts w:ascii="Arial" w:hAnsi="Arial" w:cs="Arial"/>
                <w:b/>
                <w:bCs/>
                <w:sz w:val="24"/>
                <w:szCs w:val="24"/>
                <w:vertAlign w:val="superscript"/>
                <w:lang w:val="en-US"/>
              </w:rPr>
            </w:pPr>
            <w:r w:rsidRPr="00282E3D">
              <w:rPr>
                <w:rFonts w:ascii="Arial" w:hAnsi="Arial" w:cs="Arial"/>
                <w:b/>
                <w:bCs/>
                <w:sz w:val="24"/>
                <w:szCs w:val="24"/>
                <w:lang w:val="en-US"/>
              </w:rPr>
              <w:t>[TIMP-2]•[</w:t>
            </w:r>
            <w:r w:rsidR="00E40189" w:rsidRPr="00282E3D">
              <w:rPr>
                <w:rFonts w:ascii="Arial" w:hAnsi="Arial" w:cs="Arial"/>
                <w:b/>
                <w:bCs/>
                <w:sz w:val="24"/>
                <w:szCs w:val="24"/>
                <w:lang w:val="en-US"/>
              </w:rPr>
              <w:t>IGFBP7</w:t>
            </w:r>
            <w:r w:rsidRPr="00282E3D">
              <w:rPr>
                <w:rFonts w:ascii="Arial" w:hAnsi="Arial" w:cs="Arial"/>
                <w:b/>
                <w:bCs/>
                <w:sz w:val="24"/>
                <w:szCs w:val="24"/>
                <w:lang w:val="en-US"/>
              </w:rPr>
              <w:t>], third test</w:t>
            </w:r>
            <w:r w:rsidRPr="00282E3D">
              <w:rPr>
                <w:rFonts w:ascii="Arial" w:hAnsi="Arial" w:cs="Arial"/>
                <w:b/>
                <w:bCs/>
                <w:sz w:val="24"/>
                <w:szCs w:val="24"/>
                <w:vertAlign w:val="superscript"/>
                <w:lang w:val="en-US"/>
              </w:rPr>
              <w:t>c</w:t>
            </w:r>
          </w:p>
        </w:tc>
        <w:tc>
          <w:tcPr>
            <w:tcW w:w="2268" w:type="dxa"/>
            <w:vAlign w:val="center"/>
          </w:tcPr>
          <w:p w14:paraId="14687AA3"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2.29 (1.37 - 4.08)</w:t>
            </w:r>
          </w:p>
        </w:tc>
        <w:tc>
          <w:tcPr>
            <w:tcW w:w="2268" w:type="dxa"/>
            <w:vAlign w:val="center"/>
          </w:tcPr>
          <w:p w14:paraId="07357937"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0.003</w:t>
            </w:r>
          </w:p>
        </w:tc>
      </w:tr>
    </w:tbl>
    <w:p w14:paraId="097AD52D" w14:textId="014353F9"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[TIMP-2]•[</w:t>
      </w:r>
      <w:r w:rsidR="00E40189" w:rsidRPr="00282E3D">
        <w:rPr>
          <w:rFonts w:ascii="Arial" w:hAnsi="Arial" w:cs="Arial"/>
          <w:sz w:val="20"/>
          <w:szCs w:val="20"/>
          <w:lang w:val="en-US"/>
        </w:rPr>
        <w:t>IGFBP7</w:t>
      </w:r>
      <w:r w:rsidRPr="00282E3D">
        <w:rPr>
          <w:rFonts w:ascii="Arial" w:hAnsi="Arial" w:cs="Arial"/>
          <w:sz w:val="20"/>
          <w:szCs w:val="20"/>
          <w:lang w:val="en-US"/>
        </w:rPr>
        <w:t>] values were log transformed.</w:t>
      </w:r>
    </w:p>
    <w:p w14:paraId="793C0A0D" w14:textId="7D93C612" w:rsidR="009507F8" w:rsidRPr="00282E3D" w:rsidRDefault="009507F8" w:rsidP="009507F8">
      <w:pPr>
        <w:pStyle w:val="NoSpacing"/>
        <w:rPr>
          <w:rFonts w:ascii="Arial" w:hAnsi="Arial" w:cs="Arial"/>
          <w:sz w:val="20"/>
          <w:szCs w:val="20"/>
          <w:lang w:val="en-US"/>
        </w:rPr>
      </w:pPr>
      <w:r w:rsidRPr="00282E3D">
        <w:rPr>
          <w:rFonts w:ascii="Arial" w:hAnsi="Arial" w:cs="Arial"/>
          <w:sz w:val="20"/>
          <w:szCs w:val="20"/>
          <w:vertAlign w:val="superscript"/>
          <w:lang w:val="en-US"/>
        </w:rPr>
        <w:t>a</w:t>
      </w:r>
      <w:r w:rsidRPr="00282E3D">
        <w:rPr>
          <w:rFonts w:ascii="Arial" w:hAnsi="Arial" w:cs="Arial"/>
          <w:sz w:val="20"/>
          <w:szCs w:val="20"/>
          <w:lang w:val="en-US"/>
        </w:rPr>
        <w:t>At approximately 6 from sepsis diagnosis and start of the treatment.</w:t>
      </w:r>
    </w:p>
    <w:p w14:paraId="0F5A9142" w14:textId="315AC0BD" w:rsidR="009507F8" w:rsidRPr="00282E3D" w:rsidRDefault="009507F8" w:rsidP="009507F8">
      <w:pPr>
        <w:pStyle w:val="NoSpacing"/>
        <w:rPr>
          <w:rFonts w:ascii="Arial" w:hAnsi="Arial" w:cs="Arial"/>
          <w:sz w:val="20"/>
          <w:szCs w:val="20"/>
          <w:lang w:val="en-US"/>
        </w:rPr>
      </w:pPr>
      <w:r w:rsidRPr="00282E3D">
        <w:rPr>
          <w:rFonts w:ascii="Arial" w:hAnsi="Arial" w:cs="Arial"/>
          <w:sz w:val="20"/>
          <w:szCs w:val="20"/>
          <w:vertAlign w:val="superscript"/>
          <w:lang w:val="en-US"/>
        </w:rPr>
        <w:t>b</w:t>
      </w:r>
      <w:r w:rsidRPr="00282E3D">
        <w:rPr>
          <w:rFonts w:ascii="Arial" w:hAnsi="Arial" w:cs="Arial"/>
          <w:sz w:val="20"/>
          <w:szCs w:val="20"/>
          <w:lang w:val="en-US"/>
        </w:rPr>
        <w:t>At approximately 18 from sepsis diagnosis and start of the treatment.</w:t>
      </w:r>
    </w:p>
    <w:p w14:paraId="20834042" w14:textId="13FCEEED" w:rsidR="009507F8" w:rsidRPr="00282E3D" w:rsidRDefault="009507F8" w:rsidP="009507F8">
      <w:pPr>
        <w:pStyle w:val="NoSpacing"/>
        <w:rPr>
          <w:rFonts w:ascii="Arial" w:hAnsi="Arial" w:cs="Arial"/>
          <w:sz w:val="20"/>
          <w:szCs w:val="20"/>
          <w:lang w:val="en-US"/>
        </w:rPr>
      </w:pPr>
      <w:r w:rsidRPr="00282E3D">
        <w:rPr>
          <w:rFonts w:ascii="Arial" w:hAnsi="Arial" w:cs="Arial"/>
          <w:sz w:val="20"/>
          <w:szCs w:val="20"/>
          <w:vertAlign w:val="superscript"/>
          <w:lang w:val="en-US"/>
        </w:rPr>
        <w:t>c</w:t>
      </w:r>
      <w:r w:rsidRPr="00282E3D">
        <w:rPr>
          <w:rFonts w:ascii="Arial" w:hAnsi="Arial" w:cs="Arial"/>
          <w:sz w:val="20"/>
          <w:szCs w:val="20"/>
          <w:lang w:val="en-US"/>
        </w:rPr>
        <w:t>At approximately 30 from sepsis diagnosis and start of the treatment.</w:t>
      </w:r>
    </w:p>
    <w:p w14:paraId="70BC4048" w14:textId="12EE7174"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 xml:space="preserve">AKI = acute kidney injury; CI = confidence interval; IGFBP7 = insulin-like growth factor binding protein 7; OR = odds ratio; TIMP-2 = </w:t>
      </w:r>
      <w:r w:rsidR="007B1223" w:rsidRPr="00282E3D">
        <w:rPr>
          <w:rFonts w:ascii="Arial" w:hAnsi="Arial" w:cs="Arial"/>
          <w:sz w:val="20"/>
          <w:szCs w:val="20"/>
          <w:lang w:val="en-US"/>
        </w:rPr>
        <w:t>tissue inhibitor of metalloproteinases-2</w:t>
      </w:r>
      <w:r w:rsidRPr="00282E3D">
        <w:rPr>
          <w:rFonts w:ascii="Arial" w:hAnsi="Arial" w:cs="Arial"/>
          <w:sz w:val="20"/>
          <w:szCs w:val="20"/>
          <w:lang w:val="en-US"/>
        </w:rPr>
        <w:t>.</w:t>
      </w:r>
    </w:p>
    <w:p w14:paraId="0E1CB2BC" w14:textId="7E018413" w:rsidR="00D05586" w:rsidRPr="00282E3D" w:rsidRDefault="00D05586" w:rsidP="00D05586">
      <w:pPr>
        <w:pStyle w:val="NoSpacing"/>
        <w:rPr>
          <w:rFonts w:ascii="Arial" w:hAnsi="Arial" w:cs="Arial"/>
          <w:sz w:val="24"/>
          <w:szCs w:val="24"/>
          <w:lang w:val="en-US"/>
        </w:rPr>
      </w:pPr>
    </w:p>
    <w:p w14:paraId="1B34CC6F" w14:textId="539377CB" w:rsidR="00D05586" w:rsidRPr="00282E3D" w:rsidRDefault="00D05586">
      <w:pPr>
        <w:spacing w:after="160" w:line="259" w:lineRule="auto"/>
        <w:rPr>
          <w:rFonts w:ascii="Arial" w:eastAsiaTheme="minorHAnsi" w:hAnsi="Arial" w:cs="Arial"/>
          <w:kern w:val="0"/>
        </w:rPr>
      </w:pPr>
      <w:r w:rsidRPr="00282E3D">
        <w:rPr>
          <w:rFonts w:ascii="Arial" w:hAnsi="Arial" w:cs="Arial"/>
        </w:rPr>
        <w:br w:type="page"/>
      </w:r>
    </w:p>
    <w:p w14:paraId="3D1044FD" w14:textId="3D3B82FF" w:rsidR="00420675" w:rsidRPr="00282E3D" w:rsidRDefault="00AC7B45" w:rsidP="0041280B">
      <w:pPr>
        <w:pStyle w:val="Papardraft"/>
        <w:spacing w:line="276" w:lineRule="auto"/>
        <w:ind w:firstLine="0"/>
        <w:outlineLvl w:val="1"/>
        <w:rPr>
          <w:lang w:val="en-US"/>
        </w:rPr>
      </w:pPr>
      <w:bookmarkStart w:id="22" w:name="_Toc59032039"/>
      <w:bookmarkStart w:id="23" w:name="_Toc59643463"/>
      <w:r w:rsidRPr="00282E3D">
        <w:rPr>
          <w:b/>
          <w:bCs/>
          <w:lang w:val="en-US"/>
        </w:rPr>
        <w:lastRenderedPageBreak/>
        <w:t xml:space="preserve">Supplemental Table </w:t>
      </w:r>
      <w:r w:rsidR="00BB126F" w:rsidRPr="00282E3D">
        <w:rPr>
          <w:b/>
          <w:bCs/>
          <w:lang w:val="en-US"/>
        </w:rPr>
        <w:t>S</w:t>
      </w:r>
      <w:r w:rsidR="001271EB" w:rsidRPr="00282E3D">
        <w:rPr>
          <w:b/>
          <w:bCs/>
          <w:lang w:val="en-US"/>
        </w:rPr>
        <w:t>6</w:t>
      </w:r>
      <w:r w:rsidRPr="00282E3D">
        <w:rPr>
          <w:b/>
          <w:bCs/>
          <w:lang w:val="en-US"/>
        </w:rPr>
        <w:t>.</w:t>
      </w:r>
      <w:r w:rsidRPr="00282E3D">
        <w:rPr>
          <w:lang w:val="en-US"/>
        </w:rPr>
        <w:t xml:space="preserve"> Logistic regression in ProCESS cohort for the primary endpoint using predictors from LASSO regularization.</w:t>
      </w:r>
      <w:bookmarkEnd w:id="22"/>
      <w:bookmarkEnd w:id="23"/>
    </w:p>
    <w:p w14:paraId="5C7A3953" w14:textId="77777777" w:rsidR="00420675" w:rsidRPr="00282E3D" w:rsidRDefault="00420675" w:rsidP="00420675">
      <w:pPr>
        <w:pStyle w:val="Papardraft"/>
        <w:spacing w:line="276" w:lineRule="auto"/>
        <w:ind w:firstLine="0"/>
        <w:rPr>
          <w:lang w:val="en-US"/>
        </w:rPr>
      </w:pPr>
    </w:p>
    <w:tbl>
      <w:tblPr>
        <w:tblStyle w:val="TableGridLight"/>
        <w:tblW w:w="8505" w:type="dxa"/>
        <w:tblInd w:w="0" w:type="dxa"/>
        <w:tblLayout w:type="fixed"/>
        <w:tblLook w:val="0000" w:firstRow="0" w:lastRow="0" w:firstColumn="0" w:lastColumn="0" w:noHBand="0" w:noVBand="0"/>
      </w:tblPr>
      <w:tblGrid>
        <w:gridCol w:w="3969"/>
        <w:gridCol w:w="2268"/>
        <w:gridCol w:w="2268"/>
      </w:tblGrid>
      <w:tr w:rsidR="00282E3D" w:rsidRPr="00282E3D" w14:paraId="706A3BEE" w14:textId="77777777" w:rsidTr="008C72F0">
        <w:trPr>
          <w:trHeight w:val="567"/>
        </w:trPr>
        <w:tc>
          <w:tcPr>
            <w:tcW w:w="3969" w:type="dxa"/>
            <w:vAlign w:val="center"/>
          </w:tcPr>
          <w:p w14:paraId="7A94E463" w14:textId="77777777" w:rsidR="00AC7B45" w:rsidRPr="00282E3D" w:rsidRDefault="00AC7B45" w:rsidP="00420675">
            <w:pPr>
              <w:pStyle w:val="NoSpacing"/>
              <w:rPr>
                <w:rFonts w:ascii="Arial" w:hAnsi="Arial" w:cs="Arial"/>
                <w:b/>
                <w:bCs/>
                <w:sz w:val="24"/>
                <w:szCs w:val="24"/>
                <w:lang w:val="en-US"/>
              </w:rPr>
            </w:pPr>
            <w:r w:rsidRPr="00282E3D">
              <w:rPr>
                <w:rFonts w:ascii="Arial" w:hAnsi="Arial" w:cs="Arial"/>
                <w:b/>
                <w:bCs/>
                <w:sz w:val="24"/>
                <w:szCs w:val="24"/>
                <w:lang w:val="en-US"/>
              </w:rPr>
              <w:t>Predictors - ProCESS</w:t>
            </w:r>
          </w:p>
        </w:tc>
        <w:tc>
          <w:tcPr>
            <w:tcW w:w="2268" w:type="dxa"/>
            <w:vAlign w:val="center"/>
          </w:tcPr>
          <w:p w14:paraId="3D0A96B0" w14:textId="77777777" w:rsidR="00AC7B45" w:rsidRPr="00282E3D" w:rsidRDefault="00AC7B45" w:rsidP="00420675">
            <w:pPr>
              <w:pStyle w:val="NoSpacing"/>
              <w:jc w:val="center"/>
              <w:rPr>
                <w:rFonts w:ascii="Arial" w:hAnsi="Arial" w:cs="Arial"/>
                <w:b/>
                <w:bCs/>
                <w:sz w:val="24"/>
                <w:szCs w:val="24"/>
                <w:lang w:val="en-US"/>
              </w:rPr>
            </w:pPr>
            <w:r w:rsidRPr="00282E3D">
              <w:rPr>
                <w:rFonts w:ascii="Arial" w:hAnsi="Arial" w:cs="Arial"/>
                <w:b/>
                <w:bCs/>
                <w:sz w:val="24"/>
                <w:szCs w:val="24"/>
                <w:lang w:val="en-US"/>
              </w:rPr>
              <w:t>OR (95% CI)</w:t>
            </w:r>
          </w:p>
        </w:tc>
        <w:tc>
          <w:tcPr>
            <w:tcW w:w="2268" w:type="dxa"/>
            <w:vAlign w:val="center"/>
          </w:tcPr>
          <w:p w14:paraId="5A43A6FE" w14:textId="7576A954" w:rsidR="00AC7B45" w:rsidRPr="00282E3D" w:rsidRDefault="008C72F0" w:rsidP="00420675">
            <w:pPr>
              <w:pStyle w:val="NoSpacing"/>
              <w:jc w:val="center"/>
              <w:rPr>
                <w:rFonts w:ascii="Arial" w:hAnsi="Arial" w:cs="Arial"/>
                <w:b/>
                <w:bCs/>
                <w:sz w:val="24"/>
                <w:szCs w:val="24"/>
                <w:lang w:val="en-US"/>
              </w:rPr>
            </w:pPr>
            <w:r w:rsidRPr="00282E3D">
              <w:rPr>
                <w:rFonts w:ascii="Arial" w:hAnsi="Arial" w:cs="Arial"/>
                <w:b/>
                <w:bCs/>
                <w:sz w:val="24"/>
                <w:szCs w:val="24"/>
                <w:lang w:val="en-US"/>
              </w:rPr>
              <w:t>p</w:t>
            </w:r>
          </w:p>
        </w:tc>
      </w:tr>
      <w:tr w:rsidR="00282E3D" w:rsidRPr="00282E3D" w14:paraId="2E111B16" w14:textId="77777777" w:rsidTr="008C72F0">
        <w:trPr>
          <w:trHeight w:val="567"/>
        </w:trPr>
        <w:tc>
          <w:tcPr>
            <w:tcW w:w="3969" w:type="dxa"/>
            <w:vAlign w:val="center"/>
          </w:tcPr>
          <w:p w14:paraId="368A1B9D" w14:textId="08050398" w:rsidR="00AC7B45" w:rsidRPr="00282E3D" w:rsidRDefault="00AC7B45" w:rsidP="00420675">
            <w:pPr>
              <w:pStyle w:val="NoSpacing"/>
              <w:rPr>
                <w:rFonts w:ascii="Arial" w:hAnsi="Arial" w:cs="Arial"/>
                <w:b/>
                <w:bCs/>
                <w:sz w:val="24"/>
                <w:szCs w:val="24"/>
                <w:lang w:val="en-US"/>
              </w:rPr>
            </w:pPr>
            <w:r w:rsidRPr="00282E3D">
              <w:rPr>
                <w:rFonts w:ascii="Arial" w:hAnsi="Arial" w:cs="Arial"/>
                <w:b/>
                <w:bCs/>
                <w:sz w:val="24"/>
                <w:szCs w:val="24"/>
                <w:lang w:val="en-US"/>
              </w:rPr>
              <w:t>[TIMP-2]•[</w:t>
            </w:r>
            <w:r w:rsidR="00E40189" w:rsidRPr="00282E3D">
              <w:rPr>
                <w:rFonts w:ascii="Arial" w:hAnsi="Arial" w:cs="Arial"/>
                <w:b/>
                <w:bCs/>
                <w:sz w:val="24"/>
                <w:szCs w:val="24"/>
                <w:lang w:val="en-US"/>
              </w:rPr>
              <w:t>IGFBP7</w:t>
            </w:r>
            <w:r w:rsidRPr="00282E3D">
              <w:rPr>
                <w:rFonts w:ascii="Arial" w:hAnsi="Arial" w:cs="Arial"/>
                <w:b/>
                <w:bCs/>
                <w:sz w:val="24"/>
                <w:szCs w:val="24"/>
                <w:lang w:val="en-US"/>
              </w:rPr>
              <w:t>], first test</w:t>
            </w:r>
            <w:r w:rsidRPr="00282E3D">
              <w:rPr>
                <w:rFonts w:ascii="Arial" w:hAnsi="Arial" w:cs="Arial"/>
                <w:b/>
                <w:bCs/>
                <w:sz w:val="24"/>
                <w:szCs w:val="24"/>
                <w:vertAlign w:val="superscript"/>
                <w:lang w:val="en-US"/>
              </w:rPr>
              <w:t>a</w:t>
            </w:r>
          </w:p>
        </w:tc>
        <w:tc>
          <w:tcPr>
            <w:tcW w:w="2268" w:type="dxa"/>
            <w:vAlign w:val="center"/>
          </w:tcPr>
          <w:p w14:paraId="6B521D24" w14:textId="77777777" w:rsidR="00AC7B45" w:rsidRPr="00282E3D" w:rsidRDefault="00AC7B45" w:rsidP="00420675">
            <w:pPr>
              <w:pStyle w:val="NoSpacing"/>
              <w:jc w:val="center"/>
              <w:rPr>
                <w:rFonts w:ascii="Arial" w:hAnsi="Arial" w:cs="Arial"/>
                <w:sz w:val="24"/>
                <w:szCs w:val="24"/>
                <w:lang w:val="en-US"/>
              </w:rPr>
            </w:pPr>
            <w:r w:rsidRPr="00282E3D">
              <w:rPr>
                <w:rFonts w:ascii="Arial" w:hAnsi="Arial" w:cs="Arial"/>
                <w:sz w:val="24"/>
                <w:szCs w:val="24"/>
                <w:lang w:val="en-US"/>
              </w:rPr>
              <w:t>1.43 (1.15 – 1.77)</w:t>
            </w:r>
          </w:p>
        </w:tc>
        <w:tc>
          <w:tcPr>
            <w:tcW w:w="2268" w:type="dxa"/>
            <w:vAlign w:val="center"/>
          </w:tcPr>
          <w:p w14:paraId="4834D661" w14:textId="77777777" w:rsidR="00AC7B45" w:rsidRPr="00282E3D" w:rsidRDefault="00AC7B45" w:rsidP="00420675">
            <w:pPr>
              <w:pStyle w:val="NoSpacing"/>
              <w:jc w:val="center"/>
              <w:rPr>
                <w:rFonts w:ascii="Arial" w:hAnsi="Arial" w:cs="Arial"/>
                <w:sz w:val="24"/>
                <w:szCs w:val="24"/>
                <w:lang w:val="en-US"/>
              </w:rPr>
            </w:pPr>
            <w:r w:rsidRPr="00282E3D">
              <w:rPr>
                <w:rFonts w:ascii="Arial" w:hAnsi="Arial" w:cs="Arial"/>
                <w:sz w:val="24"/>
                <w:szCs w:val="24"/>
                <w:lang w:val="en-US"/>
              </w:rPr>
              <w:t>0.001</w:t>
            </w:r>
          </w:p>
        </w:tc>
      </w:tr>
      <w:tr w:rsidR="00282E3D" w:rsidRPr="00282E3D" w14:paraId="1ADC0E82" w14:textId="77777777" w:rsidTr="008C72F0">
        <w:trPr>
          <w:trHeight w:val="567"/>
        </w:trPr>
        <w:tc>
          <w:tcPr>
            <w:tcW w:w="3969" w:type="dxa"/>
            <w:vAlign w:val="center"/>
          </w:tcPr>
          <w:p w14:paraId="6148D848" w14:textId="7A6237D5" w:rsidR="00AC7B45" w:rsidRPr="00282E3D" w:rsidRDefault="00AC7B45" w:rsidP="008C72F0">
            <w:pPr>
              <w:pStyle w:val="NoSpacing"/>
              <w:rPr>
                <w:rFonts w:ascii="Arial" w:hAnsi="Arial" w:cs="Arial"/>
                <w:b/>
                <w:bCs/>
                <w:sz w:val="24"/>
                <w:szCs w:val="24"/>
                <w:lang w:val="en-US"/>
              </w:rPr>
            </w:pPr>
            <w:r w:rsidRPr="00282E3D">
              <w:rPr>
                <w:rFonts w:ascii="Arial" w:hAnsi="Arial" w:cs="Arial"/>
                <w:b/>
                <w:bCs/>
                <w:sz w:val="24"/>
                <w:szCs w:val="24"/>
                <w:lang w:val="en-US"/>
              </w:rPr>
              <w:t>[TIMP-2]•[</w:t>
            </w:r>
            <w:r w:rsidR="00E40189" w:rsidRPr="00282E3D">
              <w:rPr>
                <w:rFonts w:ascii="Arial" w:hAnsi="Arial" w:cs="Arial"/>
                <w:b/>
                <w:bCs/>
                <w:sz w:val="24"/>
                <w:szCs w:val="24"/>
                <w:lang w:val="en-US"/>
              </w:rPr>
              <w:t>IGFBP7</w:t>
            </w:r>
            <w:r w:rsidRPr="00282E3D">
              <w:rPr>
                <w:rFonts w:ascii="Arial" w:hAnsi="Arial" w:cs="Arial"/>
                <w:b/>
                <w:bCs/>
                <w:sz w:val="24"/>
                <w:szCs w:val="24"/>
                <w:lang w:val="en-US"/>
              </w:rPr>
              <w:t>], second test</w:t>
            </w:r>
            <w:r w:rsidRPr="00282E3D">
              <w:rPr>
                <w:rFonts w:ascii="Arial" w:hAnsi="Arial" w:cs="Arial"/>
                <w:b/>
                <w:bCs/>
                <w:sz w:val="24"/>
                <w:szCs w:val="24"/>
                <w:vertAlign w:val="superscript"/>
                <w:lang w:val="en-US"/>
              </w:rPr>
              <w:t>b</w:t>
            </w:r>
          </w:p>
        </w:tc>
        <w:tc>
          <w:tcPr>
            <w:tcW w:w="2268" w:type="dxa"/>
            <w:vAlign w:val="center"/>
          </w:tcPr>
          <w:p w14:paraId="429E3253"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1.58 (1.27 – 1.98)</w:t>
            </w:r>
          </w:p>
        </w:tc>
        <w:tc>
          <w:tcPr>
            <w:tcW w:w="2268" w:type="dxa"/>
            <w:vAlign w:val="center"/>
          </w:tcPr>
          <w:p w14:paraId="49FD70C5" w14:textId="77777777" w:rsidR="00AC7B45" w:rsidRPr="00282E3D" w:rsidRDefault="00AC7B45" w:rsidP="008C72F0">
            <w:pPr>
              <w:pStyle w:val="NoSpacing"/>
              <w:jc w:val="center"/>
              <w:rPr>
                <w:rFonts w:ascii="Arial" w:hAnsi="Arial" w:cs="Arial"/>
                <w:sz w:val="24"/>
                <w:szCs w:val="24"/>
                <w:lang w:val="en-US"/>
              </w:rPr>
            </w:pPr>
            <w:r w:rsidRPr="00282E3D">
              <w:rPr>
                <w:rFonts w:ascii="Arial" w:hAnsi="Arial" w:cs="Arial"/>
                <w:sz w:val="24"/>
                <w:szCs w:val="24"/>
                <w:lang w:val="en-US"/>
              </w:rPr>
              <w:t>&lt;0.001</w:t>
            </w:r>
          </w:p>
        </w:tc>
      </w:tr>
    </w:tbl>
    <w:p w14:paraId="37958340" w14:textId="481193AC"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[TIMP-2]•[</w:t>
      </w:r>
      <w:r w:rsidR="00E40189" w:rsidRPr="00282E3D">
        <w:rPr>
          <w:rFonts w:ascii="Arial" w:hAnsi="Arial" w:cs="Arial"/>
          <w:sz w:val="20"/>
          <w:szCs w:val="20"/>
          <w:lang w:val="en-US"/>
        </w:rPr>
        <w:t>IGFBP7</w:t>
      </w:r>
      <w:r w:rsidRPr="00282E3D">
        <w:rPr>
          <w:rFonts w:ascii="Arial" w:hAnsi="Arial" w:cs="Arial"/>
          <w:sz w:val="20"/>
          <w:szCs w:val="20"/>
          <w:lang w:val="en-US"/>
        </w:rPr>
        <w:t>] values were log transformed.</w:t>
      </w:r>
    </w:p>
    <w:p w14:paraId="7DD91280" w14:textId="77777777"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a</w:t>
      </w:r>
      <w:r w:rsidRPr="00282E3D">
        <w:rPr>
          <w:rFonts w:ascii="Arial" w:hAnsi="Arial" w:cs="Arial"/>
          <w:sz w:val="20"/>
          <w:szCs w:val="20"/>
          <w:lang w:val="en-US"/>
        </w:rPr>
        <w:t>At 6 hours from enrolment/sepsis diagnosis.</w:t>
      </w:r>
    </w:p>
    <w:p w14:paraId="0BA7BA0E" w14:textId="77777777"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vertAlign w:val="superscript"/>
          <w:lang w:val="en-US"/>
        </w:rPr>
        <w:t>b</w:t>
      </w:r>
      <w:r w:rsidRPr="00282E3D">
        <w:rPr>
          <w:rFonts w:ascii="Arial" w:hAnsi="Arial" w:cs="Arial"/>
          <w:sz w:val="20"/>
          <w:szCs w:val="20"/>
          <w:lang w:val="en-US"/>
        </w:rPr>
        <w:t>At 24 hours from enrollment/sepsis diagnosis.</w:t>
      </w:r>
    </w:p>
    <w:p w14:paraId="3C9960CF" w14:textId="20AEA644" w:rsidR="004711A1" w:rsidRPr="00282E3D" w:rsidRDefault="004711A1" w:rsidP="004711A1">
      <w:pPr>
        <w:pStyle w:val="NoSpacing"/>
        <w:rPr>
          <w:rFonts w:ascii="Arial" w:hAnsi="Arial" w:cs="Arial"/>
          <w:sz w:val="20"/>
          <w:szCs w:val="20"/>
          <w:lang w:val="en-US"/>
        </w:rPr>
      </w:pPr>
      <w:r w:rsidRPr="00282E3D">
        <w:rPr>
          <w:rFonts w:ascii="Arial" w:hAnsi="Arial" w:cs="Arial"/>
          <w:sz w:val="20"/>
          <w:szCs w:val="20"/>
          <w:lang w:val="en-US"/>
        </w:rPr>
        <w:t xml:space="preserve">AKI = acute kidney injury; CI = confidence interval; IGFBP7 = insulin-like growth factor binding protein 7; OR = odds ratio; TIMP-2 = </w:t>
      </w:r>
      <w:r w:rsidR="007B1223" w:rsidRPr="00282E3D">
        <w:rPr>
          <w:rFonts w:ascii="Arial" w:hAnsi="Arial" w:cs="Arial"/>
          <w:sz w:val="20"/>
          <w:szCs w:val="20"/>
          <w:lang w:val="en-US"/>
        </w:rPr>
        <w:t>tissue inhibitor of metalloproteinases-2</w:t>
      </w:r>
      <w:r w:rsidRPr="00282E3D">
        <w:rPr>
          <w:rFonts w:ascii="Arial" w:hAnsi="Arial" w:cs="Arial"/>
          <w:sz w:val="20"/>
          <w:szCs w:val="20"/>
          <w:lang w:val="en-US"/>
        </w:rPr>
        <w:t>.</w:t>
      </w:r>
    </w:p>
    <w:p w14:paraId="0A6A506E" w14:textId="77777777" w:rsidR="00AC7B45" w:rsidRPr="00282E3D" w:rsidRDefault="00AC7B45" w:rsidP="00AC7B45">
      <w:pPr>
        <w:pStyle w:val="Papardraft"/>
        <w:ind w:firstLine="0"/>
        <w:rPr>
          <w:highlight w:val="yellow"/>
          <w:lang w:val="en-US"/>
        </w:rPr>
      </w:pPr>
    </w:p>
    <w:p w14:paraId="7AD6670E" w14:textId="77777777" w:rsidR="00AC7B45" w:rsidRPr="00282E3D" w:rsidRDefault="00AC7B45" w:rsidP="00AC7B45">
      <w:pPr>
        <w:rPr>
          <w:rFonts w:ascii="Arial" w:hAnsi="Arial" w:cs="Arial"/>
          <w:highlight w:val="yellow"/>
        </w:rPr>
      </w:pPr>
      <w:r w:rsidRPr="00282E3D">
        <w:rPr>
          <w:rFonts w:ascii="Arial" w:hAnsi="Arial" w:cs="Arial"/>
          <w:highlight w:val="yellow"/>
        </w:rPr>
        <w:br w:type="page"/>
      </w:r>
    </w:p>
    <w:p w14:paraId="46B39ED6" w14:textId="5F5074C3" w:rsidR="0005423E" w:rsidRPr="00282E3D" w:rsidRDefault="0005423E" w:rsidP="0005423E">
      <w:pPr>
        <w:pStyle w:val="Papardraft"/>
        <w:spacing w:line="276" w:lineRule="auto"/>
        <w:ind w:firstLine="0"/>
        <w:outlineLvl w:val="1"/>
        <w:rPr>
          <w:lang w:val="en-US"/>
        </w:rPr>
      </w:pPr>
      <w:bookmarkStart w:id="24" w:name="_Toc59643464"/>
      <w:bookmarkStart w:id="25" w:name="_Hlk59035017"/>
      <w:bookmarkStart w:id="26" w:name="_Toc59032040"/>
      <w:r w:rsidRPr="00282E3D">
        <w:rPr>
          <w:b/>
          <w:bCs/>
          <w:lang w:val="en-US"/>
        </w:rPr>
        <w:lastRenderedPageBreak/>
        <w:t>Supplemental Table S7.</w:t>
      </w:r>
      <w:r w:rsidRPr="00282E3D">
        <w:rPr>
          <w:lang w:val="en-US"/>
        </w:rPr>
        <w:t xml:space="preserve"> Summary of protocol simulation in ProCESS trial</w:t>
      </w:r>
      <w:r w:rsidR="00E435B3" w:rsidRPr="00282E3D">
        <w:rPr>
          <w:lang w:val="en-US"/>
        </w:rPr>
        <w:t xml:space="preserve"> for patients </w:t>
      </w:r>
      <w:bookmarkEnd w:id="24"/>
      <w:r w:rsidR="00F44E33" w:rsidRPr="00282E3D">
        <w:rPr>
          <w:lang w:val="en-US"/>
        </w:rPr>
        <w:t xml:space="preserve">from the primary and </w:t>
      </w:r>
      <w:r w:rsidR="00E37D15" w:rsidRPr="00282E3D">
        <w:rPr>
          <w:lang w:val="en-US"/>
        </w:rPr>
        <w:t>sensitivity</w:t>
      </w:r>
      <w:r w:rsidR="00F44E33" w:rsidRPr="00282E3D">
        <w:rPr>
          <w:lang w:val="en-US"/>
        </w:rPr>
        <w:t xml:space="preserve"> analysis cohort.</w:t>
      </w:r>
    </w:p>
    <w:p w14:paraId="77E2A50E" w14:textId="77777777" w:rsidR="009D34BF" w:rsidRPr="00282E3D" w:rsidRDefault="009D34BF" w:rsidP="0005423E">
      <w:pPr>
        <w:pStyle w:val="Papardraft"/>
        <w:spacing w:line="276" w:lineRule="auto"/>
        <w:ind w:firstLine="0"/>
        <w:rPr>
          <w:lang w:val="en-US"/>
        </w:rPr>
      </w:pPr>
    </w:p>
    <w:tbl>
      <w:tblPr>
        <w:tblStyle w:val="TableGridLight"/>
        <w:tblW w:w="10065" w:type="dxa"/>
        <w:tblInd w:w="0" w:type="dxa"/>
        <w:tblLayout w:type="fixed"/>
        <w:tblLook w:val="0460" w:firstRow="1" w:lastRow="1" w:firstColumn="0" w:lastColumn="0" w:noHBand="0" w:noVBand="1"/>
      </w:tblPr>
      <w:tblGrid>
        <w:gridCol w:w="2552"/>
        <w:gridCol w:w="1417"/>
        <w:gridCol w:w="1701"/>
        <w:gridCol w:w="1417"/>
        <w:gridCol w:w="1417"/>
        <w:gridCol w:w="1561"/>
      </w:tblGrid>
      <w:tr w:rsidR="00282E3D" w:rsidRPr="00282E3D" w14:paraId="580D2696" w14:textId="77777777" w:rsidTr="006245D0">
        <w:trPr>
          <w:trHeight w:val="680"/>
        </w:trPr>
        <w:tc>
          <w:tcPr>
            <w:tcW w:w="2552" w:type="dxa"/>
            <w:tcBorders>
              <w:top w:val="single" w:sz="4" w:space="0" w:color="auto"/>
              <w:left w:val="single" w:sz="4" w:space="0" w:color="auto"/>
              <w:bottom w:val="single" w:sz="4" w:space="0" w:color="auto"/>
              <w:right w:val="single" w:sz="4" w:space="0" w:color="auto"/>
            </w:tcBorders>
            <w:vAlign w:val="center"/>
            <w:hideMark/>
          </w:tcPr>
          <w:p w14:paraId="1F601C92" w14:textId="77777777" w:rsidR="0005423E" w:rsidRPr="00282E3D" w:rsidRDefault="0005423E" w:rsidP="006245D0">
            <w:pPr>
              <w:pStyle w:val="NoSpacing"/>
              <w:rPr>
                <w:rFonts w:ascii="Arial" w:hAnsi="Arial" w:cs="Arial"/>
                <w:b/>
                <w:bCs/>
                <w:sz w:val="20"/>
                <w:szCs w:val="20"/>
                <w:vertAlign w:val="superscript"/>
                <w:lang w:val="en-US" w:eastAsia="it-IT"/>
              </w:rPr>
            </w:pPr>
            <w:r w:rsidRPr="00282E3D">
              <w:rPr>
                <w:rFonts w:ascii="Arial" w:hAnsi="Arial" w:cs="Arial"/>
                <w:b/>
                <w:bCs/>
                <w:sz w:val="20"/>
                <w:szCs w:val="20"/>
                <w:lang w:val="en-US" w:eastAsia="it-IT"/>
              </w:rPr>
              <w:t>Treatment levels after [TIMP-2]•[IGFBP7] tests</w:t>
            </w:r>
            <w:r w:rsidRPr="00282E3D">
              <w:rPr>
                <w:rFonts w:ascii="Arial" w:hAnsi="Arial" w:cs="Arial"/>
                <w:b/>
                <w:bCs/>
                <w:sz w:val="20"/>
                <w:szCs w:val="20"/>
                <w:vertAlign w:val="superscript"/>
                <w:lang w:val="en-US" w:eastAsia="it-IT"/>
              </w:rPr>
              <w: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4C8E8" w14:textId="77777777" w:rsidR="0005423E" w:rsidRPr="00282E3D" w:rsidRDefault="0005423E" w:rsidP="009D34BF">
            <w:pPr>
              <w:pStyle w:val="NoSpacing"/>
              <w:jc w:val="center"/>
              <w:rPr>
                <w:rFonts w:ascii="Arial" w:hAnsi="Arial" w:cs="Arial"/>
                <w:b/>
                <w:bCs/>
                <w:sz w:val="20"/>
                <w:szCs w:val="20"/>
                <w:lang w:eastAsia="it-IT"/>
              </w:rPr>
            </w:pPr>
            <w:r w:rsidRPr="00282E3D">
              <w:rPr>
                <w:rFonts w:ascii="Arial" w:hAnsi="Arial" w:cs="Arial"/>
                <w:b/>
                <w:bCs/>
                <w:sz w:val="20"/>
                <w:szCs w:val="20"/>
                <w:lang w:eastAsia="it-IT"/>
              </w:rPr>
              <w:t>N</w:t>
            </w:r>
          </w:p>
          <w:p w14:paraId="150C4B25" w14:textId="77777777" w:rsidR="0005423E" w:rsidRPr="00282E3D" w:rsidRDefault="0005423E" w:rsidP="009D34BF">
            <w:pPr>
              <w:pStyle w:val="NoSpacing"/>
              <w:jc w:val="center"/>
              <w:rPr>
                <w:rFonts w:ascii="Arial" w:hAnsi="Arial" w:cs="Arial"/>
                <w:b/>
                <w:bCs/>
                <w:sz w:val="20"/>
                <w:szCs w:val="20"/>
                <w:lang w:eastAsia="it-IT"/>
              </w:rPr>
            </w:pPr>
            <w:r w:rsidRPr="00282E3D">
              <w:rPr>
                <w:rFonts w:ascii="Arial" w:hAnsi="Arial" w:cs="Arial"/>
                <w:b/>
                <w:bCs/>
                <w:sz w:val="20"/>
                <w:szCs w:val="20"/>
                <w:lang w:eastAsia="it-IT"/>
              </w:rPr>
              <w:t>(column %)</w:t>
            </w:r>
          </w:p>
        </w:tc>
        <w:tc>
          <w:tcPr>
            <w:tcW w:w="1701" w:type="dxa"/>
            <w:tcBorders>
              <w:top w:val="single" w:sz="4" w:space="0" w:color="auto"/>
              <w:left w:val="single" w:sz="4" w:space="0" w:color="auto"/>
              <w:bottom w:val="single" w:sz="4" w:space="0" w:color="auto"/>
            </w:tcBorders>
            <w:vAlign w:val="center"/>
          </w:tcPr>
          <w:p w14:paraId="13AB7C46" w14:textId="77777777" w:rsidR="0005423E" w:rsidRPr="00282E3D" w:rsidRDefault="0005423E" w:rsidP="009D34BF">
            <w:pPr>
              <w:pStyle w:val="NoSpacing"/>
              <w:jc w:val="center"/>
              <w:rPr>
                <w:rFonts w:ascii="Arial" w:hAnsi="Arial" w:cs="Arial"/>
                <w:b/>
                <w:bCs/>
                <w:caps/>
                <w:sz w:val="20"/>
                <w:szCs w:val="20"/>
                <w:lang w:val="en-US" w:eastAsia="it-IT"/>
              </w:rPr>
            </w:pPr>
            <w:r w:rsidRPr="00282E3D">
              <w:rPr>
                <w:rFonts w:ascii="Arial" w:hAnsi="Arial" w:cs="Arial"/>
                <w:b/>
                <w:bCs/>
                <w:sz w:val="20"/>
                <w:szCs w:val="20"/>
                <w:lang w:val="en-US" w:eastAsia="it-IT"/>
              </w:rPr>
              <w:t xml:space="preserve">Progression of 2 AKI stages </w:t>
            </w:r>
            <w:r w:rsidRPr="00282E3D">
              <w:rPr>
                <w:rFonts w:ascii="Arial" w:hAnsi="Arial" w:cs="Arial"/>
                <w:b/>
                <w:bCs/>
                <w:sz w:val="20"/>
                <w:szCs w:val="20"/>
                <w:vertAlign w:val="superscript"/>
                <w:lang w:val="en-US" w:eastAsia="it-IT"/>
              </w:rPr>
              <w:t>b</w:t>
            </w:r>
          </w:p>
        </w:tc>
        <w:tc>
          <w:tcPr>
            <w:tcW w:w="1417" w:type="dxa"/>
            <w:tcBorders>
              <w:top w:val="single" w:sz="4" w:space="0" w:color="auto"/>
              <w:bottom w:val="single" w:sz="4" w:space="0" w:color="auto"/>
            </w:tcBorders>
            <w:vAlign w:val="center"/>
          </w:tcPr>
          <w:p w14:paraId="34CB34E4" w14:textId="77777777" w:rsidR="0005423E" w:rsidRPr="00282E3D" w:rsidRDefault="0005423E" w:rsidP="009D34BF">
            <w:pPr>
              <w:pStyle w:val="NoSpacing"/>
              <w:jc w:val="center"/>
              <w:rPr>
                <w:rFonts w:ascii="Arial" w:hAnsi="Arial" w:cs="Arial"/>
                <w:b/>
                <w:bCs/>
                <w:caps/>
                <w:sz w:val="20"/>
                <w:szCs w:val="20"/>
                <w:lang w:eastAsia="it-IT"/>
              </w:rPr>
            </w:pPr>
            <w:r w:rsidRPr="00282E3D">
              <w:rPr>
                <w:rFonts w:ascii="Arial" w:hAnsi="Arial" w:cs="Arial"/>
                <w:b/>
                <w:bCs/>
                <w:sz w:val="20"/>
                <w:szCs w:val="20"/>
                <w:lang w:eastAsia="it-IT"/>
              </w:rPr>
              <w:t xml:space="preserve">Death </w:t>
            </w:r>
            <w:r w:rsidRPr="00282E3D">
              <w:rPr>
                <w:rFonts w:ascii="Arial" w:hAnsi="Arial" w:cs="Arial"/>
                <w:b/>
                <w:bCs/>
                <w:sz w:val="20"/>
                <w:szCs w:val="20"/>
                <w:vertAlign w:val="superscript"/>
                <w:lang w:eastAsia="it-IT"/>
              </w:rPr>
              <w:t>b</w:t>
            </w:r>
          </w:p>
        </w:tc>
        <w:tc>
          <w:tcPr>
            <w:tcW w:w="1417" w:type="dxa"/>
            <w:tcBorders>
              <w:top w:val="single" w:sz="4" w:space="0" w:color="auto"/>
              <w:bottom w:val="single" w:sz="4" w:space="0" w:color="auto"/>
              <w:right w:val="single" w:sz="4" w:space="0" w:color="auto"/>
            </w:tcBorders>
            <w:vAlign w:val="center"/>
          </w:tcPr>
          <w:p w14:paraId="72B8CFCA" w14:textId="667F37BA" w:rsidR="0005423E" w:rsidRPr="00282E3D" w:rsidRDefault="0005423E" w:rsidP="009D34BF">
            <w:pPr>
              <w:pStyle w:val="NoSpacing"/>
              <w:jc w:val="center"/>
              <w:rPr>
                <w:rFonts w:ascii="Arial" w:hAnsi="Arial" w:cs="Arial"/>
                <w:b/>
                <w:bCs/>
                <w:caps/>
                <w:sz w:val="20"/>
                <w:szCs w:val="20"/>
                <w:lang w:eastAsia="it-IT"/>
              </w:rPr>
            </w:pPr>
            <w:r w:rsidRPr="00282E3D">
              <w:rPr>
                <w:rFonts w:ascii="Arial" w:hAnsi="Arial" w:cs="Arial"/>
                <w:b/>
                <w:bCs/>
                <w:caps/>
                <w:sz w:val="20"/>
                <w:szCs w:val="20"/>
                <w:lang w:eastAsia="it-IT"/>
              </w:rPr>
              <w:t>D</w:t>
            </w:r>
            <w:r w:rsidRPr="00282E3D">
              <w:rPr>
                <w:rFonts w:ascii="Arial" w:hAnsi="Arial" w:cs="Arial"/>
                <w:b/>
                <w:bCs/>
                <w:sz w:val="20"/>
                <w:szCs w:val="20"/>
                <w:lang w:eastAsia="it-IT"/>
              </w:rPr>
              <w:t xml:space="preserve">ialysis </w:t>
            </w:r>
            <w:r w:rsidRPr="00282E3D">
              <w:rPr>
                <w:rFonts w:ascii="Arial" w:hAnsi="Arial" w:cs="Arial"/>
                <w:b/>
                <w:bCs/>
                <w:sz w:val="20"/>
                <w:szCs w:val="20"/>
                <w:vertAlign w:val="superscript"/>
                <w:lang w:eastAsia="it-IT"/>
              </w:rPr>
              <w:t>c</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70864BB" w14:textId="0269962D" w:rsidR="0005423E" w:rsidRPr="00282E3D" w:rsidRDefault="009349C5" w:rsidP="009D34BF">
            <w:pPr>
              <w:pStyle w:val="NoSpacing"/>
              <w:jc w:val="center"/>
              <w:rPr>
                <w:rFonts w:ascii="Arial" w:hAnsi="Arial" w:cs="Arial"/>
                <w:b/>
                <w:bCs/>
                <w:sz w:val="20"/>
                <w:szCs w:val="20"/>
                <w:lang w:eastAsia="it-IT"/>
              </w:rPr>
            </w:pPr>
            <w:r w:rsidRPr="00282E3D">
              <w:rPr>
                <w:rFonts w:ascii="Arial" w:hAnsi="Arial" w:cs="Arial"/>
                <w:b/>
                <w:bCs/>
                <w:sz w:val="20"/>
                <w:szCs w:val="20"/>
                <w:lang w:eastAsia="it-IT"/>
              </w:rPr>
              <w:t>Primary</w:t>
            </w:r>
            <w:r w:rsidR="0005423E" w:rsidRPr="00282E3D">
              <w:rPr>
                <w:rFonts w:ascii="Arial" w:hAnsi="Arial" w:cs="Arial"/>
                <w:b/>
                <w:bCs/>
                <w:sz w:val="20"/>
                <w:szCs w:val="20"/>
                <w:lang w:eastAsia="it-IT"/>
              </w:rPr>
              <w:t xml:space="preserve"> endpoint </w:t>
            </w:r>
            <w:r w:rsidR="0005423E" w:rsidRPr="00282E3D">
              <w:rPr>
                <w:rFonts w:ascii="Arial" w:hAnsi="Arial" w:cs="Arial"/>
                <w:b/>
                <w:bCs/>
                <w:sz w:val="20"/>
                <w:szCs w:val="20"/>
                <w:vertAlign w:val="superscript"/>
              </w:rPr>
              <w:t>d</w:t>
            </w:r>
          </w:p>
        </w:tc>
      </w:tr>
      <w:tr w:rsidR="00282E3D" w:rsidRPr="00282E3D" w14:paraId="65BC9493" w14:textId="77777777" w:rsidTr="006245D0">
        <w:trPr>
          <w:trHeight w:val="397"/>
        </w:trPr>
        <w:tc>
          <w:tcPr>
            <w:tcW w:w="10065" w:type="dxa"/>
            <w:gridSpan w:val="6"/>
            <w:tcBorders>
              <w:left w:val="single" w:sz="4" w:space="0" w:color="auto"/>
              <w:right w:val="single" w:sz="4" w:space="0" w:color="auto"/>
            </w:tcBorders>
            <w:vAlign w:val="center"/>
            <w:hideMark/>
          </w:tcPr>
          <w:p w14:paraId="0B8E1B5E" w14:textId="3ACC6B72" w:rsidR="009D34BF" w:rsidRPr="00282E3D" w:rsidRDefault="009D34BF" w:rsidP="006245D0">
            <w:pPr>
              <w:pStyle w:val="NoSpacing"/>
              <w:jc w:val="center"/>
              <w:rPr>
                <w:rFonts w:ascii="Arial" w:hAnsi="Arial" w:cs="Arial"/>
                <w:b/>
                <w:bCs/>
                <w:sz w:val="20"/>
                <w:szCs w:val="20"/>
                <w:lang w:val="en-US" w:eastAsia="it-IT"/>
              </w:rPr>
            </w:pPr>
            <w:r w:rsidRPr="00282E3D">
              <w:rPr>
                <w:rFonts w:ascii="Arial" w:hAnsi="Arial" w:cs="Arial"/>
                <w:b/>
                <w:bCs/>
                <w:sz w:val="20"/>
                <w:szCs w:val="20"/>
                <w:lang w:val="en-US" w:eastAsia="it-IT"/>
              </w:rPr>
              <w:t>ProCESS trial</w:t>
            </w:r>
            <w:r w:rsidRPr="00282E3D">
              <w:rPr>
                <w:rFonts w:ascii="Arial" w:hAnsi="Arial" w:cs="Arial"/>
                <w:b/>
                <w:bCs/>
                <w:sz w:val="20"/>
                <w:szCs w:val="20"/>
                <w:vertAlign w:val="superscript"/>
                <w:lang w:val="en-US"/>
              </w:rPr>
              <w:t xml:space="preserve"> </w:t>
            </w:r>
            <w:r w:rsidR="00BE1FFD" w:rsidRPr="00282E3D">
              <w:rPr>
                <w:rFonts w:ascii="Arial" w:hAnsi="Arial" w:cs="Arial"/>
                <w:b/>
                <w:bCs/>
                <w:sz w:val="20"/>
                <w:szCs w:val="20"/>
                <w:lang w:val="en-US"/>
              </w:rPr>
              <w:t xml:space="preserve">- </w:t>
            </w:r>
            <w:r w:rsidR="00BE1FFD" w:rsidRPr="00282E3D">
              <w:rPr>
                <w:rFonts w:ascii="Arial" w:hAnsi="Arial" w:cs="Arial"/>
                <w:sz w:val="20"/>
                <w:szCs w:val="20"/>
                <w:lang w:val="en-US"/>
              </w:rPr>
              <w:t>both [TIMP-2]•[IGFBP7] available (primary analysis cohort)</w:t>
            </w:r>
          </w:p>
        </w:tc>
      </w:tr>
      <w:tr w:rsidR="00282E3D" w:rsidRPr="00282E3D" w14:paraId="003398B0" w14:textId="77777777" w:rsidTr="006245D0">
        <w:trPr>
          <w:trHeight w:val="397"/>
        </w:trPr>
        <w:tc>
          <w:tcPr>
            <w:tcW w:w="2552" w:type="dxa"/>
            <w:tcBorders>
              <w:top w:val="single" w:sz="4" w:space="0" w:color="auto"/>
              <w:left w:val="single" w:sz="4" w:space="0" w:color="auto"/>
              <w:right w:val="single" w:sz="4" w:space="0" w:color="auto"/>
            </w:tcBorders>
            <w:vAlign w:val="center"/>
            <w:hideMark/>
          </w:tcPr>
          <w:p w14:paraId="0E9CCAC9" w14:textId="394B7BA2" w:rsidR="006245D0" w:rsidRPr="00282E3D" w:rsidRDefault="006245D0" w:rsidP="006245D0">
            <w:pPr>
              <w:pStyle w:val="NoSpacing"/>
              <w:rPr>
                <w:rFonts w:ascii="Arial" w:hAnsi="Arial" w:cs="Arial"/>
                <w:b/>
                <w:bCs/>
                <w:sz w:val="20"/>
                <w:szCs w:val="20"/>
                <w:lang w:eastAsia="it-IT"/>
              </w:rPr>
            </w:pPr>
            <w:r w:rsidRPr="00282E3D">
              <w:rPr>
                <w:rFonts w:ascii="Arial" w:hAnsi="Arial" w:cs="Arial"/>
                <w:b/>
                <w:bCs/>
                <w:sz w:val="20"/>
                <w:szCs w:val="20"/>
                <w:lang w:eastAsia="it-IT"/>
              </w:rPr>
              <w:t>SOC</w:t>
            </w:r>
          </w:p>
        </w:tc>
        <w:tc>
          <w:tcPr>
            <w:tcW w:w="1417" w:type="dxa"/>
            <w:tcBorders>
              <w:top w:val="single" w:sz="4" w:space="0" w:color="auto"/>
              <w:left w:val="single" w:sz="4" w:space="0" w:color="auto"/>
              <w:right w:val="single" w:sz="4" w:space="0" w:color="auto"/>
            </w:tcBorders>
            <w:vAlign w:val="center"/>
            <w:hideMark/>
          </w:tcPr>
          <w:p w14:paraId="301C2C68" w14:textId="165D9900"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221 (36%)</w:t>
            </w:r>
          </w:p>
        </w:tc>
        <w:tc>
          <w:tcPr>
            <w:tcW w:w="1701" w:type="dxa"/>
            <w:tcBorders>
              <w:top w:val="single" w:sz="4" w:space="0" w:color="auto"/>
              <w:left w:val="single" w:sz="4" w:space="0" w:color="auto"/>
            </w:tcBorders>
            <w:vAlign w:val="center"/>
          </w:tcPr>
          <w:p w14:paraId="43E04BC7" w14:textId="2574E5AF"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30/221 (14%)</w:t>
            </w:r>
          </w:p>
        </w:tc>
        <w:tc>
          <w:tcPr>
            <w:tcW w:w="1417" w:type="dxa"/>
            <w:tcBorders>
              <w:top w:val="single" w:sz="4" w:space="0" w:color="auto"/>
            </w:tcBorders>
            <w:vAlign w:val="center"/>
          </w:tcPr>
          <w:p w14:paraId="0EC7DB66" w14:textId="53C8E166"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0/221 (0%)</w:t>
            </w:r>
          </w:p>
        </w:tc>
        <w:tc>
          <w:tcPr>
            <w:tcW w:w="1417" w:type="dxa"/>
            <w:tcBorders>
              <w:top w:val="single" w:sz="4" w:space="0" w:color="auto"/>
              <w:right w:val="single" w:sz="4" w:space="0" w:color="auto"/>
            </w:tcBorders>
            <w:vAlign w:val="center"/>
          </w:tcPr>
          <w:p w14:paraId="2438A42F" w14:textId="16EA4A22"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0/221 (0%)</w:t>
            </w:r>
          </w:p>
        </w:tc>
        <w:tc>
          <w:tcPr>
            <w:tcW w:w="1561" w:type="dxa"/>
            <w:tcBorders>
              <w:top w:val="single" w:sz="4" w:space="0" w:color="auto"/>
              <w:left w:val="single" w:sz="4" w:space="0" w:color="auto"/>
              <w:right w:val="single" w:sz="4" w:space="0" w:color="auto"/>
            </w:tcBorders>
            <w:vAlign w:val="center"/>
            <w:hideMark/>
          </w:tcPr>
          <w:p w14:paraId="2BFF6788" w14:textId="446C2C62"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30/221 (14%)</w:t>
            </w:r>
          </w:p>
        </w:tc>
      </w:tr>
      <w:tr w:rsidR="00282E3D" w:rsidRPr="00282E3D" w14:paraId="6ED2D59D" w14:textId="77777777" w:rsidTr="006245D0">
        <w:trPr>
          <w:trHeight w:val="397"/>
        </w:trPr>
        <w:tc>
          <w:tcPr>
            <w:tcW w:w="2552" w:type="dxa"/>
            <w:tcBorders>
              <w:left w:val="single" w:sz="4" w:space="0" w:color="auto"/>
              <w:right w:val="single" w:sz="4" w:space="0" w:color="auto"/>
            </w:tcBorders>
            <w:vAlign w:val="center"/>
            <w:hideMark/>
          </w:tcPr>
          <w:p w14:paraId="567547F7" w14:textId="763FC1EB" w:rsidR="006245D0" w:rsidRPr="00282E3D" w:rsidRDefault="006245D0" w:rsidP="006245D0">
            <w:pPr>
              <w:pStyle w:val="NoSpacing"/>
              <w:rPr>
                <w:rFonts w:ascii="Arial" w:hAnsi="Arial" w:cs="Arial"/>
                <w:b/>
                <w:bCs/>
                <w:sz w:val="20"/>
                <w:szCs w:val="20"/>
                <w:lang w:eastAsia="it-IT"/>
              </w:rPr>
            </w:pPr>
            <w:r w:rsidRPr="00282E3D">
              <w:rPr>
                <w:rFonts w:ascii="Arial" w:hAnsi="Arial" w:cs="Arial"/>
                <w:b/>
                <w:bCs/>
                <w:sz w:val="20"/>
                <w:szCs w:val="20"/>
                <w:lang w:eastAsia="it-IT"/>
              </w:rPr>
              <w:t>L1 KSSB</w:t>
            </w:r>
          </w:p>
        </w:tc>
        <w:tc>
          <w:tcPr>
            <w:tcW w:w="1417" w:type="dxa"/>
            <w:tcBorders>
              <w:left w:val="single" w:sz="4" w:space="0" w:color="auto"/>
              <w:right w:val="single" w:sz="4" w:space="0" w:color="auto"/>
            </w:tcBorders>
            <w:vAlign w:val="center"/>
            <w:hideMark/>
          </w:tcPr>
          <w:p w14:paraId="6C56B921" w14:textId="71EDC818"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177 (29%)</w:t>
            </w:r>
          </w:p>
        </w:tc>
        <w:tc>
          <w:tcPr>
            <w:tcW w:w="1701" w:type="dxa"/>
            <w:tcBorders>
              <w:left w:val="single" w:sz="4" w:space="0" w:color="auto"/>
            </w:tcBorders>
            <w:vAlign w:val="center"/>
          </w:tcPr>
          <w:p w14:paraId="56090C84" w14:textId="1CABEBBB"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32/177 (18%)</w:t>
            </w:r>
          </w:p>
        </w:tc>
        <w:tc>
          <w:tcPr>
            <w:tcW w:w="1417" w:type="dxa"/>
            <w:vAlign w:val="center"/>
          </w:tcPr>
          <w:p w14:paraId="34320297" w14:textId="4BCC43CE"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3/177 (2%)</w:t>
            </w:r>
          </w:p>
        </w:tc>
        <w:tc>
          <w:tcPr>
            <w:tcW w:w="1417" w:type="dxa"/>
            <w:tcBorders>
              <w:right w:val="single" w:sz="4" w:space="0" w:color="auto"/>
            </w:tcBorders>
            <w:vAlign w:val="center"/>
          </w:tcPr>
          <w:p w14:paraId="7D9A1E23" w14:textId="43AC22FB"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2/177 (1%)</w:t>
            </w:r>
          </w:p>
        </w:tc>
        <w:tc>
          <w:tcPr>
            <w:tcW w:w="1561" w:type="dxa"/>
            <w:tcBorders>
              <w:left w:val="single" w:sz="4" w:space="0" w:color="auto"/>
              <w:right w:val="single" w:sz="4" w:space="0" w:color="auto"/>
            </w:tcBorders>
            <w:vAlign w:val="center"/>
            <w:hideMark/>
          </w:tcPr>
          <w:p w14:paraId="1C832944" w14:textId="0C62467B"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37/177 (21%)</w:t>
            </w:r>
          </w:p>
        </w:tc>
      </w:tr>
      <w:tr w:rsidR="00282E3D" w:rsidRPr="00282E3D" w14:paraId="2512A1D2" w14:textId="77777777" w:rsidTr="006245D0">
        <w:trPr>
          <w:trHeight w:val="397"/>
        </w:trPr>
        <w:tc>
          <w:tcPr>
            <w:tcW w:w="2552" w:type="dxa"/>
            <w:tcBorders>
              <w:left w:val="single" w:sz="4" w:space="0" w:color="auto"/>
              <w:right w:val="single" w:sz="4" w:space="0" w:color="auto"/>
            </w:tcBorders>
            <w:vAlign w:val="center"/>
            <w:hideMark/>
          </w:tcPr>
          <w:p w14:paraId="2959E5EB" w14:textId="094E8054" w:rsidR="006245D0" w:rsidRPr="00282E3D" w:rsidRDefault="006245D0" w:rsidP="006245D0">
            <w:pPr>
              <w:pStyle w:val="NoSpacing"/>
              <w:rPr>
                <w:rFonts w:ascii="Arial" w:hAnsi="Arial" w:cs="Arial"/>
                <w:b/>
                <w:bCs/>
                <w:sz w:val="20"/>
                <w:szCs w:val="20"/>
                <w:lang w:eastAsia="it-IT"/>
              </w:rPr>
            </w:pPr>
            <w:r w:rsidRPr="00282E3D">
              <w:rPr>
                <w:rFonts w:ascii="Arial" w:hAnsi="Arial" w:cs="Arial"/>
                <w:b/>
                <w:bCs/>
                <w:sz w:val="20"/>
                <w:szCs w:val="20"/>
                <w:lang w:eastAsia="it-IT"/>
              </w:rPr>
              <w:t>L2 KSSB</w:t>
            </w:r>
          </w:p>
        </w:tc>
        <w:tc>
          <w:tcPr>
            <w:tcW w:w="1417" w:type="dxa"/>
            <w:tcBorders>
              <w:left w:val="single" w:sz="4" w:space="0" w:color="auto"/>
              <w:right w:val="single" w:sz="4" w:space="0" w:color="auto"/>
            </w:tcBorders>
            <w:vAlign w:val="center"/>
            <w:hideMark/>
          </w:tcPr>
          <w:p w14:paraId="78D621D7" w14:textId="14CC8C00"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119 (20%)</w:t>
            </w:r>
          </w:p>
        </w:tc>
        <w:tc>
          <w:tcPr>
            <w:tcW w:w="1701" w:type="dxa"/>
            <w:tcBorders>
              <w:left w:val="single" w:sz="4" w:space="0" w:color="auto"/>
            </w:tcBorders>
            <w:vAlign w:val="center"/>
          </w:tcPr>
          <w:p w14:paraId="49DD1B28" w14:textId="2023EBE3"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34/119 (29%)</w:t>
            </w:r>
          </w:p>
        </w:tc>
        <w:tc>
          <w:tcPr>
            <w:tcW w:w="1417" w:type="dxa"/>
            <w:vAlign w:val="center"/>
          </w:tcPr>
          <w:p w14:paraId="4267B6A8" w14:textId="02D48CE5"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3/119 (3%)</w:t>
            </w:r>
          </w:p>
        </w:tc>
        <w:tc>
          <w:tcPr>
            <w:tcW w:w="1417" w:type="dxa"/>
            <w:tcBorders>
              <w:right w:val="single" w:sz="4" w:space="0" w:color="auto"/>
            </w:tcBorders>
            <w:vAlign w:val="center"/>
          </w:tcPr>
          <w:p w14:paraId="1FD71ECE" w14:textId="0ED44901"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1/119 (1%)</w:t>
            </w:r>
          </w:p>
        </w:tc>
        <w:tc>
          <w:tcPr>
            <w:tcW w:w="1561" w:type="dxa"/>
            <w:tcBorders>
              <w:left w:val="single" w:sz="4" w:space="0" w:color="auto"/>
              <w:right w:val="single" w:sz="4" w:space="0" w:color="auto"/>
            </w:tcBorders>
            <w:vAlign w:val="center"/>
            <w:hideMark/>
          </w:tcPr>
          <w:p w14:paraId="1AC57B29" w14:textId="2E40FD07"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36/119 (30%)</w:t>
            </w:r>
          </w:p>
        </w:tc>
      </w:tr>
      <w:tr w:rsidR="00282E3D" w:rsidRPr="00282E3D" w14:paraId="035918B2" w14:textId="77777777" w:rsidTr="006245D0">
        <w:trPr>
          <w:trHeight w:val="397"/>
        </w:trPr>
        <w:tc>
          <w:tcPr>
            <w:tcW w:w="2552" w:type="dxa"/>
            <w:tcBorders>
              <w:left w:val="single" w:sz="4" w:space="0" w:color="auto"/>
              <w:right w:val="single" w:sz="4" w:space="0" w:color="auto"/>
            </w:tcBorders>
            <w:vAlign w:val="center"/>
            <w:hideMark/>
          </w:tcPr>
          <w:p w14:paraId="56D6CB88" w14:textId="7996ED35" w:rsidR="006245D0" w:rsidRPr="00282E3D" w:rsidRDefault="006245D0" w:rsidP="006245D0">
            <w:pPr>
              <w:pStyle w:val="NoSpacing"/>
              <w:rPr>
                <w:rFonts w:ascii="Arial" w:hAnsi="Arial" w:cs="Arial"/>
                <w:b/>
                <w:bCs/>
                <w:sz w:val="20"/>
                <w:szCs w:val="20"/>
                <w:lang w:eastAsia="it-IT"/>
              </w:rPr>
            </w:pPr>
            <w:r w:rsidRPr="00282E3D">
              <w:rPr>
                <w:rFonts w:ascii="Arial" w:hAnsi="Arial" w:cs="Arial"/>
                <w:b/>
                <w:bCs/>
                <w:sz w:val="20"/>
                <w:szCs w:val="20"/>
                <w:lang w:eastAsia="it-IT"/>
              </w:rPr>
              <w:t>L3 KSSB</w:t>
            </w:r>
          </w:p>
        </w:tc>
        <w:tc>
          <w:tcPr>
            <w:tcW w:w="1417" w:type="dxa"/>
            <w:tcBorders>
              <w:left w:val="single" w:sz="4" w:space="0" w:color="auto"/>
              <w:right w:val="single" w:sz="4" w:space="0" w:color="auto"/>
            </w:tcBorders>
            <w:vAlign w:val="center"/>
            <w:hideMark/>
          </w:tcPr>
          <w:p w14:paraId="094AFCDF" w14:textId="0ABA86B5"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90 (15%)</w:t>
            </w:r>
          </w:p>
        </w:tc>
        <w:tc>
          <w:tcPr>
            <w:tcW w:w="1701" w:type="dxa"/>
            <w:tcBorders>
              <w:left w:val="single" w:sz="4" w:space="0" w:color="auto"/>
            </w:tcBorders>
            <w:vAlign w:val="center"/>
          </w:tcPr>
          <w:p w14:paraId="1CD3B009" w14:textId="7B8D09B2"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37/90 (41%)</w:t>
            </w:r>
          </w:p>
        </w:tc>
        <w:tc>
          <w:tcPr>
            <w:tcW w:w="1417" w:type="dxa"/>
            <w:vAlign w:val="center"/>
          </w:tcPr>
          <w:p w14:paraId="00150584" w14:textId="33236312"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11/90 (12%)</w:t>
            </w:r>
          </w:p>
        </w:tc>
        <w:tc>
          <w:tcPr>
            <w:tcW w:w="1417" w:type="dxa"/>
            <w:tcBorders>
              <w:right w:val="single" w:sz="4" w:space="0" w:color="auto"/>
            </w:tcBorders>
            <w:vAlign w:val="center"/>
          </w:tcPr>
          <w:p w14:paraId="41814DED" w14:textId="632C691D" w:rsidR="006245D0" w:rsidRPr="00282E3D" w:rsidRDefault="006245D0" w:rsidP="006245D0">
            <w:pPr>
              <w:pStyle w:val="NoSpacing"/>
              <w:jc w:val="center"/>
              <w:rPr>
                <w:rFonts w:ascii="Arial" w:hAnsi="Arial" w:cs="Arial"/>
                <w:sz w:val="20"/>
                <w:szCs w:val="20"/>
              </w:rPr>
            </w:pPr>
            <w:r w:rsidRPr="00282E3D">
              <w:rPr>
                <w:rFonts w:ascii="Arial" w:hAnsi="Arial" w:cs="Arial"/>
                <w:sz w:val="20"/>
                <w:szCs w:val="20"/>
                <w:lang w:eastAsia="it-IT"/>
              </w:rPr>
              <w:t>0/90 (0%)</w:t>
            </w:r>
          </w:p>
        </w:tc>
        <w:tc>
          <w:tcPr>
            <w:tcW w:w="1561" w:type="dxa"/>
            <w:tcBorders>
              <w:left w:val="single" w:sz="4" w:space="0" w:color="auto"/>
              <w:right w:val="single" w:sz="4" w:space="0" w:color="auto"/>
            </w:tcBorders>
            <w:vAlign w:val="center"/>
            <w:hideMark/>
          </w:tcPr>
          <w:p w14:paraId="1897670D" w14:textId="001DA207" w:rsidR="006245D0" w:rsidRPr="00282E3D" w:rsidRDefault="006245D0" w:rsidP="006245D0">
            <w:pPr>
              <w:pStyle w:val="NoSpacing"/>
              <w:jc w:val="center"/>
              <w:rPr>
                <w:rFonts w:ascii="Arial" w:hAnsi="Arial" w:cs="Arial"/>
                <w:sz w:val="20"/>
                <w:szCs w:val="20"/>
                <w:lang w:eastAsia="it-IT"/>
              </w:rPr>
            </w:pPr>
            <w:r w:rsidRPr="00282E3D">
              <w:rPr>
                <w:rFonts w:ascii="Arial" w:hAnsi="Arial" w:cs="Arial"/>
                <w:sz w:val="20"/>
                <w:szCs w:val="20"/>
              </w:rPr>
              <w:t>41/90 (46%)</w:t>
            </w:r>
          </w:p>
        </w:tc>
      </w:tr>
      <w:tr w:rsidR="00282E3D" w:rsidRPr="00282E3D" w14:paraId="332CDFE7" w14:textId="77777777" w:rsidTr="006245D0">
        <w:trPr>
          <w:trHeight w:val="397"/>
        </w:trPr>
        <w:tc>
          <w:tcPr>
            <w:tcW w:w="2552" w:type="dxa"/>
            <w:tcBorders>
              <w:left w:val="single" w:sz="4" w:space="0" w:color="auto"/>
              <w:bottom w:val="single" w:sz="4" w:space="0" w:color="auto"/>
              <w:right w:val="single" w:sz="4" w:space="0" w:color="auto"/>
            </w:tcBorders>
            <w:vAlign w:val="center"/>
            <w:hideMark/>
          </w:tcPr>
          <w:p w14:paraId="0C151645" w14:textId="42BCF5E9" w:rsidR="006245D0" w:rsidRPr="00282E3D" w:rsidRDefault="006245D0" w:rsidP="006245D0">
            <w:pPr>
              <w:pStyle w:val="NoSpacing"/>
              <w:rPr>
                <w:rFonts w:ascii="Arial" w:hAnsi="Arial" w:cs="Arial"/>
                <w:b/>
                <w:bCs/>
                <w:sz w:val="20"/>
                <w:szCs w:val="20"/>
                <w:lang w:eastAsia="it-IT"/>
              </w:rPr>
            </w:pPr>
            <w:r w:rsidRPr="00282E3D">
              <w:rPr>
                <w:rFonts w:ascii="Arial" w:hAnsi="Arial" w:cs="Arial"/>
                <w:b/>
                <w:bCs/>
                <w:sz w:val="20"/>
                <w:szCs w:val="20"/>
                <w:lang w:eastAsia="it-IT"/>
              </w:rPr>
              <w:t>TOTAL</w:t>
            </w:r>
          </w:p>
        </w:tc>
        <w:tc>
          <w:tcPr>
            <w:tcW w:w="1417" w:type="dxa"/>
            <w:tcBorders>
              <w:left w:val="single" w:sz="4" w:space="0" w:color="auto"/>
              <w:bottom w:val="single" w:sz="4" w:space="0" w:color="auto"/>
              <w:right w:val="single" w:sz="4" w:space="0" w:color="auto"/>
            </w:tcBorders>
            <w:vAlign w:val="center"/>
            <w:hideMark/>
          </w:tcPr>
          <w:p w14:paraId="200411FC" w14:textId="506D37DA" w:rsidR="006245D0" w:rsidRPr="00282E3D" w:rsidRDefault="006245D0" w:rsidP="006245D0">
            <w:pPr>
              <w:pStyle w:val="NoSpacing"/>
              <w:jc w:val="center"/>
              <w:rPr>
                <w:rFonts w:ascii="Arial" w:hAnsi="Arial" w:cs="Arial"/>
                <w:b/>
                <w:bCs/>
                <w:sz w:val="20"/>
                <w:szCs w:val="20"/>
                <w:lang w:eastAsia="it-IT"/>
              </w:rPr>
            </w:pPr>
            <w:r w:rsidRPr="00282E3D">
              <w:rPr>
                <w:rFonts w:ascii="Arial" w:hAnsi="Arial" w:cs="Arial"/>
                <w:b/>
                <w:bCs/>
                <w:sz w:val="20"/>
                <w:szCs w:val="20"/>
                <w:lang w:eastAsia="it-IT"/>
              </w:rPr>
              <w:t>607 (100%)</w:t>
            </w:r>
          </w:p>
        </w:tc>
        <w:tc>
          <w:tcPr>
            <w:tcW w:w="1701" w:type="dxa"/>
            <w:tcBorders>
              <w:left w:val="single" w:sz="4" w:space="0" w:color="auto"/>
              <w:bottom w:val="single" w:sz="4" w:space="0" w:color="auto"/>
            </w:tcBorders>
            <w:vAlign w:val="center"/>
          </w:tcPr>
          <w:p w14:paraId="5732BDDF" w14:textId="0AEFE31C" w:rsidR="006245D0" w:rsidRPr="00282E3D" w:rsidRDefault="006245D0" w:rsidP="006245D0">
            <w:pPr>
              <w:pStyle w:val="NoSpacing"/>
              <w:jc w:val="center"/>
              <w:rPr>
                <w:rFonts w:ascii="Arial" w:hAnsi="Arial" w:cs="Arial"/>
                <w:b/>
                <w:bCs/>
                <w:sz w:val="20"/>
                <w:szCs w:val="20"/>
                <w:lang w:eastAsia="it-IT"/>
              </w:rPr>
            </w:pPr>
            <w:r w:rsidRPr="00282E3D">
              <w:rPr>
                <w:rFonts w:ascii="Arial" w:hAnsi="Arial" w:cs="Arial"/>
                <w:b/>
                <w:bCs/>
                <w:sz w:val="20"/>
                <w:szCs w:val="20"/>
                <w:lang w:eastAsia="it-IT"/>
              </w:rPr>
              <w:t>133/607 (22%)</w:t>
            </w:r>
          </w:p>
        </w:tc>
        <w:tc>
          <w:tcPr>
            <w:tcW w:w="1417" w:type="dxa"/>
            <w:tcBorders>
              <w:bottom w:val="single" w:sz="4" w:space="0" w:color="auto"/>
            </w:tcBorders>
            <w:vAlign w:val="center"/>
          </w:tcPr>
          <w:p w14:paraId="50AAFF3C" w14:textId="7E70F268" w:rsidR="006245D0" w:rsidRPr="00282E3D" w:rsidRDefault="006245D0" w:rsidP="006245D0">
            <w:pPr>
              <w:pStyle w:val="NoSpacing"/>
              <w:jc w:val="center"/>
              <w:rPr>
                <w:rFonts w:ascii="Arial" w:hAnsi="Arial" w:cs="Arial"/>
                <w:b/>
                <w:bCs/>
                <w:sz w:val="20"/>
                <w:szCs w:val="20"/>
                <w:lang w:eastAsia="it-IT"/>
              </w:rPr>
            </w:pPr>
            <w:r w:rsidRPr="00282E3D">
              <w:rPr>
                <w:rFonts w:ascii="Arial" w:hAnsi="Arial" w:cs="Arial"/>
                <w:b/>
                <w:bCs/>
                <w:sz w:val="20"/>
                <w:szCs w:val="20"/>
                <w:lang w:eastAsia="it-IT"/>
              </w:rPr>
              <w:t>17/607 (3%)</w:t>
            </w:r>
          </w:p>
        </w:tc>
        <w:tc>
          <w:tcPr>
            <w:tcW w:w="1417" w:type="dxa"/>
            <w:tcBorders>
              <w:bottom w:val="single" w:sz="4" w:space="0" w:color="auto"/>
              <w:right w:val="single" w:sz="4" w:space="0" w:color="auto"/>
            </w:tcBorders>
            <w:vAlign w:val="center"/>
          </w:tcPr>
          <w:p w14:paraId="4B0E77DD" w14:textId="69D13AE1" w:rsidR="006245D0" w:rsidRPr="00282E3D" w:rsidRDefault="006245D0" w:rsidP="006245D0">
            <w:pPr>
              <w:pStyle w:val="NoSpacing"/>
              <w:jc w:val="center"/>
              <w:rPr>
                <w:rFonts w:ascii="Arial" w:hAnsi="Arial" w:cs="Arial"/>
                <w:b/>
                <w:bCs/>
                <w:sz w:val="20"/>
                <w:szCs w:val="20"/>
                <w:lang w:eastAsia="it-IT"/>
              </w:rPr>
            </w:pPr>
            <w:r w:rsidRPr="00282E3D">
              <w:rPr>
                <w:rFonts w:ascii="Arial" w:hAnsi="Arial" w:cs="Arial"/>
                <w:b/>
                <w:bCs/>
                <w:sz w:val="20"/>
                <w:szCs w:val="20"/>
                <w:lang w:eastAsia="it-IT"/>
              </w:rPr>
              <w:t>3/607 (0.5%)</w:t>
            </w:r>
          </w:p>
        </w:tc>
        <w:tc>
          <w:tcPr>
            <w:tcW w:w="1561" w:type="dxa"/>
            <w:tcBorders>
              <w:left w:val="single" w:sz="4" w:space="0" w:color="auto"/>
              <w:bottom w:val="single" w:sz="4" w:space="0" w:color="auto"/>
              <w:right w:val="single" w:sz="4" w:space="0" w:color="auto"/>
            </w:tcBorders>
            <w:vAlign w:val="center"/>
            <w:hideMark/>
          </w:tcPr>
          <w:p w14:paraId="051935AD" w14:textId="3980C15C" w:rsidR="006245D0" w:rsidRPr="00282E3D" w:rsidRDefault="006245D0" w:rsidP="006245D0">
            <w:pPr>
              <w:pStyle w:val="NoSpacing"/>
              <w:jc w:val="center"/>
              <w:rPr>
                <w:rFonts w:ascii="Arial" w:hAnsi="Arial" w:cs="Arial"/>
                <w:b/>
                <w:bCs/>
                <w:sz w:val="20"/>
                <w:szCs w:val="20"/>
                <w:lang w:eastAsia="it-IT"/>
              </w:rPr>
            </w:pPr>
            <w:r w:rsidRPr="00282E3D">
              <w:rPr>
                <w:rFonts w:ascii="Arial" w:hAnsi="Arial" w:cs="Arial"/>
                <w:b/>
                <w:bCs/>
                <w:sz w:val="20"/>
                <w:szCs w:val="20"/>
                <w:lang w:eastAsia="it-IT"/>
              </w:rPr>
              <w:t>144/607 (24%)</w:t>
            </w:r>
          </w:p>
        </w:tc>
      </w:tr>
      <w:tr w:rsidR="00282E3D" w:rsidRPr="00282E3D" w14:paraId="331EE21F" w14:textId="77777777" w:rsidTr="006245D0">
        <w:trPr>
          <w:trHeight w:val="397"/>
        </w:trPr>
        <w:tc>
          <w:tcPr>
            <w:tcW w:w="10065" w:type="dxa"/>
            <w:gridSpan w:val="6"/>
            <w:tcBorders>
              <w:left w:val="single" w:sz="4" w:space="0" w:color="auto"/>
              <w:right w:val="single" w:sz="4" w:space="0" w:color="auto"/>
            </w:tcBorders>
            <w:vAlign w:val="center"/>
            <w:hideMark/>
          </w:tcPr>
          <w:p w14:paraId="5B966148" w14:textId="13E66CC6" w:rsidR="0005423E" w:rsidRPr="00282E3D" w:rsidRDefault="0005423E" w:rsidP="006245D0">
            <w:pPr>
              <w:pStyle w:val="NoSpacing"/>
              <w:jc w:val="center"/>
              <w:rPr>
                <w:rFonts w:ascii="Arial" w:hAnsi="Arial" w:cs="Arial"/>
                <w:sz w:val="20"/>
                <w:szCs w:val="20"/>
                <w:vertAlign w:val="superscript"/>
                <w:lang w:val="en-US" w:eastAsia="it-IT"/>
              </w:rPr>
            </w:pPr>
            <w:r w:rsidRPr="00282E3D">
              <w:rPr>
                <w:rFonts w:ascii="Arial" w:hAnsi="Arial" w:cs="Arial"/>
                <w:b/>
                <w:bCs/>
                <w:sz w:val="20"/>
                <w:szCs w:val="20"/>
                <w:lang w:val="en-US" w:eastAsia="it-IT"/>
              </w:rPr>
              <w:t>ProCESS trial</w:t>
            </w:r>
            <w:r w:rsidRPr="00282E3D">
              <w:rPr>
                <w:rFonts w:ascii="Arial" w:hAnsi="Arial" w:cs="Arial"/>
                <w:b/>
                <w:bCs/>
                <w:sz w:val="20"/>
                <w:szCs w:val="20"/>
                <w:vertAlign w:val="superscript"/>
                <w:lang w:val="en-US"/>
              </w:rPr>
              <w:t xml:space="preserve"> </w:t>
            </w:r>
            <w:r w:rsidR="00BE1FFD" w:rsidRPr="00282E3D">
              <w:rPr>
                <w:rFonts w:ascii="Arial" w:hAnsi="Arial" w:cs="Arial"/>
                <w:sz w:val="20"/>
                <w:szCs w:val="20"/>
                <w:lang w:val="en-US"/>
              </w:rPr>
              <w:t>– at least first [TIMP-2]•[IGFBP7] available (sensitivity analysis cohort)</w:t>
            </w:r>
            <w:r w:rsidR="00AE4FE8" w:rsidRPr="00282E3D">
              <w:rPr>
                <w:rFonts w:ascii="Arial" w:hAnsi="Arial" w:cs="Arial"/>
                <w:sz w:val="20"/>
                <w:szCs w:val="20"/>
                <w:lang w:val="en-US"/>
              </w:rPr>
              <w:t xml:space="preserve"> </w:t>
            </w:r>
            <w:r w:rsidR="00AE4FE8" w:rsidRPr="00282E3D">
              <w:rPr>
                <w:rFonts w:ascii="Arial" w:hAnsi="Arial" w:cs="Arial"/>
                <w:sz w:val="20"/>
                <w:szCs w:val="20"/>
                <w:vertAlign w:val="superscript"/>
                <w:lang w:val="en-US"/>
              </w:rPr>
              <w:t>e</w:t>
            </w:r>
          </w:p>
        </w:tc>
      </w:tr>
      <w:tr w:rsidR="00282E3D" w:rsidRPr="00282E3D" w14:paraId="4F52752B" w14:textId="77777777" w:rsidTr="006245D0">
        <w:trPr>
          <w:trHeight w:val="397"/>
        </w:trPr>
        <w:tc>
          <w:tcPr>
            <w:tcW w:w="2552" w:type="dxa"/>
            <w:tcBorders>
              <w:top w:val="single" w:sz="4" w:space="0" w:color="auto"/>
              <w:left w:val="single" w:sz="4" w:space="0" w:color="auto"/>
              <w:right w:val="single" w:sz="4" w:space="0" w:color="auto"/>
            </w:tcBorders>
            <w:vAlign w:val="center"/>
            <w:hideMark/>
          </w:tcPr>
          <w:p w14:paraId="42D5865E" w14:textId="77777777" w:rsidR="00BE1FFD" w:rsidRPr="00282E3D" w:rsidRDefault="00BE1FFD" w:rsidP="00BE1FFD">
            <w:pPr>
              <w:pStyle w:val="NoSpacing"/>
              <w:rPr>
                <w:rFonts w:ascii="Arial" w:hAnsi="Arial" w:cs="Arial"/>
                <w:b/>
                <w:bCs/>
                <w:sz w:val="20"/>
                <w:szCs w:val="20"/>
                <w:vertAlign w:val="superscript"/>
                <w:lang w:eastAsia="it-IT"/>
              </w:rPr>
            </w:pPr>
            <w:r w:rsidRPr="00282E3D">
              <w:rPr>
                <w:rFonts w:ascii="Arial" w:hAnsi="Arial" w:cs="Arial"/>
                <w:b/>
                <w:bCs/>
                <w:sz w:val="20"/>
                <w:szCs w:val="20"/>
                <w:lang w:eastAsia="it-IT"/>
              </w:rPr>
              <w:t>SOC</w:t>
            </w:r>
          </w:p>
        </w:tc>
        <w:tc>
          <w:tcPr>
            <w:tcW w:w="1417" w:type="dxa"/>
            <w:tcBorders>
              <w:top w:val="single" w:sz="4" w:space="0" w:color="auto"/>
              <w:left w:val="single" w:sz="4" w:space="0" w:color="auto"/>
              <w:right w:val="single" w:sz="4" w:space="0" w:color="auto"/>
            </w:tcBorders>
            <w:vAlign w:val="center"/>
            <w:hideMark/>
          </w:tcPr>
          <w:p w14:paraId="1490AC74" w14:textId="6AEDB5D1" w:rsidR="00BE1FFD" w:rsidRPr="00282E3D" w:rsidRDefault="00BE1FFD" w:rsidP="00BE1FFD">
            <w:pPr>
              <w:pStyle w:val="NoSpacing"/>
              <w:jc w:val="center"/>
              <w:rPr>
                <w:rFonts w:ascii="Arial" w:hAnsi="Arial" w:cs="Arial"/>
                <w:sz w:val="20"/>
                <w:szCs w:val="20"/>
                <w:lang w:eastAsia="it-IT"/>
              </w:rPr>
            </w:pPr>
            <w:r w:rsidRPr="00282E3D">
              <w:rPr>
                <w:rFonts w:ascii="Arial" w:hAnsi="Arial" w:cs="Cordia New"/>
                <w:kern w:val="24"/>
                <w:sz w:val="20"/>
                <w:szCs w:val="20"/>
              </w:rPr>
              <w:t>260</w:t>
            </w:r>
            <w:r w:rsidR="00AE4FE8" w:rsidRPr="00282E3D">
              <w:rPr>
                <w:rFonts w:ascii="Arial" w:hAnsi="Arial" w:cs="Cordia New"/>
                <w:kern w:val="24"/>
                <w:sz w:val="20"/>
                <w:szCs w:val="20"/>
              </w:rPr>
              <w:t xml:space="preserve"> (38%)</w:t>
            </w:r>
          </w:p>
        </w:tc>
        <w:tc>
          <w:tcPr>
            <w:tcW w:w="1701" w:type="dxa"/>
            <w:tcBorders>
              <w:top w:val="single" w:sz="4" w:space="0" w:color="auto"/>
              <w:left w:val="single" w:sz="4" w:space="0" w:color="auto"/>
            </w:tcBorders>
            <w:vAlign w:val="center"/>
          </w:tcPr>
          <w:p w14:paraId="0D348BA0" w14:textId="013F8C0F"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3</w:t>
            </w:r>
            <w:r w:rsidR="0031680F" w:rsidRPr="00282E3D">
              <w:rPr>
                <w:rFonts w:ascii="Arial" w:hAnsi="Arial" w:cs="Arial"/>
                <w:sz w:val="20"/>
                <w:szCs w:val="20"/>
                <w:lang w:eastAsia="it-IT"/>
              </w:rPr>
              <w:t>7/260</w:t>
            </w:r>
            <w:r w:rsidRPr="00282E3D">
              <w:rPr>
                <w:rFonts w:ascii="Arial" w:hAnsi="Arial" w:cs="Arial"/>
                <w:sz w:val="20"/>
                <w:szCs w:val="20"/>
                <w:lang w:eastAsia="it-IT"/>
              </w:rPr>
              <w:t xml:space="preserve"> (14%)</w:t>
            </w:r>
          </w:p>
        </w:tc>
        <w:tc>
          <w:tcPr>
            <w:tcW w:w="1417" w:type="dxa"/>
            <w:tcBorders>
              <w:top w:val="single" w:sz="4" w:space="0" w:color="auto"/>
            </w:tcBorders>
            <w:vAlign w:val="center"/>
          </w:tcPr>
          <w:p w14:paraId="33DD366B" w14:textId="18FCE245" w:rsidR="00BE1FFD" w:rsidRPr="00282E3D" w:rsidRDefault="0031680F" w:rsidP="00BE1FFD">
            <w:pPr>
              <w:pStyle w:val="NoSpacing"/>
              <w:jc w:val="center"/>
              <w:rPr>
                <w:rFonts w:ascii="Arial" w:hAnsi="Arial" w:cs="Arial"/>
                <w:sz w:val="20"/>
                <w:szCs w:val="20"/>
                <w:lang w:eastAsia="it-IT"/>
              </w:rPr>
            </w:pPr>
            <w:r w:rsidRPr="00282E3D">
              <w:rPr>
                <w:rFonts w:ascii="Arial" w:hAnsi="Arial" w:cs="Arial"/>
                <w:sz w:val="20"/>
                <w:szCs w:val="20"/>
                <w:lang w:eastAsia="it-IT"/>
              </w:rPr>
              <w:t>1</w:t>
            </w:r>
            <w:r w:rsidR="00BE1FFD" w:rsidRPr="00282E3D">
              <w:rPr>
                <w:rFonts w:ascii="Arial" w:hAnsi="Arial" w:cs="Arial"/>
                <w:sz w:val="20"/>
                <w:szCs w:val="20"/>
                <w:lang w:eastAsia="it-IT"/>
              </w:rPr>
              <w:t>/2</w:t>
            </w:r>
            <w:r w:rsidRPr="00282E3D">
              <w:rPr>
                <w:rFonts w:ascii="Arial" w:hAnsi="Arial" w:cs="Arial"/>
                <w:sz w:val="20"/>
                <w:szCs w:val="20"/>
                <w:lang w:eastAsia="it-IT"/>
              </w:rPr>
              <w:t>60</w:t>
            </w:r>
            <w:r w:rsidR="00BE1FFD" w:rsidRPr="00282E3D">
              <w:rPr>
                <w:rFonts w:ascii="Arial" w:hAnsi="Arial" w:cs="Arial"/>
                <w:sz w:val="20"/>
                <w:szCs w:val="20"/>
                <w:lang w:eastAsia="it-IT"/>
              </w:rPr>
              <w:t xml:space="preserve"> (0</w:t>
            </w:r>
            <w:r w:rsidRPr="00282E3D">
              <w:rPr>
                <w:rFonts w:ascii="Arial" w:hAnsi="Arial" w:cs="Arial"/>
                <w:sz w:val="20"/>
                <w:szCs w:val="20"/>
                <w:lang w:eastAsia="it-IT"/>
              </w:rPr>
              <w:t>.4</w:t>
            </w:r>
            <w:r w:rsidR="00BE1FFD" w:rsidRPr="00282E3D">
              <w:rPr>
                <w:rFonts w:ascii="Arial" w:hAnsi="Arial" w:cs="Arial"/>
                <w:sz w:val="20"/>
                <w:szCs w:val="20"/>
                <w:lang w:eastAsia="it-IT"/>
              </w:rPr>
              <w:t>%)</w:t>
            </w:r>
          </w:p>
        </w:tc>
        <w:tc>
          <w:tcPr>
            <w:tcW w:w="1417" w:type="dxa"/>
            <w:tcBorders>
              <w:top w:val="single" w:sz="4" w:space="0" w:color="auto"/>
              <w:right w:val="single" w:sz="4" w:space="0" w:color="auto"/>
            </w:tcBorders>
            <w:vAlign w:val="center"/>
          </w:tcPr>
          <w:p w14:paraId="487D70AD" w14:textId="3CD49C5B"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0/</w:t>
            </w:r>
            <w:r w:rsidR="0031680F" w:rsidRPr="00282E3D">
              <w:rPr>
                <w:rFonts w:ascii="Arial" w:hAnsi="Arial" w:cs="Arial"/>
                <w:sz w:val="20"/>
                <w:szCs w:val="20"/>
                <w:lang w:eastAsia="it-IT"/>
              </w:rPr>
              <w:t>260</w:t>
            </w:r>
            <w:r w:rsidRPr="00282E3D">
              <w:rPr>
                <w:rFonts w:ascii="Arial" w:hAnsi="Arial" w:cs="Arial"/>
                <w:sz w:val="20"/>
                <w:szCs w:val="20"/>
                <w:lang w:eastAsia="it-IT"/>
              </w:rPr>
              <w:t xml:space="preserve"> (0%)</w:t>
            </w:r>
          </w:p>
        </w:tc>
        <w:tc>
          <w:tcPr>
            <w:tcW w:w="1561" w:type="dxa"/>
            <w:tcBorders>
              <w:top w:val="single" w:sz="4" w:space="0" w:color="auto"/>
              <w:left w:val="single" w:sz="4" w:space="0" w:color="auto"/>
              <w:right w:val="single" w:sz="4" w:space="0" w:color="auto"/>
            </w:tcBorders>
            <w:vAlign w:val="center"/>
            <w:hideMark/>
          </w:tcPr>
          <w:p w14:paraId="0F587378" w14:textId="7353DFF8"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rPr>
              <w:t>37/260 (14%)</w:t>
            </w:r>
          </w:p>
        </w:tc>
      </w:tr>
      <w:tr w:rsidR="00282E3D" w:rsidRPr="00282E3D" w14:paraId="34674FCE" w14:textId="77777777" w:rsidTr="006245D0">
        <w:trPr>
          <w:trHeight w:val="397"/>
        </w:trPr>
        <w:tc>
          <w:tcPr>
            <w:tcW w:w="2552" w:type="dxa"/>
            <w:tcBorders>
              <w:left w:val="single" w:sz="4" w:space="0" w:color="auto"/>
              <w:right w:val="single" w:sz="4" w:space="0" w:color="auto"/>
            </w:tcBorders>
            <w:vAlign w:val="center"/>
            <w:hideMark/>
          </w:tcPr>
          <w:p w14:paraId="2965E3C4" w14:textId="77777777" w:rsidR="00BE1FFD" w:rsidRPr="00282E3D" w:rsidRDefault="00BE1FFD" w:rsidP="00BE1FFD">
            <w:pPr>
              <w:pStyle w:val="NoSpacing"/>
              <w:rPr>
                <w:rFonts w:ascii="Arial" w:hAnsi="Arial" w:cs="Arial"/>
                <w:b/>
                <w:bCs/>
                <w:sz w:val="20"/>
                <w:szCs w:val="20"/>
                <w:lang w:eastAsia="it-IT"/>
              </w:rPr>
            </w:pPr>
            <w:r w:rsidRPr="00282E3D">
              <w:rPr>
                <w:rFonts w:ascii="Arial" w:hAnsi="Arial" w:cs="Arial"/>
                <w:b/>
                <w:bCs/>
                <w:sz w:val="20"/>
                <w:szCs w:val="20"/>
                <w:lang w:eastAsia="it-IT"/>
              </w:rPr>
              <w:t>L1 KSSB</w:t>
            </w:r>
          </w:p>
        </w:tc>
        <w:tc>
          <w:tcPr>
            <w:tcW w:w="1417" w:type="dxa"/>
            <w:tcBorders>
              <w:left w:val="single" w:sz="4" w:space="0" w:color="auto"/>
              <w:right w:val="single" w:sz="4" w:space="0" w:color="auto"/>
            </w:tcBorders>
            <w:vAlign w:val="center"/>
            <w:hideMark/>
          </w:tcPr>
          <w:p w14:paraId="44DF9452" w14:textId="3E4B788C" w:rsidR="00BE1FFD" w:rsidRPr="00282E3D" w:rsidRDefault="00BE1FFD" w:rsidP="00BE1FFD">
            <w:pPr>
              <w:pStyle w:val="NoSpacing"/>
              <w:jc w:val="center"/>
              <w:rPr>
                <w:rFonts w:ascii="Arial" w:hAnsi="Arial" w:cs="Arial"/>
                <w:sz w:val="20"/>
                <w:szCs w:val="20"/>
                <w:lang w:eastAsia="it-IT"/>
              </w:rPr>
            </w:pPr>
            <w:r w:rsidRPr="00282E3D">
              <w:rPr>
                <w:rFonts w:ascii="Arial" w:hAnsi="Arial" w:cs="Cordia New"/>
                <w:kern w:val="24"/>
                <w:sz w:val="20"/>
                <w:szCs w:val="20"/>
              </w:rPr>
              <w:t>193</w:t>
            </w:r>
            <w:r w:rsidR="00AE4FE8" w:rsidRPr="00282E3D">
              <w:rPr>
                <w:rFonts w:ascii="Arial" w:hAnsi="Arial" w:cs="Cordia New"/>
                <w:kern w:val="24"/>
                <w:sz w:val="20"/>
                <w:szCs w:val="20"/>
              </w:rPr>
              <w:t xml:space="preserve"> (28%)</w:t>
            </w:r>
          </w:p>
        </w:tc>
        <w:tc>
          <w:tcPr>
            <w:tcW w:w="1701" w:type="dxa"/>
            <w:tcBorders>
              <w:left w:val="single" w:sz="4" w:space="0" w:color="auto"/>
            </w:tcBorders>
            <w:vAlign w:val="center"/>
          </w:tcPr>
          <w:p w14:paraId="5049D785" w14:textId="471057A7"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3</w:t>
            </w:r>
            <w:r w:rsidR="0031680F" w:rsidRPr="00282E3D">
              <w:rPr>
                <w:rFonts w:ascii="Arial" w:hAnsi="Arial" w:cs="Arial"/>
                <w:sz w:val="20"/>
                <w:szCs w:val="20"/>
                <w:lang w:eastAsia="it-IT"/>
              </w:rPr>
              <w:t>7/193</w:t>
            </w:r>
            <w:r w:rsidRPr="00282E3D">
              <w:rPr>
                <w:rFonts w:ascii="Arial" w:hAnsi="Arial" w:cs="Arial"/>
                <w:sz w:val="20"/>
                <w:szCs w:val="20"/>
                <w:lang w:eastAsia="it-IT"/>
              </w:rPr>
              <w:t xml:space="preserve"> (1</w:t>
            </w:r>
            <w:r w:rsidR="0031680F" w:rsidRPr="00282E3D">
              <w:rPr>
                <w:rFonts w:ascii="Arial" w:hAnsi="Arial" w:cs="Arial"/>
                <w:sz w:val="20"/>
                <w:szCs w:val="20"/>
                <w:lang w:eastAsia="it-IT"/>
              </w:rPr>
              <w:t>9</w:t>
            </w:r>
            <w:r w:rsidRPr="00282E3D">
              <w:rPr>
                <w:rFonts w:ascii="Arial" w:hAnsi="Arial" w:cs="Arial"/>
                <w:sz w:val="20"/>
                <w:szCs w:val="20"/>
                <w:lang w:eastAsia="it-IT"/>
              </w:rPr>
              <w:t>%)</w:t>
            </w:r>
          </w:p>
        </w:tc>
        <w:tc>
          <w:tcPr>
            <w:tcW w:w="1417" w:type="dxa"/>
            <w:vAlign w:val="center"/>
          </w:tcPr>
          <w:p w14:paraId="3BDDD8F7" w14:textId="5523C4FE" w:rsidR="00BE1FFD" w:rsidRPr="00282E3D" w:rsidRDefault="0021580A" w:rsidP="00BE1FFD">
            <w:pPr>
              <w:pStyle w:val="NoSpacing"/>
              <w:jc w:val="center"/>
              <w:rPr>
                <w:rFonts w:ascii="Arial" w:hAnsi="Arial" w:cs="Arial"/>
                <w:sz w:val="20"/>
                <w:szCs w:val="20"/>
                <w:lang w:eastAsia="it-IT"/>
              </w:rPr>
            </w:pPr>
            <w:r w:rsidRPr="00282E3D">
              <w:rPr>
                <w:rFonts w:ascii="Arial" w:hAnsi="Arial" w:cs="Arial"/>
                <w:sz w:val="20"/>
                <w:szCs w:val="20"/>
                <w:lang w:eastAsia="it-IT"/>
              </w:rPr>
              <w:t>4</w:t>
            </w:r>
            <w:r w:rsidR="00BE1FFD" w:rsidRPr="00282E3D">
              <w:rPr>
                <w:rFonts w:ascii="Arial" w:hAnsi="Arial" w:cs="Arial"/>
                <w:sz w:val="20"/>
                <w:szCs w:val="20"/>
                <w:lang w:eastAsia="it-IT"/>
              </w:rPr>
              <w:t>/</w:t>
            </w:r>
            <w:r w:rsidRPr="00282E3D">
              <w:rPr>
                <w:rFonts w:ascii="Arial" w:hAnsi="Arial" w:cs="Arial"/>
                <w:sz w:val="20"/>
                <w:szCs w:val="20"/>
                <w:lang w:eastAsia="it-IT"/>
              </w:rPr>
              <w:t>193</w:t>
            </w:r>
            <w:r w:rsidR="00BE1FFD" w:rsidRPr="00282E3D">
              <w:rPr>
                <w:rFonts w:ascii="Arial" w:hAnsi="Arial" w:cs="Arial"/>
                <w:sz w:val="20"/>
                <w:szCs w:val="20"/>
                <w:lang w:eastAsia="it-IT"/>
              </w:rPr>
              <w:t xml:space="preserve"> (2%)</w:t>
            </w:r>
          </w:p>
        </w:tc>
        <w:tc>
          <w:tcPr>
            <w:tcW w:w="1417" w:type="dxa"/>
            <w:tcBorders>
              <w:right w:val="single" w:sz="4" w:space="0" w:color="auto"/>
            </w:tcBorders>
            <w:vAlign w:val="center"/>
          </w:tcPr>
          <w:p w14:paraId="48D958CB" w14:textId="099DFBDE"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2/1</w:t>
            </w:r>
            <w:r w:rsidR="0021580A" w:rsidRPr="00282E3D">
              <w:rPr>
                <w:rFonts w:ascii="Arial" w:hAnsi="Arial" w:cs="Arial"/>
                <w:sz w:val="20"/>
                <w:szCs w:val="20"/>
                <w:lang w:eastAsia="it-IT"/>
              </w:rPr>
              <w:t>93</w:t>
            </w:r>
            <w:r w:rsidRPr="00282E3D">
              <w:rPr>
                <w:rFonts w:ascii="Arial" w:hAnsi="Arial" w:cs="Arial"/>
                <w:sz w:val="20"/>
                <w:szCs w:val="20"/>
                <w:lang w:eastAsia="it-IT"/>
              </w:rPr>
              <w:t xml:space="preserve"> (1%)</w:t>
            </w:r>
          </w:p>
        </w:tc>
        <w:tc>
          <w:tcPr>
            <w:tcW w:w="1561" w:type="dxa"/>
            <w:tcBorders>
              <w:left w:val="single" w:sz="4" w:space="0" w:color="auto"/>
              <w:right w:val="single" w:sz="4" w:space="0" w:color="auto"/>
            </w:tcBorders>
            <w:vAlign w:val="center"/>
            <w:hideMark/>
          </w:tcPr>
          <w:p w14:paraId="55302E26" w14:textId="1A822A08"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rPr>
              <w:t>43/193 (22%)</w:t>
            </w:r>
          </w:p>
        </w:tc>
      </w:tr>
      <w:tr w:rsidR="00282E3D" w:rsidRPr="00282E3D" w14:paraId="3AFED425" w14:textId="77777777" w:rsidTr="006245D0">
        <w:trPr>
          <w:trHeight w:val="397"/>
        </w:trPr>
        <w:tc>
          <w:tcPr>
            <w:tcW w:w="2552" w:type="dxa"/>
            <w:tcBorders>
              <w:left w:val="single" w:sz="4" w:space="0" w:color="auto"/>
              <w:right w:val="single" w:sz="4" w:space="0" w:color="auto"/>
            </w:tcBorders>
            <w:vAlign w:val="center"/>
            <w:hideMark/>
          </w:tcPr>
          <w:p w14:paraId="7A6D702B" w14:textId="77777777" w:rsidR="00BE1FFD" w:rsidRPr="00282E3D" w:rsidRDefault="00BE1FFD" w:rsidP="00BE1FFD">
            <w:pPr>
              <w:pStyle w:val="NoSpacing"/>
              <w:rPr>
                <w:rFonts w:ascii="Arial" w:hAnsi="Arial" w:cs="Arial"/>
                <w:b/>
                <w:bCs/>
                <w:sz w:val="20"/>
                <w:szCs w:val="20"/>
                <w:lang w:eastAsia="it-IT"/>
              </w:rPr>
            </w:pPr>
            <w:r w:rsidRPr="00282E3D">
              <w:rPr>
                <w:rFonts w:ascii="Arial" w:hAnsi="Arial" w:cs="Arial"/>
                <w:b/>
                <w:bCs/>
                <w:sz w:val="20"/>
                <w:szCs w:val="20"/>
                <w:lang w:eastAsia="it-IT"/>
              </w:rPr>
              <w:t>L2 KSSB</w:t>
            </w:r>
          </w:p>
        </w:tc>
        <w:tc>
          <w:tcPr>
            <w:tcW w:w="1417" w:type="dxa"/>
            <w:tcBorders>
              <w:left w:val="single" w:sz="4" w:space="0" w:color="auto"/>
              <w:right w:val="single" w:sz="4" w:space="0" w:color="auto"/>
            </w:tcBorders>
            <w:vAlign w:val="center"/>
            <w:hideMark/>
          </w:tcPr>
          <w:p w14:paraId="537515C2" w14:textId="7B0934BA" w:rsidR="00BE1FFD" w:rsidRPr="00282E3D" w:rsidRDefault="00BE1FFD" w:rsidP="00BE1FFD">
            <w:pPr>
              <w:pStyle w:val="NoSpacing"/>
              <w:jc w:val="center"/>
              <w:rPr>
                <w:rFonts w:ascii="Arial" w:hAnsi="Arial" w:cs="Arial"/>
                <w:sz w:val="20"/>
                <w:szCs w:val="20"/>
                <w:lang w:eastAsia="it-IT"/>
              </w:rPr>
            </w:pPr>
            <w:r w:rsidRPr="00282E3D">
              <w:rPr>
                <w:rFonts w:ascii="Arial" w:hAnsi="Arial" w:cs="Cordia New"/>
                <w:kern w:val="24"/>
                <w:sz w:val="20"/>
                <w:szCs w:val="20"/>
              </w:rPr>
              <w:t>148</w:t>
            </w:r>
            <w:r w:rsidR="00AE4FE8" w:rsidRPr="00282E3D">
              <w:rPr>
                <w:rFonts w:ascii="Arial" w:hAnsi="Arial" w:cs="Cordia New"/>
                <w:kern w:val="24"/>
                <w:sz w:val="20"/>
                <w:szCs w:val="20"/>
              </w:rPr>
              <w:t xml:space="preserve"> (21%)</w:t>
            </w:r>
          </w:p>
        </w:tc>
        <w:tc>
          <w:tcPr>
            <w:tcW w:w="1701" w:type="dxa"/>
            <w:tcBorders>
              <w:left w:val="single" w:sz="4" w:space="0" w:color="auto"/>
            </w:tcBorders>
            <w:vAlign w:val="center"/>
          </w:tcPr>
          <w:p w14:paraId="4DD0A24C" w14:textId="191D3D90" w:rsidR="00BE1FFD" w:rsidRPr="00282E3D" w:rsidRDefault="0021580A" w:rsidP="00BE1FFD">
            <w:pPr>
              <w:pStyle w:val="NoSpacing"/>
              <w:jc w:val="center"/>
              <w:rPr>
                <w:rFonts w:ascii="Arial" w:hAnsi="Arial" w:cs="Arial"/>
                <w:sz w:val="20"/>
                <w:szCs w:val="20"/>
                <w:lang w:eastAsia="it-IT"/>
              </w:rPr>
            </w:pPr>
            <w:r w:rsidRPr="00282E3D">
              <w:rPr>
                <w:rFonts w:ascii="Arial" w:hAnsi="Arial" w:cs="Arial"/>
                <w:sz w:val="20"/>
                <w:szCs w:val="20"/>
                <w:lang w:eastAsia="it-IT"/>
              </w:rPr>
              <w:t>48/148</w:t>
            </w:r>
            <w:r w:rsidR="00BE1FFD" w:rsidRPr="00282E3D">
              <w:rPr>
                <w:rFonts w:ascii="Arial" w:hAnsi="Arial" w:cs="Arial"/>
                <w:sz w:val="20"/>
                <w:szCs w:val="20"/>
                <w:lang w:eastAsia="it-IT"/>
              </w:rPr>
              <w:t xml:space="preserve"> (</w:t>
            </w:r>
            <w:r w:rsidRPr="00282E3D">
              <w:rPr>
                <w:rFonts w:ascii="Arial" w:hAnsi="Arial" w:cs="Arial"/>
                <w:sz w:val="20"/>
                <w:szCs w:val="20"/>
                <w:lang w:eastAsia="it-IT"/>
              </w:rPr>
              <w:t>32</w:t>
            </w:r>
            <w:r w:rsidR="00BE1FFD" w:rsidRPr="00282E3D">
              <w:rPr>
                <w:rFonts w:ascii="Arial" w:hAnsi="Arial" w:cs="Arial"/>
                <w:sz w:val="20"/>
                <w:szCs w:val="20"/>
                <w:lang w:eastAsia="it-IT"/>
              </w:rPr>
              <w:t>%)</w:t>
            </w:r>
          </w:p>
        </w:tc>
        <w:tc>
          <w:tcPr>
            <w:tcW w:w="1417" w:type="dxa"/>
            <w:vAlign w:val="center"/>
          </w:tcPr>
          <w:p w14:paraId="57EF09E3" w14:textId="00AFFDDF" w:rsidR="00BE1FFD" w:rsidRPr="00282E3D" w:rsidRDefault="0021580A" w:rsidP="00BE1FFD">
            <w:pPr>
              <w:pStyle w:val="NoSpacing"/>
              <w:jc w:val="center"/>
              <w:rPr>
                <w:rFonts w:ascii="Arial" w:hAnsi="Arial" w:cs="Arial"/>
                <w:sz w:val="20"/>
                <w:szCs w:val="20"/>
                <w:lang w:eastAsia="it-IT"/>
              </w:rPr>
            </w:pPr>
            <w:r w:rsidRPr="00282E3D">
              <w:rPr>
                <w:rFonts w:ascii="Arial" w:hAnsi="Arial" w:cs="Arial"/>
                <w:sz w:val="20"/>
                <w:szCs w:val="20"/>
                <w:lang w:eastAsia="it-IT"/>
              </w:rPr>
              <w:t>14</w:t>
            </w:r>
            <w:r w:rsidR="00BE1FFD" w:rsidRPr="00282E3D">
              <w:rPr>
                <w:rFonts w:ascii="Arial" w:hAnsi="Arial" w:cs="Arial"/>
                <w:sz w:val="20"/>
                <w:szCs w:val="20"/>
                <w:lang w:eastAsia="it-IT"/>
              </w:rPr>
              <w:t>/1</w:t>
            </w:r>
            <w:r w:rsidRPr="00282E3D">
              <w:rPr>
                <w:rFonts w:ascii="Arial" w:hAnsi="Arial" w:cs="Arial"/>
                <w:sz w:val="20"/>
                <w:szCs w:val="20"/>
                <w:lang w:eastAsia="it-IT"/>
              </w:rPr>
              <w:t>48</w:t>
            </w:r>
            <w:r w:rsidR="00BE1FFD" w:rsidRPr="00282E3D">
              <w:rPr>
                <w:rFonts w:ascii="Arial" w:hAnsi="Arial" w:cs="Arial"/>
                <w:sz w:val="20"/>
                <w:szCs w:val="20"/>
                <w:lang w:eastAsia="it-IT"/>
              </w:rPr>
              <w:t xml:space="preserve"> (</w:t>
            </w:r>
            <w:r w:rsidRPr="00282E3D">
              <w:rPr>
                <w:rFonts w:ascii="Arial" w:hAnsi="Arial" w:cs="Arial"/>
                <w:sz w:val="20"/>
                <w:szCs w:val="20"/>
                <w:lang w:eastAsia="it-IT"/>
              </w:rPr>
              <w:t>9</w:t>
            </w:r>
            <w:r w:rsidR="00BE1FFD" w:rsidRPr="00282E3D">
              <w:rPr>
                <w:rFonts w:ascii="Arial" w:hAnsi="Arial" w:cs="Arial"/>
                <w:sz w:val="20"/>
                <w:szCs w:val="20"/>
                <w:lang w:eastAsia="it-IT"/>
              </w:rPr>
              <w:t>%)</w:t>
            </w:r>
          </w:p>
        </w:tc>
        <w:tc>
          <w:tcPr>
            <w:tcW w:w="1417" w:type="dxa"/>
            <w:tcBorders>
              <w:right w:val="single" w:sz="4" w:space="0" w:color="auto"/>
            </w:tcBorders>
            <w:vAlign w:val="center"/>
          </w:tcPr>
          <w:p w14:paraId="085B1FDC" w14:textId="109480F2" w:rsidR="00BE1FFD" w:rsidRPr="00282E3D" w:rsidRDefault="0021580A" w:rsidP="00BE1FFD">
            <w:pPr>
              <w:pStyle w:val="NoSpacing"/>
              <w:jc w:val="center"/>
              <w:rPr>
                <w:rFonts w:ascii="Arial" w:hAnsi="Arial" w:cs="Arial"/>
                <w:sz w:val="20"/>
                <w:szCs w:val="20"/>
                <w:lang w:eastAsia="it-IT"/>
              </w:rPr>
            </w:pPr>
            <w:r w:rsidRPr="00282E3D">
              <w:rPr>
                <w:rFonts w:ascii="Arial" w:hAnsi="Arial" w:cs="Arial"/>
                <w:sz w:val="20"/>
                <w:szCs w:val="20"/>
                <w:lang w:eastAsia="it-IT"/>
              </w:rPr>
              <w:t>3</w:t>
            </w:r>
            <w:r w:rsidR="00BE1FFD" w:rsidRPr="00282E3D">
              <w:rPr>
                <w:rFonts w:ascii="Arial" w:hAnsi="Arial" w:cs="Arial"/>
                <w:sz w:val="20"/>
                <w:szCs w:val="20"/>
                <w:lang w:eastAsia="it-IT"/>
              </w:rPr>
              <w:t>/1</w:t>
            </w:r>
            <w:r w:rsidRPr="00282E3D">
              <w:rPr>
                <w:rFonts w:ascii="Arial" w:hAnsi="Arial" w:cs="Arial"/>
                <w:sz w:val="20"/>
                <w:szCs w:val="20"/>
                <w:lang w:eastAsia="it-IT"/>
              </w:rPr>
              <w:t>48</w:t>
            </w:r>
            <w:r w:rsidR="00BE1FFD" w:rsidRPr="00282E3D">
              <w:rPr>
                <w:rFonts w:ascii="Arial" w:hAnsi="Arial" w:cs="Arial"/>
                <w:sz w:val="20"/>
                <w:szCs w:val="20"/>
                <w:lang w:eastAsia="it-IT"/>
              </w:rPr>
              <w:t xml:space="preserve"> (</w:t>
            </w:r>
            <w:r w:rsidRPr="00282E3D">
              <w:rPr>
                <w:rFonts w:ascii="Arial" w:hAnsi="Arial" w:cs="Arial"/>
                <w:sz w:val="20"/>
                <w:szCs w:val="20"/>
                <w:lang w:eastAsia="it-IT"/>
              </w:rPr>
              <w:t>2</w:t>
            </w:r>
            <w:r w:rsidR="00BE1FFD" w:rsidRPr="00282E3D">
              <w:rPr>
                <w:rFonts w:ascii="Arial" w:hAnsi="Arial" w:cs="Arial"/>
                <w:sz w:val="20"/>
                <w:szCs w:val="20"/>
                <w:lang w:eastAsia="it-IT"/>
              </w:rPr>
              <w:t>%)</w:t>
            </w:r>
          </w:p>
        </w:tc>
        <w:tc>
          <w:tcPr>
            <w:tcW w:w="1561" w:type="dxa"/>
            <w:tcBorders>
              <w:left w:val="single" w:sz="4" w:space="0" w:color="auto"/>
              <w:right w:val="single" w:sz="4" w:space="0" w:color="auto"/>
            </w:tcBorders>
            <w:vAlign w:val="center"/>
            <w:hideMark/>
          </w:tcPr>
          <w:p w14:paraId="2AE1FEF5" w14:textId="3DD09155" w:rsidR="00BE1FFD" w:rsidRPr="00282E3D" w:rsidRDefault="0031680F" w:rsidP="00BE1FFD">
            <w:pPr>
              <w:pStyle w:val="NoSpacing"/>
              <w:jc w:val="center"/>
              <w:rPr>
                <w:rFonts w:ascii="Arial" w:hAnsi="Arial" w:cs="Arial"/>
                <w:sz w:val="20"/>
                <w:szCs w:val="20"/>
                <w:lang w:eastAsia="it-IT"/>
              </w:rPr>
            </w:pPr>
            <w:r w:rsidRPr="00282E3D">
              <w:rPr>
                <w:rFonts w:ascii="Arial" w:hAnsi="Arial" w:cs="Arial"/>
                <w:sz w:val="20"/>
                <w:szCs w:val="20"/>
              </w:rPr>
              <w:t>55/148</w:t>
            </w:r>
            <w:r w:rsidR="00BE1FFD" w:rsidRPr="00282E3D">
              <w:rPr>
                <w:rFonts w:ascii="Arial" w:hAnsi="Arial" w:cs="Arial"/>
                <w:sz w:val="20"/>
                <w:szCs w:val="20"/>
              </w:rPr>
              <w:t xml:space="preserve"> (3</w:t>
            </w:r>
            <w:r w:rsidRPr="00282E3D">
              <w:rPr>
                <w:rFonts w:ascii="Arial" w:hAnsi="Arial" w:cs="Arial"/>
                <w:sz w:val="20"/>
                <w:szCs w:val="20"/>
              </w:rPr>
              <w:t>7</w:t>
            </w:r>
            <w:r w:rsidR="00BE1FFD" w:rsidRPr="00282E3D">
              <w:rPr>
                <w:rFonts w:ascii="Arial" w:hAnsi="Arial" w:cs="Arial"/>
                <w:sz w:val="20"/>
                <w:szCs w:val="20"/>
              </w:rPr>
              <w:t>%)</w:t>
            </w:r>
          </w:p>
        </w:tc>
      </w:tr>
      <w:tr w:rsidR="00282E3D" w:rsidRPr="00282E3D" w14:paraId="4AF5E3A2" w14:textId="77777777" w:rsidTr="006245D0">
        <w:trPr>
          <w:trHeight w:val="397"/>
        </w:trPr>
        <w:tc>
          <w:tcPr>
            <w:tcW w:w="2552" w:type="dxa"/>
            <w:tcBorders>
              <w:left w:val="single" w:sz="4" w:space="0" w:color="auto"/>
              <w:right w:val="single" w:sz="4" w:space="0" w:color="auto"/>
            </w:tcBorders>
            <w:vAlign w:val="center"/>
            <w:hideMark/>
          </w:tcPr>
          <w:p w14:paraId="5D1D72CB" w14:textId="77777777" w:rsidR="00BE1FFD" w:rsidRPr="00282E3D" w:rsidRDefault="00BE1FFD" w:rsidP="00BE1FFD">
            <w:pPr>
              <w:pStyle w:val="NoSpacing"/>
              <w:rPr>
                <w:rFonts w:ascii="Arial" w:hAnsi="Arial" w:cs="Arial"/>
                <w:b/>
                <w:bCs/>
                <w:sz w:val="20"/>
                <w:szCs w:val="20"/>
                <w:lang w:eastAsia="it-IT"/>
              </w:rPr>
            </w:pPr>
            <w:r w:rsidRPr="00282E3D">
              <w:rPr>
                <w:rFonts w:ascii="Arial" w:hAnsi="Arial" w:cs="Arial"/>
                <w:b/>
                <w:bCs/>
                <w:sz w:val="20"/>
                <w:szCs w:val="20"/>
                <w:lang w:eastAsia="it-IT"/>
              </w:rPr>
              <w:t>L3 KSSB</w:t>
            </w:r>
          </w:p>
        </w:tc>
        <w:tc>
          <w:tcPr>
            <w:tcW w:w="1417" w:type="dxa"/>
            <w:tcBorders>
              <w:left w:val="single" w:sz="4" w:space="0" w:color="auto"/>
              <w:right w:val="single" w:sz="4" w:space="0" w:color="auto"/>
            </w:tcBorders>
            <w:vAlign w:val="center"/>
            <w:hideMark/>
          </w:tcPr>
          <w:p w14:paraId="4DC9D067" w14:textId="091B2FC0" w:rsidR="00BE1FFD" w:rsidRPr="00282E3D" w:rsidRDefault="00BE1FFD" w:rsidP="00BE1FFD">
            <w:pPr>
              <w:pStyle w:val="NoSpacing"/>
              <w:jc w:val="center"/>
              <w:rPr>
                <w:rFonts w:ascii="Arial" w:hAnsi="Arial" w:cs="Arial"/>
                <w:sz w:val="20"/>
                <w:szCs w:val="20"/>
                <w:lang w:eastAsia="it-IT"/>
              </w:rPr>
            </w:pPr>
            <w:r w:rsidRPr="00282E3D">
              <w:rPr>
                <w:rFonts w:ascii="Arial" w:hAnsi="Arial" w:cs="Cordia New"/>
                <w:kern w:val="24"/>
                <w:sz w:val="20"/>
                <w:szCs w:val="20"/>
              </w:rPr>
              <w:t>90</w:t>
            </w:r>
            <w:r w:rsidR="00AE4FE8" w:rsidRPr="00282E3D">
              <w:rPr>
                <w:rFonts w:ascii="Arial" w:hAnsi="Arial" w:cs="Cordia New"/>
                <w:kern w:val="24"/>
                <w:sz w:val="20"/>
                <w:szCs w:val="20"/>
              </w:rPr>
              <w:t xml:space="preserve"> (13%)</w:t>
            </w:r>
          </w:p>
        </w:tc>
        <w:tc>
          <w:tcPr>
            <w:tcW w:w="1701" w:type="dxa"/>
            <w:tcBorders>
              <w:left w:val="single" w:sz="4" w:space="0" w:color="auto"/>
            </w:tcBorders>
            <w:vAlign w:val="center"/>
          </w:tcPr>
          <w:p w14:paraId="524CE685" w14:textId="77777777"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37/90 (41%)</w:t>
            </w:r>
          </w:p>
        </w:tc>
        <w:tc>
          <w:tcPr>
            <w:tcW w:w="1417" w:type="dxa"/>
            <w:vAlign w:val="center"/>
          </w:tcPr>
          <w:p w14:paraId="6B3453C1" w14:textId="77777777"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11/90 (12%)</w:t>
            </w:r>
          </w:p>
        </w:tc>
        <w:tc>
          <w:tcPr>
            <w:tcW w:w="1417" w:type="dxa"/>
            <w:tcBorders>
              <w:right w:val="single" w:sz="4" w:space="0" w:color="auto"/>
            </w:tcBorders>
            <w:vAlign w:val="center"/>
          </w:tcPr>
          <w:p w14:paraId="517E1257" w14:textId="77777777"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lang w:eastAsia="it-IT"/>
              </w:rPr>
              <w:t>0/90 (0%)</w:t>
            </w:r>
          </w:p>
        </w:tc>
        <w:tc>
          <w:tcPr>
            <w:tcW w:w="1561" w:type="dxa"/>
            <w:tcBorders>
              <w:left w:val="single" w:sz="4" w:space="0" w:color="auto"/>
              <w:right w:val="single" w:sz="4" w:space="0" w:color="auto"/>
            </w:tcBorders>
            <w:vAlign w:val="center"/>
            <w:hideMark/>
          </w:tcPr>
          <w:p w14:paraId="6C927DED" w14:textId="77777777" w:rsidR="00BE1FFD" w:rsidRPr="00282E3D" w:rsidRDefault="00BE1FFD" w:rsidP="00BE1FFD">
            <w:pPr>
              <w:pStyle w:val="NoSpacing"/>
              <w:jc w:val="center"/>
              <w:rPr>
                <w:rFonts w:ascii="Arial" w:hAnsi="Arial" w:cs="Arial"/>
                <w:sz w:val="20"/>
                <w:szCs w:val="20"/>
                <w:lang w:eastAsia="it-IT"/>
              </w:rPr>
            </w:pPr>
            <w:r w:rsidRPr="00282E3D">
              <w:rPr>
                <w:rFonts w:ascii="Arial" w:hAnsi="Arial" w:cs="Arial"/>
                <w:sz w:val="20"/>
                <w:szCs w:val="20"/>
              </w:rPr>
              <w:t>41/90 (46%)</w:t>
            </w:r>
          </w:p>
        </w:tc>
      </w:tr>
      <w:tr w:rsidR="00282E3D" w:rsidRPr="00282E3D" w14:paraId="031DA4D3" w14:textId="77777777" w:rsidTr="006245D0">
        <w:trPr>
          <w:trHeight w:val="397"/>
        </w:trPr>
        <w:tc>
          <w:tcPr>
            <w:tcW w:w="2552" w:type="dxa"/>
            <w:tcBorders>
              <w:left w:val="single" w:sz="4" w:space="0" w:color="auto"/>
              <w:bottom w:val="single" w:sz="4" w:space="0" w:color="auto"/>
              <w:right w:val="single" w:sz="4" w:space="0" w:color="auto"/>
            </w:tcBorders>
            <w:vAlign w:val="center"/>
            <w:hideMark/>
          </w:tcPr>
          <w:p w14:paraId="562AA57A" w14:textId="77777777" w:rsidR="00BE1FFD" w:rsidRPr="00282E3D" w:rsidRDefault="00BE1FFD" w:rsidP="00BE1FFD">
            <w:pPr>
              <w:pStyle w:val="NoSpacing"/>
              <w:rPr>
                <w:rFonts w:ascii="Arial" w:hAnsi="Arial" w:cs="Arial"/>
                <w:b/>
                <w:bCs/>
                <w:sz w:val="20"/>
                <w:szCs w:val="20"/>
                <w:lang w:eastAsia="it-IT"/>
              </w:rPr>
            </w:pPr>
            <w:r w:rsidRPr="00282E3D">
              <w:rPr>
                <w:rFonts w:ascii="Arial" w:hAnsi="Arial" w:cs="Arial"/>
                <w:b/>
                <w:bCs/>
                <w:sz w:val="20"/>
                <w:szCs w:val="20"/>
                <w:lang w:eastAsia="it-IT"/>
              </w:rPr>
              <w:t>TOTAL</w:t>
            </w:r>
          </w:p>
        </w:tc>
        <w:tc>
          <w:tcPr>
            <w:tcW w:w="1417" w:type="dxa"/>
            <w:tcBorders>
              <w:left w:val="single" w:sz="4" w:space="0" w:color="auto"/>
              <w:bottom w:val="single" w:sz="4" w:space="0" w:color="auto"/>
              <w:right w:val="single" w:sz="4" w:space="0" w:color="auto"/>
            </w:tcBorders>
            <w:vAlign w:val="center"/>
            <w:hideMark/>
          </w:tcPr>
          <w:p w14:paraId="3D1B1B2D" w14:textId="5C45D803" w:rsidR="00BE1FFD" w:rsidRPr="00282E3D" w:rsidRDefault="00BE1FFD" w:rsidP="00BE1FFD">
            <w:pPr>
              <w:pStyle w:val="NoSpacing"/>
              <w:jc w:val="center"/>
              <w:rPr>
                <w:rFonts w:ascii="Arial" w:hAnsi="Arial" w:cs="Arial"/>
                <w:b/>
                <w:bCs/>
                <w:sz w:val="20"/>
                <w:szCs w:val="20"/>
                <w:lang w:eastAsia="it-IT"/>
              </w:rPr>
            </w:pPr>
            <w:r w:rsidRPr="00282E3D">
              <w:rPr>
                <w:rFonts w:ascii="Arial" w:hAnsi="Arial" w:cs="Cordia New"/>
                <w:b/>
                <w:bCs/>
                <w:caps/>
                <w:kern w:val="24"/>
                <w:sz w:val="20"/>
                <w:szCs w:val="20"/>
              </w:rPr>
              <w:t>691</w:t>
            </w:r>
            <w:r w:rsidR="00AE4FE8" w:rsidRPr="00282E3D">
              <w:rPr>
                <w:rFonts w:ascii="Arial" w:hAnsi="Arial" w:cs="Cordia New"/>
                <w:b/>
                <w:bCs/>
                <w:caps/>
                <w:kern w:val="24"/>
                <w:sz w:val="20"/>
                <w:szCs w:val="20"/>
              </w:rPr>
              <w:t xml:space="preserve"> (100%)</w:t>
            </w:r>
          </w:p>
        </w:tc>
        <w:tc>
          <w:tcPr>
            <w:tcW w:w="1701" w:type="dxa"/>
            <w:tcBorders>
              <w:left w:val="single" w:sz="4" w:space="0" w:color="auto"/>
              <w:bottom w:val="single" w:sz="4" w:space="0" w:color="auto"/>
            </w:tcBorders>
            <w:vAlign w:val="center"/>
          </w:tcPr>
          <w:p w14:paraId="53EE6FBA" w14:textId="19E4BD3D" w:rsidR="00BE1FFD" w:rsidRPr="00282E3D" w:rsidRDefault="00BE1FFD" w:rsidP="00BE1FFD">
            <w:pPr>
              <w:pStyle w:val="NoSpacing"/>
              <w:jc w:val="center"/>
              <w:rPr>
                <w:rFonts w:ascii="Arial" w:hAnsi="Arial" w:cs="Arial"/>
                <w:b/>
                <w:bCs/>
                <w:sz w:val="20"/>
                <w:szCs w:val="20"/>
                <w:lang w:eastAsia="it-IT"/>
              </w:rPr>
            </w:pPr>
            <w:r w:rsidRPr="00282E3D">
              <w:rPr>
                <w:rFonts w:ascii="Arial" w:hAnsi="Arial" w:cs="Arial"/>
                <w:b/>
                <w:bCs/>
                <w:sz w:val="20"/>
                <w:szCs w:val="20"/>
                <w:lang w:eastAsia="it-IT"/>
              </w:rPr>
              <w:t>1</w:t>
            </w:r>
            <w:r w:rsidR="0021580A" w:rsidRPr="00282E3D">
              <w:rPr>
                <w:rFonts w:ascii="Arial" w:hAnsi="Arial" w:cs="Arial"/>
                <w:b/>
                <w:bCs/>
                <w:sz w:val="20"/>
                <w:szCs w:val="20"/>
                <w:lang w:eastAsia="it-IT"/>
              </w:rPr>
              <w:t>59</w:t>
            </w:r>
            <w:r w:rsidRPr="00282E3D">
              <w:rPr>
                <w:rFonts w:ascii="Arial" w:hAnsi="Arial" w:cs="Arial"/>
                <w:b/>
                <w:bCs/>
                <w:sz w:val="20"/>
                <w:szCs w:val="20"/>
                <w:lang w:eastAsia="it-IT"/>
              </w:rPr>
              <w:t>/6</w:t>
            </w:r>
            <w:r w:rsidR="0021580A" w:rsidRPr="00282E3D">
              <w:rPr>
                <w:rFonts w:ascii="Arial" w:hAnsi="Arial" w:cs="Arial"/>
                <w:b/>
                <w:bCs/>
                <w:sz w:val="20"/>
                <w:szCs w:val="20"/>
                <w:lang w:eastAsia="it-IT"/>
              </w:rPr>
              <w:t>91</w:t>
            </w:r>
            <w:r w:rsidRPr="00282E3D">
              <w:rPr>
                <w:rFonts w:ascii="Arial" w:hAnsi="Arial" w:cs="Arial"/>
                <w:b/>
                <w:bCs/>
                <w:sz w:val="20"/>
                <w:szCs w:val="20"/>
                <w:lang w:eastAsia="it-IT"/>
              </w:rPr>
              <w:t xml:space="preserve"> (2</w:t>
            </w:r>
            <w:r w:rsidR="0021580A" w:rsidRPr="00282E3D">
              <w:rPr>
                <w:rFonts w:ascii="Arial" w:hAnsi="Arial" w:cs="Arial"/>
                <w:b/>
                <w:bCs/>
                <w:sz w:val="20"/>
                <w:szCs w:val="20"/>
                <w:lang w:eastAsia="it-IT"/>
              </w:rPr>
              <w:t>3</w:t>
            </w:r>
            <w:r w:rsidRPr="00282E3D">
              <w:rPr>
                <w:rFonts w:ascii="Arial" w:hAnsi="Arial" w:cs="Arial"/>
                <w:b/>
                <w:bCs/>
                <w:sz w:val="20"/>
                <w:szCs w:val="20"/>
                <w:lang w:eastAsia="it-IT"/>
              </w:rPr>
              <w:t>%)</w:t>
            </w:r>
          </w:p>
        </w:tc>
        <w:tc>
          <w:tcPr>
            <w:tcW w:w="1417" w:type="dxa"/>
            <w:tcBorders>
              <w:bottom w:val="single" w:sz="4" w:space="0" w:color="auto"/>
            </w:tcBorders>
            <w:vAlign w:val="center"/>
          </w:tcPr>
          <w:p w14:paraId="7D411F5D" w14:textId="5D184735" w:rsidR="00BE1FFD" w:rsidRPr="00282E3D" w:rsidRDefault="0021580A" w:rsidP="00BE1FFD">
            <w:pPr>
              <w:pStyle w:val="NoSpacing"/>
              <w:jc w:val="center"/>
              <w:rPr>
                <w:rFonts w:ascii="Arial" w:hAnsi="Arial" w:cs="Arial"/>
                <w:b/>
                <w:bCs/>
                <w:sz w:val="20"/>
                <w:szCs w:val="20"/>
                <w:lang w:eastAsia="it-IT"/>
              </w:rPr>
            </w:pPr>
            <w:r w:rsidRPr="00282E3D">
              <w:rPr>
                <w:rFonts w:ascii="Arial" w:hAnsi="Arial" w:cs="Arial"/>
                <w:b/>
                <w:bCs/>
                <w:sz w:val="20"/>
                <w:szCs w:val="20"/>
                <w:lang w:eastAsia="it-IT"/>
              </w:rPr>
              <w:t>30</w:t>
            </w:r>
            <w:r w:rsidR="00BE1FFD" w:rsidRPr="00282E3D">
              <w:rPr>
                <w:rFonts w:ascii="Arial" w:hAnsi="Arial" w:cs="Arial"/>
                <w:b/>
                <w:bCs/>
                <w:sz w:val="20"/>
                <w:szCs w:val="20"/>
                <w:lang w:eastAsia="it-IT"/>
              </w:rPr>
              <w:t>/6</w:t>
            </w:r>
            <w:r w:rsidRPr="00282E3D">
              <w:rPr>
                <w:rFonts w:ascii="Arial" w:hAnsi="Arial" w:cs="Arial"/>
                <w:b/>
                <w:bCs/>
                <w:sz w:val="20"/>
                <w:szCs w:val="20"/>
                <w:lang w:eastAsia="it-IT"/>
              </w:rPr>
              <w:t>91</w:t>
            </w:r>
            <w:r w:rsidR="00BE1FFD" w:rsidRPr="00282E3D">
              <w:rPr>
                <w:rFonts w:ascii="Arial" w:hAnsi="Arial" w:cs="Arial"/>
                <w:b/>
                <w:bCs/>
                <w:sz w:val="20"/>
                <w:szCs w:val="20"/>
                <w:lang w:eastAsia="it-IT"/>
              </w:rPr>
              <w:t xml:space="preserve"> (</w:t>
            </w:r>
            <w:r w:rsidRPr="00282E3D">
              <w:rPr>
                <w:rFonts w:ascii="Arial" w:hAnsi="Arial" w:cs="Arial"/>
                <w:b/>
                <w:bCs/>
                <w:sz w:val="20"/>
                <w:szCs w:val="20"/>
                <w:lang w:eastAsia="it-IT"/>
              </w:rPr>
              <w:t>4</w:t>
            </w:r>
            <w:r w:rsidR="00BE1FFD" w:rsidRPr="00282E3D">
              <w:rPr>
                <w:rFonts w:ascii="Arial" w:hAnsi="Arial" w:cs="Arial"/>
                <w:b/>
                <w:bCs/>
                <w:sz w:val="20"/>
                <w:szCs w:val="20"/>
                <w:lang w:eastAsia="it-IT"/>
              </w:rPr>
              <w:t>%)</w:t>
            </w:r>
          </w:p>
        </w:tc>
        <w:tc>
          <w:tcPr>
            <w:tcW w:w="1417" w:type="dxa"/>
            <w:tcBorders>
              <w:bottom w:val="single" w:sz="4" w:space="0" w:color="auto"/>
              <w:right w:val="single" w:sz="4" w:space="0" w:color="auto"/>
            </w:tcBorders>
            <w:vAlign w:val="center"/>
          </w:tcPr>
          <w:p w14:paraId="465D2919" w14:textId="1FDB0803" w:rsidR="00BE1FFD" w:rsidRPr="00282E3D" w:rsidRDefault="00AE4FE8" w:rsidP="00BE1FFD">
            <w:pPr>
              <w:pStyle w:val="NoSpacing"/>
              <w:jc w:val="center"/>
              <w:rPr>
                <w:rFonts w:ascii="Arial" w:hAnsi="Arial" w:cs="Arial"/>
                <w:b/>
                <w:bCs/>
                <w:sz w:val="20"/>
                <w:szCs w:val="20"/>
                <w:lang w:eastAsia="it-IT"/>
              </w:rPr>
            </w:pPr>
            <w:r w:rsidRPr="00282E3D">
              <w:rPr>
                <w:rFonts w:ascii="Arial" w:hAnsi="Arial" w:cs="Arial"/>
                <w:b/>
                <w:bCs/>
                <w:sz w:val="20"/>
                <w:szCs w:val="20"/>
                <w:lang w:eastAsia="it-IT"/>
              </w:rPr>
              <w:t>5</w:t>
            </w:r>
            <w:r w:rsidR="00BE1FFD" w:rsidRPr="00282E3D">
              <w:rPr>
                <w:rFonts w:ascii="Arial" w:hAnsi="Arial" w:cs="Arial"/>
                <w:b/>
                <w:bCs/>
                <w:sz w:val="20"/>
                <w:szCs w:val="20"/>
                <w:lang w:eastAsia="it-IT"/>
              </w:rPr>
              <w:t>/6</w:t>
            </w:r>
            <w:r w:rsidRPr="00282E3D">
              <w:rPr>
                <w:rFonts w:ascii="Arial" w:hAnsi="Arial" w:cs="Arial"/>
                <w:b/>
                <w:bCs/>
                <w:sz w:val="20"/>
                <w:szCs w:val="20"/>
                <w:lang w:eastAsia="it-IT"/>
              </w:rPr>
              <w:t>91</w:t>
            </w:r>
            <w:r w:rsidR="00BE1FFD" w:rsidRPr="00282E3D">
              <w:rPr>
                <w:rFonts w:ascii="Arial" w:hAnsi="Arial" w:cs="Arial"/>
                <w:b/>
                <w:bCs/>
                <w:sz w:val="20"/>
                <w:szCs w:val="20"/>
                <w:lang w:eastAsia="it-IT"/>
              </w:rPr>
              <w:t xml:space="preserve"> (0.</w:t>
            </w:r>
            <w:r w:rsidRPr="00282E3D">
              <w:rPr>
                <w:rFonts w:ascii="Arial" w:hAnsi="Arial" w:cs="Arial"/>
                <w:b/>
                <w:bCs/>
                <w:sz w:val="20"/>
                <w:szCs w:val="20"/>
                <w:lang w:eastAsia="it-IT"/>
              </w:rPr>
              <w:t>7</w:t>
            </w:r>
            <w:r w:rsidR="00BE1FFD" w:rsidRPr="00282E3D">
              <w:rPr>
                <w:rFonts w:ascii="Arial" w:hAnsi="Arial" w:cs="Arial"/>
                <w:b/>
                <w:bCs/>
                <w:sz w:val="20"/>
                <w:szCs w:val="20"/>
                <w:lang w:eastAsia="it-IT"/>
              </w:rPr>
              <w:t>%)</w:t>
            </w:r>
          </w:p>
        </w:tc>
        <w:tc>
          <w:tcPr>
            <w:tcW w:w="1561" w:type="dxa"/>
            <w:tcBorders>
              <w:left w:val="single" w:sz="4" w:space="0" w:color="auto"/>
              <w:bottom w:val="single" w:sz="4" w:space="0" w:color="auto"/>
              <w:right w:val="single" w:sz="4" w:space="0" w:color="auto"/>
            </w:tcBorders>
            <w:vAlign w:val="center"/>
            <w:hideMark/>
          </w:tcPr>
          <w:p w14:paraId="7EFE76B9" w14:textId="7136B325" w:rsidR="00BE1FFD" w:rsidRPr="00282E3D" w:rsidRDefault="0031680F" w:rsidP="00BE1FFD">
            <w:pPr>
              <w:pStyle w:val="NoSpacing"/>
              <w:jc w:val="center"/>
              <w:rPr>
                <w:rFonts w:ascii="Arial" w:hAnsi="Arial" w:cs="Arial"/>
                <w:b/>
                <w:bCs/>
                <w:sz w:val="20"/>
                <w:szCs w:val="20"/>
                <w:lang w:eastAsia="it-IT"/>
              </w:rPr>
            </w:pPr>
            <w:r w:rsidRPr="00282E3D">
              <w:rPr>
                <w:rFonts w:ascii="Arial" w:hAnsi="Arial" w:cs="Arial"/>
                <w:b/>
                <w:bCs/>
                <w:sz w:val="20"/>
                <w:szCs w:val="20"/>
                <w:lang w:eastAsia="it-IT"/>
              </w:rPr>
              <w:t>176/691</w:t>
            </w:r>
            <w:r w:rsidR="00BE1FFD" w:rsidRPr="00282E3D">
              <w:rPr>
                <w:rFonts w:ascii="Arial" w:hAnsi="Arial" w:cs="Arial"/>
                <w:b/>
                <w:bCs/>
                <w:sz w:val="20"/>
                <w:szCs w:val="20"/>
                <w:lang w:eastAsia="it-IT"/>
              </w:rPr>
              <w:t xml:space="preserve"> (2</w:t>
            </w:r>
            <w:r w:rsidRPr="00282E3D">
              <w:rPr>
                <w:rFonts w:ascii="Arial" w:hAnsi="Arial" w:cs="Arial"/>
                <w:b/>
                <w:bCs/>
                <w:sz w:val="20"/>
                <w:szCs w:val="20"/>
                <w:lang w:eastAsia="it-IT"/>
              </w:rPr>
              <w:t>5</w:t>
            </w:r>
            <w:r w:rsidR="00BE1FFD" w:rsidRPr="00282E3D">
              <w:rPr>
                <w:rFonts w:ascii="Arial" w:hAnsi="Arial" w:cs="Arial"/>
                <w:b/>
                <w:bCs/>
                <w:sz w:val="20"/>
                <w:szCs w:val="20"/>
                <w:lang w:eastAsia="it-IT"/>
              </w:rPr>
              <w:t>%)</w:t>
            </w:r>
          </w:p>
        </w:tc>
      </w:tr>
    </w:tbl>
    <w:p w14:paraId="4CC73D31" w14:textId="2614DA36" w:rsidR="0005423E" w:rsidRPr="00282E3D" w:rsidRDefault="0005423E" w:rsidP="0005423E">
      <w:pPr>
        <w:pStyle w:val="NoSpacing"/>
        <w:rPr>
          <w:rFonts w:ascii="Arial" w:hAnsi="Arial" w:cs="Arial"/>
          <w:sz w:val="20"/>
          <w:szCs w:val="20"/>
          <w:lang w:val="en-US"/>
        </w:rPr>
      </w:pPr>
      <w:r w:rsidRPr="00282E3D">
        <w:rPr>
          <w:rFonts w:ascii="Arial" w:hAnsi="Arial" w:cs="Arial"/>
          <w:sz w:val="20"/>
          <w:szCs w:val="20"/>
          <w:vertAlign w:val="superscript"/>
          <w:lang w:val="en-US"/>
        </w:rPr>
        <w:t>a</w:t>
      </w:r>
      <w:r w:rsidRPr="00282E3D">
        <w:rPr>
          <w:rFonts w:ascii="Arial" w:hAnsi="Arial" w:cs="Arial"/>
          <w:sz w:val="20"/>
          <w:szCs w:val="20"/>
          <w:lang w:val="en-US"/>
        </w:rPr>
        <w:t xml:space="preserve">Patients </w:t>
      </w:r>
      <w:r w:rsidR="009D34BF" w:rsidRPr="00282E3D">
        <w:rPr>
          <w:rFonts w:ascii="Arial" w:hAnsi="Arial" w:cs="Arial"/>
          <w:sz w:val="20"/>
          <w:szCs w:val="20"/>
          <w:lang w:val="en-US"/>
        </w:rPr>
        <w:t>did not</w:t>
      </w:r>
      <w:r w:rsidRPr="00282E3D">
        <w:rPr>
          <w:rFonts w:ascii="Arial" w:hAnsi="Arial" w:cs="Arial"/>
          <w:sz w:val="20"/>
          <w:szCs w:val="20"/>
          <w:lang w:val="en-US"/>
        </w:rPr>
        <w:t xml:space="preserve"> receive these interventions but these interventions would have been recommended based on the biomarker results.</w:t>
      </w:r>
    </w:p>
    <w:p w14:paraId="12835540" w14:textId="77777777" w:rsidR="0005423E" w:rsidRPr="00282E3D" w:rsidRDefault="0005423E" w:rsidP="0005423E">
      <w:pPr>
        <w:pStyle w:val="NoSpacing"/>
        <w:rPr>
          <w:rFonts w:ascii="Arial" w:hAnsi="Arial" w:cs="Arial"/>
          <w:sz w:val="20"/>
          <w:szCs w:val="20"/>
          <w:lang w:val="en-US"/>
        </w:rPr>
      </w:pPr>
      <w:r w:rsidRPr="00282E3D">
        <w:rPr>
          <w:rFonts w:ascii="Arial" w:hAnsi="Arial" w:cs="Arial"/>
          <w:sz w:val="20"/>
          <w:szCs w:val="20"/>
          <w:vertAlign w:val="superscript"/>
          <w:lang w:val="en-US"/>
        </w:rPr>
        <w:t>b</w:t>
      </w:r>
      <w:r w:rsidRPr="00282E3D">
        <w:rPr>
          <w:rFonts w:ascii="Arial" w:hAnsi="Arial" w:cs="Arial"/>
          <w:sz w:val="20"/>
          <w:szCs w:val="20"/>
          <w:lang w:val="en-US"/>
        </w:rPr>
        <w:t>Within 72 hours from enrollment.</w:t>
      </w:r>
    </w:p>
    <w:p w14:paraId="536A2090" w14:textId="7BC60F2E" w:rsidR="0005423E" w:rsidRPr="00282E3D" w:rsidRDefault="0005423E" w:rsidP="0005423E">
      <w:pPr>
        <w:pStyle w:val="NoSpacing"/>
        <w:rPr>
          <w:rFonts w:ascii="Arial" w:hAnsi="Arial" w:cs="Arial"/>
          <w:sz w:val="20"/>
          <w:szCs w:val="20"/>
          <w:lang w:val="en-US"/>
        </w:rPr>
      </w:pPr>
      <w:r w:rsidRPr="00282E3D">
        <w:rPr>
          <w:rFonts w:ascii="Arial" w:hAnsi="Arial" w:cs="Arial"/>
          <w:sz w:val="20"/>
          <w:szCs w:val="20"/>
          <w:vertAlign w:val="superscript"/>
          <w:lang w:val="en-US"/>
        </w:rPr>
        <w:t>c</w:t>
      </w:r>
      <w:r w:rsidR="009D34BF" w:rsidRPr="00282E3D">
        <w:rPr>
          <w:rFonts w:ascii="Arial" w:hAnsi="Arial" w:cs="Arial"/>
          <w:sz w:val="20"/>
          <w:szCs w:val="20"/>
          <w:lang w:val="en-US"/>
        </w:rPr>
        <w:t>W</w:t>
      </w:r>
      <w:r w:rsidRPr="00282E3D">
        <w:rPr>
          <w:rFonts w:ascii="Arial" w:hAnsi="Arial" w:cs="Arial"/>
          <w:sz w:val="20"/>
          <w:szCs w:val="20"/>
          <w:lang w:val="en-US"/>
        </w:rPr>
        <w:t>ithin 48 hours from enrollment.</w:t>
      </w:r>
    </w:p>
    <w:p w14:paraId="29700383" w14:textId="09E7A2E7" w:rsidR="0005423E" w:rsidRPr="00282E3D" w:rsidRDefault="0005423E" w:rsidP="0005423E">
      <w:pPr>
        <w:pStyle w:val="NoSpacing"/>
        <w:rPr>
          <w:rFonts w:ascii="Arial" w:hAnsi="Arial" w:cs="Arial"/>
          <w:sz w:val="20"/>
          <w:szCs w:val="20"/>
          <w:lang w:val="en-US"/>
        </w:rPr>
      </w:pPr>
      <w:r w:rsidRPr="00282E3D">
        <w:rPr>
          <w:rFonts w:ascii="Arial" w:hAnsi="Arial" w:cs="Arial"/>
          <w:sz w:val="20"/>
          <w:szCs w:val="20"/>
          <w:vertAlign w:val="superscript"/>
          <w:lang w:val="en-US"/>
        </w:rPr>
        <w:t>d</w:t>
      </w:r>
      <w:r w:rsidRPr="00282E3D">
        <w:rPr>
          <w:rFonts w:ascii="Arial" w:hAnsi="Arial" w:cs="Arial"/>
          <w:sz w:val="20"/>
          <w:szCs w:val="20"/>
          <w:lang w:val="en-US"/>
        </w:rPr>
        <w:t>presence of at least 1 between progression of 2 or more stages of AKI, death, or dialysis.</w:t>
      </w:r>
    </w:p>
    <w:p w14:paraId="16612986" w14:textId="417D48C4" w:rsidR="00AE4FE8" w:rsidRPr="00282E3D" w:rsidRDefault="00AE4FE8" w:rsidP="0005423E">
      <w:pPr>
        <w:pStyle w:val="NoSpacing"/>
        <w:rPr>
          <w:rFonts w:ascii="Arial" w:hAnsi="Arial" w:cs="Arial"/>
          <w:sz w:val="20"/>
          <w:szCs w:val="20"/>
          <w:lang w:val="en-US"/>
        </w:rPr>
      </w:pPr>
      <w:r w:rsidRPr="00282E3D">
        <w:rPr>
          <w:rFonts w:ascii="Arial" w:hAnsi="Arial" w:cs="Arial"/>
          <w:sz w:val="20"/>
          <w:szCs w:val="20"/>
          <w:vertAlign w:val="superscript"/>
          <w:lang w:val="en-US"/>
        </w:rPr>
        <w:t>e</w:t>
      </w:r>
      <w:r w:rsidRPr="00282E3D">
        <w:rPr>
          <w:rFonts w:ascii="Arial" w:hAnsi="Arial" w:cs="Arial"/>
          <w:sz w:val="20"/>
          <w:szCs w:val="20"/>
          <w:lang w:val="en-US"/>
        </w:rPr>
        <w:t>84</w:t>
      </w:r>
      <w:r w:rsidR="00A76E53" w:rsidRPr="00282E3D">
        <w:rPr>
          <w:rFonts w:ascii="Arial" w:hAnsi="Arial" w:cs="Arial"/>
          <w:sz w:val="20"/>
          <w:szCs w:val="20"/>
          <w:lang w:val="en-US"/>
        </w:rPr>
        <w:t xml:space="preserve"> out of 691</w:t>
      </w:r>
      <w:r w:rsidRPr="00282E3D">
        <w:rPr>
          <w:rFonts w:ascii="Arial" w:hAnsi="Arial" w:cs="Arial"/>
          <w:sz w:val="20"/>
          <w:szCs w:val="20"/>
          <w:lang w:val="en-US"/>
        </w:rPr>
        <w:t xml:space="preserve"> (12%) </w:t>
      </w:r>
      <w:r w:rsidR="00A76E53" w:rsidRPr="00282E3D">
        <w:rPr>
          <w:rFonts w:ascii="Arial" w:hAnsi="Arial" w:cs="Arial"/>
          <w:sz w:val="20"/>
          <w:szCs w:val="20"/>
          <w:lang w:val="en-US"/>
        </w:rPr>
        <w:t>patients</w:t>
      </w:r>
      <w:r w:rsidRPr="00282E3D">
        <w:rPr>
          <w:rFonts w:ascii="Arial" w:hAnsi="Arial" w:cs="Arial"/>
          <w:sz w:val="20"/>
          <w:szCs w:val="20"/>
          <w:lang w:val="en-US"/>
        </w:rPr>
        <w:t xml:space="preserve"> had the second [TIMP-2]•[IGFBP7] missing.</w:t>
      </w:r>
    </w:p>
    <w:p w14:paraId="404CB805" w14:textId="77777777" w:rsidR="0005423E" w:rsidRPr="00282E3D" w:rsidRDefault="0005423E" w:rsidP="0005423E">
      <w:pPr>
        <w:pStyle w:val="NoSpacing"/>
        <w:rPr>
          <w:rFonts w:ascii="Arial" w:hAnsi="Arial" w:cs="Arial"/>
          <w:sz w:val="20"/>
          <w:szCs w:val="20"/>
          <w:lang w:val="en-US"/>
        </w:rPr>
      </w:pPr>
      <w:r w:rsidRPr="00282E3D">
        <w:rPr>
          <w:rFonts w:ascii="Arial" w:hAnsi="Arial" w:cs="Arial"/>
          <w:sz w:val="20"/>
          <w:szCs w:val="20"/>
          <w:lang w:val="en-US"/>
        </w:rPr>
        <w:t>% = percentage; AKI = acute kidney injury; L = level of the kidney-sparing sepsis bundle; N = number of patients; KSSB = kidney-sparing sepsis bundle; SOC = standard of care.</w:t>
      </w:r>
    </w:p>
    <w:bookmarkEnd w:id="25"/>
    <w:p w14:paraId="56FB05D2" w14:textId="77777777" w:rsidR="0005423E" w:rsidRPr="00282E3D" w:rsidRDefault="0005423E">
      <w:pPr>
        <w:spacing w:after="160" w:line="259" w:lineRule="auto"/>
        <w:rPr>
          <w:b/>
          <w:bCs/>
        </w:rPr>
      </w:pPr>
    </w:p>
    <w:p w14:paraId="6B584A08" w14:textId="77777777" w:rsidR="0005423E" w:rsidRPr="00282E3D" w:rsidRDefault="0005423E">
      <w:pPr>
        <w:spacing w:after="160" w:line="259" w:lineRule="auto"/>
        <w:rPr>
          <w:b/>
          <w:bCs/>
        </w:rPr>
      </w:pPr>
    </w:p>
    <w:p w14:paraId="675D212B" w14:textId="771B3F4C" w:rsidR="0005423E" w:rsidRPr="00282E3D" w:rsidRDefault="0005423E">
      <w:pPr>
        <w:spacing w:after="160" w:line="259" w:lineRule="auto"/>
        <w:rPr>
          <w:rFonts w:ascii="Arial" w:eastAsiaTheme="minorHAnsi" w:hAnsi="Arial" w:cs="Arial"/>
          <w:b/>
          <w:bCs/>
          <w:kern w:val="0"/>
        </w:rPr>
      </w:pPr>
      <w:r w:rsidRPr="00282E3D">
        <w:rPr>
          <w:b/>
          <w:bCs/>
        </w:rPr>
        <w:br w:type="page"/>
      </w:r>
    </w:p>
    <w:p w14:paraId="0DCB2BE1" w14:textId="1E8820C0" w:rsidR="00AC7B45" w:rsidRPr="00282E3D" w:rsidRDefault="00CE1043" w:rsidP="0041280B">
      <w:pPr>
        <w:pStyle w:val="Papardraft"/>
        <w:ind w:firstLine="0"/>
        <w:outlineLvl w:val="0"/>
        <w:rPr>
          <w:b/>
          <w:bCs/>
          <w:lang w:val="en-US"/>
        </w:rPr>
      </w:pPr>
      <w:bookmarkStart w:id="27" w:name="_Toc59643465"/>
      <w:r w:rsidRPr="00282E3D">
        <w:rPr>
          <w:b/>
          <w:bCs/>
          <w:lang w:val="en-US"/>
        </w:rPr>
        <w:lastRenderedPageBreak/>
        <w:t>S</w:t>
      </w:r>
      <w:r w:rsidR="00FC58A0" w:rsidRPr="00282E3D">
        <w:rPr>
          <w:b/>
          <w:bCs/>
          <w:lang w:val="en-US"/>
        </w:rPr>
        <w:t>UPPLEMENTAL FIGURES</w:t>
      </w:r>
      <w:bookmarkEnd w:id="26"/>
      <w:bookmarkEnd w:id="27"/>
    </w:p>
    <w:p w14:paraId="5D34BFAA" w14:textId="18AF2B0A" w:rsidR="00910C8B" w:rsidRPr="00282E3D" w:rsidRDefault="00910C8B" w:rsidP="0041280B">
      <w:pPr>
        <w:pStyle w:val="Papardraft"/>
        <w:ind w:firstLine="0"/>
        <w:outlineLvl w:val="1"/>
        <w:rPr>
          <w:lang w:val="en-US"/>
        </w:rPr>
      </w:pPr>
      <w:bookmarkStart w:id="28" w:name="_Toc59032041"/>
      <w:bookmarkStart w:id="29" w:name="_Toc59643466"/>
      <w:r w:rsidRPr="00282E3D">
        <w:rPr>
          <w:b/>
          <w:bCs/>
          <w:lang w:val="en-US"/>
        </w:rPr>
        <w:t xml:space="preserve">Supplemental </w:t>
      </w:r>
      <w:r w:rsidR="008C72F0" w:rsidRPr="00282E3D">
        <w:rPr>
          <w:b/>
          <w:bCs/>
          <w:lang w:val="en-US"/>
        </w:rPr>
        <w:t xml:space="preserve">Figure </w:t>
      </w:r>
      <w:r w:rsidR="00340866" w:rsidRPr="00282E3D">
        <w:rPr>
          <w:b/>
          <w:bCs/>
          <w:lang w:val="en-US"/>
        </w:rPr>
        <w:t>S</w:t>
      </w:r>
      <w:r w:rsidR="008C72F0" w:rsidRPr="00282E3D">
        <w:rPr>
          <w:b/>
          <w:bCs/>
          <w:lang w:val="en-US"/>
        </w:rPr>
        <w:t>1.</w:t>
      </w:r>
      <w:r w:rsidR="008C72F0" w:rsidRPr="00282E3D">
        <w:rPr>
          <w:lang w:val="en-US"/>
        </w:rPr>
        <w:t xml:space="preserve"> Experimental plan.</w:t>
      </w:r>
      <w:bookmarkEnd w:id="28"/>
      <w:bookmarkEnd w:id="29"/>
    </w:p>
    <w:p w14:paraId="47A1AB72" w14:textId="407FAC47" w:rsidR="00AC7B45" w:rsidRPr="00282E3D" w:rsidRDefault="008034E8" w:rsidP="0084264F">
      <w:pPr>
        <w:spacing w:after="160" w:line="259" w:lineRule="auto"/>
        <w:rPr>
          <w:rFonts w:ascii="Arial" w:hAnsi="Arial" w:cs="Arial"/>
          <w:b/>
          <w:bCs/>
        </w:rPr>
      </w:pPr>
      <w:r w:rsidRPr="00282E3D">
        <w:rPr>
          <w:rFonts w:ascii="Arial" w:hAnsi="Arial" w:cs="Arial"/>
          <w:b/>
          <w:bCs/>
          <w:noProof/>
          <w:lang w:eastAsia="zh-CN" w:bidi="th-TH"/>
        </w:rPr>
        <w:drawing>
          <wp:inline distT="0" distB="0" distL="0" distR="0" wp14:anchorId="4E4C9D2E" wp14:editId="3EF03C9C">
            <wp:extent cx="5760000" cy="4548581"/>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17" r="13842"/>
                    <a:stretch/>
                  </pic:blipFill>
                  <pic:spPr bwMode="auto">
                    <a:xfrm>
                      <a:off x="0" y="0"/>
                      <a:ext cx="5760000" cy="4548581"/>
                    </a:xfrm>
                    <a:prstGeom prst="rect">
                      <a:avLst/>
                    </a:prstGeom>
                    <a:noFill/>
                    <a:ln>
                      <a:noFill/>
                    </a:ln>
                    <a:extLst>
                      <a:ext uri="{53640926-AAD7-44D8-BBD7-CCE9431645EC}">
                        <a14:shadowObscured xmlns:a14="http://schemas.microsoft.com/office/drawing/2010/main"/>
                      </a:ext>
                    </a:extLst>
                  </pic:spPr>
                </pic:pic>
              </a:graphicData>
            </a:graphic>
          </wp:inline>
        </w:drawing>
      </w:r>
    </w:p>
    <w:p w14:paraId="4DD18AF3" w14:textId="650D6132" w:rsidR="00377F89" w:rsidRPr="00282E3D" w:rsidRDefault="00377F89" w:rsidP="00377F89">
      <w:pPr>
        <w:pStyle w:val="NoSpacing"/>
        <w:rPr>
          <w:rFonts w:ascii="Arial" w:hAnsi="Arial" w:cs="Arial"/>
          <w:sz w:val="24"/>
          <w:szCs w:val="24"/>
          <w:lang w:val="en-US"/>
        </w:rPr>
      </w:pPr>
      <w:r w:rsidRPr="00282E3D">
        <w:rPr>
          <w:rFonts w:ascii="Arial" w:hAnsi="Arial" w:cs="Arial"/>
          <w:sz w:val="24"/>
          <w:szCs w:val="24"/>
          <w:vertAlign w:val="superscript"/>
          <w:lang w:val="en-US"/>
        </w:rPr>
        <w:t>a</w:t>
      </w:r>
      <w:r w:rsidRPr="00282E3D">
        <w:rPr>
          <w:rFonts w:ascii="Arial" w:hAnsi="Arial" w:cs="Arial"/>
          <w:sz w:val="24"/>
          <w:szCs w:val="24"/>
          <w:lang w:val="en-US"/>
        </w:rPr>
        <w:t xml:space="preserve">Samples aliquoted, </w:t>
      </w:r>
      <w:r w:rsidR="006F6042" w:rsidRPr="00282E3D">
        <w:rPr>
          <w:rFonts w:ascii="Arial" w:hAnsi="Arial" w:cs="Arial"/>
          <w:sz w:val="24"/>
          <w:szCs w:val="24"/>
          <w:lang w:val="en-US"/>
        </w:rPr>
        <w:t>frozen,</w:t>
      </w:r>
      <w:r w:rsidRPr="00282E3D">
        <w:rPr>
          <w:rFonts w:ascii="Arial" w:hAnsi="Arial" w:cs="Arial"/>
          <w:sz w:val="24"/>
          <w:szCs w:val="24"/>
          <w:lang w:val="en-US"/>
        </w:rPr>
        <w:t xml:space="preserve"> and sent to the Central laboratory.</w:t>
      </w:r>
    </w:p>
    <w:p w14:paraId="7ACC5A33" w14:textId="51E95F6C" w:rsidR="00377F89" w:rsidRPr="00282E3D" w:rsidRDefault="00377F89" w:rsidP="00377F89">
      <w:pPr>
        <w:pStyle w:val="NoSpacing"/>
        <w:rPr>
          <w:rFonts w:ascii="Arial" w:hAnsi="Arial" w:cs="Arial"/>
          <w:sz w:val="24"/>
          <w:szCs w:val="24"/>
          <w:lang w:val="en-US"/>
        </w:rPr>
      </w:pPr>
      <w:r w:rsidRPr="00282E3D">
        <w:rPr>
          <w:rFonts w:ascii="Arial" w:hAnsi="Arial" w:cs="Arial"/>
          <w:sz w:val="24"/>
          <w:szCs w:val="24"/>
          <w:vertAlign w:val="superscript"/>
          <w:lang w:val="en-US"/>
        </w:rPr>
        <w:t>b</w:t>
      </w:r>
      <w:r w:rsidRPr="00282E3D">
        <w:rPr>
          <w:rFonts w:ascii="Arial" w:hAnsi="Arial" w:cs="Arial"/>
          <w:sz w:val="24"/>
          <w:szCs w:val="24"/>
          <w:lang w:val="en-US"/>
        </w:rPr>
        <w:t xml:space="preserve">Urine output every 2 hours will be recorded each day a urinary catheter is in place, then every 6 hours once the </w:t>
      </w:r>
      <w:r w:rsidR="00325BE5" w:rsidRPr="00282E3D">
        <w:rPr>
          <w:rFonts w:ascii="Arial" w:hAnsi="Arial" w:cs="Arial"/>
          <w:sz w:val="24"/>
          <w:szCs w:val="24"/>
          <w:lang w:val="en-US"/>
        </w:rPr>
        <w:t>urinary</w:t>
      </w:r>
      <w:r w:rsidRPr="00282E3D">
        <w:rPr>
          <w:rFonts w:ascii="Arial" w:hAnsi="Arial" w:cs="Arial"/>
          <w:sz w:val="24"/>
          <w:szCs w:val="24"/>
          <w:lang w:val="en-US"/>
        </w:rPr>
        <w:t xml:space="preserve"> catheter is removed.</w:t>
      </w:r>
    </w:p>
    <w:p w14:paraId="0CAD5323" w14:textId="1B040BDE" w:rsidR="00377F89" w:rsidRPr="00282E3D" w:rsidRDefault="00377F89" w:rsidP="00377F89">
      <w:pPr>
        <w:pStyle w:val="NoSpacing"/>
        <w:rPr>
          <w:rFonts w:ascii="Arial" w:hAnsi="Arial" w:cs="Arial"/>
          <w:sz w:val="24"/>
          <w:szCs w:val="24"/>
          <w:lang w:val="en-US"/>
        </w:rPr>
      </w:pPr>
      <w:r w:rsidRPr="00282E3D">
        <w:rPr>
          <w:rFonts w:ascii="Arial" w:hAnsi="Arial" w:cs="Arial"/>
          <w:sz w:val="24"/>
          <w:szCs w:val="24"/>
          <w:vertAlign w:val="superscript"/>
          <w:lang w:val="en-US"/>
        </w:rPr>
        <w:t>c</w:t>
      </w:r>
      <w:r w:rsidRPr="00282E3D">
        <w:rPr>
          <w:rFonts w:ascii="Arial" w:hAnsi="Arial" w:cs="Arial"/>
          <w:sz w:val="24"/>
          <w:szCs w:val="24"/>
          <w:lang w:val="en-US"/>
        </w:rPr>
        <w:t xml:space="preserve">Samples tested on site </w:t>
      </w:r>
      <w:r w:rsidR="00AA232F" w:rsidRPr="00282E3D">
        <w:rPr>
          <w:rFonts w:ascii="Arial" w:hAnsi="Arial" w:cs="Arial"/>
          <w:sz w:val="24"/>
          <w:szCs w:val="24"/>
          <w:lang w:val="en-US"/>
        </w:rPr>
        <w:t>for</w:t>
      </w:r>
      <w:r w:rsidRPr="00282E3D">
        <w:rPr>
          <w:rFonts w:ascii="Arial" w:hAnsi="Arial" w:cs="Arial"/>
          <w:sz w:val="24"/>
          <w:szCs w:val="24"/>
          <w:lang w:val="en-US"/>
        </w:rPr>
        <w:t xml:space="preserve"> </w:t>
      </w:r>
      <w:r w:rsidR="00AA232F" w:rsidRPr="00282E3D">
        <w:rPr>
          <w:rFonts w:ascii="Arial" w:hAnsi="Arial" w:cs="Arial"/>
          <w:sz w:val="24"/>
          <w:szCs w:val="24"/>
          <w:lang w:val="en-US"/>
        </w:rPr>
        <w:t>[</w:t>
      </w:r>
      <w:r w:rsidRPr="00282E3D">
        <w:rPr>
          <w:rFonts w:ascii="Arial" w:hAnsi="Arial" w:cs="Arial"/>
          <w:sz w:val="24"/>
          <w:szCs w:val="24"/>
          <w:lang w:val="en-US"/>
        </w:rPr>
        <w:t>TIMP-2]•[IGFBP7]</w:t>
      </w:r>
      <w:r w:rsidR="00AA232F" w:rsidRPr="00282E3D">
        <w:rPr>
          <w:rFonts w:ascii="Arial" w:hAnsi="Arial" w:cs="Arial"/>
          <w:sz w:val="24"/>
          <w:szCs w:val="24"/>
          <w:lang w:val="en-US"/>
        </w:rPr>
        <w:t xml:space="preserve"> </w:t>
      </w:r>
      <w:r w:rsidRPr="00282E3D">
        <w:rPr>
          <w:rFonts w:ascii="Arial" w:hAnsi="Arial" w:cs="Arial"/>
          <w:sz w:val="24"/>
          <w:szCs w:val="24"/>
          <w:lang w:val="en-US"/>
        </w:rPr>
        <w:t>and aliquots frozen and sent to the Central laboratory.</w:t>
      </w:r>
    </w:p>
    <w:p w14:paraId="705B1BE3" w14:textId="4B9A6401" w:rsidR="00377F89" w:rsidRPr="00282E3D" w:rsidRDefault="00377F89" w:rsidP="00377F89">
      <w:pPr>
        <w:pStyle w:val="NoSpacing"/>
        <w:rPr>
          <w:rFonts w:ascii="Arial" w:hAnsi="Arial" w:cs="Arial"/>
          <w:sz w:val="24"/>
          <w:szCs w:val="24"/>
          <w:lang w:val="en-US"/>
        </w:rPr>
      </w:pPr>
      <w:r w:rsidRPr="00282E3D">
        <w:rPr>
          <w:rFonts w:ascii="Arial" w:hAnsi="Arial" w:cs="Arial"/>
          <w:sz w:val="24"/>
          <w:szCs w:val="24"/>
          <w:lang w:val="en-US"/>
        </w:rPr>
        <w:t xml:space="preserve">IGFBP7 = insulin-like growth factor binding protein 7; hrs = hours; KSSB = kidney-sparing sepsis bundle; SOC = standard of care; TIMP-2 = </w:t>
      </w:r>
      <w:r w:rsidR="007B1223" w:rsidRPr="00282E3D">
        <w:rPr>
          <w:rFonts w:ascii="Arial" w:hAnsi="Arial" w:cs="Arial"/>
          <w:sz w:val="24"/>
          <w:szCs w:val="24"/>
          <w:lang w:val="en-US"/>
        </w:rPr>
        <w:t>tissue inhibitor of metalloproteinases-2</w:t>
      </w:r>
      <w:r w:rsidRPr="00282E3D">
        <w:rPr>
          <w:rFonts w:ascii="Arial" w:hAnsi="Arial" w:cs="Arial"/>
          <w:sz w:val="24"/>
          <w:szCs w:val="24"/>
          <w:lang w:val="en-US"/>
        </w:rPr>
        <w:t>; UO = urine output.</w:t>
      </w:r>
    </w:p>
    <w:p w14:paraId="13A77069" w14:textId="4BA9B4A6" w:rsidR="00910C8B" w:rsidRPr="00282E3D" w:rsidRDefault="00910C8B">
      <w:pPr>
        <w:spacing w:after="160" w:line="259" w:lineRule="auto"/>
        <w:rPr>
          <w:rFonts w:ascii="Arial" w:hAnsi="Arial" w:cs="Arial"/>
          <w:b/>
          <w:bCs/>
        </w:rPr>
      </w:pPr>
      <w:r w:rsidRPr="00282E3D">
        <w:rPr>
          <w:rFonts w:ascii="Arial" w:hAnsi="Arial" w:cs="Arial"/>
          <w:b/>
          <w:bCs/>
        </w:rPr>
        <w:br w:type="page"/>
      </w:r>
    </w:p>
    <w:p w14:paraId="46710EBC" w14:textId="4438864D" w:rsidR="00910C8B" w:rsidRPr="00282E3D" w:rsidRDefault="00910C8B" w:rsidP="0041280B">
      <w:pPr>
        <w:pStyle w:val="Papardraft"/>
        <w:spacing w:line="276" w:lineRule="auto"/>
        <w:ind w:firstLine="0"/>
        <w:outlineLvl w:val="1"/>
        <w:rPr>
          <w:lang w:val="en-US"/>
        </w:rPr>
      </w:pPr>
      <w:bookmarkStart w:id="30" w:name="_Toc59032042"/>
      <w:bookmarkStart w:id="31" w:name="_Toc59643467"/>
      <w:r w:rsidRPr="00282E3D">
        <w:rPr>
          <w:b/>
          <w:bCs/>
          <w:lang w:val="en-US"/>
        </w:rPr>
        <w:lastRenderedPageBreak/>
        <w:t xml:space="preserve">Supplemental Figure </w:t>
      </w:r>
      <w:r w:rsidR="00340866" w:rsidRPr="00282E3D">
        <w:rPr>
          <w:b/>
          <w:bCs/>
          <w:lang w:val="en-US"/>
        </w:rPr>
        <w:t>S</w:t>
      </w:r>
      <w:r w:rsidRPr="00282E3D">
        <w:rPr>
          <w:b/>
          <w:bCs/>
          <w:lang w:val="en-US"/>
        </w:rPr>
        <w:t>2.</w:t>
      </w:r>
      <w:r w:rsidRPr="00282E3D">
        <w:rPr>
          <w:lang w:val="en-US"/>
        </w:rPr>
        <w:t xml:space="preserve"> Study Design.</w:t>
      </w:r>
      <w:bookmarkEnd w:id="30"/>
      <w:bookmarkEnd w:id="31"/>
    </w:p>
    <w:p w14:paraId="4ECEBEEE" w14:textId="1BB43216" w:rsidR="00910C8B" w:rsidRPr="00282E3D" w:rsidRDefault="00783062" w:rsidP="0084264F">
      <w:pPr>
        <w:spacing w:after="160" w:line="259" w:lineRule="auto"/>
        <w:rPr>
          <w:rFonts w:ascii="Arial" w:hAnsi="Arial" w:cs="Arial"/>
          <w:b/>
          <w:bCs/>
        </w:rPr>
      </w:pPr>
      <w:r w:rsidRPr="00282E3D">
        <w:rPr>
          <w:rFonts w:ascii="Arial" w:hAnsi="Arial" w:cs="Arial"/>
          <w:b/>
          <w:bCs/>
          <w:noProof/>
        </w:rPr>
        <w:drawing>
          <wp:inline distT="0" distB="0" distL="0" distR="0" wp14:anchorId="64D83E6B" wp14:editId="25FAC729">
            <wp:extent cx="5795158" cy="2006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144" r="4858" b="19380"/>
                    <a:stretch/>
                  </pic:blipFill>
                  <pic:spPr bwMode="auto">
                    <a:xfrm>
                      <a:off x="0" y="0"/>
                      <a:ext cx="5796273" cy="2006986"/>
                    </a:xfrm>
                    <a:prstGeom prst="rect">
                      <a:avLst/>
                    </a:prstGeom>
                    <a:noFill/>
                    <a:ln>
                      <a:noFill/>
                    </a:ln>
                    <a:extLst>
                      <a:ext uri="{53640926-AAD7-44D8-BBD7-CCE9431645EC}">
                        <a14:shadowObscured xmlns:a14="http://schemas.microsoft.com/office/drawing/2010/main"/>
                      </a:ext>
                    </a:extLst>
                  </pic:spPr>
                </pic:pic>
              </a:graphicData>
            </a:graphic>
          </wp:inline>
        </w:drawing>
      </w:r>
    </w:p>
    <w:p w14:paraId="2682E819" w14:textId="77777777" w:rsidR="0041280B" w:rsidRPr="00282E3D" w:rsidRDefault="0041280B" w:rsidP="0041280B">
      <w:pPr>
        <w:pStyle w:val="NoSpacing"/>
        <w:rPr>
          <w:rFonts w:ascii="Arial" w:hAnsi="Arial" w:cs="Arial"/>
          <w:sz w:val="24"/>
          <w:szCs w:val="24"/>
          <w:lang w:val="en-US"/>
        </w:rPr>
      </w:pPr>
      <w:r w:rsidRPr="00282E3D">
        <w:rPr>
          <w:rFonts w:ascii="Arial" w:hAnsi="Arial" w:cs="Arial"/>
          <w:sz w:val="24"/>
          <w:szCs w:val="24"/>
          <w:vertAlign w:val="superscript"/>
          <w:lang w:val="en-US"/>
        </w:rPr>
        <w:t>a</w:t>
      </w:r>
      <w:r w:rsidRPr="00282E3D">
        <w:rPr>
          <w:rFonts w:ascii="Arial" w:hAnsi="Arial" w:cs="Arial"/>
          <w:sz w:val="24"/>
          <w:szCs w:val="24"/>
          <w:lang w:val="en-US"/>
        </w:rPr>
        <w:t>Clinical diagnosis of sepsis or septic shock per Sepsis-3 definitions.</w:t>
      </w:r>
    </w:p>
    <w:p w14:paraId="5F03D881" w14:textId="77777777" w:rsidR="0009067A" w:rsidRPr="00282E3D" w:rsidRDefault="0009067A" w:rsidP="0041280B">
      <w:pPr>
        <w:pStyle w:val="NoSpacing"/>
        <w:rPr>
          <w:rFonts w:ascii="Arial" w:hAnsi="Arial" w:cs="Arial"/>
          <w:sz w:val="24"/>
          <w:szCs w:val="24"/>
          <w:lang w:val="en-US"/>
        </w:rPr>
      </w:pPr>
    </w:p>
    <w:p w14:paraId="5ED5068E" w14:textId="10A3AAC9" w:rsidR="0041280B" w:rsidRPr="00282E3D" w:rsidRDefault="0041280B" w:rsidP="0041280B">
      <w:pPr>
        <w:pStyle w:val="NoSpacing"/>
        <w:rPr>
          <w:rFonts w:ascii="Arial" w:hAnsi="Arial" w:cs="Arial"/>
          <w:sz w:val="24"/>
          <w:szCs w:val="24"/>
          <w:lang w:val="en-US"/>
        </w:rPr>
      </w:pPr>
      <w:r w:rsidRPr="00282E3D">
        <w:rPr>
          <w:rFonts w:ascii="Arial" w:hAnsi="Arial" w:cs="Arial"/>
          <w:sz w:val="24"/>
          <w:szCs w:val="24"/>
          <w:lang w:val="en-US"/>
        </w:rPr>
        <w:t xml:space="preserve">IGFBP7 = insulin-like growth factor binding protein 7; KSSB = kidney-sparing sepsis bundle; SOC = standard of care; TIMP-2 = </w:t>
      </w:r>
      <w:r w:rsidR="007B1223" w:rsidRPr="00282E3D">
        <w:rPr>
          <w:rFonts w:ascii="Arial" w:hAnsi="Arial" w:cs="Arial"/>
          <w:sz w:val="24"/>
          <w:szCs w:val="24"/>
          <w:lang w:val="en-US"/>
        </w:rPr>
        <w:t>tissue inhibitor of metalloproteinases-2</w:t>
      </w:r>
      <w:r w:rsidR="00377F89" w:rsidRPr="00282E3D">
        <w:rPr>
          <w:rFonts w:ascii="Arial" w:hAnsi="Arial" w:cs="Arial"/>
          <w:sz w:val="24"/>
          <w:szCs w:val="24"/>
          <w:lang w:val="en-US"/>
        </w:rPr>
        <w:t>.</w:t>
      </w:r>
    </w:p>
    <w:p w14:paraId="6B44ACF0" w14:textId="33003BCB" w:rsidR="00490952" w:rsidRPr="00282E3D" w:rsidRDefault="00490952">
      <w:pPr>
        <w:spacing w:after="160" w:line="259" w:lineRule="auto"/>
        <w:rPr>
          <w:rFonts w:ascii="Arial" w:hAnsi="Arial" w:cs="Arial"/>
          <w:b/>
          <w:bCs/>
        </w:rPr>
      </w:pPr>
    </w:p>
    <w:p w14:paraId="2B02B8B5" w14:textId="77777777" w:rsidR="00490952" w:rsidRPr="00282E3D" w:rsidRDefault="00490952">
      <w:pPr>
        <w:spacing w:after="160" w:line="259" w:lineRule="auto"/>
        <w:rPr>
          <w:rFonts w:ascii="Arial" w:hAnsi="Arial" w:cs="Arial"/>
          <w:b/>
          <w:bCs/>
        </w:rPr>
      </w:pPr>
    </w:p>
    <w:p w14:paraId="416A9734" w14:textId="77777777" w:rsidR="00062275" w:rsidRPr="00282E3D" w:rsidRDefault="00062275">
      <w:pPr>
        <w:spacing w:after="160" w:line="259" w:lineRule="auto"/>
        <w:rPr>
          <w:rFonts w:ascii="Arial" w:hAnsi="Arial" w:cs="Arial"/>
          <w:b/>
          <w:bCs/>
        </w:rPr>
      </w:pPr>
      <w:r w:rsidRPr="00282E3D">
        <w:rPr>
          <w:rFonts w:ascii="Arial" w:hAnsi="Arial" w:cs="Arial"/>
          <w:b/>
          <w:bCs/>
        </w:rPr>
        <w:br w:type="page"/>
      </w:r>
    </w:p>
    <w:p w14:paraId="31377C36" w14:textId="5499881E" w:rsidR="00062275" w:rsidRPr="00282E3D" w:rsidRDefault="00062275" w:rsidP="00062275">
      <w:pPr>
        <w:pStyle w:val="Papardraft"/>
        <w:spacing w:line="276" w:lineRule="auto"/>
        <w:ind w:firstLine="0"/>
        <w:outlineLvl w:val="1"/>
        <w:rPr>
          <w:lang w:val="en-US"/>
        </w:rPr>
      </w:pPr>
      <w:bookmarkStart w:id="32" w:name="_Toc59643468"/>
      <w:r w:rsidRPr="00282E3D">
        <w:rPr>
          <w:b/>
          <w:bCs/>
          <w:lang w:val="en-US"/>
        </w:rPr>
        <w:lastRenderedPageBreak/>
        <w:t>Supplemental Figure S3.</w:t>
      </w:r>
      <w:r w:rsidRPr="00282E3D">
        <w:rPr>
          <w:lang w:val="en-US"/>
        </w:rPr>
        <w:t xml:space="preserve"> Protocol simulation in ProCESS trial in sensitivity analysis cohort.</w:t>
      </w:r>
      <w:bookmarkEnd w:id="32"/>
    </w:p>
    <w:p w14:paraId="7520F4D2" w14:textId="799A3BE1" w:rsidR="00062275" w:rsidRPr="00282E3D" w:rsidRDefault="00065C7D" w:rsidP="00062275">
      <w:pPr>
        <w:pStyle w:val="NoSpacing"/>
        <w:rPr>
          <w:rFonts w:ascii="Arial" w:hAnsi="Arial" w:cs="Arial"/>
          <w:sz w:val="24"/>
          <w:szCs w:val="24"/>
          <w:lang w:val="en-US"/>
        </w:rPr>
      </w:pPr>
      <w:r w:rsidRPr="00282E3D">
        <w:rPr>
          <w:rFonts w:ascii="Arial" w:hAnsi="Arial" w:cs="Arial"/>
          <w:noProof/>
          <w:sz w:val="24"/>
          <w:szCs w:val="24"/>
          <w:lang w:val="en-US"/>
        </w:rPr>
        <w:drawing>
          <wp:inline distT="0" distB="0" distL="0" distR="0" wp14:anchorId="2CF82F2F" wp14:editId="6EF2DBD0">
            <wp:extent cx="4032250" cy="3442970"/>
            <wp:effectExtent l="0" t="0" r="635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0" cstate="print">
                      <a:extLst>
                        <a:ext uri="{28A0092B-C50C-407E-A947-70E740481C1C}">
                          <a14:useLocalDpi xmlns:a14="http://schemas.microsoft.com/office/drawing/2010/main" val="0"/>
                        </a:ext>
                      </a:extLst>
                    </a:blip>
                    <a:srcRect r="34115"/>
                    <a:stretch/>
                  </pic:blipFill>
                  <pic:spPr bwMode="auto">
                    <a:xfrm>
                      <a:off x="0" y="0"/>
                      <a:ext cx="4032250" cy="3442970"/>
                    </a:xfrm>
                    <a:prstGeom prst="rect">
                      <a:avLst/>
                    </a:prstGeom>
                    <a:ln>
                      <a:noFill/>
                    </a:ln>
                    <a:extLst>
                      <a:ext uri="{53640926-AAD7-44D8-BBD7-CCE9431645EC}">
                        <a14:shadowObscured xmlns:a14="http://schemas.microsoft.com/office/drawing/2010/main"/>
                      </a:ext>
                    </a:extLst>
                  </pic:spPr>
                </pic:pic>
              </a:graphicData>
            </a:graphic>
          </wp:inline>
        </w:drawing>
      </w:r>
    </w:p>
    <w:p w14:paraId="555F2EB6" w14:textId="77777777" w:rsidR="0002389B" w:rsidRPr="00282E3D" w:rsidRDefault="0002389B" w:rsidP="00062275">
      <w:pPr>
        <w:pStyle w:val="NoSpacing"/>
        <w:rPr>
          <w:rFonts w:ascii="Arial" w:hAnsi="Arial" w:cs="Arial"/>
          <w:sz w:val="24"/>
          <w:szCs w:val="24"/>
          <w:lang w:val="en-US"/>
        </w:rPr>
      </w:pPr>
    </w:p>
    <w:p w14:paraId="67F06F6E" w14:textId="788304E1" w:rsidR="00062275" w:rsidRPr="00282E3D" w:rsidRDefault="00062275" w:rsidP="00062275">
      <w:pPr>
        <w:pStyle w:val="NoSpacing"/>
        <w:rPr>
          <w:rFonts w:ascii="Arial" w:hAnsi="Arial" w:cs="Arial"/>
          <w:sz w:val="24"/>
          <w:szCs w:val="24"/>
          <w:lang w:val="en-US"/>
        </w:rPr>
      </w:pPr>
      <w:r w:rsidRPr="00282E3D">
        <w:rPr>
          <w:rFonts w:ascii="Arial" w:hAnsi="Arial" w:cs="Arial"/>
          <w:sz w:val="24"/>
          <w:szCs w:val="24"/>
          <w:lang w:val="en-US"/>
        </w:rPr>
        <w:t>The figure shows the protocol algorithm simulated in ProCESS. These patients did not receive these levels of kidney-sparing sepsis bundle, but these interventions would have been recommended based on the biomarker results. In each box it is shown the total number of patients in this level of treatment while in the round brackets it is shown the percentage of these patients that reach the primary endpoint.</w:t>
      </w:r>
    </w:p>
    <w:p w14:paraId="0DEFBE28" w14:textId="1DF99DF4" w:rsidR="00062275" w:rsidRPr="00282E3D" w:rsidRDefault="00062275" w:rsidP="00062275">
      <w:pPr>
        <w:pStyle w:val="NoSpacing"/>
        <w:rPr>
          <w:rFonts w:ascii="Arial" w:hAnsi="Arial" w:cs="Arial"/>
          <w:sz w:val="24"/>
          <w:szCs w:val="24"/>
          <w:lang w:val="en-US"/>
        </w:rPr>
      </w:pPr>
      <w:r w:rsidRPr="00282E3D">
        <w:rPr>
          <w:rFonts w:ascii="Arial" w:hAnsi="Arial" w:cs="Arial"/>
          <w:sz w:val="24"/>
          <w:szCs w:val="24"/>
          <w:lang w:val="en-US"/>
        </w:rPr>
        <w:t>The first [TIMP-2]•[IGFBP7] test was performed at 6 hours from enrollment/sepsis diagnosis while the second</w:t>
      </w:r>
      <w:r w:rsidR="00EF4B05" w:rsidRPr="00282E3D">
        <w:rPr>
          <w:rFonts w:ascii="Arial" w:hAnsi="Arial" w:cs="Arial"/>
          <w:sz w:val="24"/>
          <w:szCs w:val="24"/>
          <w:lang w:val="en-US"/>
        </w:rPr>
        <w:t xml:space="preserve"> was</w:t>
      </w:r>
      <w:r w:rsidRPr="00282E3D">
        <w:rPr>
          <w:rFonts w:ascii="Arial" w:hAnsi="Arial" w:cs="Arial"/>
          <w:sz w:val="24"/>
          <w:szCs w:val="24"/>
          <w:lang w:val="en-US"/>
        </w:rPr>
        <w:t xml:space="preserve"> at 24 hours from enrollment/sepsis diagnosis.</w:t>
      </w:r>
    </w:p>
    <w:p w14:paraId="143B125A" w14:textId="413867D4" w:rsidR="00FA0E49" w:rsidRPr="00282E3D" w:rsidRDefault="00FA0E49" w:rsidP="00062275">
      <w:pPr>
        <w:pStyle w:val="NoSpacing"/>
        <w:rPr>
          <w:rFonts w:ascii="Arial" w:hAnsi="Arial" w:cs="Arial"/>
          <w:sz w:val="24"/>
          <w:szCs w:val="24"/>
          <w:lang w:val="en-US"/>
        </w:rPr>
      </w:pPr>
      <w:r w:rsidRPr="00282E3D">
        <w:rPr>
          <w:rFonts w:ascii="Arial" w:hAnsi="Arial" w:cs="Arial"/>
          <w:sz w:val="24"/>
          <w:szCs w:val="24"/>
          <w:lang w:val="en-US"/>
        </w:rPr>
        <w:t xml:space="preserve">In case the second [TIMP-2]•[IGFBP7] was missing (for 84 patients), the patient remained at the current treatment level obtained after the first </w:t>
      </w:r>
      <w:r w:rsidR="0091466E" w:rsidRPr="00282E3D">
        <w:rPr>
          <w:rFonts w:ascii="Arial" w:hAnsi="Arial" w:cs="Arial"/>
          <w:sz w:val="24"/>
          <w:szCs w:val="24"/>
          <w:lang w:val="en-US"/>
        </w:rPr>
        <w:t>[TIMP-2]•[IGFBP7].</w:t>
      </w:r>
    </w:p>
    <w:p w14:paraId="415ECD49" w14:textId="77777777" w:rsidR="00062275" w:rsidRPr="00282E3D" w:rsidRDefault="00062275" w:rsidP="00062275">
      <w:pPr>
        <w:pStyle w:val="NoSpacing"/>
        <w:rPr>
          <w:rFonts w:ascii="Arial" w:hAnsi="Arial" w:cs="Arial"/>
          <w:sz w:val="24"/>
          <w:szCs w:val="24"/>
          <w:lang w:val="en-US"/>
        </w:rPr>
      </w:pPr>
      <w:r w:rsidRPr="00282E3D">
        <w:rPr>
          <w:rFonts w:ascii="Arial" w:hAnsi="Arial" w:cs="Arial"/>
          <w:sz w:val="24"/>
          <w:szCs w:val="24"/>
          <w:lang w:val="en-US"/>
        </w:rPr>
        <w:t>For the rules of the red circled numbers, see legend of Figure 1.</w:t>
      </w:r>
    </w:p>
    <w:p w14:paraId="6CF651AB" w14:textId="2DC10A9E" w:rsidR="00062275" w:rsidRPr="00282E3D" w:rsidRDefault="00062275" w:rsidP="00062275">
      <w:pPr>
        <w:pStyle w:val="NoSpacing"/>
        <w:rPr>
          <w:rFonts w:ascii="Arial" w:hAnsi="Arial" w:cs="Arial"/>
          <w:sz w:val="24"/>
          <w:szCs w:val="24"/>
          <w:lang w:val="en-US"/>
        </w:rPr>
      </w:pPr>
      <w:r w:rsidRPr="00282E3D">
        <w:rPr>
          <w:rFonts w:ascii="Arial" w:hAnsi="Arial" w:cs="Arial"/>
          <w:sz w:val="24"/>
          <w:szCs w:val="24"/>
          <w:vertAlign w:val="superscript"/>
          <w:lang w:val="en-US"/>
        </w:rPr>
        <w:t>a</w:t>
      </w:r>
      <w:r w:rsidRPr="00282E3D">
        <w:rPr>
          <w:rFonts w:ascii="Arial" w:hAnsi="Arial" w:cs="Arial"/>
          <w:sz w:val="24"/>
          <w:szCs w:val="24"/>
          <w:lang w:val="en-US"/>
        </w:rPr>
        <w:t>In ProCESS the dialysis endpoint was evaluated at 48 hours from enrollment instead of 72 hours.</w:t>
      </w:r>
    </w:p>
    <w:p w14:paraId="61C1130F" w14:textId="77777777" w:rsidR="003C5FBB" w:rsidRPr="00282E3D" w:rsidRDefault="003C5FBB" w:rsidP="00062275">
      <w:pPr>
        <w:pStyle w:val="NoSpacing"/>
        <w:rPr>
          <w:rFonts w:ascii="Arial" w:hAnsi="Arial" w:cs="Arial"/>
          <w:sz w:val="24"/>
          <w:szCs w:val="24"/>
          <w:lang w:val="en-US"/>
        </w:rPr>
      </w:pPr>
    </w:p>
    <w:p w14:paraId="1AA7AB11" w14:textId="40A7F965" w:rsidR="00062275" w:rsidRPr="00282E3D" w:rsidRDefault="00062275" w:rsidP="00062275">
      <w:pPr>
        <w:pStyle w:val="NoSpacing"/>
        <w:rPr>
          <w:rFonts w:ascii="Arial" w:hAnsi="Arial" w:cs="Arial"/>
          <w:sz w:val="24"/>
          <w:szCs w:val="24"/>
          <w:lang w:val="en-US"/>
        </w:rPr>
      </w:pPr>
      <w:r w:rsidRPr="00282E3D">
        <w:rPr>
          <w:rFonts w:ascii="Arial" w:hAnsi="Arial" w:cs="Arial"/>
          <w:sz w:val="24"/>
          <w:szCs w:val="24"/>
          <w:lang w:val="en-US"/>
        </w:rPr>
        <w:t>AKI = acute kidney injury; ICU = intensive care unit; IGFBP7 = insulin-like growth factor binding protein 7; L = level of the kidney-sparing sepsis bundle; SOC = standard of care; TIMP-2 = tissue inhibitor of metalloproteinases-2.</w:t>
      </w:r>
    </w:p>
    <w:p w14:paraId="27F8D921" w14:textId="4042FED0" w:rsidR="00490952" w:rsidRPr="00282E3D" w:rsidRDefault="00490952">
      <w:pPr>
        <w:spacing w:after="160" w:line="259" w:lineRule="auto"/>
        <w:rPr>
          <w:rFonts w:ascii="Arial" w:hAnsi="Arial" w:cs="Arial"/>
          <w:b/>
          <w:bCs/>
        </w:rPr>
      </w:pPr>
      <w:r w:rsidRPr="00282E3D">
        <w:rPr>
          <w:rFonts w:ascii="Arial" w:hAnsi="Arial" w:cs="Arial"/>
          <w:b/>
          <w:bCs/>
        </w:rPr>
        <w:br w:type="page"/>
      </w:r>
    </w:p>
    <w:p w14:paraId="4E3CCE45" w14:textId="77777777" w:rsidR="0096337D" w:rsidRPr="00282E3D" w:rsidRDefault="0096337D" w:rsidP="002D75CF">
      <w:pPr>
        <w:pStyle w:val="NoSpacing"/>
        <w:spacing w:line="276" w:lineRule="auto"/>
        <w:outlineLvl w:val="0"/>
        <w:rPr>
          <w:rFonts w:ascii="Arial" w:hAnsi="Arial" w:cs="Arial"/>
          <w:b/>
          <w:bCs/>
          <w:sz w:val="24"/>
          <w:szCs w:val="24"/>
          <w:lang w:val="en-US"/>
        </w:rPr>
      </w:pPr>
      <w:bookmarkStart w:id="33" w:name="_Toc59032043"/>
      <w:bookmarkStart w:id="34" w:name="_Toc59643469"/>
      <w:r w:rsidRPr="00282E3D">
        <w:rPr>
          <w:rFonts w:ascii="Arial" w:hAnsi="Arial" w:cs="Arial"/>
          <w:b/>
          <w:bCs/>
          <w:sz w:val="24"/>
          <w:szCs w:val="24"/>
          <w:lang w:val="en-US"/>
        </w:rPr>
        <w:lastRenderedPageBreak/>
        <w:t>SAPPHIRE PARTICIPATING SITES AND INVESTIGATORS</w:t>
      </w:r>
      <w:bookmarkEnd w:id="33"/>
      <w:bookmarkEnd w:id="34"/>
    </w:p>
    <w:p w14:paraId="170E7A0A" w14:textId="77777777" w:rsidR="00AE331D" w:rsidRPr="00282E3D" w:rsidRDefault="00AE331D" w:rsidP="002D75CF">
      <w:pPr>
        <w:spacing w:after="0" w:line="276" w:lineRule="auto"/>
        <w:rPr>
          <w:rFonts w:ascii="Arial" w:hAnsi="Arial" w:cs="Arial"/>
          <w:u w:val="single"/>
        </w:rPr>
      </w:pPr>
    </w:p>
    <w:p w14:paraId="216C89C2" w14:textId="77777777" w:rsidR="00AE331D" w:rsidRPr="00282E3D" w:rsidRDefault="00AE331D" w:rsidP="002D75CF">
      <w:pPr>
        <w:spacing w:after="0" w:line="276" w:lineRule="auto"/>
        <w:rPr>
          <w:rFonts w:ascii="Arial" w:hAnsi="Arial" w:cs="Arial"/>
        </w:rPr>
      </w:pPr>
      <w:r w:rsidRPr="00282E3D">
        <w:rPr>
          <w:rFonts w:ascii="Arial" w:hAnsi="Arial" w:cs="Arial"/>
        </w:rPr>
        <w:t>Sapphire Principal Investigator: John A Kellum, MD</w:t>
      </w:r>
    </w:p>
    <w:p w14:paraId="5BED8CD3" w14:textId="77777777" w:rsidR="00AE331D" w:rsidRPr="00282E3D" w:rsidRDefault="00AE331D" w:rsidP="002D75CF">
      <w:pPr>
        <w:spacing w:after="0" w:line="276" w:lineRule="auto"/>
        <w:rPr>
          <w:rFonts w:ascii="Arial" w:hAnsi="Arial" w:cs="Arial"/>
        </w:rPr>
      </w:pPr>
    </w:p>
    <w:p w14:paraId="43406114" w14:textId="77777777" w:rsidR="00AE331D" w:rsidRPr="00282E3D" w:rsidRDefault="00AE331D" w:rsidP="002D75CF">
      <w:pPr>
        <w:spacing w:after="0" w:line="276" w:lineRule="auto"/>
        <w:rPr>
          <w:rFonts w:ascii="Arial" w:hAnsi="Arial" w:cs="Arial"/>
        </w:rPr>
      </w:pPr>
      <w:r w:rsidRPr="00282E3D">
        <w:rPr>
          <w:rFonts w:ascii="Arial" w:hAnsi="Arial" w:cs="Arial"/>
        </w:rPr>
        <w:t>Sapphire Co-Principal Investigator: Lakhmir S Chawla, MD</w:t>
      </w:r>
    </w:p>
    <w:p w14:paraId="17D921B9" w14:textId="77777777" w:rsidR="00AE331D" w:rsidRPr="00282E3D" w:rsidRDefault="00AE331D" w:rsidP="002D75CF">
      <w:pPr>
        <w:spacing w:after="0" w:line="276" w:lineRule="auto"/>
        <w:rPr>
          <w:rFonts w:ascii="Arial" w:hAnsi="Arial" w:cs="Arial"/>
        </w:rPr>
      </w:pPr>
    </w:p>
    <w:p w14:paraId="6225518E" w14:textId="77777777" w:rsidR="00AE331D" w:rsidRPr="00282E3D" w:rsidRDefault="00AE331D" w:rsidP="002D75CF">
      <w:pPr>
        <w:spacing w:after="0" w:line="276" w:lineRule="auto"/>
        <w:rPr>
          <w:rFonts w:ascii="Arial" w:hAnsi="Arial" w:cs="Arial"/>
        </w:rPr>
      </w:pPr>
      <w:r w:rsidRPr="00282E3D">
        <w:rPr>
          <w:rFonts w:ascii="Arial" w:hAnsi="Arial" w:cs="Arial"/>
        </w:rPr>
        <w:t xml:space="preserve">Sapphire Study Enrolling Sites: </w:t>
      </w:r>
    </w:p>
    <w:p w14:paraId="4CB69DEF" w14:textId="77777777" w:rsidR="00AE331D" w:rsidRPr="00282E3D" w:rsidRDefault="00AE331D" w:rsidP="002D75CF">
      <w:pPr>
        <w:spacing w:after="0" w:line="276" w:lineRule="auto"/>
        <w:rPr>
          <w:rFonts w:ascii="Arial" w:hAnsi="Arial" w:cs="Arial"/>
        </w:rPr>
      </w:pPr>
    </w:p>
    <w:p w14:paraId="14D5C281"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Arizona: </w:t>
      </w:r>
      <w:r w:rsidRPr="00282E3D">
        <w:rPr>
          <w:rFonts w:ascii="Arial" w:hAnsi="Arial" w:cs="Arial"/>
          <w:i/>
        </w:rPr>
        <w:t>Maricopa Integrated Health System</w:t>
      </w:r>
      <w:r w:rsidRPr="00282E3D">
        <w:rPr>
          <w:rFonts w:ascii="Arial" w:hAnsi="Arial" w:cs="Arial"/>
        </w:rPr>
        <w:t xml:space="preserve"> – Thomas Ardiles, MD; Tera Williamson, BS.</w:t>
      </w:r>
    </w:p>
    <w:p w14:paraId="679378D2" w14:textId="77777777" w:rsidR="00AE331D" w:rsidRPr="00282E3D" w:rsidRDefault="00AE331D" w:rsidP="002D75CF">
      <w:pPr>
        <w:tabs>
          <w:tab w:val="left" w:pos="180"/>
        </w:tabs>
        <w:spacing w:after="0" w:line="276" w:lineRule="auto"/>
        <w:ind w:left="180"/>
        <w:rPr>
          <w:rFonts w:ascii="Arial" w:hAnsi="Arial" w:cs="Arial"/>
        </w:rPr>
      </w:pPr>
    </w:p>
    <w:p w14:paraId="1F8F05B4"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California: </w:t>
      </w:r>
      <w:r w:rsidRPr="00282E3D">
        <w:rPr>
          <w:rFonts w:ascii="Arial" w:hAnsi="Arial" w:cs="Arial"/>
          <w:i/>
        </w:rPr>
        <w:t>University of California San Diego</w:t>
      </w:r>
      <w:r w:rsidRPr="00282E3D">
        <w:rPr>
          <w:rFonts w:ascii="Arial" w:hAnsi="Arial" w:cs="Arial"/>
        </w:rPr>
        <w:t xml:space="preserve"> – Scott Mullaney, MD.</w:t>
      </w:r>
    </w:p>
    <w:p w14:paraId="4CDA9611" w14:textId="77777777" w:rsidR="00AE331D" w:rsidRPr="00282E3D" w:rsidRDefault="00AE331D" w:rsidP="002D75CF">
      <w:pPr>
        <w:tabs>
          <w:tab w:val="left" w:pos="180"/>
        </w:tabs>
        <w:spacing w:after="0" w:line="276" w:lineRule="auto"/>
        <w:ind w:left="180"/>
        <w:rPr>
          <w:rFonts w:ascii="Arial" w:hAnsi="Arial" w:cs="Arial"/>
        </w:rPr>
      </w:pPr>
    </w:p>
    <w:p w14:paraId="78BBF58B"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District of Columbia: </w:t>
      </w:r>
      <w:r w:rsidRPr="00282E3D">
        <w:rPr>
          <w:rFonts w:ascii="Arial" w:hAnsi="Arial" w:cs="Arial"/>
          <w:i/>
        </w:rPr>
        <w:t>George Washington University Medical Center</w:t>
      </w:r>
      <w:r w:rsidRPr="00282E3D">
        <w:rPr>
          <w:rFonts w:ascii="Arial" w:hAnsi="Arial" w:cs="Arial"/>
        </w:rPr>
        <w:t xml:space="preserve"> – Danielle L Davison, MD; Christina Seneff; Ermira Brasha-Mitchell.</w:t>
      </w:r>
    </w:p>
    <w:p w14:paraId="5DC7E0DC" w14:textId="77777777" w:rsidR="00AE331D" w:rsidRPr="00282E3D" w:rsidRDefault="00AE331D" w:rsidP="002D75CF">
      <w:pPr>
        <w:tabs>
          <w:tab w:val="left" w:pos="180"/>
        </w:tabs>
        <w:spacing w:after="0" w:line="276" w:lineRule="auto"/>
        <w:ind w:left="180"/>
        <w:rPr>
          <w:rFonts w:ascii="Arial" w:hAnsi="Arial" w:cs="Arial"/>
        </w:rPr>
      </w:pPr>
    </w:p>
    <w:p w14:paraId="580A526E"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Florida: </w:t>
      </w:r>
      <w:r w:rsidRPr="00282E3D">
        <w:rPr>
          <w:rFonts w:ascii="Arial" w:hAnsi="Arial" w:cs="Arial"/>
          <w:i/>
        </w:rPr>
        <w:t>Bruce W. Carter Department of Veterans Affairs Medical Center</w:t>
      </w:r>
      <w:r w:rsidRPr="00282E3D">
        <w:rPr>
          <w:rFonts w:ascii="Arial" w:hAnsi="Arial" w:cs="Arial"/>
        </w:rPr>
        <w:t xml:space="preserve"> – Cynthia Cely, MD; Roland M Schein, MD; Andrew Quartin, MD, MPH. </w:t>
      </w:r>
      <w:r w:rsidRPr="00282E3D">
        <w:rPr>
          <w:rFonts w:ascii="Arial" w:hAnsi="Arial" w:cs="Arial"/>
          <w:i/>
        </w:rPr>
        <w:t>Tampa General Hospital</w:t>
      </w:r>
      <w:r w:rsidRPr="00282E3D">
        <w:rPr>
          <w:rFonts w:ascii="Arial" w:hAnsi="Arial" w:cs="Arial"/>
        </w:rPr>
        <w:t xml:space="preserve"> – R Gentry Wilkerson, MD; James Wilson, MD; Christina Targal, EMT-B. </w:t>
      </w:r>
      <w:r w:rsidRPr="00282E3D">
        <w:rPr>
          <w:rFonts w:ascii="Arial" w:hAnsi="Arial" w:cs="Arial"/>
          <w:i/>
        </w:rPr>
        <w:t>University of Florida</w:t>
      </w:r>
      <w:r w:rsidRPr="00282E3D">
        <w:rPr>
          <w:rFonts w:ascii="Arial" w:hAnsi="Arial" w:cs="Arial"/>
        </w:rPr>
        <w:t xml:space="preserve"> – Azra Bihorac, MD; Minal Patel, MD.</w:t>
      </w:r>
    </w:p>
    <w:p w14:paraId="1F091F21" w14:textId="77777777" w:rsidR="00AE331D" w:rsidRPr="00282E3D" w:rsidRDefault="00AE331D" w:rsidP="002D75CF">
      <w:pPr>
        <w:tabs>
          <w:tab w:val="left" w:pos="180"/>
        </w:tabs>
        <w:spacing w:after="0" w:line="276" w:lineRule="auto"/>
        <w:ind w:left="180"/>
        <w:rPr>
          <w:rFonts w:ascii="Arial" w:hAnsi="Arial" w:cs="Arial"/>
        </w:rPr>
      </w:pPr>
    </w:p>
    <w:p w14:paraId="3BFBEE4F"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Georgia: </w:t>
      </w:r>
      <w:r w:rsidRPr="00282E3D">
        <w:rPr>
          <w:rFonts w:ascii="Arial" w:hAnsi="Arial" w:cs="Arial"/>
          <w:i/>
        </w:rPr>
        <w:t>Joseph M Still Research Foundation</w:t>
      </w:r>
      <w:r w:rsidRPr="00282E3D">
        <w:rPr>
          <w:rFonts w:ascii="Arial" w:hAnsi="Arial" w:cs="Arial"/>
        </w:rPr>
        <w:t xml:space="preserve"> – Amy M Sprague, MD.</w:t>
      </w:r>
    </w:p>
    <w:p w14:paraId="4AF224D1" w14:textId="77777777" w:rsidR="00AE331D" w:rsidRPr="00282E3D" w:rsidRDefault="00AE331D" w:rsidP="002D75CF">
      <w:pPr>
        <w:tabs>
          <w:tab w:val="left" w:pos="180"/>
        </w:tabs>
        <w:spacing w:after="0" w:line="276" w:lineRule="auto"/>
        <w:ind w:left="180"/>
        <w:rPr>
          <w:rFonts w:ascii="Arial" w:hAnsi="Arial" w:cs="Arial"/>
        </w:rPr>
      </w:pPr>
    </w:p>
    <w:p w14:paraId="467B30C7"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Illinois: </w:t>
      </w:r>
      <w:r w:rsidRPr="00282E3D">
        <w:rPr>
          <w:rFonts w:ascii="Arial" w:hAnsi="Arial" w:cs="Arial"/>
          <w:i/>
        </w:rPr>
        <w:t>University of Chicago</w:t>
      </w:r>
      <w:r w:rsidRPr="00282E3D">
        <w:rPr>
          <w:rFonts w:ascii="Arial" w:hAnsi="Arial" w:cs="Arial"/>
        </w:rPr>
        <w:t xml:space="preserve"> – Jay L Koyner, MD; Sharon Trevino, RN.</w:t>
      </w:r>
    </w:p>
    <w:p w14:paraId="7F0B2DBD" w14:textId="77777777" w:rsidR="00AE331D" w:rsidRPr="00282E3D" w:rsidRDefault="00AE331D" w:rsidP="002D75CF">
      <w:pPr>
        <w:tabs>
          <w:tab w:val="left" w:pos="180"/>
        </w:tabs>
        <w:spacing w:after="0" w:line="276" w:lineRule="auto"/>
        <w:ind w:left="180"/>
        <w:rPr>
          <w:rFonts w:ascii="Arial" w:hAnsi="Arial" w:cs="Arial"/>
        </w:rPr>
      </w:pPr>
    </w:p>
    <w:p w14:paraId="6AE697A1"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Maryland: </w:t>
      </w:r>
      <w:r w:rsidRPr="00282E3D">
        <w:rPr>
          <w:rFonts w:ascii="Arial" w:hAnsi="Arial" w:cs="Arial"/>
          <w:i/>
        </w:rPr>
        <w:t>University of Maryland School of Medicine</w:t>
      </w:r>
      <w:r w:rsidRPr="00282E3D">
        <w:rPr>
          <w:rFonts w:ascii="Arial" w:hAnsi="Arial" w:cs="Arial"/>
        </w:rPr>
        <w:t xml:space="preserve"> – Matthew Lissauer, MD; Jessica Warren; Holly Howes.</w:t>
      </w:r>
    </w:p>
    <w:p w14:paraId="2B53F1F4" w14:textId="77777777" w:rsidR="00AE331D" w:rsidRPr="00282E3D" w:rsidRDefault="00AE331D" w:rsidP="002D75CF">
      <w:pPr>
        <w:tabs>
          <w:tab w:val="left" w:pos="180"/>
        </w:tabs>
        <w:spacing w:after="0" w:line="276" w:lineRule="auto"/>
        <w:ind w:left="180"/>
        <w:rPr>
          <w:rFonts w:ascii="Arial" w:hAnsi="Arial" w:cs="Arial"/>
        </w:rPr>
      </w:pPr>
    </w:p>
    <w:p w14:paraId="4E75D7DC"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Massachusetts: </w:t>
      </w:r>
      <w:r w:rsidRPr="00282E3D">
        <w:rPr>
          <w:rFonts w:ascii="Arial" w:hAnsi="Arial" w:cs="Arial"/>
          <w:i/>
        </w:rPr>
        <w:t>Beth Israel Deaconnes Medical Center</w:t>
      </w:r>
      <w:r w:rsidRPr="00282E3D">
        <w:rPr>
          <w:rFonts w:ascii="Arial" w:hAnsi="Arial" w:cs="Arial"/>
        </w:rPr>
        <w:t xml:space="preserve"> – Nathan I Shapiro, MD.</w:t>
      </w:r>
    </w:p>
    <w:p w14:paraId="19E6F1EF" w14:textId="77777777" w:rsidR="00AE331D" w:rsidRPr="00282E3D" w:rsidRDefault="00AE331D" w:rsidP="002D75CF">
      <w:pPr>
        <w:tabs>
          <w:tab w:val="left" w:pos="180"/>
        </w:tabs>
        <w:spacing w:after="0" w:line="276" w:lineRule="auto"/>
        <w:ind w:left="180"/>
        <w:rPr>
          <w:rFonts w:ascii="Arial" w:hAnsi="Arial" w:cs="Arial"/>
        </w:rPr>
      </w:pPr>
    </w:p>
    <w:p w14:paraId="4BDC1D96"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Michigan: </w:t>
      </w:r>
      <w:r w:rsidRPr="00282E3D">
        <w:rPr>
          <w:rFonts w:ascii="Arial" w:hAnsi="Arial" w:cs="Arial"/>
          <w:i/>
        </w:rPr>
        <w:t>St John Providence Health System</w:t>
      </w:r>
      <w:r w:rsidRPr="00282E3D">
        <w:rPr>
          <w:rFonts w:ascii="Arial" w:hAnsi="Arial" w:cs="Arial"/>
        </w:rPr>
        <w:t xml:space="preserve"> – Peter A McCullough, MD, MPH.</w:t>
      </w:r>
    </w:p>
    <w:p w14:paraId="5667F36F" w14:textId="77777777" w:rsidR="00AE331D" w:rsidRPr="00282E3D" w:rsidRDefault="00AE331D" w:rsidP="002D75CF">
      <w:pPr>
        <w:tabs>
          <w:tab w:val="left" w:pos="180"/>
        </w:tabs>
        <w:spacing w:after="0" w:line="276" w:lineRule="auto"/>
        <w:ind w:left="180"/>
        <w:rPr>
          <w:rFonts w:ascii="Arial" w:hAnsi="Arial" w:cs="Arial"/>
        </w:rPr>
      </w:pPr>
    </w:p>
    <w:p w14:paraId="6CF2D166" w14:textId="77777777" w:rsidR="00AE331D" w:rsidRPr="00282E3D" w:rsidRDefault="00AE331D" w:rsidP="002D75CF">
      <w:pPr>
        <w:tabs>
          <w:tab w:val="left" w:pos="180"/>
        </w:tabs>
        <w:spacing w:after="0" w:line="276" w:lineRule="auto"/>
        <w:ind w:left="180"/>
        <w:rPr>
          <w:rFonts w:ascii="Arial" w:hAnsi="Arial" w:cs="Arial"/>
          <w:lang w:val="it-IT"/>
        </w:rPr>
      </w:pPr>
      <w:r w:rsidRPr="00282E3D">
        <w:rPr>
          <w:rFonts w:ascii="Arial" w:hAnsi="Arial" w:cs="Arial"/>
          <w:lang w:val="it-IT"/>
        </w:rPr>
        <w:t xml:space="preserve">Minnesota: </w:t>
      </w:r>
      <w:r w:rsidRPr="00282E3D">
        <w:rPr>
          <w:rFonts w:ascii="Arial" w:hAnsi="Arial" w:cs="Arial"/>
          <w:i/>
          <w:lang w:val="it-IT"/>
        </w:rPr>
        <w:t>Mayo Clinic</w:t>
      </w:r>
      <w:r w:rsidRPr="00282E3D">
        <w:rPr>
          <w:rFonts w:ascii="Arial" w:hAnsi="Arial" w:cs="Arial"/>
          <w:lang w:val="it-IT"/>
        </w:rPr>
        <w:t xml:space="preserve"> – Kianoush B Kashani, MD; Laura Hanson.</w:t>
      </w:r>
    </w:p>
    <w:p w14:paraId="3A581B5C" w14:textId="77777777" w:rsidR="00AE331D" w:rsidRPr="00282E3D" w:rsidRDefault="00AE331D" w:rsidP="002D75CF">
      <w:pPr>
        <w:tabs>
          <w:tab w:val="left" w:pos="180"/>
        </w:tabs>
        <w:spacing w:after="0" w:line="276" w:lineRule="auto"/>
        <w:ind w:left="180"/>
        <w:rPr>
          <w:rFonts w:ascii="Arial" w:hAnsi="Arial" w:cs="Arial"/>
          <w:lang w:val="it-IT"/>
        </w:rPr>
      </w:pPr>
    </w:p>
    <w:p w14:paraId="611E6213"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New York: </w:t>
      </w:r>
      <w:r w:rsidRPr="00282E3D">
        <w:rPr>
          <w:rFonts w:ascii="Arial" w:hAnsi="Arial" w:cs="Arial"/>
          <w:i/>
        </w:rPr>
        <w:t>Montefiore Medical Center</w:t>
      </w:r>
      <w:r w:rsidRPr="00282E3D">
        <w:rPr>
          <w:rFonts w:ascii="Arial" w:hAnsi="Arial" w:cs="Arial"/>
        </w:rPr>
        <w:t xml:space="preserve"> – Michelle Ng Gong, MD; Mirian Martinez, RN; John Salcedo. </w:t>
      </w:r>
      <w:r w:rsidRPr="00282E3D">
        <w:rPr>
          <w:rFonts w:ascii="Arial" w:hAnsi="Arial" w:cs="Arial"/>
          <w:i/>
        </w:rPr>
        <w:t>New York Methodist Hospital</w:t>
      </w:r>
      <w:r w:rsidRPr="00282E3D">
        <w:rPr>
          <w:rFonts w:ascii="Arial" w:hAnsi="Arial" w:cs="Arial"/>
        </w:rPr>
        <w:t xml:space="preserve"> – Robert Birkhahn, MD; Paris Datillo, RN.</w:t>
      </w:r>
    </w:p>
    <w:p w14:paraId="65A561F2" w14:textId="77777777" w:rsidR="00AE331D" w:rsidRPr="00282E3D" w:rsidRDefault="00AE331D" w:rsidP="002D75CF">
      <w:pPr>
        <w:tabs>
          <w:tab w:val="left" w:pos="180"/>
        </w:tabs>
        <w:spacing w:after="0" w:line="276" w:lineRule="auto"/>
        <w:ind w:left="180"/>
        <w:rPr>
          <w:rFonts w:ascii="Arial" w:hAnsi="Arial" w:cs="Arial"/>
        </w:rPr>
      </w:pPr>
    </w:p>
    <w:p w14:paraId="14AB6219"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North Carolina: </w:t>
      </w:r>
      <w:r w:rsidRPr="00282E3D">
        <w:rPr>
          <w:rFonts w:ascii="Arial" w:hAnsi="Arial" w:cs="Arial"/>
          <w:i/>
        </w:rPr>
        <w:t>Durham VAMC</w:t>
      </w:r>
      <w:r w:rsidRPr="00282E3D">
        <w:rPr>
          <w:rFonts w:ascii="Arial" w:hAnsi="Arial" w:cs="Arial"/>
        </w:rPr>
        <w:t xml:space="preserve"> – Andrew D Shaw, MD; Becky Perfect; Lizzie Rogers.</w:t>
      </w:r>
    </w:p>
    <w:p w14:paraId="0DDF231D" w14:textId="77777777" w:rsidR="00AE331D" w:rsidRPr="00282E3D" w:rsidRDefault="00AE331D" w:rsidP="002D75CF">
      <w:pPr>
        <w:tabs>
          <w:tab w:val="left" w:pos="180"/>
        </w:tabs>
        <w:spacing w:after="0" w:line="276" w:lineRule="auto"/>
        <w:ind w:left="180"/>
        <w:rPr>
          <w:rFonts w:ascii="Arial" w:hAnsi="Arial" w:cs="Arial"/>
        </w:rPr>
      </w:pPr>
    </w:p>
    <w:p w14:paraId="4452D4B2"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Pennsylvania: </w:t>
      </w:r>
      <w:r w:rsidRPr="00282E3D">
        <w:rPr>
          <w:rFonts w:ascii="Arial" w:hAnsi="Arial" w:cs="Arial"/>
          <w:i/>
        </w:rPr>
        <w:t>Hospital of the University of Pennsylvania</w:t>
      </w:r>
      <w:r w:rsidRPr="00282E3D">
        <w:rPr>
          <w:rFonts w:ascii="Arial" w:hAnsi="Arial" w:cs="Arial"/>
        </w:rPr>
        <w:t xml:space="preserve"> – Patrick Kim, MD. Babak Sarani, MD; Joy Steele, RN. </w:t>
      </w:r>
      <w:r w:rsidRPr="00282E3D">
        <w:rPr>
          <w:rFonts w:ascii="Arial" w:hAnsi="Arial" w:cs="Arial"/>
          <w:i/>
        </w:rPr>
        <w:t>University of Pittsburgh</w:t>
      </w:r>
      <w:r w:rsidRPr="00282E3D">
        <w:rPr>
          <w:rFonts w:ascii="Arial" w:hAnsi="Arial" w:cs="Arial"/>
        </w:rPr>
        <w:t xml:space="preserve"> – Ali Al-Khafaji, MD; Denise Scholl, CRC. </w:t>
      </w:r>
    </w:p>
    <w:p w14:paraId="38B67D3E" w14:textId="77777777" w:rsidR="00AE331D" w:rsidRPr="00282E3D" w:rsidRDefault="00AE331D" w:rsidP="002D75CF">
      <w:pPr>
        <w:tabs>
          <w:tab w:val="left" w:pos="180"/>
        </w:tabs>
        <w:spacing w:after="0" w:line="276" w:lineRule="auto"/>
        <w:ind w:left="180"/>
        <w:rPr>
          <w:rFonts w:ascii="Arial" w:hAnsi="Arial" w:cs="Arial"/>
        </w:rPr>
      </w:pPr>
    </w:p>
    <w:p w14:paraId="4BEF7F6D"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lastRenderedPageBreak/>
        <w:t xml:space="preserve">Virginia: </w:t>
      </w:r>
      <w:r w:rsidRPr="00282E3D">
        <w:rPr>
          <w:rFonts w:ascii="Arial" w:hAnsi="Arial" w:cs="Arial"/>
          <w:i/>
        </w:rPr>
        <w:t>Virginia Commonwealth University Medical Center</w:t>
      </w:r>
      <w:r w:rsidRPr="00282E3D">
        <w:rPr>
          <w:rFonts w:ascii="Arial" w:hAnsi="Arial" w:cs="Arial"/>
        </w:rPr>
        <w:t xml:space="preserve"> – Kyle Gunnerson, MD; Tamara Ponton, RN; Jennifer Chadbourne.</w:t>
      </w:r>
    </w:p>
    <w:p w14:paraId="3DF85283" w14:textId="77777777" w:rsidR="00AE331D" w:rsidRPr="00282E3D" w:rsidRDefault="00AE331D" w:rsidP="002D75CF">
      <w:pPr>
        <w:tabs>
          <w:tab w:val="left" w:pos="180"/>
        </w:tabs>
        <w:spacing w:after="0" w:line="276" w:lineRule="auto"/>
        <w:ind w:left="180"/>
        <w:rPr>
          <w:rFonts w:ascii="Arial" w:hAnsi="Arial" w:cs="Arial"/>
        </w:rPr>
      </w:pPr>
    </w:p>
    <w:p w14:paraId="7A82443A"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Austria: </w:t>
      </w:r>
      <w:r w:rsidRPr="00282E3D">
        <w:rPr>
          <w:rFonts w:ascii="Arial" w:hAnsi="Arial" w:cs="Arial"/>
          <w:i/>
        </w:rPr>
        <w:t>University Clinic for Internal Medicine</w:t>
      </w:r>
      <w:r w:rsidRPr="00282E3D">
        <w:rPr>
          <w:rFonts w:ascii="Arial" w:hAnsi="Arial" w:cs="Arial"/>
        </w:rPr>
        <w:t xml:space="preserve"> – Michael Joannidis, MD; Georg Lehner, MD.</w:t>
      </w:r>
    </w:p>
    <w:p w14:paraId="728060B3" w14:textId="77777777" w:rsidR="00AE331D" w:rsidRPr="00282E3D" w:rsidRDefault="00AE331D" w:rsidP="002D75CF">
      <w:pPr>
        <w:tabs>
          <w:tab w:val="left" w:pos="180"/>
        </w:tabs>
        <w:spacing w:after="0" w:line="276" w:lineRule="auto"/>
        <w:ind w:left="180"/>
        <w:rPr>
          <w:rFonts w:ascii="Arial" w:hAnsi="Arial" w:cs="Arial"/>
        </w:rPr>
      </w:pPr>
    </w:p>
    <w:p w14:paraId="420AA824"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Belgium: </w:t>
      </w:r>
      <w:r w:rsidRPr="00282E3D">
        <w:rPr>
          <w:rFonts w:ascii="Arial" w:hAnsi="Arial" w:cs="Arial"/>
          <w:i/>
        </w:rPr>
        <w:t>Erasme University Hospital</w:t>
      </w:r>
      <w:r w:rsidRPr="00282E3D">
        <w:rPr>
          <w:rFonts w:ascii="Arial" w:hAnsi="Arial" w:cs="Arial"/>
        </w:rPr>
        <w:t xml:space="preserve"> – Jean-Louis Vincent, MD. </w:t>
      </w:r>
      <w:r w:rsidRPr="00282E3D">
        <w:rPr>
          <w:rFonts w:ascii="Arial" w:hAnsi="Arial" w:cs="Arial"/>
          <w:i/>
        </w:rPr>
        <w:t>Ghent University Hospital</w:t>
      </w:r>
      <w:r w:rsidRPr="00282E3D">
        <w:rPr>
          <w:rFonts w:ascii="Arial" w:hAnsi="Arial" w:cs="Arial"/>
        </w:rPr>
        <w:t xml:space="preserve"> – Eric AJ Hoste, MD. </w:t>
      </w:r>
      <w:r w:rsidRPr="00282E3D">
        <w:rPr>
          <w:rFonts w:ascii="Arial" w:hAnsi="Arial" w:cs="Arial"/>
          <w:i/>
        </w:rPr>
        <w:t>UZB-VUB University Hospital</w:t>
      </w:r>
      <w:r w:rsidRPr="00282E3D">
        <w:rPr>
          <w:rFonts w:ascii="Arial" w:hAnsi="Arial" w:cs="Arial"/>
        </w:rPr>
        <w:t xml:space="preserve"> – Patrick M Honore, MD, PhD; Herbert D Spapen, MD, PhD; Rita Jacobs, MD; Jouke De Regt, MD; Elisabeth De Waele, MD; Marie-Claire Van Malderen, RN; Godelieve Opdenacker, RN; Marijke de Mars, RN.</w:t>
      </w:r>
    </w:p>
    <w:p w14:paraId="2DE14352" w14:textId="77777777" w:rsidR="00AE331D" w:rsidRPr="00282E3D" w:rsidRDefault="00AE331D" w:rsidP="002D75CF">
      <w:pPr>
        <w:tabs>
          <w:tab w:val="left" w:pos="180"/>
        </w:tabs>
        <w:spacing w:after="0" w:line="276" w:lineRule="auto"/>
        <w:ind w:left="180"/>
        <w:rPr>
          <w:rFonts w:ascii="Arial" w:hAnsi="Arial" w:cs="Arial"/>
        </w:rPr>
      </w:pPr>
    </w:p>
    <w:p w14:paraId="35E07D40"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Canada: </w:t>
      </w:r>
      <w:r w:rsidRPr="00282E3D">
        <w:rPr>
          <w:rFonts w:ascii="Arial" w:hAnsi="Arial" w:cs="Arial"/>
          <w:i/>
        </w:rPr>
        <w:t>University of Alberta</w:t>
      </w:r>
      <w:r w:rsidRPr="00282E3D">
        <w:rPr>
          <w:rFonts w:ascii="Arial" w:hAnsi="Arial" w:cs="Arial"/>
        </w:rPr>
        <w:t xml:space="preserve"> – Sean M Bagshaw, MD.</w:t>
      </w:r>
    </w:p>
    <w:p w14:paraId="0031DFA3" w14:textId="77777777" w:rsidR="00AE331D" w:rsidRPr="00282E3D" w:rsidRDefault="00AE331D" w:rsidP="002D75CF">
      <w:pPr>
        <w:tabs>
          <w:tab w:val="left" w:pos="180"/>
        </w:tabs>
        <w:spacing w:after="0" w:line="276" w:lineRule="auto"/>
        <w:ind w:left="180"/>
        <w:rPr>
          <w:rFonts w:ascii="Arial" w:hAnsi="Arial" w:cs="Arial"/>
        </w:rPr>
      </w:pPr>
    </w:p>
    <w:p w14:paraId="145D2C76"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France: </w:t>
      </w:r>
      <w:r w:rsidRPr="00282E3D">
        <w:rPr>
          <w:rFonts w:ascii="Arial" w:hAnsi="Arial" w:cs="Arial"/>
          <w:i/>
        </w:rPr>
        <w:t xml:space="preserve">Edouard Herriot Hospital </w:t>
      </w:r>
      <w:r w:rsidRPr="00282E3D">
        <w:rPr>
          <w:rFonts w:ascii="Arial" w:hAnsi="Arial" w:cs="Arial"/>
        </w:rPr>
        <w:t>– Thomas Rimmelé, MD; Rita Mendes Oliveira; Catherine Jouvène.</w:t>
      </w:r>
      <w:r w:rsidRPr="00282E3D">
        <w:rPr>
          <w:rFonts w:ascii="Arial" w:hAnsi="Arial" w:cs="Arial"/>
          <w:i/>
        </w:rPr>
        <w:t xml:space="preserve"> Hospital Marc Jacquet</w:t>
      </w:r>
      <w:r w:rsidRPr="00282E3D">
        <w:rPr>
          <w:rFonts w:ascii="Arial" w:hAnsi="Arial" w:cs="Arial"/>
        </w:rPr>
        <w:t xml:space="preserve"> – Christophe Vinsonneau, MD; Lormail Cecile. </w:t>
      </w:r>
      <w:r w:rsidRPr="00282E3D">
        <w:rPr>
          <w:rFonts w:ascii="Arial" w:hAnsi="Arial" w:cs="Arial"/>
          <w:i/>
        </w:rPr>
        <w:t>University Hospital of Bordeaux</w:t>
      </w:r>
      <w:r w:rsidRPr="00282E3D">
        <w:rPr>
          <w:rFonts w:ascii="Arial" w:hAnsi="Arial" w:cs="Arial"/>
        </w:rPr>
        <w:t xml:space="preserve"> – Olivier Joannes-Boyau, MD; A Dewitte, MD; J Coquin, MD.</w:t>
      </w:r>
    </w:p>
    <w:p w14:paraId="557F5FD8" w14:textId="77777777" w:rsidR="00AE331D" w:rsidRPr="00282E3D" w:rsidRDefault="00AE331D" w:rsidP="002D75CF">
      <w:pPr>
        <w:tabs>
          <w:tab w:val="left" w:pos="180"/>
        </w:tabs>
        <w:spacing w:after="0" w:line="276" w:lineRule="auto"/>
        <w:ind w:left="180"/>
        <w:rPr>
          <w:rFonts w:ascii="Arial" w:hAnsi="Arial" w:cs="Arial"/>
        </w:rPr>
      </w:pPr>
    </w:p>
    <w:p w14:paraId="128CB36D"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Germany: </w:t>
      </w:r>
      <w:r w:rsidRPr="00282E3D">
        <w:rPr>
          <w:rFonts w:ascii="Arial" w:hAnsi="Arial" w:cs="Arial"/>
          <w:i/>
        </w:rPr>
        <w:t>Otto-von-Guericke-Universitat Magdeburg</w:t>
      </w:r>
      <w:r w:rsidRPr="00282E3D">
        <w:rPr>
          <w:rFonts w:ascii="Arial" w:hAnsi="Arial" w:cs="Arial"/>
        </w:rPr>
        <w:t xml:space="preserve"> – Michael Haase, MD; Julia Horlbeck; Caroline Tiedemann. </w:t>
      </w:r>
      <w:r w:rsidRPr="00282E3D">
        <w:rPr>
          <w:rFonts w:ascii="Arial" w:hAnsi="Arial" w:cs="Arial"/>
          <w:i/>
        </w:rPr>
        <w:t>Universitätsklinikum der RWTH Aachen</w:t>
      </w:r>
      <w:r w:rsidRPr="00282E3D">
        <w:rPr>
          <w:rFonts w:ascii="Arial" w:hAnsi="Arial" w:cs="Arial"/>
        </w:rPr>
        <w:t xml:space="preserve"> – Gernot Marx, MD; Tobias Schuerholz. </w:t>
      </w:r>
      <w:r w:rsidRPr="00282E3D">
        <w:rPr>
          <w:rFonts w:ascii="Arial" w:hAnsi="Arial" w:cs="Arial"/>
          <w:i/>
        </w:rPr>
        <w:t>University Hospital Essen, University Duisburg-Essen</w:t>
      </w:r>
      <w:r w:rsidRPr="00282E3D">
        <w:rPr>
          <w:rFonts w:ascii="Arial" w:hAnsi="Arial" w:cs="Arial"/>
        </w:rPr>
        <w:t xml:space="preserve"> – Thorsten Feldkamp, MD; Michael Volesk; Bartosz Tyczynski. </w:t>
      </w:r>
      <w:r w:rsidRPr="00282E3D">
        <w:rPr>
          <w:rFonts w:ascii="Arial" w:hAnsi="Arial" w:cs="Arial"/>
          <w:i/>
        </w:rPr>
        <w:t>University Hospital Frankfurt</w:t>
      </w:r>
      <w:r w:rsidRPr="00282E3D">
        <w:rPr>
          <w:rFonts w:ascii="Arial" w:hAnsi="Arial" w:cs="Arial"/>
        </w:rPr>
        <w:t xml:space="preserve"> – Kai Zacharowski, MD; Tobias Bingold, MD.</w:t>
      </w:r>
    </w:p>
    <w:p w14:paraId="3ACC0D01" w14:textId="77777777" w:rsidR="00AE331D" w:rsidRPr="00282E3D" w:rsidRDefault="00AE331D" w:rsidP="002D75CF">
      <w:pPr>
        <w:tabs>
          <w:tab w:val="left" w:pos="180"/>
        </w:tabs>
        <w:spacing w:after="0" w:line="276" w:lineRule="auto"/>
        <w:ind w:left="180"/>
        <w:rPr>
          <w:rFonts w:ascii="Arial" w:hAnsi="Arial" w:cs="Arial"/>
        </w:rPr>
      </w:pPr>
    </w:p>
    <w:p w14:paraId="411B9FE0"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Spain: </w:t>
      </w:r>
      <w:r w:rsidRPr="00282E3D">
        <w:rPr>
          <w:rFonts w:ascii="Arial" w:hAnsi="Arial" w:cs="Arial"/>
          <w:i/>
        </w:rPr>
        <w:t>Sabadell Hospital</w:t>
      </w:r>
      <w:r w:rsidRPr="00282E3D">
        <w:rPr>
          <w:rFonts w:ascii="Arial" w:hAnsi="Arial" w:cs="Arial"/>
        </w:rPr>
        <w:t xml:space="preserve"> – Antonio Artigas, MD; Ignacio Martin-Loeches, MD; Gisela Gillis, RN.</w:t>
      </w:r>
    </w:p>
    <w:p w14:paraId="5BD13D46" w14:textId="77777777" w:rsidR="00AE331D" w:rsidRPr="00282E3D" w:rsidRDefault="00AE331D" w:rsidP="002D75CF">
      <w:pPr>
        <w:tabs>
          <w:tab w:val="left" w:pos="180"/>
        </w:tabs>
        <w:spacing w:after="0" w:line="276" w:lineRule="auto"/>
        <w:ind w:left="180"/>
        <w:rPr>
          <w:rFonts w:ascii="Arial" w:hAnsi="Arial" w:cs="Arial"/>
        </w:rPr>
      </w:pPr>
    </w:p>
    <w:p w14:paraId="05288BA9"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Sweden: </w:t>
      </w:r>
      <w:r w:rsidRPr="00282E3D">
        <w:rPr>
          <w:rFonts w:ascii="Arial" w:hAnsi="Arial" w:cs="Arial"/>
          <w:i/>
        </w:rPr>
        <w:t>Karolinska University Hospital</w:t>
      </w:r>
      <w:r w:rsidRPr="00282E3D">
        <w:rPr>
          <w:rFonts w:ascii="Arial" w:hAnsi="Arial" w:cs="Arial"/>
        </w:rPr>
        <w:t xml:space="preserve"> – Max Bell, MD, PhD; Daniella Johansson, MSc; Claire Rimes-Stigare, MD.</w:t>
      </w:r>
    </w:p>
    <w:p w14:paraId="7F829514" w14:textId="77777777" w:rsidR="00AE331D" w:rsidRPr="00282E3D" w:rsidRDefault="00AE331D" w:rsidP="002D75CF">
      <w:pPr>
        <w:tabs>
          <w:tab w:val="left" w:pos="180"/>
        </w:tabs>
        <w:spacing w:after="0" w:line="276" w:lineRule="auto"/>
        <w:ind w:left="180"/>
        <w:rPr>
          <w:rFonts w:ascii="Arial" w:hAnsi="Arial" w:cs="Arial"/>
        </w:rPr>
      </w:pPr>
    </w:p>
    <w:p w14:paraId="2A135031" w14:textId="77777777" w:rsidR="00AE331D" w:rsidRPr="00282E3D" w:rsidRDefault="00AE331D" w:rsidP="002D75CF">
      <w:pPr>
        <w:tabs>
          <w:tab w:val="left" w:pos="180"/>
        </w:tabs>
        <w:spacing w:after="0" w:line="276" w:lineRule="auto"/>
        <w:ind w:left="180"/>
        <w:rPr>
          <w:rFonts w:ascii="Arial" w:hAnsi="Arial" w:cs="Arial"/>
        </w:rPr>
      </w:pPr>
      <w:r w:rsidRPr="00282E3D">
        <w:rPr>
          <w:rFonts w:ascii="Arial" w:hAnsi="Arial" w:cs="Arial"/>
        </w:rPr>
        <w:t xml:space="preserve">UK: </w:t>
      </w:r>
      <w:r w:rsidRPr="00282E3D">
        <w:rPr>
          <w:rFonts w:ascii="Arial" w:hAnsi="Arial" w:cs="Arial"/>
          <w:i/>
        </w:rPr>
        <w:t>Guy’s and St Thomas Hospital</w:t>
      </w:r>
      <w:r w:rsidRPr="00282E3D">
        <w:rPr>
          <w:rFonts w:ascii="Arial" w:hAnsi="Arial" w:cs="Arial"/>
        </w:rPr>
        <w:t xml:space="preserve"> – Marlies Ostermann, MD. </w:t>
      </w:r>
      <w:r w:rsidRPr="00282E3D">
        <w:rPr>
          <w:rFonts w:ascii="Arial" w:hAnsi="Arial" w:cs="Arial"/>
          <w:i/>
        </w:rPr>
        <w:t>Worthing Hospital</w:t>
      </w:r>
      <w:r w:rsidRPr="00282E3D">
        <w:rPr>
          <w:rFonts w:ascii="Arial" w:hAnsi="Arial" w:cs="Arial"/>
        </w:rPr>
        <w:t xml:space="preserve"> – Lui Forni, MD; Jordi Margalef, BSc.</w:t>
      </w:r>
    </w:p>
    <w:p w14:paraId="1798BADB" w14:textId="77777777" w:rsidR="00AE331D" w:rsidRPr="00282E3D" w:rsidRDefault="00AE331D" w:rsidP="002D75CF">
      <w:pPr>
        <w:tabs>
          <w:tab w:val="left" w:pos="180"/>
        </w:tabs>
        <w:spacing w:after="0" w:line="276" w:lineRule="auto"/>
        <w:rPr>
          <w:rFonts w:ascii="Arial" w:hAnsi="Arial" w:cs="Arial"/>
        </w:rPr>
      </w:pPr>
    </w:p>
    <w:p w14:paraId="78C3CD97" w14:textId="5289DC51" w:rsidR="0096337D" w:rsidRPr="00282E3D" w:rsidRDefault="0096337D" w:rsidP="002D75CF">
      <w:pPr>
        <w:pStyle w:val="EndNoteBibliography"/>
        <w:spacing w:after="0" w:line="276" w:lineRule="auto"/>
      </w:pPr>
      <w:r w:rsidRPr="00282E3D">
        <w:t xml:space="preserve">See also </w:t>
      </w:r>
      <w:r w:rsidR="009319E2" w:rsidRPr="00282E3D">
        <w:t>s</w:t>
      </w:r>
      <w:r w:rsidRPr="00282E3D">
        <w:t>upplementa</w:t>
      </w:r>
      <w:r w:rsidR="009319E2" w:rsidRPr="00282E3D">
        <w:t>l</w:t>
      </w:r>
      <w:r w:rsidRPr="00282E3D">
        <w:t xml:space="preserve"> </w:t>
      </w:r>
      <w:r w:rsidR="009319E2" w:rsidRPr="00282E3D">
        <w:t>m</w:t>
      </w:r>
      <w:r w:rsidRPr="00282E3D">
        <w:t>aterial (Additional file 1) from “</w:t>
      </w:r>
      <w:r w:rsidRPr="00282E3D">
        <w:rPr>
          <w:i/>
          <w:iCs/>
        </w:rPr>
        <w:t>Kashani K, Al-Khafaji A, Ardiles T, Artigas A, Bagshaw SM, Bell M, Bihorac A, Birkhahn R, Cely CM, Chawla LS, Davison DL, Feldkamp T, Forni LG, Gong MN, Gunnerson KJ, Haase M, Hackett J, Honore PM, Hoste EA, Joannes-Boyau O, Joannidis M, Kim P, Koyner JL, Laskowitz DT, Lissauer ME, Marx G, McCullough PA, Mullaney S, Ostermann M, Rimmelé T, Shapiro NI, Shaw AD, Shi J, Sprague AM, Vincent JL, Vinsonneau C, Wagner L, Walker MG, Wilkerson RG, Zacharowski K, Kellum JA. Discovery and validation of cell cycle arrest biomarkers in human acute kidney injury. Crit Care. 2013 Feb 6;17(1):R25. doi: 10.1186/cc12503. PMID: 23388612; PMCID: PMC4057242</w:t>
      </w:r>
      <w:r w:rsidRPr="00282E3D">
        <w:t>.”</w:t>
      </w:r>
    </w:p>
    <w:p w14:paraId="240DCB1C" w14:textId="64E1B1B5" w:rsidR="00092338" w:rsidRPr="00282E3D" w:rsidRDefault="00092338" w:rsidP="002D75CF">
      <w:pPr>
        <w:tabs>
          <w:tab w:val="left" w:pos="180"/>
        </w:tabs>
        <w:spacing w:after="0" w:line="276" w:lineRule="auto"/>
        <w:rPr>
          <w:rFonts w:ascii="Arial" w:hAnsi="Arial" w:cs="Arial"/>
        </w:rPr>
      </w:pPr>
      <w:r w:rsidRPr="00282E3D">
        <w:rPr>
          <w:rFonts w:ascii="Arial" w:hAnsi="Arial" w:cs="Arial"/>
        </w:rPr>
        <w:br w:type="page"/>
      </w:r>
    </w:p>
    <w:p w14:paraId="68C8BA22" w14:textId="772490C5" w:rsidR="00092338" w:rsidRPr="00282E3D" w:rsidRDefault="00092338" w:rsidP="002D75CF">
      <w:pPr>
        <w:pStyle w:val="NoSpacing"/>
        <w:spacing w:line="276" w:lineRule="auto"/>
        <w:outlineLvl w:val="0"/>
        <w:rPr>
          <w:rFonts w:ascii="Arial" w:hAnsi="Arial" w:cs="Arial"/>
          <w:b/>
          <w:bCs/>
          <w:sz w:val="24"/>
          <w:szCs w:val="24"/>
          <w:lang w:val="en-US"/>
        </w:rPr>
      </w:pPr>
      <w:bookmarkStart w:id="35" w:name="_Toc59032044"/>
      <w:bookmarkStart w:id="36" w:name="_Toc59643470"/>
      <w:r w:rsidRPr="00282E3D">
        <w:rPr>
          <w:rFonts w:ascii="Arial" w:hAnsi="Arial" w:cs="Arial"/>
          <w:b/>
          <w:bCs/>
          <w:sz w:val="24"/>
          <w:szCs w:val="24"/>
          <w:lang w:val="en-US"/>
        </w:rPr>
        <w:lastRenderedPageBreak/>
        <w:t xml:space="preserve">PROCESS </w:t>
      </w:r>
      <w:r w:rsidR="00247878" w:rsidRPr="00282E3D">
        <w:rPr>
          <w:rFonts w:ascii="Arial" w:hAnsi="Arial" w:cs="Arial"/>
          <w:b/>
          <w:bCs/>
          <w:sz w:val="24"/>
          <w:szCs w:val="24"/>
          <w:lang w:val="en-US"/>
        </w:rPr>
        <w:t xml:space="preserve">PARTICIPATING </w:t>
      </w:r>
      <w:r w:rsidR="00271F2F" w:rsidRPr="00282E3D">
        <w:rPr>
          <w:rFonts w:ascii="Arial" w:hAnsi="Arial" w:cs="Arial"/>
          <w:b/>
          <w:bCs/>
          <w:sz w:val="24"/>
          <w:szCs w:val="24"/>
          <w:lang w:val="en-US"/>
        </w:rPr>
        <w:t>SITES AND INVESTIGATORS</w:t>
      </w:r>
      <w:bookmarkEnd w:id="35"/>
      <w:bookmarkEnd w:id="36"/>
    </w:p>
    <w:p w14:paraId="235A4A94" w14:textId="77777777" w:rsidR="00A55AA4" w:rsidRPr="00282E3D" w:rsidRDefault="00A55AA4" w:rsidP="002D75CF">
      <w:pPr>
        <w:pStyle w:val="NoSpacing"/>
        <w:spacing w:line="276" w:lineRule="auto"/>
        <w:rPr>
          <w:rFonts w:ascii="Arial" w:hAnsi="Arial" w:cs="Arial"/>
          <w:b/>
          <w:bCs/>
          <w:sz w:val="24"/>
          <w:szCs w:val="24"/>
          <w:lang w:val="en-US"/>
        </w:rPr>
      </w:pPr>
    </w:p>
    <w:p w14:paraId="60D753C6" w14:textId="6C416205" w:rsidR="003B0443" w:rsidRPr="00282E3D" w:rsidRDefault="00AA1739" w:rsidP="002D75CF">
      <w:pPr>
        <w:pStyle w:val="NoSpacing"/>
        <w:spacing w:line="276" w:lineRule="auto"/>
        <w:rPr>
          <w:rFonts w:ascii="Arial" w:hAnsi="Arial" w:cs="Arial"/>
          <w:sz w:val="24"/>
          <w:szCs w:val="24"/>
          <w:lang w:val="en-US"/>
        </w:rPr>
      </w:pPr>
      <w:r w:rsidRPr="00282E3D">
        <w:rPr>
          <w:rFonts w:ascii="Arial" w:hAnsi="Arial" w:cs="Arial"/>
          <w:b/>
          <w:bCs/>
          <w:sz w:val="24"/>
          <w:szCs w:val="24"/>
          <w:lang w:val="en-US"/>
        </w:rPr>
        <w:t xml:space="preserve">Coordinating Center: </w:t>
      </w:r>
      <w:r w:rsidRPr="00282E3D">
        <w:rPr>
          <w:rFonts w:ascii="Arial" w:hAnsi="Arial" w:cs="Arial"/>
          <w:sz w:val="24"/>
          <w:szCs w:val="24"/>
          <w:lang w:val="en-US"/>
        </w:rPr>
        <w:t>Derek C. Angus, Amber E. Barnato, Tammy L. Eaton, Elizabeth Gimbel, David T. Huang, Christopher Keener, John A. Kellum, Kyle Landis, Francis Pike, Diana K. Stapleton, Lisa A. Weissfeld, Michael</w:t>
      </w:r>
      <w:r w:rsidR="003B0443" w:rsidRPr="00282E3D">
        <w:rPr>
          <w:rFonts w:ascii="Arial" w:hAnsi="Arial" w:cs="Arial"/>
          <w:sz w:val="24"/>
          <w:szCs w:val="24"/>
          <w:lang w:val="en-US"/>
        </w:rPr>
        <w:t xml:space="preserve"> </w:t>
      </w:r>
      <w:r w:rsidRPr="00282E3D">
        <w:rPr>
          <w:rFonts w:ascii="Arial" w:hAnsi="Arial" w:cs="Arial"/>
          <w:sz w:val="24"/>
          <w:szCs w:val="24"/>
          <w:lang w:val="en-US"/>
        </w:rPr>
        <w:t>Willochell,</w:t>
      </w:r>
      <w:r w:rsidR="003B0443" w:rsidRPr="00282E3D">
        <w:rPr>
          <w:rFonts w:ascii="Arial" w:hAnsi="Arial" w:cs="Arial"/>
          <w:sz w:val="24"/>
          <w:szCs w:val="24"/>
          <w:lang w:val="en-US"/>
        </w:rPr>
        <w:t xml:space="preserve"> </w:t>
      </w:r>
      <w:r w:rsidRPr="00282E3D">
        <w:rPr>
          <w:rFonts w:ascii="Arial" w:hAnsi="Arial" w:cs="Arial"/>
          <w:sz w:val="24"/>
          <w:szCs w:val="24"/>
          <w:lang w:val="en-US"/>
        </w:rPr>
        <w:t>Kourtney</w:t>
      </w:r>
      <w:r w:rsidR="003B0443" w:rsidRPr="00282E3D">
        <w:rPr>
          <w:rFonts w:ascii="Arial" w:hAnsi="Arial" w:cs="Arial"/>
          <w:sz w:val="24"/>
          <w:szCs w:val="24"/>
          <w:lang w:val="en-US"/>
        </w:rPr>
        <w:t xml:space="preserve"> </w:t>
      </w:r>
      <w:r w:rsidRPr="00282E3D">
        <w:rPr>
          <w:rFonts w:ascii="Arial" w:hAnsi="Arial" w:cs="Arial"/>
          <w:sz w:val="24"/>
          <w:szCs w:val="24"/>
          <w:lang w:val="en-US"/>
        </w:rPr>
        <w:t>A.</w:t>
      </w:r>
      <w:r w:rsidR="003B0443" w:rsidRPr="00282E3D">
        <w:rPr>
          <w:rFonts w:ascii="Arial" w:hAnsi="Arial" w:cs="Arial"/>
          <w:sz w:val="24"/>
          <w:szCs w:val="24"/>
          <w:lang w:val="en-US"/>
        </w:rPr>
        <w:t xml:space="preserve"> </w:t>
      </w:r>
      <w:r w:rsidRPr="00282E3D">
        <w:rPr>
          <w:rFonts w:ascii="Arial" w:hAnsi="Arial" w:cs="Arial"/>
          <w:sz w:val="24"/>
          <w:szCs w:val="24"/>
          <w:lang w:val="en-US"/>
        </w:rPr>
        <w:t>Wofford,</w:t>
      </w:r>
      <w:r w:rsidR="003B0443" w:rsidRPr="00282E3D">
        <w:rPr>
          <w:rFonts w:ascii="Arial" w:hAnsi="Arial" w:cs="Arial"/>
          <w:sz w:val="24"/>
          <w:szCs w:val="24"/>
          <w:lang w:val="en-US"/>
        </w:rPr>
        <w:t xml:space="preserve"> </w:t>
      </w:r>
      <w:r w:rsidRPr="00282E3D">
        <w:rPr>
          <w:rFonts w:ascii="Arial" w:hAnsi="Arial" w:cs="Arial"/>
          <w:sz w:val="24"/>
          <w:szCs w:val="24"/>
          <w:lang w:val="en-US"/>
        </w:rPr>
        <w:t>Donald</w:t>
      </w:r>
      <w:r w:rsidR="003B0443" w:rsidRPr="00282E3D">
        <w:rPr>
          <w:rFonts w:ascii="Arial" w:hAnsi="Arial" w:cs="Arial"/>
          <w:sz w:val="24"/>
          <w:szCs w:val="24"/>
          <w:lang w:val="en-US"/>
        </w:rPr>
        <w:t xml:space="preserve"> </w:t>
      </w:r>
      <w:r w:rsidRPr="00282E3D">
        <w:rPr>
          <w:rFonts w:ascii="Arial" w:hAnsi="Arial" w:cs="Arial"/>
          <w:sz w:val="24"/>
          <w:szCs w:val="24"/>
          <w:lang w:val="en-US"/>
        </w:rPr>
        <w:t>M.</w:t>
      </w:r>
      <w:r w:rsidR="003B0443" w:rsidRPr="00282E3D">
        <w:rPr>
          <w:rFonts w:ascii="Arial" w:hAnsi="Arial" w:cs="Arial"/>
          <w:sz w:val="24"/>
          <w:szCs w:val="24"/>
          <w:lang w:val="en-US"/>
        </w:rPr>
        <w:t xml:space="preserve"> </w:t>
      </w:r>
      <w:r w:rsidRPr="00282E3D">
        <w:rPr>
          <w:rFonts w:ascii="Arial" w:hAnsi="Arial" w:cs="Arial"/>
          <w:sz w:val="24"/>
          <w:szCs w:val="24"/>
          <w:lang w:val="en-US"/>
        </w:rPr>
        <w:t>Yealy</w:t>
      </w:r>
      <w:r w:rsidR="003B0443" w:rsidRPr="00282E3D">
        <w:rPr>
          <w:rFonts w:ascii="Arial" w:hAnsi="Arial" w:cs="Arial"/>
          <w:sz w:val="24"/>
          <w:szCs w:val="24"/>
          <w:lang w:val="en-US"/>
        </w:rPr>
        <w:t>.</w:t>
      </w:r>
    </w:p>
    <w:p w14:paraId="021771A0" w14:textId="11533613" w:rsidR="00F13C5A" w:rsidRPr="00282E3D" w:rsidRDefault="00F13C5A" w:rsidP="002D75CF">
      <w:pPr>
        <w:pStyle w:val="NoSpacing"/>
        <w:spacing w:line="276" w:lineRule="auto"/>
        <w:rPr>
          <w:rFonts w:ascii="Arial" w:hAnsi="Arial" w:cs="Arial"/>
          <w:sz w:val="24"/>
          <w:szCs w:val="24"/>
          <w:lang w:val="en-US"/>
        </w:rPr>
      </w:pPr>
      <w:r w:rsidRPr="00282E3D">
        <w:rPr>
          <w:rFonts w:ascii="Arial" w:hAnsi="Arial" w:cs="Arial"/>
          <w:b/>
          <w:bCs/>
          <w:sz w:val="24"/>
          <w:szCs w:val="24"/>
          <w:shd w:val="clear" w:color="auto" w:fill="FFFFFF"/>
          <w:lang w:val="en-US"/>
        </w:rPr>
        <w:t>Recruiting Centers</w:t>
      </w:r>
      <w:r w:rsidRPr="00282E3D">
        <w:rPr>
          <w:rFonts w:ascii="Arial" w:hAnsi="Arial" w:cs="Arial"/>
          <w:sz w:val="24"/>
          <w:szCs w:val="24"/>
          <w:shd w:val="clear" w:color="auto" w:fill="FFFFFF"/>
          <w:lang w:val="en-US"/>
        </w:rPr>
        <w:t>: (Site Principal Investigators are listed in Italics) - Advocate Christ Medical Center, Oak Lawn, IL - </w:t>
      </w:r>
      <w:r w:rsidRPr="00282E3D">
        <w:rPr>
          <w:rFonts w:ascii="Arial" w:hAnsi="Arial" w:cs="Arial"/>
          <w:i/>
          <w:iCs/>
          <w:sz w:val="24"/>
          <w:szCs w:val="24"/>
          <w:shd w:val="clear" w:color="auto" w:fill="FFFFFF"/>
          <w:lang w:val="en-US"/>
        </w:rPr>
        <w:t>Erik Kulstad, Hannah Watts</w:t>
      </w:r>
      <w:r w:rsidRPr="00282E3D">
        <w:rPr>
          <w:rFonts w:ascii="Arial" w:hAnsi="Arial" w:cs="Arial"/>
          <w:sz w:val="24"/>
          <w:szCs w:val="24"/>
          <w:shd w:val="clear" w:color="auto" w:fill="FFFFFF"/>
          <w:lang w:val="en-US"/>
        </w:rPr>
        <w:t>. Allegheny General Hospital, Pittsburgh, PA - </w:t>
      </w:r>
      <w:r w:rsidRPr="00282E3D">
        <w:rPr>
          <w:rFonts w:ascii="Arial" w:hAnsi="Arial" w:cs="Arial"/>
          <w:i/>
          <w:iCs/>
          <w:sz w:val="24"/>
          <w:szCs w:val="24"/>
          <w:shd w:val="clear" w:color="auto" w:fill="FFFFFF"/>
          <w:lang w:val="en-US"/>
        </w:rPr>
        <w:t>Arvind Venkat</w:t>
      </w:r>
      <w:r w:rsidRPr="00282E3D">
        <w:rPr>
          <w:rFonts w:ascii="Arial" w:hAnsi="Arial" w:cs="Arial"/>
          <w:sz w:val="24"/>
          <w:szCs w:val="24"/>
          <w:shd w:val="clear" w:color="auto" w:fill="FFFFFF"/>
          <w:lang w:val="en-US"/>
        </w:rPr>
        <w:t>. Brigham and Women’s Hospital, Boston, MA - </w:t>
      </w:r>
      <w:r w:rsidRPr="00282E3D">
        <w:rPr>
          <w:rFonts w:ascii="Arial" w:hAnsi="Arial" w:cs="Arial"/>
          <w:i/>
          <w:iCs/>
          <w:sz w:val="24"/>
          <w:szCs w:val="24"/>
          <w:shd w:val="clear" w:color="auto" w:fill="FFFFFF"/>
          <w:lang w:val="en-US"/>
        </w:rPr>
        <w:t>Peter C. Hou, Anthony Massaro</w:t>
      </w:r>
      <w:r w:rsidRPr="00282E3D">
        <w:rPr>
          <w:rFonts w:ascii="Arial" w:hAnsi="Arial" w:cs="Arial"/>
          <w:sz w:val="24"/>
          <w:szCs w:val="24"/>
          <w:shd w:val="clear" w:color="auto" w:fill="FFFFFF"/>
          <w:lang w:val="en-US"/>
        </w:rPr>
        <w:t>, Siddharth Parmar. Duke University Medical Center, Durham, NC - </w:t>
      </w:r>
      <w:r w:rsidRPr="00282E3D">
        <w:rPr>
          <w:rFonts w:ascii="Arial" w:hAnsi="Arial" w:cs="Arial"/>
          <w:i/>
          <w:iCs/>
          <w:sz w:val="24"/>
          <w:szCs w:val="24"/>
          <w:shd w:val="clear" w:color="auto" w:fill="FFFFFF"/>
          <w:lang w:val="en-US"/>
        </w:rPr>
        <w:t>Alexander T. Limkakeng, Jr</w:t>
      </w:r>
      <w:r w:rsidRPr="00282E3D">
        <w:rPr>
          <w:rFonts w:ascii="Arial" w:hAnsi="Arial" w:cs="Arial"/>
          <w:sz w:val="24"/>
          <w:szCs w:val="24"/>
          <w:shd w:val="clear" w:color="auto" w:fill="FFFFFF"/>
          <w:lang w:val="en-US"/>
        </w:rPr>
        <w:t>. East Carolina University, Greenville, NC - Kori Brewer, </w:t>
      </w:r>
      <w:r w:rsidRPr="00282E3D">
        <w:rPr>
          <w:rFonts w:ascii="Arial" w:hAnsi="Arial" w:cs="Arial"/>
          <w:i/>
          <w:iCs/>
          <w:sz w:val="24"/>
          <w:szCs w:val="24"/>
          <w:shd w:val="clear" w:color="auto" w:fill="FFFFFF"/>
          <w:lang w:val="en-US"/>
        </w:rPr>
        <w:t>Theodore R. Delbridge</w:t>
      </w:r>
      <w:r w:rsidRPr="00282E3D">
        <w:rPr>
          <w:rFonts w:ascii="Arial" w:hAnsi="Arial" w:cs="Arial"/>
          <w:sz w:val="24"/>
          <w:szCs w:val="24"/>
          <w:shd w:val="clear" w:color="auto" w:fill="FFFFFF"/>
          <w:lang w:val="en-US"/>
        </w:rPr>
        <w:t>, Allison Mainhart. George Washington University Medical Center, Washington, DC - </w:t>
      </w:r>
      <w:r w:rsidRPr="00282E3D">
        <w:rPr>
          <w:rFonts w:ascii="Arial" w:hAnsi="Arial" w:cs="Arial"/>
          <w:i/>
          <w:iCs/>
          <w:sz w:val="24"/>
          <w:szCs w:val="24"/>
          <w:shd w:val="clear" w:color="auto" w:fill="FFFFFF"/>
          <w:lang w:val="en-US"/>
        </w:rPr>
        <w:t>Lakhmir S. Chawla</w:t>
      </w:r>
      <w:r w:rsidRPr="00282E3D">
        <w:rPr>
          <w:rFonts w:ascii="Arial" w:hAnsi="Arial" w:cs="Arial"/>
          <w:sz w:val="24"/>
          <w:szCs w:val="24"/>
          <w:shd w:val="clear" w:color="auto" w:fill="FFFFFF"/>
          <w:lang w:val="en-US"/>
        </w:rPr>
        <w:t>. Hennepin County Medical Center, Minneapolis, MN - </w:t>
      </w:r>
      <w:r w:rsidRPr="00282E3D">
        <w:rPr>
          <w:rFonts w:ascii="Arial" w:hAnsi="Arial" w:cs="Arial"/>
          <w:i/>
          <w:iCs/>
          <w:sz w:val="24"/>
          <w:szCs w:val="24"/>
          <w:shd w:val="clear" w:color="auto" w:fill="FFFFFF"/>
          <w:lang w:val="en-US"/>
        </w:rPr>
        <w:t>James R. Miner</w:t>
      </w:r>
      <w:r w:rsidRPr="00282E3D">
        <w:rPr>
          <w:rFonts w:ascii="Arial" w:hAnsi="Arial" w:cs="Arial"/>
          <w:sz w:val="24"/>
          <w:szCs w:val="24"/>
          <w:shd w:val="clear" w:color="auto" w:fill="FFFFFF"/>
          <w:lang w:val="en-US"/>
        </w:rPr>
        <w:t>. Intermountain Medical Center, Murray, UT - </w:t>
      </w:r>
      <w:r w:rsidRPr="00282E3D">
        <w:rPr>
          <w:rFonts w:ascii="Arial" w:hAnsi="Arial" w:cs="Arial"/>
          <w:i/>
          <w:iCs/>
          <w:sz w:val="24"/>
          <w:szCs w:val="24"/>
          <w:shd w:val="clear" w:color="auto" w:fill="FFFFFF"/>
          <w:lang w:val="en-US"/>
        </w:rPr>
        <w:t>Todd L. Allen, Colin K. Grissom</w:t>
      </w:r>
      <w:r w:rsidR="00271F2F" w:rsidRPr="00282E3D">
        <w:rPr>
          <w:rFonts w:ascii="Arial" w:hAnsi="Arial" w:cs="Arial"/>
          <w:sz w:val="24"/>
          <w:szCs w:val="24"/>
          <w:shd w:val="clear" w:color="auto" w:fill="FFFFFF"/>
          <w:lang w:val="en-US"/>
        </w:rPr>
        <w:t>.</w:t>
      </w:r>
      <w:r w:rsidRPr="00282E3D">
        <w:rPr>
          <w:rFonts w:ascii="Arial" w:hAnsi="Arial" w:cs="Arial"/>
          <w:sz w:val="24"/>
          <w:szCs w:val="24"/>
          <w:shd w:val="clear" w:color="auto" w:fill="FFFFFF"/>
          <w:lang w:val="en-US"/>
        </w:rPr>
        <w:t xml:space="preserve"> Los Angeles County + USC Medical Center, Los Angeles, CA - </w:t>
      </w:r>
      <w:r w:rsidRPr="00282E3D">
        <w:rPr>
          <w:rFonts w:ascii="Arial" w:hAnsi="Arial" w:cs="Arial"/>
          <w:i/>
          <w:iCs/>
          <w:sz w:val="24"/>
          <w:szCs w:val="24"/>
          <w:shd w:val="clear" w:color="auto" w:fill="FFFFFF"/>
          <w:lang w:val="en-US"/>
        </w:rPr>
        <w:t>Stuart Swadron</w:t>
      </w:r>
      <w:r w:rsidRPr="00282E3D">
        <w:rPr>
          <w:rFonts w:ascii="Arial" w:hAnsi="Arial" w:cs="Arial"/>
          <w:sz w:val="24"/>
          <w:szCs w:val="24"/>
          <w:shd w:val="clear" w:color="auto" w:fill="FFFFFF"/>
          <w:lang w:val="en-US"/>
        </w:rPr>
        <w:t>. Louisiana State University Health Sciences Center, Shreveport, LA - </w:t>
      </w:r>
      <w:r w:rsidRPr="00282E3D">
        <w:rPr>
          <w:rFonts w:ascii="Arial" w:hAnsi="Arial" w:cs="Arial"/>
          <w:i/>
          <w:iCs/>
          <w:sz w:val="24"/>
          <w:szCs w:val="24"/>
          <w:shd w:val="clear" w:color="auto" w:fill="FFFFFF"/>
          <w:lang w:val="en-US"/>
        </w:rPr>
        <w:t>Steven A. Conrad</w:t>
      </w:r>
      <w:r w:rsidRPr="00282E3D">
        <w:rPr>
          <w:rFonts w:ascii="Arial" w:hAnsi="Arial" w:cs="Arial"/>
          <w:sz w:val="24"/>
          <w:szCs w:val="24"/>
          <w:shd w:val="clear" w:color="auto" w:fill="FFFFFF"/>
          <w:lang w:val="en-US"/>
        </w:rPr>
        <w:t>. Maricopa Medical Center, Phoenix, AZ - </w:t>
      </w:r>
      <w:r w:rsidRPr="00282E3D">
        <w:rPr>
          <w:rFonts w:ascii="Arial" w:hAnsi="Arial" w:cs="Arial"/>
          <w:i/>
          <w:iCs/>
          <w:sz w:val="24"/>
          <w:szCs w:val="24"/>
          <w:shd w:val="clear" w:color="auto" w:fill="FFFFFF"/>
          <w:lang w:val="en-US"/>
        </w:rPr>
        <w:t>Richard Carlson, Frank LoVecchio</w:t>
      </w:r>
      <w:r w:rsidRPr="00282E3D">
        <w:rPr>
          <w:rFonts w:ascii="Arial" w:hAnsi="Arial" w:cs="Arial"/>
          <w:sz w:val="24"/>
          <w:szCs w:val="24"/>
          <w:shd w:val="clear" w:color="auto" w:fill="FFFFFF"/>
          <w:lang w:val="en-US"/>
        </w:rPr>
        <w:t>. Massachusetts General Hospital, Boston, MA - </w:t>
      </w:r>
      <w:r w:rsidRPr="00282E3D">
        <w:rPr>
          <w:rFonts w:ascii="Arial" w:hAnsi="Arial" w:cs="Arial"/>
          <w:i/>
          <w:iCs/>
          <w:sz w:val="24"/>
          <w:szCs w:val="24"/>
          <w:shd w:val="clear" w:color="auto" w:fill="FFFFFF"/>
          <w:lang w:val="en-US"/>
        </w:rPr>
        <w:t>Ednan K. Bajwa, Michael R. Filbin</w:t>
      </w:r>
      <w:r w:rsidRPr="00282E3D">
        <w:rPr>
          <w:rFonts w:ascii="Arial" w:hAnsi="Arial" w:cs="Arial"/>
          <w:sz w:val="24"/>
          <w:szCs w:val="24"/>
          <w:shd w:val="clear" w:color="auto" w:fill="FFFFFF"/>
          <w:lang w:val="en-US"/>
        </w:rPr>
        <w:t>. Blair A. Parry. Methodist Research Institute, Indianapolis, IN - </w:t>
      </w:r>
      <w:r w:rsidRPr="00282E3D">
        <w:rPr>
          <w:rFonts w:ascii="Arial" w:hAnsi="Arial" w:cs="Arial"/>
          <w:i/>
          <w:iCs/>
          <w:sz w:val="24"/>
          <w:szCs w:val="24"/>
          <w:shd w:val="clear" w:color="auto" w:fill="FFFFFF"/>
          <w:lang w:val="en-US"/>
        </w:rPr>
        <w:t>Timothy J. Ellender</w:t>
      </w:r>
      <w:r w:rsidRPr="00282E3D">
        <w:rPr>
          <w:rFonts w:ascii="Arial" w:hAnsi="Arial" w:cs="Arial"/>
          <w:sz w:val="24"/>
          <w:szCs w:val="24"/>
          <w:shd w:val="clear" w:color="auto" w:fill="FFFFFF"/>
          <w:lang w:val="en-US"/>
        </w:rPr>
        <w:t>. North Shore University Hospital, Manhasset, NY - </w:t>
      </w:r>
      <w:r w:rsidRPr="00282E3D">
        <w:rPr>
          <w:rFonts w:ascii="Arial" w:hAnsi="Arial" w:cs="Arial"/>
          <w:i/>
          <w:iCs/>
          <w:sz w:val="24"/>
          <w:szCs w:val="24"/>
          <w:shd w:val="clear" w:color="auto" w:fill="FFFFFF"/>
          <w:lang w:val="en-US"/>
        </w:rPr>
        <w:t>Andrew E. Sama</w:t>
      </w:r>
      <w:r w:rsidRPr="00282E3D">
        <w:rPr>
          <w:rFonts w:ascii="Arial" w:hAnsi="Arial" w:cs="Arial"/>
          <w:sz w:val="24"/>
          <w:szCs w:val="24"/>
          <w:shd w:val="clear" w:color="auto" w:fill="FFFFFF"/>
          <w:lang w:val="en-US"/>
        </w:rPr>
        <w:t>. Norwalk Hospital, Norwalk, CT - </w:t>
      </w:r>
      <w:r w:rsidRPr="00282E3D">
        <w:rPr>
          <w:rFonts w:ascii="Arial" w:hAnsi="Arial" w:cs="Arial"/>
          <w:i/>
          <w:iCs/>
          <w:sz w:val="24"/>
          <w:szCs w:val="24"/>
          <w:shd w:val="clear" w:color="auto" w:fill="FFFFFF"/>
          <w:lang w:val="en-US"/>
        </w:rPr>
        <w:t>Jonathan Fine</w:t>
      </w:r>
      <w:r w:rsidRPr="00282E3D">
        <w:rPr>
          <w:rFonts w:ascii="Arial" w:hAnsi="Arial" w:cs="Arial"/>
          <w:sz w:val="24"/>
          <w:szCs w:val="24"/>
          <w:shd w:val="clear" w:color="auto" w:fill="FFFFFF"/>
          <w:lang w:val="en-US"/>
        </w:rPr>
        <w:t>. Penn State Hershey College of Medicine, Hershey, PA - Soheil Nafeei, </w:t>
      </w:r>
      <w:r w:rsidRPr="00282E3D">
        <w:rPr>
          <w:rFonts w:ascii="Arial" w:hAnsi="Arial" w:cs="Arial"/>
          <w:i/>
          <w:iCs/>
          <w:sz w:val="24"/>
          <w:szCs w:val="24"/>
          <w:shd w:val="clear" w:color="auto" w:fill="FFFFFF"/>
          <w:lang w:val="en-US"/>
        </w:rPr>
        <w:t>Thomas Terndrup, Margaret Wojnar</w:t>
      </w:r>
      <w:r w:rsidRPr="00282E3D">
        <w:rPr>
          <w:rFonts w:ascii="Arial" w:hAnsi="Arial" w:cs="Arial"/>
          <w:sz w:val="24"/>
          <w:szCs w:val="24"/>
          <w:shd w:val="clear" w:color="auto" w:fill="FFFFFF"/>
          <w:lang w:val="en-US"/>
        </w:rPr>
        <w:t>. Stanford University School of Medicine, Stanford, CA - </w:t>
      </w:r>
      <w:r w:rsidRPr="00282E3D">
        <w:rPr>
          <w:rFonts w:ascii="Arial" w:hAnsi="Arial" w:cs="Arial"/>
          <w:i/>
          <w:iCs/>
          <w:sz w:val="24"/>
          <w:szCs w:val="24"/>
          <w:shd w:val="clear" w:color="auto" w:fill="FFFFFF"/>
          <w:lang w:val="en-US"/>
        </w:rPr>
        <w:t>Ronald G. Pearl</w:t>
      </w:r>
      <w:r w:rsidRPr="00282E3D">
        <w:rPr>
          <w:rFonts w:ascii="Arial" w:hAnsi="Arial" w:cs="Arial"/>
          <w:sz w:val="24"/>
          <w:szCs w:val="24"/>
          <w:shd w:val="clear" w:color="auto" w:fill="FFFFFF"/>
          <w:lang w:val="en-US"/>
        </w:rPr>
        <w:t>. Summa Health System, Akron, OH - </w:t>
      </w:r>
      <w:r w:rsidRPr="00282E3D">
        <w:rPr>
          <w:rFonts w:ascii="Arial" w:hAnsi="Arial" w:cs="Arial"/>
          <w:i/>
          <w:iCs/>
          <w:sz w:val="24"/>
          <w:szCs w:val="24"/>
          <w:shd w:val="clear" w:color="auto" w:fill="FFFFFF"/>
          <w:lang w:val="en-US"/>
        </w:rPr>
        <w:t>Scott T. Wilber</w:t>
      </w:r>
      <w:r w:rsidRPr="00282E3D">
        <w:rPr>
          <w:rFonts w:ascii="Arial" w:hAnsi="Arial" w:cs="Arial"/>
          <w:sz w:val="24"/>
          <w:szCs w:val="24"/>
          <w:shd w:val="clear" w:color="auto" w:fill="FFFFFF"/>
          <w:lang w:val="en-US"/>
        </w:rPr>
        <w:t>. SUNY Downstate Medical Center, Brooklyn, NY - </w:t>
      </w:r>
      <w:r w:rsidRPr="00282E3D">
        <w:rPr>
          <w:rFonts w:ascii="Arial" w:hAnsi="Arial" w:cs="Arial"/>
          <w:i/>
          <w:iCs/>
          <w:sz w:val="24"/>
          <w:szCs w:val="24"/>
          <w:shd w:val="clear" w:color="auto" w:fill="FFFFFF"/>
          <w:lang w:val="en-US"/>
        </w:rPr>
        <w:t>Richard Sinert</w:t>
      </w:r>
      <w:r w:rsidRPr="00282E3D">
        <w:rPr>
          <w:rFonts w:ascii="Arial" w:hAnsi="Arial" w:cs="Arial"/>
          <w:sz w:val="24"/>
          <w:szCs w:val="24"/>
          <w:shd w:val="clear" w:color="auto" w:fill="FFFFFF"/>
          <w:lang w:val="en-US"/>
        </w:rPr>
        <w:t>. Tampa General Hospital, Tampa, FL - </w:t>
      </w:r>
      <w:r w:rsidRPr="00282E3D">
        <w:rPr>
          <w:rFonts w:ascii="Arial" w:hAnsi="Arial" w:cs="Arial"/>
          <w:i/>
          <w:iCs/>
          <w:sz w:val="24"/>
          <w:szCs w:val="24"/>
          <w:shd w:val="clear" w:color="auto" w:fill="FFFFFF"/>
          <w:lang w:val="en-US"/>
        </w:rPr>
        <w:t>David J. Orban</w:t>
      </w:r>
      <w:r w:rsidRPr="00282E3D">
        <w:rPr>
          <w:rFonts w:ascii="Arial" w:hAnsi="Arial" w:cs="Arial"/>
          <w:sz w:val="24"/>
          <w:szCs w:val="24"/>
          <w:shd w:val="clear" w:color="auto" w:fill="FFFFFF"/>
          <w:lang w:val="en-US"/>
        </w:rPr>
        <w:t>, Jason W. Wilson. Temple University Hospital, Philadelphia, PA - </w:t>
      </w:r>
      <w:r w:rsidRPr="00282E3D">
        <w:rPr>
          <w:rFonts w:ascii="Arial" w:hAnsi="Arial" w:cs="Arial"/>
          <w:i/>
          <w:iCs/>
          <w:sz w:val="24"/>
          <w:szCs w:val="24"/>
          <w:shd w:val="clear" w:color="auto" w:fill="FFFFFF"/>
          <w:lang w:val="en-US"/>
        </w:rPr>
        <w:t>Jacob W. Ufberg</w:t>
      </w:r>
      <w:r w:rsidRPr="00282E3D">
        <w:rPr>
          <w:rFonts w:ascii="Arial" w:hAnsi="Arial" w:cs="Arial"/>
          <w:sz w:val="24"/>
          <w:szCs w:val="24"/>
          <w:shd w:val="clear" w:color="auto" w:fill="FFFFFF"/>
          <w:lang w:val="en-US"/>
        </w:rPr>
        <w:t>. UC Davis Medical Center, Sacramento, CA - </w:t>
      </w:r>
      <w:r w:rsidRPr="00282E3D">
        <w:rPr>
          <w:rFonts w:ascii="Arial" w:hAnsi="Arial" w:cs="Arial"/>
          <w:i/>
          <w:iCs/>
          <w:sz w:val="24"/>
          <w:szCs w:val="24"/>
          <w:shd w:val="clear" w:color="auto" w:fill="FFFFFF"/>
          <w:lang w:val="en-US"/>
        </w:rPr>
        <w:t>Timothy Albertson, Edward A. Panacek</w:t>
      </w:r>
      <w:r w:rsidRPr="00282E3D">
        <w:rPr>
          <w:rFonts w:ascii="Arial" w:hAnsi="Arial" w:cs="Arial"/>
          <w:sz w:val="24"/>
          <w:szCs w:val="24"/>
          <w:shd w:val="clear" w:color="auto" w:fill="FFFFFF"/>
          <w:lang w:val="en-US"/>
        </w:rPr>
        <w:t>. University Medical Center Brackenridge, Austin, TX - </w:t>
      </w:r>
      <w:r w:rsidRPr="00282E3D">
        <w:rPr>
          <w:rFonts w:ascii="Arial" w:hAnsi="Arial" w:cs="Arial"/>
          <w:i/>
          <w:iCs/>
          <w:sz w:val="24"/>
          <w:szCs w:val="24"/>
          <w:shd w:val="clear" w:color="auto" w:fill="FFFFFF"/>
          <w:lang w:val="en-US"/>
        </w:rPr>
        <w:t>Sohan Parekh</w:t>
      </w:r>
      <w:r w:rsidRPr="00282E3D">
        <w:rPr>
          <w:rFonts w:ascii="Arial" w:hAnsi="Arial" w:cs="Arial"/>
          <w:sz w:val="24"/>
          <w:szCs w:val="24"/>
          <w:shd w:val="clear" w:color="auto" w:fill="FFFFFF"/>
          <w:lang w:val="en-US"/>
        </w:rPr>
        <w:t>. UPMC Presbyterian/Shadyside, Pittsburgh, PA - </w:t>
      </w:r>
      <w:r w:rsidRPr="00282E3D">
        <w:rPr>
          <w:rFonts w:ascii="Arial" w:hAnsi="Arial" w:cs="Arial"/>
          <w:i/>
          <w:iCs/>
          <w:sz w:val="24"/>
          <w:szCs w:val="24"/>
          <w:shd w:val="clear" w:color="auto" w:fill="FFFFFF"/>
          <w:lang w:val="en-US"/>
        </w:rPr>
        <w:t>Scott R. Gunn</w:t>
      </w:r>
      <w:r w:rsidRPr="00282E3D">
        <w:rPr>
          <w:rFonts w:ascii="Arial" w:hAnsi="Arial" w:cs="Arial"/>
          <w:sz w:val="24"/>
          <w:szCs w:val="24"/>
          <w:shd w:val="clear" w:color="auto" w:fill="FFFFFF"/>
          <w:lang w:val="en-US"/>
        </w:rPr>
        <w:t>, Jon S. Rittenberger, </w:t>
      </w:r>
      <w:r w:rsidRPr="00282E3D">
        <w:rPr>
          <w:rFonts w:ascii="Arial" w:hAnsi="Arial" w:cs="Arial"/>
          <w:i/>
          <w:iCs/>
          <w:sz w:val="24"/>
          <w:szCs w:val="24"/>
          <w:shd w:val="clear" w:color="auto" w:fill="FFFFFF"/>
          <w:lang w:val="en-US"/>
        </w:rPr>
        <w:t>Richard J. Wadas</w:t>
      </w:r>
      <w:r w:rsidRPr="00282E3D">
        <w:rPr>
          <w:rFonts w:ascii="Arial" w:hAnsi="Arial" w:cs="Arial"/>
          <w:sz w:val="24"/>
          <w:szCs w:val="24"/>
          <w:shd w:val="clear" w:color="auto" w:fill="FFFFFF"/>
          <w:lang w:val="en-US"/>
        </w:rPr>
        <w:t>. University of Alabama at Birmingham, Birmingham, AL - Andrew R. Edwards, Matthew Kelly, </w:t>
      </w:r>
      <w:r w:rsidRPr="00282E3D">
        <w:rPr>
          <w:rFonts w:ascii="Arial" w:hAnsi="Arial" w:cs="Arial"/>
          <w:i/>
          <w:iCs/>
          <w:sz w:val="24"/>
          <w:szCs w:val="24"/>
          <w:shd w:val="clear" w:color="auto" w:fill="FFFFFF"/>
          <w:lang w:val="en-US"/>
        </w:rPr>
        <w:t>Henry E. Wang</w:t>
      </w:r>
      <w:r w:rsidRPr="00282E3D">
        <w:rPr>
          <w:rFonts w:ascii="Arial" w:hAnsi="Arial" w:cs="Arial"/>
          <w:sz w:val="24"/>
          <w:szCs w:val="24"/>
          <w:shd w:val="clear" w:color="auto" w:fill="FFFFFF"/>
          <w:lang w:val="en-US"/>
        </w:rPr>
        <w:t>, University of Arkansas for Medical Sciences, Little Rock, AR - </w:t>
      </w:r>
      <w:r w:rsidRPr="00282E3D">
        <w:rPr>
          <w:rFonts w:ascii="Arial" w:hAnsi="Arial" w:cs="Arial"/>
          <w:i/>
          <w:iCs/>
          <w:sz w:val="24"/>
          <w:szCs w:val="24"/>
          <w:shd w:val="clear" w:color="auto" w:fill="FFFFFF"/>
          <w:lang w:val="en-US"/>
        </w:rPr>
        <w:t>Talmage M. Holmes</w:t>
      </w:r>
      <w:r w:rsidRPr="00282E3D">
        <w:rPr>
          <w:rFonts w:ascii="Arial" w:hAnsi="Arial" w:cs="Arial"/>
          <w:sz w:val="24"/>
          <w:szCs w:val="24"/>
          <w:shd w:val="clear" w:color="auto" w:fill="FFFFFF"/>
          <w:lang w:val="en-US"/>
        </w:rPr>
        <w:t>. University of Maryland at Baltimore, Baltimore, MD - </w:t>
      </w:r>
      <w:r w:rsidRPr="00282E3D">
        <w:rPr>
          <w:rFonts w:ascii="Arial" w:hAnsi="Arial" w:cs="Arial"/>
          <w:i/>
          <w:iCs/>
          <w:sz w:val="24"/>
          <w:szCs w:val="24"/>
          <w:shd w:val="clear" w:color="auto" w:fill="FFFFFF"/>
          <w:lang w:val="en-US"/>
        </w:rPr>
        <w:t>Michael T. McCurdy</w:t>
      </w:r>
      <w:r w:rsidRPr="00282E3D">
        <w:rPr>
          <w:rFonts w:ascii="Arial" w:hAnsi="Arial" w:cs="Arial"/>
          <w:sz w:val="24"/>
          <w:szCs w:val="24"/>
          <w:shd w:val="clear" w:color="auto" w:fill="FFFFFF"/>
          <w:lang w:val="en-US"/>
        </w:rPr>
        <w:t>. University of Minnesota Medical Center, Fairview, MN - </w:t>
      </w:r>
      <w:r w:rsidRPr="00282E3D">
        <w:rPr>
          <w:rFonts w:ascii="Arial" w:hAnsi="Arial" w:cs="Arial"/>
          <w:i/>
          <w:iCs/>
          <w:sz w:val="24"/>
          <w:szCs w:val="24"/>
          <w:shd w:val="clear" w:color="auto" w:fill="FFFFFF"/>
          <w:lang w:val="en-US"/>
        </w:rPr>
        <w:t>Craig Weinert</w:t>
      </w:r>
      <w:r w:rsidRPr="00282E3D">
        <w:rPr>
          <w:rFonts w:ascii="Arial" w:hAnsi="Arial" w:cs="Arial"/>
          <w:sz w:val="24"/>
          <w:szCs w:val="24"/>
          <w:shd w:val="clear" w:color="auto" w:fill="FFFFFF"/>
          <w:lang w:val="en-US"/>
        </w:rPr>
        <w:t>. University of Utah Health Sciences Center, Salt Lake City, UT - </w:t>
      </w:r>
      <w:r w:rsidRPr="00282E3D">
        <w:rPr>
          <w:rFonts w:ascii="Arial" w:hAnsi="Arial" w:cs="Arial"/>
          <w:i/>
          <w:iCs/>
          <w:sz w:val="24"/>
          <w:szCs w:val="24"/>
          <w:shd w:val="clear" w:color="auto" w:fill="FFFFFF"/>
          <w:lang w:val="en-US"/>
        </w:rPr>
        <w:t>Estelle S. Harris</w:t>
      </w:r>
      <w:r w:rsidRPr="00282E3D">
        <w:rPr>
          <w:rFonts w:ascii="Arial" w:hAnsi="Arial" w:cs="Arial"/>
          <w:sz w:val="24"/>
          <w:szCs w:val="24"/>
          <w:shd w:val="clear" w:color="auto" w:fill="FFFFFF"/>
          <w:lang w:val="en-US"/>
        </w:rPr>
        <w:t>. Vanderbilt University Medical Center, Nashville, TN - </w:t>
      </w:r>
      <w:r w:rsidRPr="00282E3D">
        <w:rPr>
          <w:rFonts w:ascii="Arial" w:hAnsi="Arial" w:cs="Arial"/>
          <w:i/>
          <w:iCs/>
          <w:sz w:val="24"/>
          <w:szCs w:val="24"/>
          <w:shd w:val="clear" w:color="auto" w:fill="FFFFFF"/>
          <w:lang w:val="en-US"/>
        </w:rPr>
        <w:t>Wesley H. Self</w:t>
      </w:r>
      <w:r w:rsidRPr="00282E3D">
        <w:rPr>
          <w:rFonts w:ascii="Arial" w:hAnsi="Arial" w:cs="Arial"/>
          <w:sz w:val="24"/>
          <w:szCs w:val="24"/>
          <w:shd w:val="clear" w:color="auto" w:fill="FFFFFF"/>
          <w:lang w:val="en-US"/>
        </w:rPr>
        <w:t>, Diane Dubinski. Washington Hospital Center, Washington, DC - </w:t>
      </w:r>
      <w:r w:rsidRPr="00282E3D">
        <w:rPr>
          <w:rFonts w:ascii="Arial" w:hAnsi="Arial" w:cs="Arial"/>
          <w:i/>
          <w:iCs/>
          <w:sz w:val="24"/>
          <w:szCs w:val="24"/>
          <w:shd w:val="clear" w:color="auto" w:fill="FFFFFF"/>
          <w:lang w:val="en-US"/>
        </w:rPr>
        <w:t>Carolyn A. Phillips</w:t>
      </w:r>
      <w:r w:rsidRPr="00282E3D">
        <w:rPr>
          <w:rFonts w:ascii="Arial" w:hAnsi="Arial" w:cs="Arial"/>
          <w:sz w:val="24"/>
          <w:szCs w:val="24"/>
          <w:shd w:val="clear" w:color="auto" w:fill="FFFFFF"/>
          <w:lang w:val="en-US"/>
        </w:rPr>
        <w:t>, Ronald M. Migues.</w:t>
      </w:r>
    </w:p>
    <w:p w14:paraId="13810320" w14:textId="77777777" w:rsidR="00271F2F" w:rsidRPr="00282E3D" w:rsidRDefault="00271F2F" w:rsidP="002D75CF">
      <w:pPr>
        <w:pStyle w:val="NoSpacing"/>
        <w:spacing w:line="276" w:lineRule="auto"/>
        <w:rPr>
          <w:rFonts w:ascii="Arial" w:hAnsi="Arial" w:cs="Arial"/>
          <w:sz w:val="24"/>
          <w:szCs w:val="24"/>
          <w:lang w:val="en-US"/>
        </w:rPr>
      </w:pPr>
    </w:p>
    <w:p w14:paraId="30A06084" w14:textId="2A7F7775" w:rsidR="009319E2" w:rsidRPr="00282E3D" w:rsidRDefault="00271F2F" w:rsidP="002D75CF">
      <w:pPr>
        <w:pStyle w:val="NoSpacing"/>
        <w:spacing w:line="276" w:lineRule="auto"/>
        <w:rPr>
          <w:rFonts w:ascii="Arial" w:hAnsi="Arial" w:cs="Arial"/>
          <w:sz w:val="24"/>
          <w:szCs w:val="24"/>
          <w:lang w:val="en-US"/>
        </w:rPr>
      </w:pPr>
      <w:r w:rsidRPr="00282E3D">
        <w:rPr>
          <w:rFonts w:ascii="Arial" w:hAnsi="Arial" w:cs="Arial"/>
          <w:sz w:val="24"/>
          <w:szCs w:val="24"/>
          <w:lang w:val="en-US"/>
        </w:rPr>
        <w:t>See also</w:t>
      </w:r>
      <w:r w:rsidR="009319E2" w:rsidRPr="00282E3D">
        <w:rPr>
          <w:rFonts w:ascii="Arial" w:hAnsi="Arial" w:cs="Arial"/>
          <w:sz w:val="24"/>
          <w:szCs w:val="24"/>
          <w:lang w:val="en-US"/>
        </w:rPr>
        <w:t xml:space="preserve"> </w:t>
      </w:r>
      <w:r w:rsidR="002E3029" w:rsidRPr="00282E3D">
        <w:rPr>
          <w:rFonts w:ascii="Arial" w:hAnsi="Arial" w:cs="Arial"/>
          <w:sz w:val="24"/>
          <w:szCs w:val="24"/>
          <w:lang w:val="en-US"/>
        </w:rPr>
        <w:t xml:space="preserve">https://crisma.upmc.com/progressakistudy/processteam.asp?logged=0 or </w:t>
      </w:r>
      <w:r w:rsidR="009319E2" w:rsidRPr="00282E3D">
        <w:rPr>
          <w:rFonts w:ascii="Arial" w:hAnsi="Arial" w:cs="Arial"/>
          <w:sz w:val="24"/>
          <w:szCs w:val="24"/>
          <w:lang w:val="en-US"/>
        </w:rPr>
        <w:t xml:space="preserve">supplemental material (Supplement 1) from </w:t>
      </w:r>
      <w:r w:rsidR="000A6FA1" w:rsidRPr="00282E3D">
        <w:rPr>
          <w:rFonts w:ascii="Arial" w:hAnsi="Arial" w:cs="Arial"/>
          <w:sz w:val="24"/>
          <w:szCs w:val="24"/>
          <w:lang w:val="en-US"/>
        </w:rPr>
        <w:t>“</w:t>
      </w:r>
      <w:r w:rsidR="009319E2" w:rsidRPr="00282E3D">
        <w:rPr>
          <w:rFonts w:ascii="Arial" w:hAnsi="Arial" w:cs="Arial"/>
          <w:i/>
          <w:iCs/>
          <w:sz w:val="24"/>
          <w:szCs w:val="24"/>
          <w:lang w:val="en-US"/>
        </w:rPr>
        <w:t>ProCESS Investigators, Yealy DM, Kellum JA, Huang DT, Barnato AE, Weissfeld LA, Pike F, Terndrup T, Wang HE, Hou PC, LoVecchio F, Filbin MR, Shapiro NI, Angus DC. A randomized trial of protocol-based care for early septic shock. N Engl J Med. 2014 May 1;370(18):1683-93. doi: 10.1056/NEJMoa1401602. Epub 2014 Mar 18. PMID: 24635773; PMCID: PMC4101700.</w:t>
      </w:r>
      <w:r w:rsidR="000A6FA1" w:rsidRPr="00282E3D">
        <w:rPr>
          <w:rFonts w:ascii="Arial" w:hAnsi="Arial" w:cs="Arial"/>
          <w:i/>
          <w:iCs/>
          <w:sz w:val="24"/>
          <w:szCs w:val="24"/>
          <w:lang w:val="en-US"/>
        </w:rPr>
        <w:t>”</w:t>
      </w:r>
    </w:p>
    <w:p w14:paraId="40E87000" w14:textId="7CC19165" w:rsidR="00092338" w:rsidRPr="00282E3D" w:rsidRDefault="00092338" w:rsidP="002D75CF">
      <w:pPr>
        <w:pStyle w:val="NoSpacing"/>
        <w:spacing w:line="276" w:lineRule="auto"/>
        <w:rPr>
          <w:rFonts w:ascii="Arial" w:hAnsi="Arial" w:cs="Arial"/>
          <w:b/>
          <w:bCs/>
          <w:sz w:val="24"/>
          <w:szCs w:val="24"/>
          <w:lang w:val="en-US"/>
        </w:rPr>
      </w:pPr>
      <w:r w:rsidRPr="00282E3D">
        <w:rPr>
          <w:rFonts w:ascii="Arial" w:hAnsi="Arial" w:cs="Arial"/>
          <w:b/>
          <w:bCs/>
          <w:sz w:val="24"/>
          <w:szCs w:val="24"/>
          <w:lang w:val="en-US"/>
        </w:rPr>
        <w:br w:type="page"/>
      </w:r>
    </w:p>
    <w:p w14:paraId="14ACCDBA" w14:textId="6664BFDD" w:rsidR="0055638C" w:rsidRPr="00282E3D" w:rsidRDefault="00023B8E" w:rsidP="002D75CF">
      <w:pPr>
        <w:pStyle w:val="Papardraft"/>
        <w:spacing w:line="276" w:lineRule="auto"/>
        <w:ind w:firstLine="0"/>
        <w:outlineLvl w:val="0"/>
        <w:rPr>
          <w:b/>
          <w:bCs/>
          <w:lang w:val="en-US"/>
        </w:rPr>
      </w:pPr>
      <w:bookmarkStart w:id="37" w:name="_Toc59643471"/>
      <w:r w:rsidRPr="00282E3D">
        <w:rPr>
          <w:b/>
          <w:bCs/>
          <w:lang w:val="en-US"/>
        </w:rPr>
        <w:lastRenderedPageBreak/>
        <w:t>LAPIS SIMULATION</w:t>
      </w:r>
      <w:bookmarkEnd w:id="37"/>
    </w:p>
    <w:p w14:paraId="61E471A2" w14:textId="42218097" w:rsidR="003C5FBB" w:rsidRPr="00282E3D" w:rsidRDefault="003C5FBB" w:rsidP="003C5FBB">
      <w:pPr>
        <w:pStyle w:val="Papardraft"/>
        <w:spacing w:line="276" w:lineRule="auto"/>
        <w:ind w:firstLine="0"/>
        <w:rPr>
          <w:b/>
          <w:bCs/>
          <w:lang w:val="en-US"/>
        </w:rPr>
      </w:pPr>
    </w:p>
    <w:p w14:paraId="1A4EEBA3" w14:textId="074F2BCF" w:rsidR="00023B8E" w:rsidRPr="00282E3D" w:rsidRDefault="00023B8E" w:rsidP="00DD2829">
      <w:pPr>
        <w:pStyle w:val="Papardraft"/>
        <w:spacing w:line="276" w:lineRule="auto"/>
        <w:ind w:firstLine="0"/>
        <w:outlineLvl w:val="1"/>
        <w:rPr>
          <w:b/>
          <w:bCs/>
          <w:lang w:val="en-US"/>
        </w:rPr>
      </w:pPr>
      <w:bookmarkStart w:id="38" w:name="_Toc59643472"/>
      <w:r w:rsidRPr="00282E3D">
        <w:rPr>
          <w:b/>
          <w:bCs/>
          <w:lang w:val="en-US"/>
        </w:rPr>
        <w:t>Methods</w:t>
      </w:r>
      <w:bookmarkEnd w:id="38"/>
    </w:p>
    <w:p w14:paraId="55709935" w14:textId="36D7F42B" w:rsidR="00724172" w:rsidRPr="00282E3D" w:rsidRDefault="00724172" w:rsidP="00FA4F6B">
      <w:pPr>
        <w:pStyle w:val="Papardraft"/>
        <w:spacing w:line="276" w:lineRule="auto"/>
        <w:ind w:firstLine="0"/>
        <w:rPr>
          <w:i/>
          <w:iCs/>
          <w:lang w:val="en-US"/>
        </w:rPr>
      </w:pPr>
      <w:r w:rsidRPr="00282E3D">
        <w:rPr>
          <w:i/>
          <w:iCs/>
          <w:lang w:val="en-US"/>
        </w:rPr>
        <w:t>Sapphire study</w:t>
      </w:r>
    </w:p>
    <w:p w14:paraId="5F6039C6" w14:textId="766B047B" w:rsidR="00FA4F6B" w:rsidRPr="00282E3D" w:rsidRDefault="00724172" w:rsidP="00FA4F6B">
      <w:pPr>
        <w:pStyle w:val="Papardraft"/>
        <w:spacing w:line="276" w:lineRule="auto"/>
        <w:ind w:firstLine="0"/>
        <w:rPr>
          <w:lang w:val="en-US"/>
        </w:rPr>
      </w:pPr>
      <w:r w:rsidRPr="00282E3D">
        <w:rPr>
          <w:lang w:val="en-US"/>
        </w:rPr>
        <w:t>The</w:t>
      </w:r>
      <w:r w:rsidR="009F5954" w:rsidRPr="00282E3D">
        <w:rPr>
          <w:lang w:val="en-US"/>
        </w:rPr>
        <w:t xml:space="preserve"> detailed inclusion and exclusion criteria were reported in the Supplementary Appendix of “Kashani K et al. Discovery and validation of cell cycle arrest biomarkers in human acute kidney injury. </w:t>
      </w:r>
      <w:r w:rsidR="00232DFE" w:rsidRPr="00282E3D">
        <w:rPr>
          <w:lang w:val="en-US"/>
        </w:rPr>
        <w:t>Crit Care. 2013 Feb 6;17(1):R25</w:t>
      </w:r>
      <w:r w:rsidR="00AD1F72" w:rsidRPr="00282E3D">
        <w:rPr>
          <w:lang w:val="en-US"/>
        </w:rPr>
        <w:t>.</w:t>
      </w:r>
      <w:r w:rsidR="009F5954" w:rsidRPr="00282E3D">
        <w:rPr>
          <w:lang w:val="en-US"/>
        </w:rPr>
        <w:t>”</w:t>
      </w:r>
      <w:r w:rsidR="00FA4F6B" w:rsidRPr="00282E3D">
        <w:rPr>
          <w:lang w:val="en-US"/>
        </w:rPr>
        <w:t xml:space="preserve"> Among them we report</w:t>
      </w:r>
      <w:r w:rsidRPr="00282E3D">
        <w:rPr>
          <w:lang w:val="en-US"/>
        </w:rPr>
        <w:t xml:space="preserve"> the following inclusion criteria:</w:t>
      </w:r>
    </w:p>
    <w:p w14:paraId="05C9FD04" w14:textId="2CC71E07" w:rsidR="00FA4F6B" w:rsidRPr="00282E3D" w:rsidRDefault="00FA4F6B" w:rsidP="00FA4F6B">
      <w:pPr>
        <w:pStyle w:val="Papardraft"/>
        <w:numPr>
          <w:ilvl w:val="0"/>
          <w:numId w:val="43"/>
        </w:numPr>
        <w:spacing w:line="276" w:lineRule="auto"/>
        <w:rPr>
          <w:lang w:val="en-US"/>
        </w:rPr>
      </w:pPr>
      <w:r w:rsidRPr="00282E3D">
        <w:rPr>
          <w:lang w:val="en-US"/>
        </w:rPr>
        <w:t>males and females 21 years of age or older;</w:t>
      </w:r>
    </w:p>
    <w:p w14:paraId="41BD8157" w14:textId="2D6FED81" w:rsidR="00724172" w:rsidRPr="00282E3D" w:rsidRDefault="00724172" w:rsidP="00FA4F6B">
      <w:pPr>
        <w:pStyle w:val="Papardraft"/>
        <w:numPr>
          <w:ilvl w:val="0"/>
          <w:numId w:val="43"/>
        </w:numPr>
        <w:spacing w:line="276" w:lineRule="auto"/>
        <w:rPr>
          <w:lang w:val="en-US"/>
        </w:rPr>
      </w:pPr>
      <w:r w:rsidRPr="00282E3D">
        <w:rPr>
          <w:lang w:val="en-US"/>
        </w:rPr>
        <w:t>expected to remain in the ICU for at least 48 hours after enrollment;</w:t>
      </w:r>
    </w:p>
    <w:p w14:paraId="310FB29D" w14:textId="34B6670E" w:rsidR="009F5954" w:rsidRPr="00282E3D" w:rsidRDefault="00FA4F6B" w:rsidP="00FA4F6B">
      <w:pPr>
        <w:pStyle w:val="Papardraft"/>
        <w:numPr>
          <w:ilvl w:val="0"/>
          <w:numId w:val="43"/>
        </w:numPr>
        <w:spacing w:line="276" w:lineRule="auto"/>
        <w:rPr>
          <w:lang w:val="en-US"/>
        </w:rPr>
      </w:pPr>
      <w:r w:rsidRPr="00282E3D">
        <w:rPr>
          <w:lang w:val="en-US"/>
        </w:rPr>
        <w:t>within 24 hours prior to enrollment at least one among respiratory sepsis-related organ failure assessment (SOFA) score of ≥ 2 (PaO2/FiO2 &lt;300) or cardiovascular SOFA score of ≥ 1 (MAP &lt; 70 mm Hg and/or any vasopressor required)</w:t>
      </w:r>
      <w:r w:rsidR="00232DFE" w:rsidRPr="00282E3D">
        <w:rPr>
          <w:lang w:val="en-US"/>
        </w:rPr>
        <w:t>.</w:t>
      </w:r>
    </w:p>
    <w:p w14:paraId="5B113DE5" w14:textId="77777777" w:rsidR="00724172" w:rsidRPr="00282E3D" w:rsidRDefault="00724172" w:rsidP="00724172">
      <w:pPr>
        <w:pStyle w:val="Papardraft"/>
        <w:spacing w:line="276" w:lineRule="auto"/>
        <w:ind w:firstLine="0"/>
        <w:rPr>
          <w:lang w:val="en-US"/>
        </w:rPr>
      </w:pPr>
    </w:p>
    <w:p w14:paraId="514B0437" w14:textId="43F2919F" w:rsidR="00724172" w:rsidRPr="00282E3D" w:rsidRDefault="00F843FF" w:rsidP="003C5FBB">
      <w:pPr>
        <w:pStyle w:val="Papardraft"/>
        <w:spacing w:line="276" w:lineRule="auto"/>
        <w:ind w:firstLine="0"/>
        <w:rPr>
          <w:lang w:val="en-US"/>
        </w:rPr>
      </w:pPr>
      <w:r w:rsidRPr="00282E3D">
        <w:rPr>
          <w:lang w:val="en-US"/>
        </w:rPr>
        <w:t>In our analysis</w:t>
      </w:r>
      <w:r w:rsidR="00232DFE" w:rsidRPr="00282E3D">
        <w:rPr>
          <w:lang w:val="en-US"/>
        </w:rPr>
        <w:t xml:space="preserve"> and simulation</w:t>
      </w:r>
      <w:r w:rsidR="009F5954" w:rsidRPr="00282E3D">
        <w:rPr>
          <w:lang w:val="en-US"/>
        </w:rPr>
        <w:t>, f</w:t>
      </w:r>
      <w:r w:rsidR="00FA4F6B" w:rsidRPr="00282E3D">
        <w:rPr>
          <w:lang w:val="en-US"/>
        </w:rPr>
        <w:t>ro</w:t>
      </w:r>
      <w:r w:rsidR="009F5954" w:rsidRPr="00282E3D">
        <w:rPr>
          <w:lang w:val="en-US"/>
        </w:rPr>
        <w:t xml:space="preserve">m the </w:t>
      </w:r>
      <w:r w:rsidR="00FA4F6B" w:rsidRPr="00282E3D">
        <w:rPr>
          <w:lang w:val="en-US"/>
        </w:rPr>
        <w:t xml:space="preserve">original cohort </w:t>
      </w:r>
      <w:r w:rsidRPr="00282E3D">
        <w:rPr>
          <w:lang w:val="en-US"/>
        </w:rPr>
        <w:t>of</w:t>
      </w:r>
      <w:r w:rsidR="00FA4F6B" w:rsidRPr="00282E3D">
        <w:rPr>
          <w:lang w:val="en-US"/>
        </w:rPr>
        <w:t xml:space="preserve"> </w:t>
      </w:r>
      <w:r w:rsidR="009F5954" w:rsidRPr="00282E3D">
        <w:rPr>
          <w:lang w:val="en-US"/>
        </w:rPr>
        <w:t>723 patients</w:t>
      </w:r>
      <w:r w:rsidRPr="00282E3D">
        <w:rPr>
          <w:lang w:val="en-US"/>
        </w:rPr>
        <w:t>,</w:t>
      </w:r>
      <w:r w:rsidR="009F5954" w:rsidRPr="00282E3D">
        <w:rPr>
          <w:lang w:val="en-US"/>
        </w:rPr>
        <w:t xml:space="preserve"> we included only patients </w:t>
      </w:r>
      <w:r w:rsidR="00FA4F6B" w:rsidRPr="00282E3D">
        <w:rPr>
          <w:lang w:val="en-US"/>
        </w:rPr>
        <w:t>with sepsis. Sepsis status in Sapphire was determined based on the clinical diagnosis assigned by the treating physicians at the study sites. If a patient had sepsis noted in the medical record within 5 days prior to study enrollment, or if sepsis was noted as a reason for hospital or ICU admission, then the patient was considered to have sepsis</w:t>
      </w:r>
      <w:r w:rsidR="00724172" w:rsidRPr="00282E3D">
        <w:rPr>
          <w:lang w:val="en-US"/>
        </w:rPr>
        <w:t>.</w:t>
      </w:r>
    </w:p>
    <w:p w14:paraId="00B64021" w14:textId="1B9FBBC9" w:rsidR="009F5954" w:rsidRPr="00282E3D" w:rsidRDefault="00724172" w:rsidP="003C5FBB">
      <w:pPr>
        <w:pStyle w:val="Papardraft"/>
        <w:spacing w:line="276" w:lineRule="auto"/>
        <w:ind w:firstLine="0"/>
        <w:rPr>
          <w:lang w:val="en-US"/>
        </w:rPr>
      </w:pPr>
      <w:r w:rsidRPr="00282E3D">
        <w:rPr>
          <w:lang w:val="en-US"/>
        </w:rPr>
        <w:t xml:space="preserve">We </w:t>
      </w:r>
      <w:r w:rsidR="00A6243A" w:rsidRPr="00282E3D">
        <w:rPr>
          <w:lang w:val="en-US"/>
        </w:rPr>
        <w:t>then</w:t>
      </w:r>
      <w:r w:rsidRPr="00282E3D">
        <w:rPr>
          <w:lang w:val="en-US"/>
        </w:rPr>
        <w:t xml:space="preserve"> </w:t>
      </w:r>
      <w:r w:rsidR="009F5954" w:rsidRPr="00282E3D">
        <w:rPr>
          <w:lang w:val="en-US"/>
        </w:rPr>
        <w:t xml:space="preserve">excluded patients </w:t>
      </w:r>
      <w:r w:rsidR="00537740" w:rsidRPr="00282E3D">
        <w:rPr>
          <w:lang w:val="en-US"/>
        </w:rPr>
        <w:t>who</w:t>
      </w:r>
      <w:r w:rsidR="009F5954" w:rsidRPr="00282E3D">
        <w:rPr>
          <w:lang w:val="en-US"/>
        </w:rPr>
        <w:t xml:space="preserve"> have </w:t>
      </w:r>
      <w:r w:rsidRPr="00282E3D">
        <w:rPr>
          <w:lang w:val="en-US"/>
        </w:rPr>
        <w:t xml:space="preserve">KDIGO </w:t>
      </w:r>
      <w:r w:rsidR="009F5954" w:rsidRPr="00282E3D">
        <w:rPr>
          <w:lang w:val="en-US"/>
        </w:rPr>
        <w:t>AKI stage 2</w:t>
      </w:r>
      <w:r w:rsidR="00C64760" w:rsidRPr="00282E3D">
        <w:rPr>
          <w:lang w:val="en-US"/>
        </w:rPr>
        <w:t xml:space="preserve"> or </w:t>
      </w:r>
      <w:r w:rsidR="009F5954" w:rsidRPr="00282E3D">
        <w:rPr>
          <w:lang w:val="en-US"/>
        </w:rPr>
        <w:t>3 at enrollment</w:t>
      </w:r>
      <w:r w:rsidR="00A6243A" w:rsidRPr="00282E3D">
        <w:rPr>
          <w:lang w:val="en-US"/>
        </w:rPr>
        <w:t>.</w:t>
      </w:r>
    </w:p>
    <w:p w14:paraId="19B8B594" w14:textId="5D86629E" w:rsidR="00A6243A" w:rsidRPr="00282E3D" w:rsidRDefault="00A6243A" w:rsidP="003C5FBB">
      <w:pPr>
        <w:pStyle w:val="Papardraft"/>
        <w:spacing w:line="276" w:lineRule="auto"/>
        <w:ind w:firstLine="0"/>
        <w:rPr>
          <w:lang w:val="en-US"/>
        </w:rPr>
      </w:pPr>
      <w:r w:rsidRPr="00282E3D">
        <w:rPr>
          <w:lang w:val="en-US"/>
        </w:rPr>
        <w:t>Our final cohort for the purpose</w:t>
      </w:r>
      <w:r w:rsidR="00175B7A" w:rsidRPr="00282E3D">
        <w:rPr>
          <w:lang w:val="en-US"/>
        </w:rPr>
        <w:t xml:space="preserve"> of our analysis and simulation </w:t>
      </w:r>
      <w:r w:rsidRPr="00282E3D">
        <w:rPr>
          <w:lang w:val="en-US"/>
        </w:rPr>
        <w:t>consisted of 203 patients.</w:t>
      </w:r>
    </w:p>
    <w:p w14:paraId="2F72DD70" w14:textId="40868F41" w:rsidR="00175B7A" w:rsidRPr="00282E3D" w:rsidRDefault="00175B7A" w:rsidP="003C5FBB">
      <w:pPr>
        <w:pStyle w:val="Papardraft"/>
        <w:spacing w:line="276" w:lineRule="auto"/>
        <w:ind w:firstLine="0"/>
        <w:rPr>
          <w:lang w:val="en-US"/>
        </w:rPr>
      </w:pPr>
      <w:r w:rsidRPr="00282E3D">
        <w:rPr>
          <w:lang w:val="en-US"/>
        </w:rPr>
        <w:t xml:space="preserve">In the simulation, if any [TIMP-2]•[IGFBP7] result </w:t>
      </w:r>
      <w:r w:rsidR="00232DFE" w:rsidRPr="00282E3D">
        <w:rPr>
          <w:lang w:val="en-US"/>
        </w:rPr>
        <w:t>was</w:t>
      </w:r>
      <w:r w:rsidRPr="00282E3D">
        <w:rPr>
          <w:lang w:val="en-US"/>
        </w:rPr>
        <w:t xml:space="preserve"> missing or unavailable, we applied the last </w:t>
      </w:r>
      <w:r w:rsidR="001C5FC2" w:rsidRPr="00282E3D">
        <w:rPr>
          <w:lang w:val="en-US"/>
        </w:rPr>
        <w:t>of the “</w:t>
      </w:r>
      <w:r w:rsidRPr="00282E3D">
        <w:rPr>
          <w:lang w:val="en-US"/>
        </w:rPr>
        <w:t>general rule</w:t>
      </w:r>
      <w:r w:rsidR="001C5FC2" w:rsidRPr="00282E3D">
        <w:rPr>
          <w:lang w:val="en-US"/>
        </w:rPr>
        <w:t>s”</w:t>
      </w:r>
      <w:r w:rsidRPr="00282E3D">
        <w:rPr>
          <w:lang w:val="en-US"/>
        </w:rPr>
        <w:t xml:space="preserve"> valid for the LAPIS protocol, and the subject remained at the </w:t>
      </w:r>
      <w:r w:rsidR="001C5FC2" w:rsidRPr="00282E3D">
        <w:rPr>
          <w:lang w:val="en-US"/>
        </w:rPr>
        <w:t>same</w:t>
      </w:r>
      <w:r w:rsidRPr="00282E3D">
        <w:rPr>
          <w:lang w:val="en-US"/>
        </w:rPr>
        <w:t xml:space="preserve"> treatment level and used the appropriate decision rules according to the next test in the algorithm (see Supplemental Digital Content – Study Interventions – General Rules).</w:t>
      </w:r>
    </w:p>
    <w:p w14:paraId="260869F8" w14:textId="4055EAD7" w:rsidR="00023B8E" w:rsidRPr="00282E3D" w:rsidRDefault="00023B8E" w:rsidP="003C5FBB">
      <w:pPr>
        <w:pStyle w:val="Papardraft"/>
        <w:spacing w:line="276" w:lineRule="auto"/>
        <w:ind w:firstLine="0"/>
        <w:rPr>
          <w:b/>
          <w:bCs/>
          <w:lang w:val="en-US"/>
        </w:rPr>
      </w:pPr>
    </w:p>
    <w:p w14:paraId="3F9F5145" w14:textId="65FCA896" w:rsidR="00A6243A" w:rsidRPr="00282E3D" w:rsidRDefault="00175B7A" w:rsidP="003C5FBB">
      <w:pPr>
        <w:pStyle w:val="Papardraft"/>
        <w:spacing w:line="276" w:lineRule="auto"/>
        <w:ind w:firstLine="0"/>
        <w:rPr>
          <w:i/>
          <w:iCs/>
          <w:lang w:val="en-US"/>
        </w:rPr>
      </w:pPr>
      <w:r w:rsidRPr="00282E3D">
        <w:rPr>
          <w:i/>
          <w:iCs/>
          <w:lang w:val="en-US"/>
        </w:rPr>
        <w:t>ProCESS trial</w:t>
      </w:r>
    </w:p>
    <w:p w14:paraId="161C3DB2" w14:textId="5F2768A5" w:rsidR="007C2360" w:rsidRPr="00282E3D" w:rsidRDefault="007C2360" w:rsidP="003C5FBB">
      <w:pPr>
        <w:pStyle w:val="Papardraft"/>
        <w:spacing w:line="276" w:lineRule="auto"/>
        <w:ind w:firstLine="0"/>
        <w:rPr>
          <w:lang w:val="en-US"/>
        </w:rPr>
      </w:pPr>
      <w:r w:rsidRPr="00282E3D">
        <w:rPr>
          <w:lang w:val="en-US"/>
        </w:rPr>
        <w:t>The detailed inclusion and exclusion criteria were reported in the Supplementary Appendix of “ProCESS Investigators. A randomized trial of protocol-based care for early septic shock</w:t>
      </w:r>
      <w:r w:rsidR="00232DFE" w:rsidRPr="00282E3D">
        <w:rPr>
          <w:lang w:val="en-US"/>
        </w:rPr>
        <w:t>. N Engl J Med. 2014 May 1;370(18):1683-93. doi: 10.1056/NEJMoa1401602</w:t>
      </w:r>
      <w:r w:rsidRPr="00282E3D">
        <w:rPr>
          <w:lang w:val="en-US"/>
        </w:rPr>
        <w:t>”. Among them we report the following inclusion criteria:</w:t>
      </w:r>
    </w:p>
    <w:p w14:paraId="00094F47" w14:textId="160BB8D7" w:rsidR="007C2360" w:rsidRPr="00282E3D" w:rsidRDefault="007C2360" w:rsidP="007C2360">
      <w:pPr>
        <w:pStyle w:val="Papardraft"/>
        <w:numPr>
          <w:ilvl w:val="0"/>
          <w:numId w:val="44"/>
        </w:numPr>
        <w:spacing w:line="276" w:lineRule="auto"/>
        <w:rPr>
          <w:lang w:val="en-US"/>
        </w:rPr>
      </w:pPr>
      <w:r w:rsidRPr="00282E3D">
        <w:rPr>
          <w:lang w:val="en-US"/>
        </w:rPr>
        <w:t>males and females 18 years of age or older;</w:t>
      </w:r>
    </w:p>
    <w:p w14:paraId="59DE5C80" w14:textId="4D2ADA66" w:rsidR="007C2360" w:rsidRPr="00282E3D" w:rsidRDefault="007C2360" w:rsidP="007C2360">
      <w:pPr>
        <w:pStyle w:val="Papardraft"/>
        <w:numPr>
          <w:ilvl w:val="0"/>
          <w:numId w:val="44"/>
        </w:numPr>
        <w:spacing w:line="276" w:lineRule="auto"/>
        <w:rPr>
          <w:lang w:val="en-US"/>
        </w:rPr>
      </w:pPr>
      <w:r w:rsidRPr="00282E3D">
        <w:rPr>
          <w:lang w:val="en-US"/>
        </w:rPr>
        <w:t>presence of ≥ 2 of the systemic inflammatory syndrome criteria (SIRS);</w:t>
      </w:r>
    </w:p>
    <w:p w14:paraId="6372FB98" w14:textId="57342D4C" w:rsidR="007C2360" w:rsidRPr="00282E3D" w:rsidRDefault="00DD2829" w:rsidP="007C2360">
      <w:pPr>
        <w:pStyle w:val="Papardraft"/>
        <w:numPr>
          <w:ilvl w:val="0"/>
          <w:numId w:val="44"/>
        </w:numPr>
        <w:spacing w:line="276" w:lineRule="auto"/>
        <w:rPr>
          <w:lang w:val="en-US"/>
        </w:rPr>
      </w:pPr>
      <w:r w:rsidRPr="00282E3D">
        <w:rPr>
          <w:lang w:val="en-US"/>
        </w:rPr>
        <w:t>refractory hypotension (defined as a systolic blood pressure that either was less than 90 mmHg or required vasopressor therapy to maintain 90 mmHg even after an intravenous fluid challenge) or serum lactate level ≥ 4 mmol/L;</w:t>
      </w:r>
    </w:p>
    <w:p w14:paraId="07BAA643" w14:textId="1951B9F6" w:rsidR="00DD2829" w:rsidRPr="00282E3D" w:rsidRDefault="00DD2829" w:rsidP="007C2360">
      <w:pPr>
        <w:pStyle w:val="Papardraft"/>
        <w:numPr>
          <w:ilvl w:val="0"/>
          <w:numId w:val="44"/>
        </w:numPr>
        <w:spacing w:line="276" w:lineRule="auto"/>
        <w:rPr>
          <w:lang w:val="en-US"/>
        </w:rPr>
      </w:pPr>
      <w:r w:rsidRPr="00282E3D">
        <w:rPr>
          <w:lang w:val="en-US"/>
        </w:rPr>
        <w:t>enrolled in the study within 2 hours after the earliest detection of shock and within 12 hours after arrival to the emergency department.</w:t>
      </w:r>
    </w:p>
    <w:p w14:paraId="7651C9D5" w14:textId="499474F4" w:rsidR="007C2360" w:rsidRPr="00282E3D" w:rsidRDefault="007C2360" w:rsidP="003C5FBB">
      <w:pPr>
        <w:pStyle w:val="Papardraft"/>
        <w:spacing w:line="276" w:lineRule="auto"/>
        <w:ind w:firstLine="0"/>
        <w:rPr>
          <w:b/>
          <w:bCs/>
          <w:lang w:val="en-US"/>
        </w:rPr>
      </w:pPr>
    </w:p>
    <w:p w14:paraId="274EE9D0" w14:textId="656E4E0F" w:rsidR="0057476E" w:rsidRPr="00282E3D" w:rsidRDefault="00F843FF" w:rsidP="008B7241">
      <w:pPr>
        <w:pStyle w:val="Papardraft"/>
        <w:spacing w:line="276" w:lineRule="auto"/>
        <w:ind w:firstLine="0"/>
        <w:rPr>
          <w:lang w:val="en-US"/>
        </w:rPr>
      </w:pPr>
      <w:r w:rsidRPr="00282E3D">
        <w:rPr>
          <w:lang w:val="en-US"/>
        </w:rPr>
        <w:t>In our analysis</w:t>
      </w:r>
      <w:r w:rsidR="00FE6845" w:rsidRPr="00282E3D">
        <w:rPr>
          <w:lang w:val="en-US"/>
        </w:rPr>
        <w:t xml:space="preserve"> and simulation</w:t>
      </w:r>
      <w:r w:rsidRPr="00282E3D">
        <w:rPr>
          <w:lang w:val="en-US"/>
        </w:rPr>
        <w:t>, from the original cohort of 1341 patients, we excluded patients with missing admission serum creatinine (sCr), reference sCr ≥ 4 mg/dL (n.</w:t>
      </w:r>
      <w:r w:rsidR="00C64760" w:rsidRPr="00282E3D">
        <w:rPr>
          <w:lang w:val="en-US"/>
        </w:rPr>
        <w:t xml:space="preserve"> 8)</w:t>
      </w:r>
      <w:r w:rsidRPr="00282E3D">
        <w:rPr>
          <w:lang w:val="en-US"/>
        </w:rPr>
        <w:t>, under chronic dialysis for end-stage renal disease</w:t>
      </w:r>
      <w:r w:rsidR="00C64760" w:rsidRPr="00282E3D">
        <w:rPr>
          <w:lang w:val="en-US"/>
        </w:rPr>
        <w:t xml:space="preserve"> (n. 83), KDIGO AKI stage 2 or 3 at enrollment (n. 399), missing [TIMP-2]•[IGFBP7] value at the first (6 hours) </w:t>
      </w:r>
      <w:r w:rsidR="00766974" w:rsidRPr="00282E3D">
        <w:rPr>
          <w:lang w:val="en-US"/>
        </w:rPr>
        <w:t>and/</w:t>
      </w:r>
      <w:r w:rsidR="00C64760" w:rsidRPr="00282E3D">
        <w:rPr>
          <w:lang w:val="en-US"/>
        </w:rPr>
        <w:t>or</w:t>
      </w:r>
      <w:r w:rsidR="00766974" w:rsidRPr="00282E3D">
        <w:rPr>
          <w:lang w:val="en-US"/>
        </w:rPr>
        <w:t xml:space="preserve"> the</w:t>
      </w:r>
      <w:r w:rsidR="00C64760" w:rsidRPr="00282E3D">
        <w:rPr>
          <w:lang w:val="en-US"/>
        </w:rPr>
        <w:t xml:space="preserve"> second timepoint (24 hours) (</w:t>
      </w:r>
      <w:r w:rsidR="00FE6845" w:rsidRPr="00282E3D">
        <w:rPr>
          <w:lang w:val="en-US"/>
        </w:rPr>
        <w:t xml:space="preserve">total </w:t>
      </w:r>
      <w:r w:rsidR="00C64760" w:rsidRPr="00282E3D">
        <w:rPr>
          <w:lang w:val="en-US"/>
        </w:rPr>
        <w:t>n. 237).</w:t>
      </w:r>
    </w:p>
    <w:p w14:paraId="31E6D2BD" w14:textId="71AB62DE" w:rsidR="00FE6845" w:rsidRPr="00282E3D" w:rsidRDefault="0057476E" w:rsidP="008B7241">
      <w:pPr>
        <w:pStyle w:val="Papardraft"/>
        <w:spacing w:line="276" w:lineRule="auto"/>
        <w:ind w:firstLine="0"/>
        <w:rPr>
          <w:lang w:val="en-US"/>
        </w:rPr>
      </w:pPr>
      <w:r w:rsidRPr="00282E3D">
        <w:rPr>
          <w:lang w:val="en-US"/>
        </w:rPr>
        <w:lastRenderedPageBreak/>
        <w:t>Our final cohort for the purpose of our analysis and simulation consisted of 607 patients.</w:t>
      </w:r>
    </w:p>
    <w:p w14:paraId="4C29D672" w14:textId="77777777" w:rsidR="00FE6845" w:rsidRPr="00282E3D" w:rsidRDefault="00FE6845" w:rsidP="008B7241">
      <w:pPr>
        <w:pStyle w:val="Papardraft"/>
        <w:spacing w:line="276" w:lineRule="auto"/>
        <w:ind w:firstLine="0"/>
        <w:rPr>
          <w:lang w:val="en-US"/>
        </w:rPr>
      </w:pPr>
    </w:p>
    <w:p w14:paraId="43A2E19E" w14:textId="72EE94B3" w:rsidR="00FE6845" w:rsidRPr="00282E3D" w:rsidRDefault="00FE6845" w:rsidP="009349C5">
      <w:pPr>
        <w:pStyle w:val="Papardraft"/>
        <w:spacing w:line="276" w:lineRule="auto"/>
        <w:ind w:firstLine="0"/>
        <w:outlineLvl w:val="1"/>
        <w:rPr>
          <w:b/>
          <w:bCs/>
          <w:lang w:val="en-US"/>
        </w:rPr>
      </w:pPr>
      <w:bookmarkStart w:id="39" w:name="_Toc59643473"/>
      <w:r w:rsidRPr="00282E3D">
        <w:rPr>
          <w:b/>
          <w:bCs/>
          <w:lang w:val="en-US"/>
        </w:rPr>
        <w:t>Sensitivity analysis</w:t>
      </w:r>
      <w:r w:rsidR="00DC07D7" w:rsidRPr="00282E3D">
        <w:rPr>
          <w:b/>
          <w:bCs/>
          <w:lang w:val="en-US"/>
        </w:rPr>
        <w:t xml:space="preserve"> for ProCESS trial</w:t>
      </w:r>
      <w:bookmarkEnd w:id="39"/>
    </w:p>
    <w:p w14:paraId="006AE1F1" w14:textId="55778F49" w:rsidR="008B7241" w:rsidRPr="00282E3D" w:rsidRDefault="008B7241" w:rsidP="008B7241">
      <w:pPr>
        <w:pStyle w:val="Papardraft"/>
        <w:spacing w:line="276" w:lineRule="auto"/>
        <w:ind w:firstLine="0"/>
        <w:rPr>
          <w:lang w:val="en-US"/>
        </w:rPr>
      </w:pPr>
      <w:r w:rsidRPr="00282E3D">
        <w:rPr>
          <w:lang w:val="en-US"/>
        </w:rPr>
        <w:t>Since for ProCESS we had only two comparable timepoints for [TIMP-2]•[IGFBP7] tests, we thought that having just one of them could have been too much unreliable for our protocol simulation and for this reason we exclude all patients with a</w:t>
      </w:r>
      <w:r w:rsidR="00FE6845" w:rsidRPr="00282E3D">
        <w:rPr>
          <w:lang w:val="en-US"/>
        </w:rPr>
        <w:t>ny</w:t>
      </w:r>
      <w:r w:rsidRPr="00282E3D">
        <w:rPr>
          <w:lang w:val="en-US"/>
        </w:rPr>
        <w:t xml:space="preserve"> missing value</w:t>
      </w:r>
      <w:r w:rsidR="00766974" w:rsidRPr="00282E3D">
        <w:rPr>
          <w:lang w:val="en-US"/>
        </w:rPr>
        <w:t xml:space="preserve"> for [TIMP-2]•[IGFBP7] </w:t>
      </w:r>
      <w:r w:rsidRPr="00282E3D">
        <w:rPr>
          <w:lang w:val="en-US"/>
        </w:rPr>
        <w:t>from the primary analysis cohort</w:t>
      </w:r>
      <w:r w:rsidR="00766974" w:rsidRPr="00282E3D">
        <w:rPr>
          <w:lang w:val="en-US"/>
        </w:rPr>
        <w:t>. W</w:t>
      </w:r>
      <w:r w:rsidR="0057476E" w:rsidRPr="00282E3D">
        <w:rPr>
          <w:lang w:val="en-US"/>
        </w:rPr>
        <w:t>e did not apply the rule for missing [TIMP-2]•[IGFBP7] value</w:t>
      </w:r>
      <w:r w:rsidR="00766974" w:rsidRPr="00282E3D">
        <w:rPr>
          <w:lang w:val="en-US"/>
        </w:rPr>
        <w:t>s</w:t>
      </w:r>
      <w:r w:rsidR="0057476E" w:rsidRPr="00282E3D">
        <w:rPr>
          <w:lang w:val="en-US"/>
        </w:rPr>
        <w:t xml:space="preserve"> (</w:t>
      </w:r>
      <w:r w:rsidR="00766974" w:rsidRPr="00282E3D">
        <w:rPr>
          <w:lang w:val="en-US"/>
        </w:rPr>
        <w:t>differently to what</w:t>
      </w:r>
      <w:r w:rsidR="0057476E" w:rsidRPr="00282E3D">
        <w:rPr>
          <w:lang w:val="en-US"/>
        </w:rPr>
        <w:t xml:space="preserve"> we did for Sapphire and </w:t>
      </w:r>
      <w:r w:rsidR="00766974" w:rsidRPr="00282E3D">
        <w:rPr>
          <w:lang w:val="en-US"/>
        </w:rPr>
        <w:t>what</w:t>
      </w:r>
      <w:r w:rsidR="0057476E" w:rsidRPr="00282E3D">
        <w:rPr>
          <w:lang w:val="en-US"/>
        </w:rPr>
        <w:t xml:space="preserve"> is planned for LAPIS trial).</w:t>
      </w:r>
    </w:p>
    <w:p w14:paraId="1F6A83D7" w14:textId="77777777" w:rsidR="008B7241" w:rsidRPr="00282E3D" w:rsidRDefault="008B7241" w:rsidP="008B7241">
      <w:pPr>
        <w:pStyle w:val="Papardraft"/>
        <w:spacing w:line="276" w:lineRule="auto"/>
        <w:ind w:firstLine="0"/>
        <w:rPr>
          <w:lang w:val="en-US"/>
        </w:rPr>
      </w:pPr>
    </w:p>
    <w:p w14:paraId="6374C376" w14:textId="117B7A62" w:rsidR="00DC07D7" w:rsidRPr="00282E3D" w:rsidRDefault="00DC07D7" w:rsidP="0057476E">
      <w:pPr>
        <w:pStyle w:val="Papardraft"/>
        <w:spacing w:line="276" w:lineRule="auto"/>
        <w:ind w:firstLine="0"/>
        <w:rPr>
          <w:lang w:val="en-US"/>
        </w:rPr>
      </w:pPr>
      <w:r w:rsidRPr="00282E3D">
        <w:rPr>
          <w:lang w:val="en-US"/>
        </w:rPr>
        <w:t>In ProCESS, a</w:t>
      </w:r>
      <w:r w:rsidR="0057476E" w:rsidRPr="00282E3D">
        <w:rPr>
          <w:lang w:val="en-US"/>
        </w:rPr>
        <w:t xml:space="preserve"> total of </w:t>
      </w:r>
      <w:r w:rsidRPr="00282E3D">
        <w:rPr>
          <w:lang w:val="en-US"/>
        </w:rPr>
        <w:t>59</w:t>
      </w:r>
      <w:r w:rsidR="0057476E" w:rsidRPr="00282E3D">
        <w:rPr>
          <w:lang w:val="en-US"/>
        </w:rPr>
        <w:t xml:space="preserve"> patients were missing </w:t>
      </w:r>
      <w:r w:rsidRPr="00282E3D">
        <w:rPr>
          <w:lang w:val="en-US"/>
        </w:rPr>
        <w:t xml:space="preserve">only </w:t>
      </w:r>
      <w:r w:rsidR="0057476E" w:rsidRPr="00282E3D">
        <w:rPr>
          <w:lang w:val="en-US"/>
        </w:rPr>
        <w:t xml:space="preserve">the first [TIMP-2]•[IGFBP7] while </w:t>
      </w:r>
      <w:r w:rsidRPr="00282E3D">
        <w:rPr>
          <w:lang w:val="en-US"/>
        </w:rPr>
        <w:t>84</w:t>
      </w:r>
      <w:r w:rsidR="0057476E" w:rsidRPr="00282E3D">
        <w:rPr>
          <w:lang w:val="en-US"/>
        </w:rPr>
        <w:t xml:space="preserve"> patients were missing</w:t>
      </w:r>
      <w:r w:rsidRPr="00282E3D">
        <w:rPr>
          <w:lang w:val="en-US"/>
        </w:rPr>
        <w:t xml:space="preserve"> only</w:t>
      </w:r>
      <w:r w:rsidR="0057476E" w:rsidRPr="00282E3D">
        <w:rPr>
          <w:lang w:val="en-US"/>
        </w:rPr>
        <w:t xml:space="preserve"> the second [TIMP-2]•[IGFBP7], 94 patients were missing both the first and second [TIMP-2]•[IGFBP7].</w:t>
      </w:r>
    </w:p>
    <w:p w14:paraId="3714390A" w14:textId="385C6082" w:rsidR="0057476E" w:rsidRPr="00282E3D" w:rsidRDefault="0057476E" w:rsidP="0057476E">
      <w:pPr>
        <w:pStyle w:val="Papardraft"/>
        <w:spacing w:line="276" w:lineRule="auto"/>
        <w:ind w:firstLine="0"/>
        <w:rPr>
          <w:lang w:val="en-US"/>
        </w:rPr>
      </w:pPr>
      <w:r w:rsidRPr="00282E3D">
        <w:rPr>
          <w:lang w:val="en-US"/>
        </w:rPr>
        <w:t xml:space="preserve">We then performed a sensitivity analysis on a cohort </w:t>
      </w:r>
      <w:r w:rsidR="000D4626" w:rsidRPr="00282E3D">
        <w:rPr>
          <w:lang w:val="en-US"/>
        </w:rPr>
        <w:t>in which we</w:t>
      </w:r>
      <w:r w:rsidR="00DC07D7" w:rsidRPr="00282E3D">
        <w:rPr>
          <w:lang w:val="en-US"/>
        </w:rPr>
        <w:t xml:space="preserve"> exclud</w:t>
      </w:r>
      <w:r w:rsidR="000D4626" w:rsidRPr="00282E3D">
        <w:rPr>
          <w:lang w:val="en-US"/>
        </w:rPr>
        <w:t>ed</w:t>
      </w:r>
      <w:r w:rsidR="00DC07D7" w:rsidRPr="00282E3D">
        <w:rPr>
          <w:lang w:val="en-US"/>
        </w:rPr>
        <w:t xml:space="preserve"> </w:t>
      </w:r>
      <w:r w:rsidR="00766974" w:rsidRPr="00282E3D">
        <w:rPr>
          <w:lang w:val="en-US"/>
        </w:rPr>
        <w:t xml:space="preserve">only </w:t>
      </w:r>
      <w:r w:rsidR="00DC07D7" w:rsidRPr="00282E3D">
        <w:rPr>
          <w:lang w:val="en-US"/>
        </w:rPr>
        <w:t xml:space="preserve">patients </w:t>
      </w:r>
      <w:r w:rsidR="00522348" w:rsidRPr="00282E3D">
        <w:rPr>
          <w:lang w:val="en-US"/>
        </w:rPr>
        <w:t>who</w:t>
      </w:r>
      <w:r w:rsidR="00DC07D7" w:rsidRPr="00282E3D">
        <w:rPr>
          <w:lang w:val="en-US"/>
        </w:rPr>
        <w:t xml:space="preserve"> were missing the first [TIMP-2]•[IGFBP7] (59+94 patients).</w:t>
      </w:r>
    </w:p>
    <w:p w14:paraId="545085CE" w14:textId="0A0FF173" w:rsidR="008B7241" w:rsidRPr="00282E3D" w:rsidRDefault="00DC07D7" w:rsidP="00DC07D7">
      <w:pPr>
        <w:pStyle w:val="Papardraft"/>
        <w:spacing w:line="276" w:lineRule="auto"/>
        <w:ind w:firstLine="0"/>
        <w:rPr>
          <w:lang w:val="en-US"/>
        </w:rPr>
      </w:pPr>
      <w:r w:rsidRPr="00282E3D">
        <w:rPr>
          <w:lang w:val="en-US"/>
        </w:rPr>
        <w:t xml:space="preserve">This </w:t>
      </w:r>
      <w:r w:rsidR="008B7241" w:rsidRPr="00282E3D">
        <w:rPr>
          <w:lang w:val="en-US"/>
        </w:rPr>
        <w:t xml:space="preserve">sensitivity analysis </w:t>
      </w:r>
      <w:r w:rsidRPr="00282E3D">
        <w:rPr>
          <w:lang w:val="en-US"/>
        </w:rPr>
        <w:t>cohort consisted</w:t>
      </w:r>
      <w:r w:rsidR="008B7241" w:rsidRPr="00282E3D">
        <w:rPr>
          <w:lang w:val="en-US"/>
        </w:rPr>
        <w:t xml:space="preserve"> of 691 patients</w:t>
      </w:r>
      <w:r w:rsidRPr="00282E3D">
        <w:rPr>
          <w:lang w:val="en-US"/>
        </w:rPr>
        <w:t xml:space="preserve"> and</w:t>
      </w:r>
      <w:r w:rsidR="00766974" w:rsidRPr="00282E3D">
        <w:rPr>
          <w:lang w:val="en-US"/>
        </w:rPr>
        <w:t xml:space="preserve"> it</w:t>
      </w:r>
      <w:r w:rsidRPr="00282E3D">
        <w:rPr>
          <w:lang w:val="en-US"/>
        </w:rPr>
        <w:t xml:space="preserve"> was used to perform a new protocol simulation whose results are reported</w:t>
      </w:r>
      <w:r w:rsidR="008B7241" w:rsidRPr="00282E3D">
        <w:rPr>
          <w:lang w:val="en-US"/>
        </w:rPr>
        <w:t xml:space="preserve"> in Supplemental Table S7 and Supplemental Figure S3.</w:t>
      </w:r>
    </w:p>
    <w:p w14:paraId="302A05BE" w14:textId="46982C3C" w:rsidR="008B7241" w:rsidRPr="00282E3D" w:rsidRDefault="008B7241" w:rsidP="008B7241">
      <w:pPr>
        <w:pStyle w:val="Papardraft"/>
        <w:spacing w:line="276" w:lineRule="auto"/>
        <w:ind w:firstLine="0"/>
        <w:rPr>
          <w:lang w:val="en-US"/>
        </w:rPr>
      </w:pPr>
      <w:r w:rsidRPr="00282E3D">
        <w:rPr>
          <w:lang w:val="en-US"/>
        </w:rPr>
        <w:t xml:space="preserve">The overall endpoint rate was almost the same between the </w:t>
      </w:r>
      <w:r w:rsidR="00950EDC" w:rsidRPr="00282E3D">
        <w:rPr>
          <w:lang w:val="en-US"/>
        </w:rPr>
        <w:t xml:space="preserve">two </w:t>
      </w:r>
      <w:r w:rsidRPr="00282E3D">
        <w:rPr>
          <w:lang w:val="en-US"/>
        </w:rPr>
        <w:t>cohorts (24 vs. 25%), also the endpoint rate for SOC, Level 1 KSSB and Level 3 KSSB were very similar</w:t>
      </w:r>
      <w:r w:rsidR="00CE2CE6" w:rsidRPr="00282E3D">
        <w:rPr>
          <w:lang w:val="en-US"/>
        </w:rPr>
        <w:t xml:space="preserve"> (14% vs. 14% for SOC; 21% vs. 22% for Level 1; 46% vs. 46% for Level 3)</w:t>
      </w:r>
      <w:r w:rsidRPr="00282E3D">
        <w:rPr>
          <w:lang w:val="en-US"/>
        </w:rPr>
        <w:t xml:space="preserve">. </w:t>
      </w:r>
      <w:r w:rsidR="00CE2CE6" w:rsidRPr="00282E3D">
        <w:rPr>
          <w:lang w:val="en-US"/>
        </w:rPr>
        <w:t>A slight increase</w:t>
      </w:r>
      <w:r w:rsidRPr="00282E3D">
        <w:rPr>
          <w:lang w:val="en-US"/>
        </w:rPr>
        <w:t xml:space="preserve"> was</w:t>
      </w:r>
      <w:r w:rsidR="00CE2CE6" w:rsidRPr="00282E3D">
        <w:rPr>
          <w:lang w:val="en-US"/>
        </w:rPr>
        <w:t xml:space="preserve"> found in the positive endpoint rate</w:t>
      </w:r>
      <w:r w:rsidRPr="00282E3D">
        <w:rPr>
          <w:lang w:val="en-US"/>
        </w:rPr>
        <w:t xml:space="preserve"> for Level 2, from 30 to 37%, mostly due </w:t>
      </w:r>
      <w:r w:rsidR="000A62EF" w:rsidRPr="00282E3D">
        <w:rPr>
          <w:lang w:val="en-US"/>
        </w:rPr>
        <w:t xml:space="preserve">to </w:t>
      </w:r>
      <w:r w:rsidRPr="00282E3D">
        <w:rPr>
          <w:lang w:val="en-US"/>
        </w:rPr>
        <w:t xml:space="preserve">an increase in mortality rate (from 3 to 9%). This </w:t>
      </w:r>
      <w:r w:rsidR="00FB018F" w:rsidRPr="00282E3D">
        <w:rPr>
          <w:lang w:val="en-US"/>
        </w:rPr>
        <w:t>may</w:t>
      </w:r>
      <w:r w:rsidRPr="00282E3D">
        <w:rPr>
          <w:lang w:val="en-US"/>
        </w:rPr>
        <w:t xml:space="preserve"> be explained by the fact that the reason for missing the second [TIMP-2]•[IGFBP7] value </w:t>
      </w:r>
      <w:r w:rsidR="00FB018F" w:rsidRPr="00282E3D">
        <w:rPr>
          <w:lang w:val="en-US"/>
        </w:rPr>
        <w:t>can</w:t>
      </w:r>
      <w:r w:rsidRPr="00282E3D">
        <w:rPr>
          <w:lang w:val="en-US"/>
        </w:rPr>
        <w:t xml:space="preserve"> be due to a lack of urine sample because the patients was dead or anuric in the first 24 hours from enrollment. Also</w:t>
      </w:r>
      <w:r w:rsidR="00CE2CE6" w:rsidRPr="00282E3D">
        <w:rPr>
          <w:lang w:val="en-US"/>
        </w:rPr>
        <w:t xml:space="preserve">, we must consider that </w:t>
      </w:r>
      <w:r w:rsidRPr="00282E3D">
        <w:rPr>
          <w:lang w:val="en-US"/>
        </w:rPr>
        <w:t>not having for</w:t>
      </w:r>
      <w:r w:rsidR="00FB018F" w:rsidRPr="00282E3D">
        <w:rPr>
          <w:lang w:val="en-US"/>
        </w:rPr>
        <w:t xml:space="preserve"> these</w:t>
      </w:r>
      <w:r w:rsidRPr="00282E3D">
        <w:rPr>
          <w:lang w:val="en-US"/>
        </w:rPr>
        <w:t xml:space="preserve"> patients a second test and</w:t>
      </w:r>
      <w:r w:rsidR="00FB018F" w:rsidRPr="00282E3D">
        <w:rPr>
          <w:lang w:val="en-US"/>
        </w:rPr>
        <w:t xml:space="preserve">, </w:t>
      </w:r>
      <w:r w:rsidRPr="00282E3D">
        <w:rPr>
          <w:lang w:val="en-US"/>
        </w:rPr>
        <w:t xml:space="preserve">for all of </w:t>
      </w:r>
      <w:r w:rsidR="00FB018F" w:rsidRPr="00282E3D">
        <w:rPr>
          <w:lang w:val="en-US"/>
        </w:rPr>
        <w:t>patients in ProCESS,</w:t>
      </w:r>
      <w:r w:rsidRPr="00282E3D">
        <w:rPr>
          <w:lang w:val="en-US"/>
        </w:rPr>
        <w:t xml:space="preserve"> a third test could have prevented some patients from reaching Level 3 KSSB.</w:t>
      </w:r>
    </w:p>
    <w:p w14:paraId="2EEA97A1" w14:textId="572B1A58" w:rsidR="00CE1233" w:rsidRPr="00282E3D" w:rsidRDefault="00CE1233">
      <w:pPr>
        <w:spacing w:after="160" w:line="259" w:lineRule="auto"/>
        <w:rPr>
          <w:b/>
          <w:bCs/>
        </w:rPr>
      </w:pPr>
    </w:p>
    <w:p w14:paraId="2B9E9762" w14:textId="77777777" w:rsidR="008B7241" w:rsidRPr="00282E3D" w:rsidRDefault="008B7241">
      <w:pPr>
        <w:spacing w:after="160" w:line="259" w:lineRule="auto"/>
        <w:rPr>
          <w:b/>
          <w:bCs/>
        </w:rPr>
      </w:pPr>
    </w:p>
    <w:p w14:paraId="7AC57F46" w14:textId="2E668AE1" w:rsidR="003C5FBB" w:rsidRPr="00282E3D" w:rsidRDefault="003C5FBB">
      <w:pPr>
        <w:spacing w:after="160" w:line="259" w:lineRule="auto"/>
        <w:rPr>
          <w:rFonts w:ascii="Arial" w:eastAsiaTheme="minorHAnsi" w:hAnsi="Arial" w:cs="Arial"/>
          <w:b/>
          <w:bCs/>
          <w:kern w:val="0"/>
        </w:rPr>
      </w:pPr>
      <w:r w:rsidRPr="00282E3D">
        <w:rPr>
          <w:b/>
          <w:bCs/>
        </w:rPr>
        <w:br w:type="page"/>
      </w:r>
    </w:p>
    <w:p w14:paraId="26088722" w14:textId="3034F5C6" w:rsidR="003C5FBB" w:rsidRPr="00282E3D" w:rsidRDefault="003C5FBB" w:rsidP="003C5FBB">
      <w:pPr>
        <w:pStyle w:val="Papardraft"/>
        <w:spacing w:line="276" w:lineRule="auto"/>
        <w:ind w:firstLine="0"/>
        <w:outlineLvl w:val="0"/>
        <w:rPr>
          <w:b/>
          <w:bCs/>
          <w:lang w:val="en-US"/>
        </w:rPr>
      </w:pPr>
      <w:bookmarkStart w:id="40" w:name="_Toc59643474"/>
      <w:r w:rsidRPr="00282E3D">
        <w:rPr>
          <w:b/>
          <w:bCs/>
          <w:lang w:val="en-US"/>
        </w:rPr>
        <w:lastRenderedPageBreak/>
        <w:t>LAPIS TRIAL PROTOCOL</w:t>
      </w:r>
      <w:bookmarkEnd w:id="40"/>
    </w:p>
    <w:p w14:paraId="0AC008E3" w14:textId="697B58C0" w:rsidR="0055638C" w:rsidRPr="00282E3D" w:rsidRDefault="0055638C" w:rsidP="002D75CF">
      <w:pPr>
        <w:pStyle w:val="Papardraft"/>
        <w:spacing w:line="276" w:lineRule="auto"/>
        <w:ind w:firstLine="0"/>
        <w:rPr>
          <w:b/>
          <w:bCs/>
          <w:lang w:val="en-US"/>
        </w:rPr>
      </w:pPr>
    </w:p>
    <w:p w14:paraId="3C08A228" w14:textId="31A58D6A" w:rsidR="00B1546F" w:rsidRPr="00282E3D" w:rsidRDefault="00B1546F" w:rsidP="002D75CF">
      <w:pPr>
        <w:pStyle w:val="Papardraft"/>
        <w:spacing w:line="276" w:lineRule="auto"/>
        <w:ind w:firstLine="0"/>
        <w:outlineLvl w:val="1"/>
        <w:rPr>
          <w:b/>
          <w:bCs/>
          <w:lang w:val="en-US"/>
        </w:rPr>
      </w:pPr>
      <w:bookmarkStart w:id="41" w:name="_Toc59032046"/>
      <w:bookmarkStart w:id="42" w:name="_Toc59643475"/>
      <w:r w:rsidRPr="00282E3D">
        <w:rPr>
          <w:b/>
          <w:bCs/>
          <w:lang w:val="en-US"/>
        </w:rPr>
        <w:t>Objectives</w:t>
      </w:r>
      <w:bookmarkEnd w:id="41"/>
      <w:bookmarkEnd w:id="42"/>
    </w:p>
    <w:p w14:paraId="2BFE22CB" w14:textId="2D0518AB" w:rsidR="002632C8" w:rsidRPr="00282E3D" w:rsidRDefault="002632C8" w:rsidP="002D75CF">
      <w:pPr>
        <w:pStyle w:val="Papardraft"/>
        <w:spacing w:line="276" w:lineRule="auto"/>
        <w:ind w:firstLine="0"/>
        <w:rPr>
          <w:i/>
          <w:iCs/>
          <w:lang w:val="en-US"/>
        </w:rPr>
      </w:pPr>
      <w:r w:rsidRPr="00282E3D">
        <w:rPr>
          <w:i/>
          <w:iCs/>
          <w:lang w:val="en-US"/>
        </w:rPr>
        <w:t>Primary objective</w:t>
      </w:r>
    </w:p>
    <w:p w14:paraId="44158FDB" w14:textId="6B34FF44" w:rsidR="00B1546F" w:rsidRPr="00282E3D" w:rsidRDefault="00B1546F" w:rsidP="002D75CF">
      <w:pPr>
        <w:pStyle w:val="Papardraft"/>
        <w:spacing w:line="276" w:lineRule="auto"/>
        <w:ind w:firstLine="0"/>
        <w:rPr>
          <w:lang w:val="en-US"/>
        </w:rPr>
      </w:pPr>
      <w:r w:rsidRPr="00282E3D">
        <w:rPr>
          <w:lang w:val="en-US"/>
        </w:rPr>
        <w:t xml:space="preserve">The primary objective of the LAPIS study is to evaluate the effect of </w:t>
      </w:r>
      <w:r w:rsidR="00F60192" w:rsidRPr="00282E3D">
        <w:rPr>
          <w:lang w:val="en-US"/>
        </w:rPr>
        <w:t xml:space="preserve">[tissue inhibitor of metalloproteinases-2]•[insulin-like growth factor-binding protein 7] ([TIMP-2]•[IGFBP7]) </w:t>
      </w:r>
      <w:r w:rsidRPr="00282E3D">
        <w:rPr>
          <w:lang w:val="en-US"/>
        </w:rPr>
        <w:t xml:space="preserve">guided implementation of kidney-sparing care measures (intervention arm) in comparison with standard of care (SOC) assessment and treatment (control arm) on clinical outcomes in patients with a sepsis diagnosis. </w:t>
      </w:r>
    </w:p>
    <w:p w14:paraId="31C83CD1" w14:textId="77777777" w:rsidR="002632C8" w:rsidRPr="00282E3D" w:rsidRDefault="002632C8" w:rsidP="002D75CF">
      <w:pPr>
        <w:pStyle w:val="Papardraft"/>
        <w:spacing w:line="276" w:lineRule="auto"/>
        <w:ind w:firstLine="0"/>
        <w:rPr>
          <w:lang w:val="en-US"/>
        </w:rPr>
      </w:pPr>
    </w:p>
    <w:p w14:paraId="0BC5F955" w14:textId="44FAE0DC" w:rsidR="002632C8" w:rsidRPr="00282E3D" w:rsidRDefault="002632C8" w:rsidP="002D75CF">
      <w:pPr>
        <w:pStyle w:val="Papardraft"/>
        <w:spacing w:line="276" w:lineRule="auto"/>
        <w:ind w:firstLine="0"/>
        <w:rPr>
          <w:i/>
          <w:iCs/>
          <w:lang w:val="en-US"/>
        </w:rPr>
      </w:pPr>
      <w:r w:rsidRPr="00282E3D">
        <w:rPr>
          <w:i/>
          <w:iCs/>
          <w:lang w:val="en-US"/>
        </w:rPr>
        <w:t>Secondary objective</w:t>
      </w:r>
    </w:p>
    <w:p w14:paraId="51A12BB8" w14:textId="6E794108" w:rsidR="00B1546F" w:rsidRPr="00282E3D" w:rsidRDefault="00B1546F" w:rsidP="002D75CF">
      <w:pPr>
        <w:pStyle w:val="Papardraft"/>
        <w:spacing w:line="276" w:lineRule="auto"/>
        <w:ind w:firstLine="0"/>
        <w:rPr>
          <w:lang w:val="en-US"/>
        </w:rPr>
      </w:pPr>
      <w:r w:rsidRPr="00282E3D">
        <w:rPr>
          <w:lang w:val="en-US"/>
        </w:rPr>
        <w:t xml:space="preserve">The secondary objective is to evaluate the effect of </w:t>
      </w:r>
      <w:r w:rsidR="00F60192" w:rsidRPr="00282E3D">
        <w:rPr>
          <w:lang w:val="en-US"/>
        </w:rPr>
        <w:t>[TIMP-2]•[IGFBP7]</w:t>
      </w:r>
      <w:r w:rsidRPr="00282E3D">
        <w:rPr>
          <w:lang w:val="en-US"/>
        </w:rPr>
        <w:t xml:space="preserve">-guided implementation of kidney-sparing care measures in comparison with SOC on economic outcomes (resource utilization, including </w:t>
      </w:r>
      <w:r w:rsidR="00FC4BBF" w:rsidRPr="00282E3D">
        <w:rPr>
          <w:lang w:val="en-US"/>
        </w:rPr>
        <w:t>intensive care unit (ICU)</w:t>
      </w:r>
      <w:r w:rsidRPr="00282E3D">
        <w:rPr>
          <w:lang w:val="en-US"/>
        </w:rPr>
        <w:t xml:space="preserve"> length of stay) in patients with a sepsis diagnosis. </w:t>
      </w:r>
    </w:p>
    <w:p w14:paraId="369EB0DA" w14:textId="1150951D" w:rsidR="002632C8" w:rsidRPr="00282E3D" w:rsidRDefault="002632C8" w:rsidP="002D75CF">
      <w:pPr>
        <w:pStyle w:val="Papardraft"/>
        <w:spacing w:line="276" w:lineRule="auto"/>
        <w:ind w:firstLine="0"/>
        <w:rPr>
          <w:lang w:val="en-US"/>
        </w:rPr>
      </w:pPr>
    </w:p>
    <w:p w14:paraId="5B7521EC" w14:textId="7FFC16A5" w:rsidR="002632C8" w:rsidRPr="00282E3D" w:rsidRDefault="002632C8" w:rsidP="002D75CF">
      <w:pPr>
        <w:pStyle w:val="Papardraft"/>
        <w:spacing w:line="276" w:lineRule="auto"/>
        <w:ind w:firstLine="0"/>
        <w:rPr>
          <w:i/>
          <w:iCs/>
          <w:lang w:val="en-US"/>
        </w:rPr>
      </w:pPr>
      <w:r w:rsidRPr="00282E3D">
        <w:rPr>
          <w:i/>
          <w:iCs/>
          <w:lang w:val="en-US"/>
        </w:rPr>
        <w:t>Exploratory objectives</w:t>
      </w:r>
    </w:p>
    <w:p w14:paraId="4890AD09" w14:textId="77777777" w:rsidR="002632C8" w:rsidRPr="00282E3D" w:rsidRDefault="002632C8" w:rsidP="002D75CF">
      <w:pPr>
        <w:pStyle w:val="Papardraft"/>
        <w:spacing w:line="276" w:lineRule="auto"/>
        <w:ind w:firstLine="0"/>
        <w:rPr>
          <w:lang w:val="en-US"/>
        </w:rPr>
      </w:pPr>
      <w:r w:rsidRPr="00282E3D">
        <w:rPr>
          <w:lang w:val="en-US"/>
        </w:rPr>
        <w:t>The exploratory objectives of this study are as follows:</w:t>
      </w:r>
    </w:p>
    <w:p w14:paraId="4196F147" w14:textId="065DF07C" w:rsidR="002632C8" w:rsidRPr="00282E3D" w:rsidRDefault="002632C8" w:rsidP="002D75CF">
      <w:pPr>
        <w:pStyle w:val="Papardraft"/>
        <w:numPr>
          <w:ilvl w:val="0"/>
          <w:numId w:val="42"/>
        </w:numPr>
        <w:spacing w:line="276" w:lineRule="auto"/>
        <w:rPr>
          <w:lang w:val="en-US"/>
        </w:rPr>
      </w:pPr>
      <w:r w:rsidRPr="00282E3D">
        <w:rPr>
          <w:lang w:val="en-US"/>
        </w:rPr>
        <w:t xml:space="preserve">to evaluate whether measuring procalcitonin (PCT) levels in addition to </w:t>
      </w:r>
      <w:r w:rsidR="00F60192" w:rsidRPr="00282E3D">
        <w:rPr>
          <w:lang w:val="en-US"/>
        </w:rPr>
        <w:t xml:space="preserve">[TIMP-2]•[IGFBP7] </w:t>
      </w:r>
      <w:r w:rsidRPr="00282E3D">
        <w:rPr>
          <w:lang w:val="en-US"/>
        </w:rPr>
        <w:t xml:space="preserve">testing at the same time points improves </w:t>
      </w:r>
      <w:r w:rsidR="00FC4BBF" w:rsidRPr="00282E3D">
        <w:rPr>
          <w:lang w:val="en-US"/>
        </w:rPr>
        <w:t>acute kidney injury (</w:t>
      </w:r>
      <w:r w:rsidRPr="00282E3D">
        <w:rPr>
          <w:lang w:val="en-US"/>
        </w:rPr>
        <w:t>AKI</w:t>
      </w:r>
      <w:r w:rsidR="00FC4BBF" w:rsidRPr="00282E3D">
        <w:rPr>
          <w:lang w:val="en-US"/>
        </w:rPr>
        <w:t>)</w:t>
      </w:r>
      <w:r w:rsidRPr="00282E3D">
        <w:rPr>
          <w:lang w:val="en-US"/>
        </w:rPr>
        <w:t xml:space="preserve"> risk assessment in subjects with a diagnosis of sepsis</w:t>
      </w:r>
    </w:p>
    <w:p w14:paraId="63B55BC5" w14:textId="2A8D404D" w:rsidR="00B1546F" w:rsidRPr="00282E3D" w:rsidRDefault="002632C8" w:rsidP="002D75CF">
      <w:pPr>
        <w:pStyle w:val="Papardraft"/>
        <w:numPr>
          <w:ilvl w:val="0"/>
          <w:numId w:val="42"/>
        </w:numPr>
        <w:spacing w:line="276" w:lineRule="auto"/>
        <w:rPr>
          <w:lang w:val="en-US"/>
        </w:rPr>
      </w:pPr>
      <w:r w:rsidRPr="00282E3D">
        <w:rPr>
          <w:lang w:val="en-US"/>
        </w:rPr>
        <w:t xml:space="preserve">to evaluate the effect of </w:t>
      </w:r>
      <w:r w:rsidR="00F60192" w:rsidRPr="00282E3D">
        <w:rPr>
          <w:lang w:val="en-US"/>
        </w:rPr>
        <w:t>[TIMP-2]•[IGFBP7]</w:t>
      </w:r>
      <w:r w:rsidRPr="00282E3D">
        <w:rPr>
          <w:lang w:val="en-US"/>
        </w:rPr>
        <w:t>-guided escalation or de-escalation of kidney sparing care measures (intervention arm) in comparison with SOC assessment and treatment (control arm) on practice patterns in subjects with a diagnosis of sepsis.</w:t>
      </w:r>
    </w:p>
    <w:p w14:paraId="69F416D1" w14:textId="77777777" w:rsidR="002632C8" w:rsidRPr="00282E3D" w:rsidRDefault="002632C8" w:rsidP="002D75CF">
      <w:pPr>
        <w:pStyle w:val="Papardraft"/>
        <w:spacing w:line="276" w:lineRule="auto"/>
        <w:ind w:firstLine="0"/>
        <w:rPr>
          <w:b/>
          <w:bCs/>
          <w:lang w:val="en-US"/>
        </w:rPr>
      </w:pPr>
    </w:p>
    <w:p w14:paraId="09FAB1B9" w14:textId="1B29263E" w:rsidR="00945126" w:rsidRPr="00282E3D" w:rsidRDefault="00945126" w:rsidP="002D75CF">
      <w:pPr>
        <w:pStyle w:val="Papardraft"/>
        <w:spacing w:line="276" w:lineRule="auto"/>
        <w:ind w:firstLine="0"/>
        <w:outlineLvl w:val="1"/>
        <w:rPr>
          <w:b/>
          <w:bCs/>
          <w:lang w:val="en-US"/>
        </w:rPr>
      </w:pPr>
      <w:bookmarkStart w:id="43" w:name="_Toc59032047"/>
      <w:bookmarkStart w:id="44" w:name="_Toc59643476"/>
      <w:r w:rsidRPr="00282E3D">
        <w:rPr>
          <w:b/>
          <w:bCs/>
          <w:lang w:val="en-US"/>
        </w:rPr>
        <w:t>Endpoints</w:t>
      </w:r>
      <w:bookmarkEnd w:id="43"/>
      <w:bookmarkEnd w:id="44"/>
    </w:p>
    <w:p w14:paraId="65DBCD3E" w14:textId="62DE045A" w:rsidR="00945126" w:rsidRPr="00282E3D" w:rsidRDefault="00945126" w:rsidP="002D75CF">
      <w:pPr>
        <w:pStyle w:val="Papardraft"/>
        <w:spacing w:line="276" w:lineRule="auto"/>
        <w:ind w:firstLine="0"/>
        <w:rPr>
          <w:i/>
          <w:iCs/>
          <w:lang w:val="en-US"/>
        </w:rPr>
      </w:pPr>
      <w:r w:rsidRPr="00282E3D">
        <w:rPr>
          <w:i/>
          <w:iCs/>
          <w:lang w:val="en-US"/>
        </w:rPr>
        <w:t>Primary Endpoint</w:t>
      </w:r>
    </w:p>
    <w:p w14:paraId="43E8A94D" w14:textId="0BD96B9F" w:rsidR="00945126" w:rsidRPr="00282E3D" w:rsidRDefault="00945126" w:rsidP="002D75CF">
      <w:pPr>
        <w:pStyle w:val="Papardraft"/>
        <w:spacing w:line="276" w:lineRule="auto"/>
        <w:ind w:firstLine="0"/>
        <w:rPr>
          <w:lang w:val="en-US"/>
        </w:rPr>
      </w:pPr>
      <w:r w:rsidRPr="00282E3D">
        <w:rPr>
          <w:lang w:val="en-US"/>
        </w:rPr>
        <w:t>Composite endpoint is defined as death, dialysis (defined as any form of renal replacement therapy (RRT)), or progression of 2 or more stages of AKI</w:t>
      </w:r>
      <w:r w:rsidR="00FC4BBF" w:rsidRPr="00282E3D">
        <w:rPr>
          <w:lang w:val="en-US"/>
        </w:rPr>
        <w:t xml:space="preserve"> </w:t>
      </w:r>
      <w:r w:rsidRPr="00282E3D">
        <w:rPr>
          <w:lang w:val="en-US"/>
        </w:rPr>
        <w:t>(</w:t>
      </w:r>
      <w:r w:rsidR="00DA774E" w:rsidRPr="00282E3D">
        <w:rPr>
          <w:lang w:val="en-US"/>
        </w:rPr>
        <w:t xml:space="preserve">from </w:t>
      </w:r>
      <w:r w:rsidRPr="00282E3D">
        <w:rPr>
          <w:lang w:val="en-US"/>
        </w:rPr>
        <w:t xml:space="preserve">Stage 0 to 2/3 or </w:t>
      </w:r>
      <w:r w:rsidR="00DA774E" w:rsidRPr="00282E3D">
        <w:rPr>
          <w:lang w:val="en-US"/>
        </w:rPr>
        <w:t xml:space="preserve">from </w:t>
      </w:r>
      <w:r w:rsidRPr="00282E3D">
        <w:rPr>
          <w:lang w:val="en-US"/>
        </w:rPr>
        <w:t>Stage 1 to 3) in the intervention arm compared with the control arm within 72 hours after enrollment.</w:t>
      </w:r>
    </w:p>
    <w:p w14:paraId="4FB3B8A0" w14:textId="0CF2DBF9" w:rsidR="00945126" w:rsidRPr="00282E3D" w:rsidRDefault="00945126" w:rsidP="002D75CF">
      <w:pPr>
        <w:pStyle w:val="Papardraft"/>
        <w:spacing w:line="276" w:lineRule="auto"/>
        <w:ind w:firstLine="0"/>
        <w:rPr>
          <w:lang w:val="en-US"/>
        </w:rPr>
      </w:pPr>
      <w:r w:rsidRPr="00282E3D">
        <w:rPr>
          <w:lang w:val="en-US"/>
        </w:rPr>
        <w:t xml:space="preserve">Enrollment is defined as the time when the informed consent form is signed. </w:t>
      </w:r>
    </w:p>
    <w:p w14:paraId="3CBEC12B" w14:textId="77777777" w:rsidR="00945126" w:rsidRPr="00282E3D" w:rsidRDefault="00945126" w:rsidP="002D75CF">
      <w:pPr>
        <w:pStyle w:val="Papardraft"/>
        <w:spacing w:line="276" w:lineRule="auto"/>
        <w:ind w:firstLine="0"/>
        <w:rPr>
          <w:lang w:val="en-US"/>
        </w:rPr>
      </w:pPr>
      <w:r w:rsidRPr="00282E3D">
        <w:rPr>
          <w:lang w:val="en-US"/>
        </w:rPr>
        <w:t>For the purposes of the primary endpoint, dialysis is defined as any form of RRT, including:</w:t>
      </w:r>
    </w:p>
    <w:p w14:paraId="7D056FCD" w14:textId="780CC73D" w:rsidR="00945126" w:rsidRPr="00282E3D" w:rsidRDefault="00945126" w:rsidP="002D75CF">
      <w:pPr>
        <w:pStyle w:val="Papardraft"/>
        <w:numPr>
          <w:ilvl w:val="0"/>
          <w:numId w:val="3"/>
        </w:numPr>
        <w:spacing w:line="276" w:lineRule="auto"/>
        <w:rPr>
          <w:lang w:val="en-US"/>
        </w:rPr>
      </w:pPr>
      <w:r w:rsidRPr="00282E3D">
        <w:rPr>
          <w:lang w:val="en-US"/>
        </w:rPr>
        <w:t>Continuous veno-venous hemofiltration</w:t>
      </w:r>
    </w:p>
    <w:p w14:paraId="549EFBDD" w14:textId="2A6B78FA" w:rsidR="00945126" w:rsidRPr="00282E3D" w:rsidRDefault="00945126" w:rsidP="002D75CF">
      <w:pPr>
        <w:pStyle w:val="Papardraft"/>
        <w:numPr>
          <w:ilvl w:val="0"/>
          <w:numId w:val="3"/>
        </w:numPr>
        <w:spacing w:line="276" w:lineRule="auto"/>
        <w:rPr>
          <w:lang w:val="en-US"/>
        </w:rPr>
      </w:pPr>
      <w:r w:rsidRPr="00282E3D">
        <w:rPr>
          <w:lang w:val="en-US"/>
        </w:rPr>
        <w:t>Continuous veno-venous hemodialysis</w:t>
      </w:r>
    </w:p>
    <w:p w14:paraId="723138CE" w14:textId="4D6B5A13" w:rsidR="00945126" w:rsidRPr="00282E3D" w:rsidRDefault="00945126" w:rsidP="002D75CF">
      <w:pPr>
        <w:pStyle w:val="Papardraft"/>
        <w:numPr>
          <w:ilvl w:val="0"/>
          <w:numId w:val="3"/>
        </w:numPr>
        <w:spacing w:line="276" w:lineRule="auto"/>
        <w:rPr>
          <w:lang w:val="en-US"/>
        </w:rPr>
      </w:pPr>
      <w:r w:rsidRPr="00282E3D">
        <w:rPr>
          <w:lang w:val="en-US"/>
        </w:rPr>
        <w:t>Continuous veno-venous hemodiafiltration</w:t>
      </w:r>
    </w:p>
    <w:p w14:paraId="6C446ACD" w14:textId="00F8373A" w:rsidR="00945126" w:rsidRPr="00282E3D" w:rsidRDefault="00945126" w:rsidP="002D75CF">
      <w:pPr>
        <w:pStyle w:val="Papardraft"/>
        <w:numPr>
          <w:ilvl w:val="0"/>
          <w:numId w:val="3"/>
        </w:numPr>
        <w:spacing w:line="276" w:lineRule="auto"/>
        <w:rPr>
          <w:lang w:val="en-US"/>
        </w:rPr>
      </w:pPr>
      <w:r w:rsidRPr="00282E3D">
        <w:rPr>
          <w:lang w:val="en-US"/>
        </w:rPr>
        <w:t>Peritoneal dialysis</w:t>
      </w:r>
    </w:p>
    <w:p w14:paraId="696CE0A2" w14:textId="04E5DA66" w:rsidR="00945126" w:rsidRPr="00282E3D" w:rsidRDefault="00945126" w:rsidP="002D75CF">
      <w:pPr>
        <w:pStyle w:val="Papardraft"/>
        <w:numPr>
          <w:ilvl w:val="0"/>
          <w:numId w:val="3"/>
        </w:numPr>
        <w:spacing w:line="276" w:lineRule="auto"/>
        <w:rPr>
          <w:lang w:val="en-US"/>
        </w:rPr>
      </w:pPr>
      <w:r w:rsidRPr="00282E3D">
        <w:rPr>
          <w:lang w:val="en-US"/>
        </w:rPr>
        <w:t>Intermittent dialysis or sustained low efficiency dialysis/prolonged intermittent RRT</w:t>
      </w:r>
    </w:p>
    <w:p w14:paraId="61CEC51C" w14:textId="77777777" w:rsidR="00945126" w:rsidRPr="00282E3D" w:rsidRDefault="00945126" w:rsidP="002D75CF">
      <w:pPr>
        <w:pStyle w:val="Papardraft"/>
        <w:spacing w:line="276" w:lineRule="auto"/>
        <w:ind w:left="426" w:hanging="567"/>
        <w:rPr>
          <w:lang w:val="en-US"/>
        </w:rPr>
      </w:pPr>
    </w:p>
    <w:p w14:paraId="5C908842" w14:textId="7A59E55B" w:rsidR="00422260" w:rsidRPr="00282E3D" w:rsidRDefault="00422260" w:rsidP="002D75CF">
      <w:pPr>
        <w:pStyle w:val="Papardraft"/>
        <w:spacing w:line="276" w:lineRule="auto"/>
        <w:ind w:firstLine="0"/>
        <w:rPr>
          <w:i/>
          <w:iCs/>
          <w:lang w:val="en-US"/>
        </w:rPr>
      </w:pPr>
      <w:r w:rsidRPr="00282E3D">
        <w:rPr>
          <w:i/>
          <w:iCs/>
          <w:lang w:val="en-US"/>
        </w:rPr>
        <w:t>Secondary Endpoints</w:t>
      </w:r>
    </w:p>
    <w:p w14:paraId="4458A258" w14:textId="17E47584" w:rsidR="00945126" w:rsidRPr="00282E3D" w:rsidRDefault="00945126" w:rsidP="002D75CF">
      <w:pPr>
        <w:pStyle w:val="Papardraft"/>
        <w:numPr>
          <w:ilvl w:val="0"/>
          <w:numId w:val="4"/>
        </w:numPr>
        <w:spacing w:line="276" w:lineRule="auto"/>
        <w:rPr>
          <w:lang w:val="en-US"/>
        </w:rPr>
      </w:pPr>
      <w:r w:rsidRPr="00282E3D">
        <w:rPr>
          <w:lang w:val="en-US"/>
        </w:rPr>
        <w:t>Death, dialysis, or AKI Stage 2</w:t>
      </w:r>
      <w:r w:rsidR="00DA774E" w:rsidRPr="00282E3D">
        <w:rPr>
          <w:lang w:val="en-US"/>
        </w:rPr>
        <w:t xml:space="preserve"> or </w:t>
      </w:r>
      <w:r w:rsidRPr="00282E3D">
        <w:rPr>
          <w:lang w:val="en-US"/>
        </w:rPr>
        <w:t>3 within 48 and 72 hours of enrollment</w:t>
      </w:r>
    </w:p>
    <w:p w14:paraId="1758D6EC" w14:textId="15CE8087" w:rsidR="00945126" w:rsidRPr="00282E3D" w:rsidRDefault="00945126" w:rsidP="002D75CF">
      <w:pPr>
        <w:pStyle w:val="Papardraft"/>
        <w:numPr>
          <w:ilvl w:val="0"/>
          <w:numId w:val="4"/>
        </w:numPr>
        <w:spacing w:line="276" w:lineRule="auto"/>
        <w:rPr>
          <w:lang w:val="en-US"/>
        </w:rPr>
      </w:pPr>
      <w:r w:rsidRPr="00282E3D">
        <w:rPr>
          <w:lang w:val="en-US"/>
        </w:rPr>
        <w:t>Stage 2 or 3 AKI within 72 hours of enrollment</w:t>
      </w:r>
    </w:p>
    <w:p w14:paraId="4639E41D" w14:textId="6DA8EF01" w:rsidR="00945126" w:rsidRPr="00282E3D" w:rsidRDefault="00945126" w:rsidP="002D75CF">
      <w:pPr>
        <w:pStyle w:val="Papardraft"/>
        <w:numPr>
          <w:ilvl w:val="0"/>
          <w:numId w:val="4"/>
        </w:numPr>
        <w:spacing w:line="276" w:lineRule="auto"/>
        <w:rPr>
          <w:lang w:val="en-US"/>
        </w:rPr>
      </w:pPr>
      <w:r w:rsidRPr="00282E3D">
        <w:rPr>
          <w:lang w:val="en-US"/>
        </w:rPr>
        <w:lastRenderedPageBreak/>
        <w:t>ICU length of stay</w:t>
      </w:r>
    </w:p>
    <w:p w14:paraId="52E1E594" w14:textId="77777777" w:rsidR="00EF57E8" w:rsidRPr="00282E3D" w:rsidRDefault="00EF57E8" w:rsidP="002D75CF">
      <w:pPr>
        <w:pStyle w:val="Papardraft"/>
        <w:spacing w:line="276" w:lineRule="auto"/>
        <w:ind w:firstLine="0"/>
        <w:rPr>
          <w:lang w:val="en-US"/>
        </w:rPr>
      </w:pPr>
    </w:p>
    <w:p w14:paraId="138FB6BD" w14:textId="0D6CC7B9" w:rsidR="00945126" w:rsidRPr="00282E3D" w:rsidRDefault="00945126" w:rsidP="002D75CF">
      <w:pPr>
        <w:pStyle w:val="Papardraft"/>
        <w:spacing w:line="276" w:lineRule="auto"/>
        <w:ind w:firstLine="0"/>
        <w:rPr>
          <w:i/>
          <w:iCs/>
          <w:lang w:val="en-US"/>
        </w:rPr>
      </w:pPr>
      <w:r w:rsidRPr="00282E3D">
        <w:rPr>
          <w:i/>
          <w:iCs/>
          <w:lang w:val="en-US"/>
        </w:rPr>
        <w:t>Exploratory Endpoints</w:t>
      </w:r>
    </w:p>
    <w:p w14:paraId="1EDC7AED" w14:textId="26ED8053" w:rsidR="00945126" w:rsidRPr="00282E3D" w:rsidRDefault="00945126" w:rsidP="002D75CF">
      <w:pPr>
        <w:pStyle w:val="Papardraft"/>
        <w:spacing w:line="276" w:lineRule="auto"/>
        <w:ind w:firstLine="0"/>
        <w:rPr>
          <w:lang w:val="en-US"/>
        </w:rPr>
      </w:pPr>
      <w:r w:rsidRPr="00282E3D">
        <w:rPr>
          <w:lang w:val="en-US"/>
        </w:rPr>
        <w:t>Other clinical endpoints:</w:t>
      </w:r>
    </w:p>
    <w:p w14:paraId="0B64A3F4" w14:textId="1D4466C0" w:rsidR="00945126" w:rsidRPr="00282E3D" w:rsidRDefault="00945126" w:rsidP="002D75CF">
      <w:pPr>
        <w:pStyle w:val="Papardraft"/>
        <w:numPr>
          <w:ilvl w:val="0"/>
          <w:numId w:val="5"/>
        </w:numPr>
        <w:spacing w:line="276" w:lineRule="auto"/>
        <w:rPr>
          <w:lang w:val="en-US"/>
        </w:rPr>
      </w:pPr>
      <w:r w:rsidRPr="00282E3D">
        <w:rPr>
          <w:lang w:val="en-US"/>
        </w:rPr>
        <w:t>Death within 72 hours of enrollment</w:t>
      </w:r>
    </w:p>
    <w:p w14:paraId="2EF2708E" w14:textId="64268354" w:rsidR="00945126" w:rsidRPr="00282E3D" w:rsidRDefault="00945126" w:rsidP="002D75CF">
      <w:pPr>
        <w:pStyle w:val="Papardraft"/>
        <w:numPr>
          <w:ilvl w:val="0"/>
          <w:numId w:val="5"/>
        </w:numPr>
        <w:spacing w:line="276" w:lineRule="auto"/>
        <w:rPr>
          <w:lang w:val="en-US"/>
        </w:rPr>
      </w:pPr>
      <w:r w:rsidRPr="00282E3D">
        <w:rPr>
          <w:lang w:val="en-US"/>
        </w:rPr>
        <w:t>Progression of 2 or more stages of AKI (Stage 0 to 2/3 or Stage 1 to 3) within 48 and 72 hours of enrollment</w:t>
      </w:r>
    </w:p>
    <w:p w14:paraId="25D4B1CF" w14:textId="34891478" w:rsidR="00945126" w:rsidRPr="00282E3D" w:rsidRDefault="00945126" w:rsidP="002D75CF">
      <w:pPr>
        <w:pStyle w:val="Papardraft"/>
        <w:numPr>
          <w:ilvl w:val="0"/>
          <w:numId w:val="5"/>
        </w:numPr>
        <w:spacing w:line="276" w:lineRule="auto"/>
        <w:rPr>
          <w:lang w:val="en-US"/>
        </w:rPr>
      </w:pPr>
      <w:r w:rsidRPr="00282E3D">
        <w:rPr>
          <w:lang w:val="en-US"/>
        </w:rPr>
        <w:t>Dialysis (defined as any form of RRT) within 72 hours of enrollment</w:t>
      </w:r>
    </w:p>
    <w:p w14:paraId="6BB60AD8" w14:textId="09E3091A" w:rsidR="00945126" w:rsidRPr="00282E3D" w:rsidRDefault="00945126" w:rsidP="002D75CF">
      <w:pPr>
        <w:pStyle w:val="Papardraft"/>
        <w:numPr>
          <w:ilvl w:val="0"/>
          <w:numId w:val="5"/>
        </w:numPr>
        <w:spacing w:line="276" w:lineRule="auto"/>
        <w:rPr>
          <w:lang w:val="en-US"/>
        </w:rPr>
      </w:pPr>
      <w:r w:rsidRPr="00282E3D">
        <w:rPr>
          <w:lang w:val="en-US"/>
        </w:rPr>
        <w:t>Stage 2 or 3 AKI within 48 hours of enrollment</w:t>
      </w:r>
    </w:p>
    <w:p w14:paraId="41CAE699" w14:textId="65E0E530" w:rsidR="00945126" w:rsidRPr="00282E3D" w:rsidRDefault="00945126" w:rsidP="002D75CF">
      <w:pPr>
        <w:pStyle w:val="Papardraft"/>
        <w:numPr>
          <w:ilvl w:val="0"/>
          <w:numId w:val="5"/>
        </w:numPr>
        <w:spacing w:line="276" w:lineRule="auto"/>
        <w:rPr>
          <w:lang w:val="en-US"/>
        </w:rPr>
      </w:pPr>
      <w:r w:rsidRPr="00282E3D">
        <w:rPr>
          <w:lang w:val="en-US"/>
        </w:rPr>
        <w:t>Progression of Stage 1 to Stage 2 AKI within 24, 48, and 72 hours of enrollment</w:t>
      </w:r>
    </w:p>
    <w:p w14:paraId="1FFD453D" w14:textId="5F36E632" w:rsidR="00945126" w:rsidRPr="00282E3D" w:rsidRDefault="00945126" w:rsidP="002D75CF">
      <w:pPr>
        <w:pStyle w:val="Papardraft"/>
        <w:numPr>
          <w:ilvl w:val="0"/>
          <w:numId w:val="5"/>
        </w:numPr>
        <w:spacing w:line="276" w:lineRule="auto"/>
        <w:rPr>
          <w:lang w:val="en-US"/>
        </w:rPr>
      </w:pPr>
      <w:r w:rsidRPr="00282E3D">
        <w:rPr>
          <w:lang w:val="en-US"/>
        </w:rPr>
        <w:t>Death, dialysis, or progression of 2 or more stages of AKI (Stage 0 to 2/3 or Stage 1 to 3) within 48 hours of enrollment</w:t>
      </w:r>
    </w:p>
    <w:p w14:paraId="5255FDD7" w14:textId="5829E3AE" w:rsidR="00945126" w:rsidRPr="00282E3D" w:rsidRDefault="00945126" w:rsidP="002D75CF">
      <w:pPr>
        <w:pStyle w:val="Papardraft"/>
        <w:numPr>
          <w:ilvl w:val="0"/>
          <w:numId w:val="5"/>
        </w:numPr>
        <w:spacing w:line="276" w:lineRule="auto"/>
        <w:rPr>
          <w:lang w:val="en-US"/>
        </w:rPr>
      </w:pPr>
      <w:r w:rsidRPr="00282E3D">
        <w:rPr>
          <w:lang w:val="en-US"/>
        </w:rPr>
        <w:t>Proportion of subjects with renal recovery (defined as &lt; 120% Study Reference creatinine value) at the time of hospital discharge or Day 60 after enrollment, whichever is sooner</w:t>
      </w:r>
    </w:p>
    <w:p w14:paraId="47F8024A" w14:textId="1BDF873E" w:rsidR="00945126" w:rsidRPr="00282E3D" w:rsidRDefault="00945126" w:rsidP="002D75CF">
      <w:pPr>
        <w:pStyle w:val="Papardraft"/>
        <w:numPr>
          <w:ilvl w:val="0"/>
          <w:numId w:val="5"/>
        </w:numPr>
        <w:spacing w:line="276" w:lineRule="auto"/>
        <w:rPr>
          <w:lang w:val="en-US"/>
        </w:rPr>
      </w:pPr>
      <w:r w:rsidRPr="00282E3D">
        <w:rPr>
          <w:lang w:val="en-US"/>
        </w:rPr>
        <w:t xml:space="preserve">All AKI stages (1 to 3) based on </w:t>
      </w:r>
      <w:r w:rsidR="00F279D4" w:rsidRPr="00282E3D">
        <w:rPr>
          <w:lang w:val="en-US"/>
        </w:rPr>
        <w:t>serum creatinine (</w:t>
      </w:r>
      <w:r w:rsidRPr="00282E3D">
        <w:rPr>
          <w:lang w:val="en-US"/>
        </w:rPr>
        <w:t>SCr</w:t>
      </w:r>
      <w:r w:rsidR="00F279D4" w:rsidRPr="00282E3D">
        <w:rPr>
          <w:lang w:val="en-US"/>
        </w:rPr>
        <w:t>)</w:t>
      </w:r>
      <w:r w:rsidRPr="00282E3D">
        <w:rPr>
          <w:lang w:val="en-US"/>
        </w:rPr>
        <w:t xml:space="preserve"> or urine output </w:t>
      </w:r>
      <w:r w:rsidR="00F279D4" w:rsidRPr="00282E3D">
        <w:rPr>
          <w:lang w:val="en-US"/>
        </w:rPr>
        <w:t xml:space="preserve">(UO) </w:t>
      </w:r>
      <w:r w:rsidRPr="00282E3D">
        <w:rPr>
          <w:lang w:val="en-US"/>
        </w:rPr>
        <w:t xml:space="preserve">within 72 hours after enrollment </w:t>
      </w:r>
    </w:p>
    <w:p w14:paraId="107C9AEA" w14:textId="25005221" w:rsidR="00945126" w:rsidRPr="00282E3D" w:rsidRDefault="00945126" w:rsidP="002D75CF">
      <w:pPr>
        <w:pStyle w:val="Papardraft"/>
        <w:numPr>
          <w:ilvl w:val="0"/>
          <w:numId w:val="5"/>
        </w:numPr>
        <w:spacing w:line="276" w:lineRule="auto"/>
        <w:rPr>
          <w:lang w:val="en-US"/>
        </w:rPr>
      </w:pPr>
      <w:r w:rsidRPr="00282E3D">
        <w:rPr>
          <w:lang w:val="en-US"/>
        </w:rPr>
        <w:t>AKI Stage 2/3</w:t>
      </w:r>
      <w:r w:rsidR="005F1CAA" w:rsidRPr="00282E3D">
        <w:rPr>
          <w:lang w:val="en-US"/>
        </w:rPr>
        <w:t>-</w:t>
      </w:r>
      <w:r w:rsidRPr="00282E3D">
        <w:rPr>
          <w:lang w:val="en-US"/>
        </w:rPr>
        <w:t>free days at the time of hospital discharge or Day 60 after enrollment, whichever is sooner</w:t>
      </w:r>
    </w:p>
    <w:p w14:paraId="174FC82B" w14:textId="2502A79A" w:rsidR="00945126" w:rsidRPr="00282E3D" w:rsidRDefault="00945126" w:rsidP="002D75CF">
      <w:pPr>
        <w:pStyle w:val="Papardraft"/>
        <w:numPr>
          <w:ilvl w:val="0"/>
          <w:numId w:val="5"/>
        </w:numPr>
        <w:spacing w:line="276" w:lineRule="auto"/>
        <w:rPr>
          <w:lang w:val="en-US"/>
        </w:rPr>
      </w:pPr>
      <w:r w:rsidRPr="00282E3D">
        <w:rPr>
          <w:lang w:val="en-US"/>
        </w:rPr>
        <w:t>Time to death, dialysis, or progression of 2 or more stages of AKI (Stage 0 to 2/3 or Stage 1 to 3) within 72 hours of enrollment</w:t>
      </w:r>
    </w:p>
    <w:p w14:paraId="6ABEE632" w14:textId="65C116FD" w:rsidR="00945126" w:rsidRPr="00282E3D" w:rsidRDefault="00945126" w:rsidP="002D75CF">
      <w:pPr>
        <w:pStyle w:val="Papardraft"/>
        <w:numPr>
          <w:ilvl w:val="0"/>
          <w:numId w:val="5"/>
        </w:numPr>
        <w:spacing w:line="276" w:lineRule="auto"/>
        <w:rPr>
          <w:lang w:val="en-US"/>
        </w:rPr>
      </w:pPr>
      <w:r w:rsidRPr="00282E3D">
        <w:rPr>
          <w:lang w:val="en-US"/>
        </w:rPr>
        <w:t>Time to renal recovery prior to hospital discharge or Day 60 after enrollment, whichever is sooner</w:t>
      </w:r>
    </w:p>
    <w:p w14:paraId="3891FE6E" w14:textId="63F416EF" w:rsidR="00945126" w:rsidRPr="00282E3D" w:rsidRDefault="00945126" w:rsidP="002D75CF">
      <w:pPr>
        <w:pStyle w:val="Papardraft"/>
        <w:numPr>
          <w:ilvl w:val="0"/>
          <w:numId w:val="5"/>
        </w:numPr>
        <w:spacing w:line="276" w:lineRule="auto"/>
        <w:rPr>
          <w:lang w:val="en-US"/>
        </w:rPr>
      </w:pPr>
      <w:r w:rsidRPr="00282E3D">
        <w:rPr>
          <w:lang w:val="en-US"/>
        </w:rPr>
        <w:t xml:space="preserve">All-cause mortality (in hospital and at Day 30 from enrollment) </w:t>
      </w:r>
    </w:p>
    <w:p w14:paraId="53DA9BE0" w14:textId="50CD7295" w:rsidR="00945126" w:rsidRPr="00282E3D" w:rsidRDefault="00945126" w:rsidP="002D75CF">
      <w:pPr>
        <w:pStyle w:val="Papardraft"/>
        <w:numPr>
          <w:ilvl w:val="0"/>
          <w:numId w:val="5"/>
        </w:numPr>
        <w:spacing w:line="276" w:lineRule="auto"/>
        <w:rPr>
          <w:lang w:val="en-US"/>
        </w:rPr>
      </w:pPr>
      <w:r w:rsidRPr="00282E3D">
        <w:rPr>
          <w:lang w:val="en-US"/>
        </w:rPr>
        <w:t xml:space="preserve">Confirmed urinary and vascular catheter infections occurring within 30 days of enrollment </w:t>
      </w:r>
    </w:p>
    <w:p w14:paraId="049AB905" w14:textId="5A6AEA6C" w:rsidR="00945126" w:rsidRPr="00282E3D" w:rsidRDefault="00945126" w:rsidP="002D75CF">
      <w:pPr>
        <w:pStyle w:val="Papardraft"/>
        <w:numPr>
          <w:ilvl w:val="0"/>
          <w:numId w:val="5"/>
        </w:numPr>
        <w:spacing w:line="276" w:lineRule="auto"/>
        <w:rPr>
          <w:lang w:val="en-US"/>
        </w:rPr>
      </w:pPr>
      <w:r w:rsidRPr="00282E3D">
        <w:rPr>
          <w:lang w:val="en-US"/>
        </w:rPr>
        <w:t>Proportion of subjects with cardiac arrest within 72 hours of enrollment</w:t>
      </w:r>
    </w:p>
    <w:p w14:paraId="4C6DBECE" w14:textId="1DD0AC3A" w:rsidR="00945126" w:rsidRPr="00282E3D" w:rsidRDefault="00945126" w:rsidP="002D75CF">
      <w:pPr>
        <w:pStyle w:val="Papardraft"/>
        <w:numPr>
          <w:ilvl w:val="0"/>
          <w:numId w:val="5"/>
        </w:numPr>
        <w:spacing w:line="276" w:lineRule="auto"/>
        <w:rPr>
          <w:lang w:val="en-US"/>
        </w:rPr>
      </w:pPr>
      <w:r w:rsidRPr="00282E3D">
        <w:rPr>
          <w:lang w:val="en-US"/>
        </w:rPr>
        <w:t>Use of any protocol-defined nephrotoxic drugs</w:t>
      </w:r>
    </w:p>
    <w:p w14:paraId="293DD36F" w14:textId="6DE511C0" w:rsidR="00945126" w:rsidRPr="00282E3D" w:rsidRDefault="00945126" w:rsidP="002D75CF">
      <w:pPr>
        <w:pStyle w:val="Papardraft"/>
        <w:numPr>
          <w:ilvl w:val="0"/>
          <w:numId w:val="5"/>
        </w:numPr>
        <w:spacing w:line="276" w:lineRule="auto"/>
        <w:rPr>
          <w:lang w:val="en-US"/>
        </w:rPr>
      </w:pPr>
      <w:r w:rsidRPr="00282E3D">
        <w:rPr>
          <w:lang w:val="en-US"/>
        </w:rPr>
        <w:t xml:space="preserve">Duration (hours) of urinary catheter use within 72 hours after enrollment </w:t>
      </w:r>
    </w:p>
    <w:p w14:paraId="43E500B2" w14:textId="3F8DC8A3" w:rsidR="00945126" w:rsidRPr="00282E3D" w:rsidRDefault="00945126" w:rsidP="002D75CF">
      <w:pPr>
        <w:pStyle w:val="Papardraft"/>
        <w:numPr>
          <w:ilvl w:val="0"/>
          <w:numId w:val="5"/>
        </w:numPr>
        <w:spacing w:line="276" w:lineRule="auto"/>
        <w:rPr>
          <w:lang w:val="en-US"/>
        </w:rPr>
      </w:pPr>
      <w:r w:rsidRPr="00282E3D">
        <w:rPr>
          <w:lang w:val="en-US"/>
        </w:rPr>
        <w:t xml:space="preserve">Total daily fluid given by type (crystalloids [unbalanced and balanced], albumin, hydroxyethyl starches, gelatin, dextran) within 72 hours of enrollment </w:t>
      </w:r>
    </w:p>
    <w:p w14:paraId="43588F6B" w14:textId="4851FDF6" w:rsidR="00945126" w:rsidRPr="00282E3D" w:rsidRDefault="00945126" w:rsidP="002D75CF">
      <w:pPr>
        <w:pStyle w:val="Papardraft"/>
        <w:numPr>
          <w:ilvl w:val="0"/>
          <w:numId w:val="5"/>
        </w:numPr>
        <w:spacing w:line="276" w:lineRule="auto"/>
        <w:rPr>
          <w:lang w:val="en-US"/>
        </w:rPr>
      </w:pPr>
      <w:r w:rsidRPr="00282E3D">
        <w:rPr>
          <w:lang w:val="en-US"/>
        </w:rPr>
        <w:t>Relationship between protocol adherence and the primary and secondary endpoints</w:t>
      </w:r>
    </w:p>
    <w:p w14:paraId="3782E525" w14:textId="5A106A0B" w:rsidR="00945126" w:rsidRPr="00282E3D" w:rsidRDefault="00945126" w:rsidP="002D75CF">
      <w:pPr>
        <w:pStyle w:val="Papardraft"/>
        <w:spacing w:line="276" w:lineRule="auto"/>
        <w:ind w:firstLine="0"/>
        <w:rPr>
          <w:lang w:val="en-US"/>
        </w:rPr>
      </w:pPr>
      <w:r w:rsidRPr="00282E3D">
        <w:rPr>
          <w:lang w:val="en-US"/>
        </w:rPr>
        <w:t>Other measures of resource utilization including</w:t>
      </w:r>
      <w:r w:rsidR="005F1CAA" w:rsidRPr="00282E3D">
        <w:rPr>
          <w:lang w:val="en-US"/>
        </w:rPr>
        <w:t>:</w:t>
      </w:r>
    </w:p>
    <w:p w14:paraId="339D9E26" w14:textId="1966A8AF" w:rsidR="00945126" w:rsidRPr="00282E3D" w:rsidRDefault="00945126" w:rsidP="002D75CF">
      <w:pPr>
        <w:pStyle w:val="Papardraft"/>
        <w:numPr>
          <w:ilvl w:val="0"/>
          <w:numId w:val="6"/>
        </w:numPr>
        <w:spacing w:line="276" w:lineRule="auto"/>
        <w:rPr>
          <w:lang w:val="en-US"/>
        </w:rPr>
      </w:pPr>
      <w:r w:rsidRPr="00282E3D">
        <w:rPr>
          <w:lang w:val="en-US"/>
        </w:rPr>
        <w:t>ICU</w:t>
      </w:r>
      <w:r w:rsidR="005F1CAA" w:rsidRPr="00282E3D">
        <w:rPr>
          <w:lang w:val="en-US"/>
        </w:rPr>
        <w:t>-</w:t>
      </w:r>
      <w:r w:rsidRPr="00282E3D">
        <w:rPr>
          <w:lang w:val="en-US"/>
        </w:rPr>
        <w:t>free days at Day 30</w:t>
      </w:r>
    </w:p>
    <w:p w14:paraId="40C8EC40" w14:textId="534D8208" w:rsidR="00945126" w:rsidRPr="00282E3D" w:rsidRDefault="00945126" w:rsidP="002D75CF">
      <w:pPr>
        <w:pStyle w:val="Papardraft"/>
        <w:numPr>
          <w:ilvl w:val="0"/>
          <w:numId w:val="6"/>
        </w:numPr>
        <w:spacing w:line="276" w:lineRule="auto"/>
        <w:rPr>
          <w:lang w:val="en-US"/>
        </w:rPr>
      </w:pPr>
      <w:r w:rsidRPr="00282E3D">
        <w:rPr>
          <w:lang w:val="en-US"/>
        </w:rPr>
        <w:t>RRT</w:t>
      </w:r>
      <w:r w:rsidR="005F1CAA" w:rsidRPr="00282E3D">
        <w:rPr>
          <w:lang w:val="en-US"/>
        </w:rPr>
        <w:t>-</w:t>
      </w:r>
      <w:r w:rsidRPr="00282E3D">
        <w:rPr>
          <w:lang w:val="en-US"/>
        </w:rPr>
        <w:t xml:space="preserve">free days at Day 30 </w:t>
      </w:r>
    </w:p>
    <w:p w14:paraId="771C21EC" w14:textId="55279D5A" w:rsidR="00945126" w:rsidRPr="00282E3D" w:rsidRDefault="00945126" w:rsidP="002D75CF">
      <w:pPr>
        <w:pStyle w:val="Papardraft"/>
        <w:numPr>
          <w:ilvl w:val="0"/>
          <w:numId w:val="6"/>
        </w:numPr>
        <w:spacing w:line="276" w:lineRule="auto"/>
        <w:rPr>
          <w:lang w:val="en-US"/>
        </w:rPr>
      </w:pPr>
      <w:r w:rsidRPr="00282E3D">
        <w:rPr>
          <w:lang w:val="en-US"/>
        </w:rPr>
        <w:t>30-day hospital re-admission (count/rate) assessed within 60 days from enrollment</w:t>
      </w:r>
    </w:p>
    <w:p w14:paraId="0D4E504D" w14:textId="74A24D2D" w:rsidR="00945126" w:rsidRPr="00282E3D" w:rsidRDefault="00945126" w:rsidP="002D75CF">
      <w:pPr>
        <w:pStyle w:val="Papardraft"/>
        <w:numPr>
          <w:ilvl w:val="0"/>
          <w:numId w:val="6"/>
        </w:numPr>
        <w:spacing w:line="276" w:lineRule="auto"/>
        <w:rPr>
          <w:lang w:val="en-US"/>
        </w:rPr>
      </w:pPr>
      <w:r w:rsidRPr="00282E3D">
        <w:rPr>
          <w:lang w:val="en-US"/>
        </w:rPr>
        <w:t xml:space="preserve">Stage 2/3 AKI based on SCr or </w:t>
      </w:r>
      <w:r w:rsidR="00F279D4" w:rsidRPr="00282E3D">
        <w:rPr>
          <w:lang w:val="en-US"/>
        </w:rPr>
        <w:t>UO</w:t>
      </w:r>
      <w:r w:rsidRPr="00282E3D">
        <w:rPr>
          <w:lang w:val="en-US"/>
        </w:rPr>
        <w:t xml:space="preserve"> within 72 hours after enrollment </w:t>
      </w:r>
    </w:p>
    <w:p w14:paraId="106B4D4D" w14:textId="1F4055BD" w:rsidR="00945126" w:rsidRPr="00282E3D" w:rsidRDefault="00945126" w:rsidP="002D75CF">
      <w:pPr>
        <w:pStyle w:val="Papardraft"/>
        <w:numPr>
          <w:ilvl w:val="0"/>
          <w:numId w:val="6"/>
        </w:numPr>
        <w:spacing w:line="276" w:lineRule="auto"/>
        <w:rPr>
          <w:lang w:val="en-US"/>
        </w:rPr>
      </w:pPr>
      <w:r w:rsidRPr="00282E3D">
        <w:rPr>
          <w:lang w:val="en-US"/>
        </w:rPr>
        <w:t xml:space="preserve">Any RRT therapy used; assessed within 72 hours and while hospitalized (within 30 days from enrollment) </w:t>
      </w:r>
    </w:p>
    <w:p w14:paraId="7F8146B4" w14:textId="064B96EC" w:rsidR="00945126" w:rsidRPr="00282E3D" w:rsidRDefault="00945126" w:rsidP="002D75CF">
      <w:pPr>
        <w:pStyle w:val="Papardraft"/>
        <w:numPr>
          <w:ilvl w:val="0"/>
          <w:numId w:val="6"/>
        </w:numPr>
        <w:spacing w:line="276" w:lineRule="auto"/>
        <w:rPr>
          <w:lang w:val="en-US"/>
        </w:rPr>
      </w:pPr>
      <w:r w:rsidRPr="00282E3D">
        <w:rPr>
          <w:lang w:val="en-US"/>
        </w:rPr>
        <w:t xml:space="preserve">Consultations with nephrologists, infectious diseases, and available hospital resources (e.g., clinical pharmacists) within 72 hours of enrollment </w:t>
      </w:r>
    </w:p>
    <w:p w14:paraId="1D826F63" w14:textId="083A299C" w:rsidR="00945126" w:rsidRPr="00282E3D" w:rsidRDefault="00945126" w:rsidP="002D75CF">
      <w:pPr>
        <w:pStyle w:val="Papardraft"/>
        <w:numPr>
          <w:ilvl w:val="0"/>
          <w:numId w:val="6"/>
        </w:numPr>
        <w:spacing w:line="276" w:lineRule="auto"/>
        <w:rPr>
          <w:lang w:val="en-US"/>
        </w:rPr>
      </w:pPr>
      <w:r w:rsidRPr="00282E3D">
        <w:rPr>
          <w:lang w:val="en-US"/>
        </w:rPr>
        <w:t>Invasive hemodynamic monitoring use</w:t>
      </w:r>
      <w:r w:rsidR="005F1CAA" w:rsidRPr="00282E3D">
        <w:rPr>
          <w:lang w:val="en-US"/>
        </w:rPr>
        <w:t>-</w:t>
      </w:r>
      <w:r w:rsidRPr="00282E3D">
        <w:rPr>
          <w:lang w:val="en-US"/>
        </w:rPr>
        <w:t>free days at Day 30</w:t>
      </w:r>
    </w:p>
    <w:p w14:paraId="741F2E60" w14:textId="4D0D277A" w:rsidR="006A4B2E" w:rsidRPr="00282E3D" w:rsidRDefault="00945126" w:rsidP="002D75CF">
      <w:pPr>
        <w:pStyle w:val="Papardraft"/>
        <w:numPr>
          <w:ilvl w:val="0"/>
          <w:numId w:val="6"/>
        </w:numPr>
        <w:spacing w:line="276" w:lineRule="auto"/>
        <w:rPr>
          <w:lang w:val="en-US"/>
        </w:rPr>
      </w:pPr>
      <w:r w:rsidRPr="00282E3D">
        <w:rPr>
          <w:lang w:val="en-US"/>
        </w:rPr>
        <w:t>Ventilator free days at Day 30</w:t>
      </w:r>
    </w:p>
    <w:p w14:paraId="7EED8EA5" w14:textId="369847A5" w:rsidR="00DF36CB" w:rsidRPr="00282E3D" w:rsidRDefault="00DF36CB" w:rsidP="002D75CF">
      <w:pPr>
        <w:pStyle w:val="Papardraft"/>
        <w:spacing w:line="276" w:lineRule="auto"/>
        <w:ind w:firstLine="0"/>
        <w:rPr>
          <w:lang w:val="en-US"/>
        </w:rPr>
      </w:pPr>
    </w:p>
    <w:p w14:paraId="0B0157D1" w14:textId="03BDD5BC" w:rsidR="002D75CF" w:rsidRPr="00282E3D" w:rsidRDefault="00E94CCA" w:rsidP="00792E6F">
      <w:pPr>
        <w:pStyle w:val="Papardraft"/>
        <w:spacing w:line="276" w:lineRule="auto"/>
        <w:ind w:firstLine="0"/>
        <w:outlineLvl w:val="1"/>
        <w:rPr>
          <w:b/>
          <w:bCs/>
          <w:lang w:val="en-US"/>
        </w:rPr>
      </w:pPr>
      <w:bookmarkStart w:id="45" w:name="_Toc59032048"/>
      <w:bookmarkStart w:id="46" w:name="_Toc59643477"/>
      <w:bookmarkStart w:id="47" w:name="_Hlk58865074"/>
      <w:bookmarkStart w:id="48" w:name="_Hlk59095052"/>
      <w:r w:rsidRPr="00282E3D">
        <w:rPr>
          <w:b/>
          <w:bCs/>
          <w:lang w:val="en-US"/>
        </w:rPr>
        <w:t xml:space="preserve">Study </w:t>
      </w:r>
      <w:r w:rsidR="00F17308" w:rsidRPr="00282E3D">
        <w:rPr>
          <w:b/>
          <w:bCs/>
          <w:lang w:val="en-US"/>
        </w:rPr>
        <w:t>P</w:t>
      </w:r>
      <w:r w:rsidRPr="00282E3D">
        <w:rPr>
          <w:b/>
          <w:bCs/>
          <w:lang w:val="en-US"/>
        </w:rPr>
        <w:t>opulation</w:t>
      </w:r>
      <w:bookmarkEnd w:id="45"/>
      <w:bookmarkEnd w:id="46"/>
    </w:p>
    <w:p w14:paraId="50E3D1B9" w14:textId="6A9A0CB2" w:rsidR="00F17308" w:rsidRPr="00282E3D" w:rsidRDefault="00F17308" w:rsidP="00F17308">
      <w:pPr>
        <w:pStyle w:val="Papardraft"/>
        <w:spacing w:line="276" w:lineRule="auto"/>
        <w:ind w:firstLine="0"/>
        <w:rPr>
          <w:lang w:val="en-US"/>
        </w:rPr>
      </w:pPr>
      <w:bookmarkStart w:id="49" w:name="_Hlk59032136"/>
      <w:bookmarkStart w:id="50" w:name="_Hlk58866545"/>
      <w:r w:rsidRPr="00282E3D">
        <w:rPr>
          <w:lang w:val="en-US"/>
        </w:rPr>
        <w:t>Approximately 540 subjects will be enrolled at approximately 18 sites in Europe</w:t>
      </w:r>
      <w:r w:rsidR="00792E6F" w:rsidRPr="00282E3D">
        <w:rPr>
          <w:lang w:val="en-US"/>
        </w:rPr>
        <w:t xml:space="preserve"> (Belgium, France, Germany)</w:t>
      </w:r>
      <w:r w:rsidRPr="00282E3D">
        <w:rPr>
          <w:lang w:val="en-US"/>
        </w:rPr>
        <w:t xml:space="preserve"> and in the United States. Subjects will be enrolled only if they meet </w:t>
      </w:r>
      <w:r w:rsidR="00D73F61" w:rsidRPr="00282E3D">
        <w:rPr>
          <w:lang w:val="en-US"/>
        </w:rPr>
        <w:t xml:space="preserve">all </w:t>
      </w:r>
      <w:r w:rsidRPr="00282E3D">
        <w:rPr>
          <w:lang w:val="en-US"/>
        </w:rPr>
        <w:t>the inclusion criteria and none of the exclusion criteria</w:t>
      </w:r>
      <w:r w:rsidR="00792E6F" w:rsidRPr="00282E3D">
        <w:rPr>
          <w:lang w:val="en-US"/>
        </w:rPr>
        <w:t xml:space="preserve"> reported </w:t>
      </w:r>
      <w:r w:rsidRPr="00282E3D">
        <w:rPr>
          <w:lang w:val="en-US"/>
        </w:rPr>
        <w:t>in Supplemental Table S1.</w:t>
      </w:r>
    </w:p>
    <w:bookmarkEnd w:id="49"/>
    <w:p w14:paraId="4EF17D93" w14:textId="77777777" w:rsidR="00F17308" w:rsidRPr="00282E3D" w:rsidRDefault="00F17308" w:rsidP="00F17308">
      <w:pPr>
        <w:pStyle w:val="Papardraft"/>
        <w:spacing w:line="276" w:lineRule="auto"/>
        <w:ind w:firstLine="0"/>
        <w:rPr>
          <w:lang w:val="en-US"/>
        </w:rPr>
      </w:pPr>
      <w:r w:rsidRPr="00282E3D">
        <w:rPr>
          <w:lang w:val="en-US"/>
        </w:rPr>
        <w:t>The study population will include adult subjects who present with a diagnosis of sepsis, including septic shock (according to study inclusion/exclusion criteria).</w:t>
      </w:r>
    </w:p>
    <w:p w14:paraId="39806996" w14:textId="3882DDA2" w:rsidR="00E94CCA" w:rsidRPr="00282E3D" w:rsidRDefault="00F17308" w:rsidP="00F17308">
      <w:pPr>
        <w:pStyle w:val="Papardraft"/>
        <w:spacing w:line="276" w:lineRule="auto"/>
        <w:ind w:firstLine="0"/>
        <w:rPr>
          <w:lang w:val="en-US"/>
        </w:rPr>
      </w:pPr>
      <w:r w:rsidRPr="00282E3D">
        <w:rPr>
          <w:lang w:val="en-US"/>
        </w:rPr>
        <w:t>Deviations from the inclusion and exclusion criteria are not allowed because they can potentially jeopardize the scientific integrity of the study, regulatory acceptability, or subject safety.</w:t>
      </w:r>
    </w:p>
    <w:p w14:paraId="398B10E3" w14:textId="77777777" w:rsidR="00D73F61" w:rsidRPr="00282E3D" w:rsidRDefault="00D73F61" w:rsidP="00F17308">
      <w:pPr>
        <w:pStyle w:val="Papardraft"/>
        <w:spacing w:line="276" w:lineRule="auto"/>
        <w:ind w:firstLine="0"/>
        <w:rPr>
          <w:shd w:val="clear" w:color="auto" w:fill="FFFFFF"/>
          <w:lang w:val="en-US"/>
        </w:rPr>
      </w:pPr>
    </w:p>
    <w:p w14:paraId="0F7D5B3C" w14:textId="48261DE6" w:rsidR="004C59A4" w:rsidRPr="00282E3D" w:rsidRDefault="004C59A4" w:rsidP="00F17308">
      <w:pPr>
        <w:pStyle w:val="Papardraft"/>
        <w:spacing w:line="276" w:lineRule="auto"/>
        <w:ind w:firstLine="0"/>
        <w:rPr>
          <w:lang w:val="en-US"/>
        </w:rPr>
      </w:pPr>
      <w:r w:rsidRPr="00282E3D">
        <w:rPr>
          <w:shd w:val="clear" w:color="auto" w:fill="FFFFFF"/>
          <w:lang w:val="en-US"/>
        </w:rPr>
        <w:t>The choice to include patients with ≥ 21 year of age</w:t>
      </w:r>
      <w:r w:rsidR="004709B3" w:rsidRPr="00282E3D">
        <w:rPr>
          <w:shd w:val="clear" w:color="auto" w:fill="FFFFFF"/>
          <w:lang w:val="en-US"/>
        </w:rPr>
        <w:t xml:space="preserve"> </w:t>
      </w:r>
      <w:r w:rsidRPr="00282E3D">
        <w:rPr>
          <w:shd w:val="clear" w:color="auto" w:fill="FFFFFF"/>
          <w:lang w:val="en-US"/>
        </w:rPr>
        <w:t xml:space="preserve">was </w:t>
      </w:r>
      <w:r w:rsidR="00D73F61" w:rsidRPr="00282E3D">
        <w:rPr>
          <w:shd w:val="clear" w:color="auto" w:fill="FFFFFF"/>
          <w:lang w:val="en-US"/>
        </w:rPr>
        <w:t>based on the approved indication from the Food and Drug Administration for</w:t>
      </w:r>
      <w:r w:rsidR="00D73F61" w:rsidRPr="00282E3D">
        <w:rPr>
          <w:lang w:val="en-US"/>
        </w:rPr>
        <w:t xml:space="preserve"> </w:t>
      </w:r>
      <w:r w:rsidR="00D73F61" w:rsidRPr="00282E3D">
        <w:rPr>
          <w:shd w:val="clear" w:color="auto" w:fill="FFFFFF"/>
          <w:lang w:val="en-US"/>
        </w:rPr>
        <w:t>NEPHROCHECK® Test.</w:t>
      </w:r>
      <w:r w:rsidR="00EF3502" w:rsidRPr="00282E3D">
        <w:rPr>
          <w:shd w:val="clear" w:color="auto" w:fill="FFFFFF"/>
          <w:lang w:val="en-US"/>
        </w:rPr>
        <w:t xml:space="preserve"> Since a consistent amount of study sites will be in the United Stated, we decided to apply the same age criterion also for the study sites in Europe.</w:t>
      </w:r>
    </w:p>
    <w:bookmarkEnd w:id="47"/>
    <w:p w14:paraId="09CE667E" w14:textId="04B43EB5" w:rsidR="00E94CCA" w:rsidRPr="00282E3D" w:rsidRDefault="00533358" w:rsidP="002D75CF">
      <w:pPr>
        <w:pStyle w:val="Papardraft"/>
        <w:spacing w:line="276" w:lineRule="auto"/>
        <w:ind w:firstLine="0"/>
        <w:rPr>
          <w:lang w:val="en-US"/>
        </w:rPr>
      </w:pPr>
      <w:r w:rsidRPr="00282E3D">
        <w:rPr>
          <w:lang w:val="en-US"/>
        </w:rPr>
        <w:t xml:space="preserve">Regarding exclusion criteria, the </w:t>
      </w:r>
      <w:r w:rsidR="00C66509" w:rsidRPr="00282E3D">
        <w:rPr>
          <w:lang w:val="en-US"/>
        </w:rPr>
        <w:t>rationale</w:t>
      </w:r>
      <w:r w:rsidRPr="00282E3D">
        <w:rPr>
          <w:lang w:val="en-US"/>
        </w:rPr>
        <w:t xml:space="preserve"> for </w:t>
      </w:r>
      <w:r w:rsidR="004709B3" w:rsidRPr="00282E3D">
        <w:rPr>
          <w:lang w:val="en-US"/>
        </w:rPr>
        <w:t>many</w:t>
      </w:r>
      <w:r w:rsidRPr="00282E3D">
        <w:rPr>
          <w:lang w:val="en-US"/>
        </w:rPr>
        <w:t xml:space="preserve"> of them is to try to avoid condition</w:t>
      </w:r>
      <w:r w:rsidR="004709B3" w:rsidRPr="00282E3D">
        <w:rPr>
          <w:lang w:val="en-US"/>
        </w:rPr>
        <w:t>s</w:t>
      </w:r>
      <w:r w:rsidRPr="00282E3D">
        <w:rPr>
          <w:lang w:val="en-US"/>
        </w:rPr>
        <w:t xml:space="preserve"> in which AKI is no </w:t>
      </w:r>
      <w:r w:rsidR="00F30789" w:rsidRPr="00282E3D">
        <w:rPr>
          <w:lang w:val="en-US"/>
        </w:rPr>
        <w:t>longer</w:t>
      </w:r>
      <w:r w:rsidRPr="00282E3D">
        <w:rPr>
          <w:lang w:val="en-US"/>
        </w:rPr>
        <w:t xml:space="preserve"> a modifiable condition and our interventions will not have any margin to show a potential benefit. This matter regards </w:t>
      </w:r>
      <w:r w:rsidR="00D006EB" w:rsidRPr="00282E3D">
        <w:rPr>
          <w:lang w:val="en-US"/>
        </w:rPr>
        <w:t>the</w:t>
      </w:r>
      <w:r w:rsidRPr="00282E3D">
        <w:rPr>
          <w:lang w:val="en-US"/>
        </w:rPr>
        <w:t xml:space="preserve"> choice to exclude patients </w:t>
      </w:r>
      <w:r w:rsidR="005F7A2D" w:rsidRPr="00282E3D">
        <w:rPr>
          <w:lang w:val="en-US"/>
        </w:rPr>
        <w:t>who</w:t>
      </w:r>
      <w:r w:rsidRPr="00282E3D">
        <w:rPr>
          <w:lang w:val="en-US"/>
        </w:rPr>
        <w:t xml:space="preserve"> already </w:t>
      </w:r>
      <w:r w:rsidR="005F7A2D" w:rsidRPr="00282E3D">
        <w:rPr>
          <w:lang w:val="en-US"/>
        </w:rPr>
        <w:t xml:space="preserve">have </w:t>
      </w:r>
      <w:r w:rsidRPr="00282E3D">
        <w:rPr>
          <w:lang w:val="en-US"/>
        </w:rPr>
        <w:t xml:space="preserve">AKI stage 2-3 at the moment of screening, AKI stage 2-3 episode within the last 2 </w:t>
      </w:r>
      <w:r w:rsidR="00650925" w:rsidRPr="00282E3D">
        <w:rPr>
          <w:lang w:val="en-US"/>
        </w:rPr>
        <w:t>weeks or</w:t>
      </w:r>
      <w:r w:rsidRPr="00282E3D">
        <w:rPr>
          <w:lang w:val="en-US"/>
        </w:rPr>
        <w:t xml:space="preserve"> </w:t>
      </w:r>
      <w:r w:rsidR="005F7A2D" w:rsidRPr="00282E3D">
        <w:rPr>
          <w:lang w:val="en-US"/>
        </w:rPr>
        <w:t>who</w:t>
      </w:r>
      <w:r w:rsidR="00650925" w:rsidRPr="00282E3D">
        <w:rPr>
          <w:lang w:val="en-US"/>
        </w:rPr>
        <w:t xml:space="preserve"> are already </w:t>
      </w:r>
      <w:r w:rsidRPr="00282E3D">
        <w:rPr>
          <w:lang w:val="en-US"/>
        </w:rPr>
        <w:t xml:space="preserve">receiving </w:t>
      </w:r>
      <w:r w:rsidR="00650925" w:rsidRPr="00282E3D">
        <w:rPr>
          <w:lang w:val="en-US"/>
        </w:rPr>
        <w:t xml:space="preserve">(acute or chronic) </w:t>
      </w:r>
      <w:r w:rsidRPr="00282E3D">
        <w:rPr>
          <w:lang w:val="en-US"/>
        </w:rPr>
        <w:t xml:space="preserve">dialysis. </w:t>
      </w:r>
      <w:r w:rsidR="00650925" w:rsidRPr="00282E3D">
        <w:rPr>
          <w:lang w:val="en-US"/>
        </w:rPr>
        <w:t>Ano</w:t>
      </w:r>
      <w:r w:rsidRPr="00282E3D">
        <w:rPr>
          <w:lang w:val="en-US"/>
        </w:rPr>
        <w:t>ther exclusion criteri</w:t>
      </w:r>
      <w:r w:rsidR="00650925" w:rsidRPr="00282E3D">
        <w:rPr>
          <w:lang w:val="en-US"/>
        </w:rPr>
        <w:t>on</w:t>
      </w:r>
      <w:r w:rsidRPr="00282E3D">
        <w:rPr>
          <w:lang w:val="en-US"/>
        </w:rPr>
        <w:t xml:space="preserve"> that shared a similar rationale </w:t>
      </w:r>
      <w:r w:rsidR="00650925" w:rsidRPr="00282E3D">
        <w:rPr>
          <w:lang w:val="en-US"/>
        </w:rPr>
        <w:t>is</w:t>
      </w:r>
      <w:r w:rsidRPr="00282E3D">
        <w:rPr>
          <w:lang w:val="en-US"/>
        </w:rPr>
        <w:t xml:space="preserve"> the presence of eGFR &lt; 45 mL/min/1.73 m</w:t>
      </w:r>
      <w:r w:rsidRPr="00282E3D">
        <w:rPr>
          <w:vertAlign w:val="superscript"/>
          <w:lang w:val="en-US"/>
        </w:rPr>
        <w:t>2</w:t>
      </w:r>
      <w:r w:rsidR="000A2FC4" w:rsidRPr="00282E3D">
        <w:rPr>
          <w:lang w:val="en-US"/>
        </w:rPr>
        <w:t xml:space="preserve">, picturing a possible condition of pre-existing moderate-severe chronic kidney disease in which </w:t>
      </w:r>
      <w:r w:rsidR="004709B3" w:rsidRPr="00282E3D">
        <w:rPr>
          <w:lang w:val="en-US"/>
        </w:rPr>
        <w:t>superimposed</w:t>
      </w:r>
      <w:r w:rsidR="000A2FC4" w:rsidRPr="00282E3D">
        <w:rPr>
          <w:lang w:val="en-US"/>
        </w:rPr>
        <w:t xml:space="preserve"> AKI is usually less modifiable.</w:t>
      </w:r>
      <w:r w:rsidR="00B316D4" w:rsidRPr="00282E3D">
        <w:rPr>
          <w:lang w:val="en-US"/>
        </w:rPr>
        <w:t xml:space="preserve"> </w:t>
      </w:r>
    </w:p>
    <w:bookmarkEnd w:id="50"/>
    <w:p w14:paraId="599705CF" w14:textId="46126B26" w:rsidR="00401557" w:rsidRPr="00282E3D" w:rsidRDefault="00401557" w:rsidP="00401557">
      <w:pPr>
        <w:pStyle w:val="Papardraft"/>
        <w:spacing w:line="276" w:lineRule="auto"/>
        <w:ind w:firstLine="0"/>
        <w:rPr>
          <w:lang w:val="en-US"/>
        </w:rPr>
      </w:pPr>
      <w:r w:rsidRPr="00282E3D">
        <w:rPr>
          <w:lang w:val="en-US"/>
        </w:rPr>
        <w:t>The reason to exclude patients with previous renal transplant or other organ transplant receiving calcineurin inhibitors is related to avoid</w:t>
      </w:r>
      <w:r w:rsidR="00BE007A" w:rsidRPr="00282E3D">
        <w:rPr>
          <w:lang w:val="en-US"/>
        </w:rPr>
        <w:t>ing</w:t>
      </w:r>
      <w:r w:rsidRPr="00282E3D">
        <w:rPr>
          <w:lang w:val="en-US"/>
        </w:rPr>
        <w:t xml:space="preserve"> possible confounders related to the</w:t>
      </w:r>
      <w:r w:rsidR="00D006EB" w:rsidRPr="00282E3D">
        <w:rPr>
          <w:lang w:val="en-US"/>
        </w:rPr>
        <w:t>ir</w:t>
      </w:r>
      <w:r w:rsidRPr="00282E3D">
        <w:rPr>
          <w:lang w:val="en-US"/>
        </w:rPr>
        <w:t xml:space="preserve"> need to take </w:t>
      </w:r>
      <w:r w:rsidR="00D006EB" w:rsidRPr="00282E3D">
        <w:rPr>
          <w:lang w:val="en-US"/>
        </w:rPr>
        <w:t>immunosuppressive and</w:t>
      </w:r>
      <w:r w:rsidRPr="00282E3D">
        <w:rPr>
          <w:lang w:val="en-US"/>
        </w:rPr>
        <w:t xml:space="preserve"> nephrotoxic drugs</w:t>
      </w:r>
      <w:r w:rsidR="00D006EB" w:rsidRPr="00282E3D">
        <w:rPr>
          <w:lang w:val="en-US"/>
        </w:rPr>
        <w:t xml:space="preserve"> that may affect the </w:t>
      </w:r>
      <w:r w:rsidR="007109B6" w:rsidRPr="00282E3D">
        <w:rPr>
          <w:lang w:val="en-US"/>
        </w:rPr>
        <w:t>endpoints.</w:t>
      </w:r>
    </w:p>
    <w:p w14:paraId="11C6C0C0" w14:textId="59FBA860" w:rsidR="00401557" w:rsidRPr="00282E3D" w:rsidRDefault="00D246F7" w:rsidP="00401557">
      <w:pPr>
        <w:pStyle w:val="Papardraft"/>
        <w:spacing w:line="276" w:lineRule="auto"/>
        <w:ind w:firstLine="0"/>
        <w:rPr>
          <w:lang w:val="en-US"/>
        </w:rPr>
      </w:pPr>
      <w:r w:rsidRPr="00282E3D">
        <w:rPr>
          <w:lang w:val="en-US"/>
        </w:rPr>
        <w:t>W</w:t>
      </w:r>
      <w:r w:rsidR="00401557" w:rsidRPr="00282E3D">
        <w:rPr>
          <w:lang w:val="en-US"/>
        </w:rPr>
        <w:t>e excluded patients with documented allergy to potentially vancomycin, aminoglycoside, penicillin, or cephalosporins, because these patients could have a biased selection of their antibiotics, regardless of whether assigned to intervention or control group.</w:t>
      </w:r>
    </w:p>
    <w:p w14:paraId="10DD4478" w14:textId="71D17C34" w:rsidR="00401557" w:rsidRPr="00282E3D" w:rsidRDefault="00401557" w:rsidP="00401557">
      <w:pPr>
        <w:pStyle w:val="Papardraft"/>
        <w:spacing w:line="276" w:lineRule="auto"/>
        <w:ind w:firstLine="0"/>
        <w:rPr>
          <w:lang w:val="en-US"/>
        </w:rPr>
      </w:pPr>
      <w:r w:rsidRPr="00282E3D">
        <w:rPr>
          <w:lang w:val="en-US"/>
        </w:rPr>
        <w:t>Total bilirubin value &gt; 4 mg/dL in sepsis is usually associate</w:t>
      </w:r>
      <w:r w:rsidR="00A32ED2" w:rsidRPr="00282E3D">
        <w:rPr>
          <w:lang w:val="en-US"/>
        </w:rPr>
        <w:t>d</w:t>
      </w:r>
      <w:r w:rsidRPr="00282E3D">
        <w:rPr>
          <w:lang w:val="en-US"/>
        </w:rPr>
        <w:t xml:space="preserve"> with severe liver dysfunction, hemolysis, or even disseminate intravascular coagulation. All these conditions may be present in the context of multiple organ failure, picturing a much </w:t>
      </w:r>
      <w:r w:rsidR="00E24771" w:rsidRPr="00282E3D">
        <w:rPr>
          <w:lang w:val="en-US"/>
        </w:rPr>
        <w:t xml:space="preserve">too </w:t>
      </w:r>
      <w:r w:rsidRPr="00282E3D">
        <w:rPr>
          <w:lang w:val="en-US"/>
        </w:rPr>
        <w:t>severe condition in which the risk of</w:t>
      </w:r>
      <w:r w:rsidR="007109B6" w:rsidRPr="00282E3D">
        <w:rPr>
          <w:lang w:val="en-US"/>
        </w:rPr>
        <w:t xml:space="preserve"> death or</w:t>
      </w:r>
      <w:r w:rsidRPr="00282E3D">
        <w:rPr>
          <w:lang w:val="en-US"/>
        </w:rPr>
        <w:t xml:space="preserve"> AKI is </w:t>
      </w:r>
      <w:r w:rsidR="007109B6" w:rsidRPr="00282E3D">
        <w:rPr>
          <w:lang w:val="en-US"/>
        </w:rPr>
        <w:t>less</w:t>
      </w:r>
      <w:r w:rsidRPr="00282E3D">
        <w:rPr>
          <w:lang w:val="en-US"/>
        </w:rPr>
        <w:t xml:space="preserve"> modifiable. Moreover, it has been reported that total bilirubin values above 7.2 mg/dL interfere with [TIMP-2]•[IGFBP7] test and reduce its levels by 10-20% </w:t>
      </w:r>
      <w:r w:rsidR="007109B6" w:rsidRPr="00282E3D">
        <w:rPr>
          <w:lang w:val="en-US"/>
        </w:rPr>
        <w:t>(</w:t>
      </w:r>
      <w:r w:rsidR="00767C64" w:rsidRPr="00282E3D">
        <w:rPr>
          <w:lang w:val="en-US"/>
        </w:rPr>
        <w:t xml:space="preserve">Uettwiller-Geiger DL, Vijayendran R, Kellum JA, Fitzgerald RL. Analytical characteristics of a biomarker-based risk assessment test for acute kidney injury (AKI). </w:t>
      </w:r>
      <w:r w:rsidR="00767C64" w:rsidRPr="00282E3D">
        <w:rPr>
          <w:i/>
          <w:iCs/>
          <w:lang w:val="en-US"/>
        </w:rPr>
        <w:t>Clin Chim Acta</w:t>
      </w:r>
      <w:r w:rsidR="00767C64" w:rsidRPr="00282E3D">
        <w:rPr>
          <w:lang w:val="en-US"/>
        </w:rPr>
        <w:t xml:space="preserve">. 2016 Apr 1;455:93-8). </w:t>
      </w:r>
      <w:r w:rsidR="009237E3" w:rsidRPr="00282E3D">
        <w:rPr>
          <w:lang w:val="en-US"/>
        </w:rPr>
        <w:t>To</w:t>
      </w:r>
      <w:r w:rsidRPr="00282E3D">
        <w:rPr>
          <w:lang w:val="en-US"/>
        </w:rPr>
        <w:t xml:space="preserve"> avoid any possible confounder with stated this exclusion criteria at a stricter level.</w:t>
      </w:r>
    </w:p>
    <w:p w14:paraId="62EE17B4" w14:textId="4E908D2B" w:rsidR="00401557" w:rsidRPr="00282E3D" w:rsidRDefault="00E845E6" w:rsidP="00401557">
      <w:pPr>
        <w:pStyle w:val="Papardraft"/>
        <w:spacing w:line="276" w:lineRule="auto"/>
        <w:ind w:firstLine="0"/>
        <w:rPr>
          <w:lang w:val="en-US"/>
        </w:rPr>
      </w:pPr>
      <w:r w:rsidRPr="00282E3D">
        <w:rPr>
          <w:lang w:val="en-US"/>
        </w:rPr>
        <w:t>We decided to exclude patients with coronavirus disease 2019 (CO</w:t>
      </w:r>
      <w:r w:rsidR="009237E3" w:rsidRPr="00282E3D">
        <w:rPr>
          <w:lang w:val="en-US"/>
        </w:rPr>
        <w:t>VID</w:t>
      </w:r>
      <w:r w:rsidRPr="00282E3D">
        <w:rPr>
          <w:lang w:val="en-US"/>
        </w:rPr>
        <w:t>-19) as the primary reason for hospital admission since the preliminary data regarding AKI in these patients suggest some particular</w:t>
      </w:r>
      <w:r w:rsidR="00E159A6" w:rsidRPr="00282E3D">
        <w:rPr>
          <w:lang w:val="en-US"/>
        </w:rPr>
        <w:t>,</w:t>
      </w:r>
      <w:r w:rsidRPr="00282E3D">
        <w:rPr>
          <w:lang w:val="en-US"/>
        </w:rPr>
        <w:t xml:space="preserve"> and still not completely underst</w:t>
      </w:r>
      <w:r w:rsidR="00E45101" w:rsidRPr="00282E3D">
        <w:rPr>
          <w:lang w:val="en-US"/>
        </w:rPr>
        <w:t>oo</w:t>
      </w:r>
      <w:r w:rsidRPr="00282E3D">
        <w:rPr>
          <w:lang w:val="en-US"/>
        </w:rPr>
        <w:t>d</w:t>
      </w:r>
      <w:r w:rsidR="00E159A6" w:rsidRPr="00282E3D">
        <w:rPr>
          <w:lang w:val="en-US"/>
        </w:rPr>
        <w:t>,</w:t>
      </w:r>
      <w:r w:rsidRPr="00282E3D">
        <w:rPr>
          <w:lang w:val="en-US"/>
        </w:rPr>
        <w:t xml:space="preserve"> feature and we do not want to add potential additional confounders </w:t>
      </w:r>
      <w:r w:rsidR="005E7E0A" w:rsidRPr="00282E3D">
        <w:rPr>
          <w:lang w:val="en-US"/>
        </w:rPr>
        <w:t>in</w:t>
      </w:r>
      <w:r w:rsidRPr="00282E3D">
        <w:rPr>
          <w:lang w:val="en-US"/>
        </w:rPr>
        <w:t xml:space="preserve"> the response to the intervention</w:t>
      </w:r>
      <w:r w:rsidR="005E7E0A" w:rsidRPr="00282E3D">
        <w:rPr>
          <w:lang w:val="en-US"/>
        </w:rPr>
        <w:t>s</w:t>
      </w:r>
      <w:r w:rsidRPr="00282E3D">
        <w:rPr>
          <w:lang w:val="en-US"/>
        </w:rPr>
        <w:t xml:space="preserve">. </w:t>
      </w:r>
      <w:r w:rsidR="005E7E0A" w:rsidRPr="00282E3D">
        <w:rPr>
          <w:lang w:val="en-US"/>
        </w:rPr>
        <w:t>P</w:t>
      </w:r>
      <w:r w:rsidRPr="00282E3D">
        <w:rPr>
          <w:lang w:val="en-US"/>
        </w:rPr>
        <w:t xml:space="preserve">atients admitted to the hospital for any other reason and diagnosed with sepsis, </w:t>
      </w:r>
      <w:r w:rsidR="005E7E0A" w:rsidRPr="00282E3D">
        <w:rPr>
          <w:lang w:val="en-US"/>
        </w:rPr>
        <w:t xml:space="preserve">once enrolled in </w:t>
      </w:r>
      <w:r w:rsidRPr="00282E3D">
        <w:rPr>
          <w:lang w:val="en-US"/>
        </w:rPr>
        <w:t>LAPIS trial</w:t>
      </w:r>
      <w:r w:rsidR="005E7E0A" w:rsidRPr="00282E3D">
        <w:rPr>
          <w:lang w:val="en-US"/>
        </w:rPr>
        <w:t xml:space="preserve">, will not be excluded </w:t>
      </w:r>
      <w:r w:rsidRPr="00282E3D">
        <w:rPr>
          <w:lang w:val="en-US"/>
        </w:rPr>
        <w:t>if subsequent testing for COVID-1</w:t>
      </w:r>
      <w:r w:rsidR="00E159A6" w:rsidRPr="00282E3D">
        <w:rPr>
          <w:lang w:val="en-US"/>
        </w:rPr>
        <w:t>9</w:t>
      </w:r>
      <w:r w:rsidRPr="00282E3D">
        <w:rPr>
          <w:lang w:val="en-US"/>
        </w:rPr>
        <w:t xml:space="preserve"> will result positive.</w:t>
      </w:r>
    </w:p>
    <w:bookmarkEnd w:id="48"/>
    <w:p w14:paraId="48FD20AE" w14:textId="77777777" w:rsidR="00E845E6" w:rsidRPr="00282E3D" w:rsidRDefault="00E845E6" w:rsidP="00401557">
      <w:pPr>
        <w:pStyle w:val="Papardraft"/>
        <w:spacing w:line="276" w:lineRule="auto"/>
        <w:ind w:firstLine="0"/>
        <w:rPr>
          <w:lang w:val="en-US"/>
        </w:rPr>
      </w:pPr>
    </w:p>
    <w:p w14:paraId="0CA699D0" w14:textId="7B0AF57F" w:rsidR="00DF36CB" w:rsidRPr="00282E3D" w:rsidRDefault="00DF36CB" w:rsidP="002D75CF">
      <w:pPr>
        <w:pStyle w:val="Papardraft"/>
        <w:spacing w:line="276" w:lineRule="auto"/>
        <w:ind w:firstLine="0"/>
        <w:outlineLvl w:val="1"/>
        <w:rPr>
          <w:b/>
          <w:bCs/>
          <w:lang w:val="en-US"/>
        </w:rPr>
      </w:pPr>
      <w:bookmarkStart w:id="51" w:name="_Toc59032049"/>
      <w:bookmarkStart w:id="52" w:name="_Toc59643478"/>
      <w:r w:rsidRPr="00282E3D">
        <w:rPr>
          <w:b/>
          <w:bCs/>
          <w:lang w:val="en-US"/>
        </w:rPr>
        <w:t>Study</w:t>
      </w:r>
      <w:r w:rsidR="008026A9" w:rsidRPr="00282E3D">
        <w:rPr>
          <w:b/>
          <w:bCs/>
          <w:lang w:val="en-US"/>
        </w:rPr>
        <w:t xml:space="preserve"> Treatments</w:t>
      </w:r>
      <w:bookmarkEnd w:id="51"/>
      <w:bookmarkEnd w:id="52"/>
    </w:p>
    <w:p w14:paraId="6AA6504B" w14:textId="48BE2A35" w:rsidR="008026A9" w:rsidRPr="00282E3D" w:rsidRDefault="008026A9" w:rsidP="002D75CF">
      <w:pPr>
        <w:pStyle w:val="Papardraft"/>
        <w:spacing w:line="276" w:lineRule="auto"/>
        <w:ind w:firstLine="0"/>
        <w:rPr>
          <w:i/>
          <w:iCs/>
          <w:lang w:val="en-US"/>
        </w:rPr>
      </w:pPr>
      <w:r w:rsidRPr="00282E3D">
        <w:rPr>
          <w:i/>
          <w:iCs/>
          <w:lang w:val="en-US"/>
        </w:rPr>
        <w:t>Randomization</w:t>
      </w:r>
      <w:r w:rsidR="009A0890" w:rsidRPr="00282E3D">
        <w:rPr>
          <w:i/>
          <w:iCs/>
          <w:lang w:val="en-US"/>
        </w:rPr>
        <w:t xml:space="preserve"> and assignment to treatment groups</w:t>
      </w:r>
    </w:p>
    <w:p w14:paraId="4167FEE6" w14:textId="51F3667E" w:rsidR="008026A9" w:rsidRPr="00282E3D" w:rsidRDefault="008026A9" w:rsidP="002D75CF">
      <w:pPr>
        <w:pStyle w:val="Papardraft"/>
        <w:spacing w:line="276" w:lineRule="auto"/>
        <w:ind w:firstLine="0"/>
        <w:rPr>
          <w:lang w:val="en-US"/>
        </w:rPr>
      </w:pPr>
      <w:r w:rsidRPr="00282E3D">
        <w:rPr>
          <w:lang w:val="en-US"/>
        </w:rPr>
        <w:t>Subjects will be enrolled and randomly assigned during the screening period to either the control arm or intervention arm using a 1:1 allocation ratio. An interactive web response system will be used to administer the randomization schedule.</w:t>
      </w:r>
    </w:p>
    <w:p w14:paraId="5FEBC512" w14:textId="77777777" w:rsidR="009A0890" w:rsidRPr="00282E3D" w:rsidRDefault="009A0890" w:rsidP="002D75CF">
      <w:pPr>
        <w:pStyle w:val="Papardraft"/>
        <w:spacing w:line="276" w:lineRule="auto"/>
        <w:ind w:firstLine="0"/>
        <w:rPr>
          <w:lang w:val="en-US"/>
        </w:rPr>
      </w:pPr>
    </w:p>
    <w:p w14:paraId="4DAA9DE9" w14:textId="18952E50" w:rsidR="008026A9" w:rsidRPr="00282E3D" w:rsidRDefault="008026A9" w:rsidP="002D75CF">
      <w:pPr>
        <w:pStyle w:val="Papardraft"/>
        <w:spacing w:line="276" w:lineRule="auto"/>
        <w:ind w:firstLine="0"/>
        <w:rPr>
          <w:i/>
          <w:iCs/>
          <w:lang w:val="en-US"/>
        </w:rPr>
      </w:pPr>
      <w:r w:rsidRPr="00282E3D">
        <w:rPr>
          <w:i/>
          <w:iCs/>
          <w:lang w:val="en-US"/>
        </w:rPr>
        <w:t>Treatments Administered</w:t>
      </w:r>
    </w:p>
    <w:p w14:paraId="2578E41D" w14:textId="6AE4BF0B" w:rsidR="008026A9" w:rsidRPr="00282E3D" w:rsidRDefault="008026A9" w:rsidP="00A4315B">
      <w:pPr>
        <w:pStyle w:val="Papardraft"/>
        <w:spacing w:line="276" w:lineRule="auto"/>
        <w:ind w:firstLine="0"/>
        <w:rPr>
          <w:lang w:val="en-US"/>
        </w:rPr>
      </w:pPr>
      <w:r w:rsidRPr="00282E3D">
        <w:rPr>
          <w:lang w:val="en-US"/>
        </w:rPr>
        <w:t xml:space="preserve">The study does not include any investigational treatment or device to be administered. The study will compare SOC subject management with management guided by the use of the </w:t>
      </w:r>
      <w:r w:rsidR="007D028B" w:rsidRPr="00282E3D">
        <w:rPr>
          <w:lang w:val="en-US"/>
        </w:rPr>
        <w:t>NEPHROCHECK®</w:t>
      </w:r>
      <w:r w:rsidRPr="00282E3D">
        <w:rPr>
          <w:lang w:val="en-US"/>
        </w:rPr>
        <w:t xml:space="preserve"> </w:t>
      </w:r>
      <w:r w:rsidR="003A303F" w:rsidRPr="00282E3D">
        <w:rPr>
          <w:lang w:val="en-US"/>
        </w:rPr>
        <w:t>T</w:t>
      </w:r>
      <w:r w:rsidRPr="00282E3D">
        <w:rPr>
          <w:lang w:val="en-US"/>
        </w:rPr>
        <w:t>est</w:t>
      </w:r>
      <w:r w:rsidR="003A303F" w:rsidRPr="00282E3D">
        <w:rPr>
          <w:lang w:val="en-US"/>
        </w:rPr>
        <w:t xml:space="preserve"> (Astute Medical, San Diego, CA).</w:t>
      </w:r>
      <w:r w:rsidR="00DC189F" w:rsidRPr="00282E3D">
        <w:rPr>
          <w:lang w:val="en-US"/>
        </w:rPr>
        <w:t xml:space="preserve"> </w:t>
      </w:r>
      <w:r w:rsidR="009B58AA" w:rsidRPr="00282E3D">
        <w:rPr>
          <w:lang w:val="en-US"/>
        </w:rPr>
        <w:t xml:space="preserve">From now on NEPHROCHECK® Test will be referred </w:t>
      </w:r>
      <w:r w:rsidR="00F60192" w:rsidRPr="00282E3D">
        <w:rPr>
          <w:lang w:val="en-US"/>
        </w:rPr>
        <w:t xml:space="preserve">only </w:t>
      </w:r>
      <w:r w:rsidR="009B58AA" w:rsidRPr="00282E3D">
        <w:rPr>
          <w:lang w:val="en-US"/>
        </w:rPr>
        <w:t>as the risk score [TIMP-2]•[IGFBP7].</w:t>
      </w:r>
    </w:p>
    <w:p w14:paraId="6FE75B7E" w14:textId="77777777" w:rsidR="009A0890" w:rsidRPr="00282E3D" w:rsidRDefault="009A0890" w:rsidP="002D75CF">
      <w:pPr>
        <w:pStyle w:val="Papardraft"/>
        <w:spacing w:line="276" w:lineRule="auto"/>
        <w:rPr>
          <w:lang w:val="en-US"/>
        </w:rPr>
      </w:pPr>
    </w:p>
    <w:p w14:paraId="31DF065F" w14:textId="00F12EE7" w:rsidR="008026A9" w:rsidRPr="00282E3D" w:rsidRDefault="008026A9" w:rsidP="002D75CF">
      <w:pPr>
        <w:pStyle w:val="Papardraft"/>
        <w:spacing w:line="276" w:lineRule="auto"/>
        <w:ind w:firstLine="0"/>
        <w:rPr>
          <w:i/>
          <w:iCs/>
          <w:lang w:val="en-US"/>
        </w:rPr>
      </w:pPr>
      <w:r w:rsidRPr="00282E3D">
        <w:rPr>
          <w:i/>
          <w:iCs/>
          <w:lang w:val="en-US"/>
        </w:rPr>
        <w:t>Blinding</w:t>
      </w:r>
    </w:p>
    <w:p w14:paraId="07BFCA42" w14:textId="18315D26" w:rsidR="009A0890" w:rsidRPr="00282E3D" w:rsidRDefault="008026A9" w:rsidP="002D75CF">
      <w:pPr>
        <w:pStyle w:val="Papardraft"/>
        <w:spacing w:line="276" w:lineRule="auto"/>
        <w:ind w:firstLine="0"/>
        <w:rPr>
          <w:lang w:val="en-US"/>
        </w:rPr>
      </w:pPr>
      <w:r w:rsidRPr="00282E3D">
        <w:rPr>
          <w:lang w:val="en-US"/>
        </w:rPr>
        <w:t>A study of this nature cannot be blinded from healthcare providers who will need to enact protocol-required clinical interventions. Data grouped by treatment arm allocation will not be provided to any party, except the unblinded statisticians and the</w:t>
      </w:r>
      <w:r w:rsidR="009A0890" w:rsidRPr="00282E3D">
        <w:rPr>
          <w:lang w:val="en-US"/>
        </w:rPr>
        <w:t xml:space="preserve"> data and safety monitoring board (</w:t>
      </w:r>
      <w:r w:rsidRPr="00282E3D">
        <w:rPr>
          <w:lang w:val="en-US"/>
        </w:rPr>
        <w:t>DSMB</w:t>
      </w:r>
      <w:r w:rsidR="009A0890" w:rsidRPr="00282E3D">
        <w:rPr>
          <w:lang w:val="en-US"/>
        </w:rPr>
        <w:t>)</w:t>
      </w:r>
      <w:r w:rsidRPr="00282E3D">
        <w:rPr>
          <w:lang w:val="en-US"/>
        </w:rPr>
        <w:t>. The DSMB will receive data from the unblinded statistician in aggregate and presented by treatment arm.</w:t>
      </w:r>
    </w:p>
    <w:p w14:paraId="31A27B3C" w14:textId="77777777" w:rsidR="009A0890" w:rsidRPr="00282E3D" w:rsidRDefault="009A0890" w:rsidP="002D75CF">
      <w:pPr>
        <w:pStyle w:val="Papardraft"/>
        <w:spacing w:line="276" w:lineRule="auto"/>
        <w:ind w:firstLine="0"/>
        <w:jc w:val="both"/>
        <w:rPr>
          <w:lang w:val="en-US"/>
        </w:rPr>
      </w:pPr>
    </w:p>
    <w:p w14:paraId="3F7A9F01" w14:textId="205673F9" w:rsidR="008026A9" w:rsidRPr="00282E3D" w:rsidRDefault="00527088" w:rsidP="002D75CF">
      <w:pPr>
        <w:pStyle w:val="Papardraft"/>
        <w:spacing w:line="276" w:lineRule="auto"/>
        <w:ind w:firstLine="0"/>
        <w:jc w:val="both"/>
        <w:rPr>
          <w:i/>
          <w:iCs/>
          <w:lang w:val="en-US"/>
        </w:rPr>
      </w:pPr>
      <w:r w:rsidRPr="00282E3D">
        <w:rPr>
          <w:i/>
          <w:iCs/>
          <w:lang w:val="en-US"/>
        </w:rPr>
        <w:t>Treatment</w:t>
      </w:r>
      <w:r w:rsidR="008026A9" w:rsidRPr="00282E3D">
        <w:rPr>
          <w:i/>
          <w:iCs/>
          <w:lang w:val="en-US"/>
        </w:rPr>
        <w:t xml:space="preserve"> Adherence</w:t>
      </w:r>
    </w:p>
    <w:p w14:paraId="7C94A45D" w14:textId="4C9F441E" w:rsidR="008026A9" w:rsidRPr="00282E3D" w:rsidRDefault="008026A9" w:rsidP="002D75CF">
      <w:pPr>
        <w:pStyle w:val="Papardraft"/>
        <w:spacing w:line="276" w:lineRule="auto"/>
        <w:ind w:firstLine="0"/>
        <w:rPr>
          <w:lang w:val="en-US"/>
        </w:rPr>
      </w:pPr>
      <w:bookmarkStart w:id="53" w:name="_Hlk58344679"/>
      <w:bookmarkStart w:id="54" w:name="_Hlk59194510"/>
      <w:r w:rsidRPr="00282E3D">
        <w:rPr>
          <w:lang w:val="en-US"/>
        </w:rPr>
        <w:t xml:space="preserve">Interventions suggested for SOC and kidney-sparing sepsis bundle (KSSB) algorithms will be recorded on the </w:t>
      </w:r>
      <w:r w:rsidR="0023399B" w:rsidRPr="00282E3D">
        <w:rPr>
          <w:lang w:val="en-US"/>
        </w:rPr>
        <w:t>electronic case report form (</w:t>
      </w:r>
      <w:r w:rsidRPr="00282E3D">
        <w:rPr>
          <w:lang w:val="en-US"/>
        </w:rPr>
        <w:t>eCRF</w:t>
      </w:r>
      <w:r w:rsidR="0023399B" w:rsidRPr="00282E3D">
        <w:rPr>
          <w:lang w:val="en-US"/>
        </w:rPr>
        <w:t>)</w:t>
      </w:r>
      <w:r w:rsidR="00EE03F3" w:rsidRPr="00282E3D">
        <w:rPr>
          <w:lang w:val="en-US"/>
        </w:rPr>
        <w:t xml:space="preserve"> both for patients in the intervention and control arm</w:t>
      </w:r>
      <w:bookmarkStart w:id="55" w:name="_Hlk58344822"/>
      <w:bookmarkEnd w:id="53"/>
      <w:r w:rsidR="00850A64" w:rsidRPr="00282E3D">
        <w:rPr>
          <w:lang w:val="en-US"/>
        </w:rPr>
        <w:t xml:space="preserve">. </w:t>
      </w:r>
      <w:r w:rsidR="00435079" w:rsidRPr="00282E3D">
        <w:rPr>
          <w:lang w:val="en-US"/>
        </w:rPr>
        <w:t xml:space="preserve">This will allow us to compare the frequency of use, the timing of use and the extent to which use in the control arm follows expectations in the treatment algorithm. </w:t>
      </w:r>
      <w:r w:rsidR="00EE03F3" w:rsidRPr="00282E3D">
        <w:rPr>
          <w:lang w:val="en-US"/>
        </w:rPr>
        <w:t xml:space="preserve">For only the intervention arm, </w:t>
      </w:r>
      <w:r w:rsidR="00435079" w:rsidRPr="00282E3D">
        <w:rPr>
          <w:lang w:val="en-US"/>
        </w:rPr>
        <w:t>t</w:t>
      </w:r>
      <w:r w:rsidRPr="00282E3D">
        <w:rPr>
          <w:lang w:val="en-US"/>
        </w:rPr>
        <w:t>he extent to which KSSB</w:t>
      </w:r>
      <w:r w:rsidR="009A0890" w:rsidRPr="00282E3D">
        <w:rPr>
          <w:lang w:val="en-US"/>
        </w:rPr>
        <w:t xml:space="preserve"> </w:t>
      </w:r>
      <w:r w:rsidRPr="00282E3D">
        <w:rPr>
          <w:lang w:val="en-US"/>
        </w:rPr>
        <w:t xml:space="preserve">interventions were followed according to the </w:t>
      </w:r>
      <w:r w:rsidR="00DC189F" w:rsidRPr="00282E3D">
        <w:rPr>
          <w:lang w:val="en-US"/>
        </w:rPr>
        <w:t>[TIMP-2]•[IGFBP7]</w:t>
      </w:r>
      <w:r w:rsidR="009B58AA" w:rsidRPr="00282E3D">
        <w:rPr>
          <w:lang w:val="en-US"/>
        </w:rPr>
        <w:t>-</w:t>
      </w:r>
      <w:r w:rsidRPr="00282E3D">
        <w:rPr>
          <w:lang w:val="en-US"/>
        </w:rPr>
        <w:t xml:space="preserve">guided treatment algorithm will be assessed with a protocol </w:t>
      </w:r>
      <w:r w:rsidR="00486AAC" w:rsidRPr="00282E3D">
        <w:rPr>
          <w:lang w:val="en-US"/>
        </w:rPr>
        <w:t>A</w:t>
      </w:r>
      <w:r w:rsidRPr="00282E3D">
        <w:rPr>
          <w:lang w:val="en-US"/>
        </w:rPr>
        <w:t xml:space="preserve">dherence </w:t>
      </w:r>
      <w:r w:rsidR="00486AAC" w:rsidRPr="00282E3D">
        <w:rPr>
          <w:lang w:val="en-US"/>
        </w:rPr>
        <w:t>S</w:t>
      </w:r>
      <w:r w:rsidRPr="00282E3D">
        <w:rPr>
          <w:lang w:val="en-US"/>
        </w:rPr>
        <w:t>core system</w:t>
      </w:r>
      <w:r w:rsidR="00486AAC" w:rsidRPr="00282E3D">
        <w:rPr>
          <w:lang w:val="en-US"/>
        </w:rPr>
        <w:t xml:space="preserve"> (see </w:t>
      </w:r>
      <w:r w:rsidR="00EC7FD2" w:rsidRPr="00282E3D">
        <w:rPr>
          <w:lang w:val="en-US"/>
        </w:rPr>
        <w:t>below</w:t>
      </w:r>
      <w:r w:rsidR="009F0C41" w:rsidRPr="00282E3D">
        <w:rPr>
          <w:lang w:val="en-US"/>
        </w:rPr>
        <w:t xml:space="preserve"> “</w:t>
      </w:r>
      <w:r w:rsidR="00EC7FD2" w:rsidRPr="00282E3D">
        <w:rPr>
          <w:lang w:val="en-US"/>
        </w:rPr>
        <w:t>Adherence Analysis and Score</w:t>
      </w:r>
      <w:r w:rsidR="009F0C41" w:rsidRPr="00282E3D">
        <w:rPr>
          <w:lang w:val="en-US"/>
        </w:rPr>
        <w:t>”</w:t>
      </w:r>
      <w:r w:rsidR="00EC7FD2" w:rsidRPr="00282E3D">
        <w:rPr>
          <w:lang w:val="en-US"/>
        </w:rPr>
        <w:t>)</w:t>
      </w:r>
      <w:r w:rsidRPr="00282E3D">
        <w:rPr>
          <w:lang w:val="en-US"/>
        </w:rPr>
        <w:t>.</w:t>
      </w:r>
      <w:bookmarkEnd w:id="55"/>
    </w:p>
    <w:bookmarkEnd w:id="54"/>
    <w:p w14:paraId="363F8B25" w14:textId="77777777" w:rsidR="008026A9" w:rsidRPr="00282E3D" w:rsidRDefault="008026A9" w:rsidP="002D75CF">
      <w:pPr>
        <w:pStyle w:val="Papardraft"/>
        <w:spacing w:line="276" w:lineRule="auto"/>
        <w:ind w:firstLine="0"/>
        <w:rPr>
          <w:lang w:val="en-US"/>
        </w:rPr>
      </w:pPr>
    </w:p>
    <w:p w14:paraId="6572A900" w14:textId="2CA5BC30" w:rsidR="001B63ED" w:rsidRPr="00282E3D" w:rsidRDefault="001B63ED" w:rsidP="002D75CF">
      <w:pPr>
        <w:pStyle w:val="Papardraft"/>
        <w:spacing w:line="276" w:lineRule="auto"/>
        <w:ind w:firstLine="0"/>
        <w:outlineLvl w:val="1"/>
        <w:rPr>
          <w:b/>
          <w:bCs/>
          <w:lang w:val="en-US"/>
        </w:rPr>
      </w:pPr>
      <w:bookmarkStart w:id="56" w:name="_Toc59032050"/>
      <w:bookmarkStart w:id="57" w:name="_Toc59643479"/>
      <w:r w:rsidRPr="00282E3D">
        <w:rPr>
          <w:b/>
          <w:bCs/>
          <w:lang w:val="en-US"/>
        </w:rPr>
        <w:t>Determination of Study Reference SCr</w:t>
      </w:r>
      <w:r w:rsidR="00F56535" w:rsidRPr="00282E3D">
        <w:rPr>
          <w:b/>
          <w:bCs/>
          <w:lang w:val="en-US"/>
        </w:rPr>
        <w:t xml:space="preserve"> and Staging of AKI</w:t>
      </w:r>
      <w:bookmarkEnd w:id="56"/>
      <w:bookmarkEnd w:id="57"/>
    </w:p>
    <w:p w14:paraId="12E57B07" w14:textId="7EC83680" w:rsidR="00683107" w:rsidRPr="00282E3D" w:rsidRDefault="00683107" w:rsidP="002D75CF">
      <w:pPr>
        <w:pStyle w:val="Papardraft"/>
        <w:spacing w:line="276" w:lineRule="auto"/>
        <w:ind w:firstLine="0"/>
        <w:rPr>
          <w:lang w:val="en-US"/>
        </w:rPr>
      </w:pPr>
      <w:r w:rsidRPr="00282E3D">
        <w:rPr>
          <w:lang w:val="en-US"/>
        </w:rPr>
        <w:t xml:space="preserve">At enrollment, diagnosis and stage of AKI will be based upon the </w:t>
      </w:r>
      <w:r w:rsidR="00415409" w:rsidRPr="00282E3D">
        <w:rPr>
          <w:lang w:val="en-US"/>
        </w:rPr>
        <w:t>Kidney disease: Improving global outcomes (KDIGO)</w:t>
      </w:r>
      <w:r w:rsidRPr="00282E3D">
        <w:rPr>
          <w:lang w:val="en-US"/>
        </w:rPr>
        <w:t xml:space="preserve"> guidelines using SCr values. A </w:t>
      </w:r>
      <w:r w:rsidRPr="00282E3D">
        <w:rPr>
          <w:i/>
          <w:iCs/>
          <w:lang w:val="en-US"/>
        </w:rPr>
        <w:t>Study Reference SCr</w:t>
      </w:r>
      <w:r w:rsidRPr="00282E3D">
        <w:rPr>
          <w:lang w:val="en-US"/>
        </w:rPr>
        <w:t xml:space="preserve"> will be established for AKI staging to determine subject eligibility as well as for endpoint determination.</w:t>
      </w:r>
    </w:p>
    <w:p w14:paraId="1277A444" w14:textId="77777777" w:rsidR="00683107" w:rsidRPr="00282E3D" w:rsidRDefault="00683107" w:rsidP="002D75CF">
      <w:pPr>
        <w:pStyle w:val="Papardraft"/>
        <w:spacing w:line="276" w:lineRule="auto"/>
        <w:ind w:firstLine="0"/>
        <w:rPr>
          <w:lang w:val="en-US"/>
        </w:rPr>
      </w:pPr>
    </w:p>
    <w:p w14:paraId="7F0986E1" w14:textId="77777777" w:rsidR="00362B3F" w:rsidRPr="00282E3D" w:rsidRDefault="00362B3F" w:rsidP="002D75CF">
      <w:pPr>
        <w:pStyle w:val="Papardraft"/>
        <w:spacing w:line="276" w:lineRule="auto"/>
        <w:ind w:firstLine="0"/>
        <w:rPr>
          <w:i/>
          <w:iCs/>
          <w:lang w:val="en-US"/>
        </w:rPr>
      </w:pPr>
      <w:r w:rsidRPr="00282E3D">
        <w:rPr>
          <w:i/>
          <w:iCs/>
          <w:lang w:val="en-US"/>
        </w:rPr>
        <w:t>Index admission</w:t>
      </w:r>
      <w:r w:rsidRPr="00282E3D">
        <w:rPr>
          <w:lang w:val="en-US"/>
        </w:rPr>
        <w:t xml:space="preserve"> is the current admission to the study center hospital (i.e. in case of subject transfer, does not include the admission to a hospital that the subject is transferring from).</w:t>
      </w:r>
      <w:r w:rsidRPr="00282E3D">
        <w:rPr>
          <w:i/>
          <w:iCs/>
          <w:lang w:val="en-US"/>
        </w:rPr>
        <w:t xml:space="preserve"> </w:t>
      </w:r>
    </w:p>
    <w:p w14:paraId="23269495" w14:textId="51E4FF33" w:rsidR="00362B3F" w:rsidRPr="00282E3D" w:rsidRDefault="00362B3F" w:rsidP="002D75CF">
      <w:pPr>
        <w:pStyle w:val="Papardraft"/>
        <w:spacing w:line="276" w:lineRule="auto"/>
        <w:ind w:firstLine="0"/>
        <w:rPr>
          <w:i/>
          <w:iCs/>
          <w:lang w:val="en-US"/>
        </w:rPr>
      </w:pPr>
      <w:r w:rsidRPr="00282E3D">
        <w:rPr>
          <w:i/>
          <w:iCs/>
          <w:lang w:val="en-US"/>
        </w:rPr>
        <w:t>Enrollment SCr</w:t>
      </w:r>
      <w:r w:rsidRPr="00282E3D">
        <w:rPr>
          <w:lang w:val="en-US"/>
        </w:rPr>
        <w:t xml:space="preserve"> is the SCr measurement closest to the time of enrollment.</w:t>
      </w:r>
      <w:r w:rsidRPr="00282E3D">
        <w:rPr>
          <w:i/>
          <w:iCs/>
          <w:lang w:val="en-US"/>
        </w:rPr>
        <w:t xml:space="preserve"> </w:t>
      </w:r>
    </w:p>
    <w:p w14:paraId="3987E252" w14:textId="178856BB" w:rsidR="00362B3F" w:rsidRPr="00282E3D" w:rsidRDefault="00362B3F" w:rsidP="002D75CF">
      <w:pPr>
        <w:pStyle w:val="Papardraft"/>
        <w:spacing w:line="276" w:lineRule="auto"/>
        <w:ind w:firstLine="0"/>
        <w:rPr>
          <w:lang w:val="en-US"/>
        </w:rPr>
      </w:pPr>
      <w:r w:rsidRPr="00282E3D">
        <w:rPr>
          <w:i/>
          <w:iCs/>
          <w:lang w:val="en-US"/>
        </w:rPr>
        <w:t>Admission SCr</w:t>
      </w:r>
      <w:r w:rsidRPr="00282E3D">
        <w:rPr>
          <w:lang w:val="en-US"/>
        </w:rPr>
        <w:t xml:space="preserve"> is the first SCr measurement during the index admission.</w:t>
      </w:r>
    </w:p>
    <w:p w14:paraId="6473F862" w14:textId="5014BA40" w:rsidR="00362B3F" w:rsidRPr="00282E3D" w:rsidRDefault="00F56535" w:rsidP="002D75CF">
      <w:pPr>
        <w:pStyle w:val="Papardraft"/>
        <w:spacing w:line="276" w:lineRule="auto"/>
        <w:ind w:firstLine="0"/>
        <w:rPr>
          <w:lang w:val="en-US"/>
        </w:rPr>
      </w:pPr>
      <w:r w:rsidRPr="00282E3D">
        <w:rPr>
          <w:lang w:val="en-US"/>
        </w:rPr>
        <w:t>If</w:t>
      </w:r>
      <w:r w:rsidR="00362B3F" w:rsidRPr="00282E3D">
        <w:rPr>
          <w:lang w:val="en-US"/>
        </w:rPr>
        <w:t xml:space="preserve"> there is only one SCr available during the index admission,</w:t>
      </w:r>
      <w:r w:rsidRPr="00282E3D">
        <w:rPr>
          <w:lang w:val="en-US"/>
        </w:rPr>
        <w:t xml:space="preserve"> then</w:t>
      </w:r>
      <w:r w:rsidR="00362B3F" w:rsidRPr="00282E3D">
        <w:rPr>
          <w:lang w:val="en-US"/>
        </w:rPr>
        <w:t xml:space="preserve"> the enrollment SCr and the admission SCr will be the same.</w:t>
      </w:r>
    </w:p>
    <w:p w14:paraId="7DD4E98E" w14:textId="12AD9722" w:rsidR="00362B3F" w:rsidRPr="00282E3D" w:rsidRDefault="00362B3F" w:rsidP="002D75CF">
      <w:pPr>
        <w:pStyle w:val="Papardraft"/>
        <w:spacing w:line="276" w:lineRule="auto"/>
        <w:ind w:firstLine="0"/>
        <w:rPr>
          <w:lang w:val="en-US"/>
        </w:rPr>
      </w:pPr>
      <w:r w:rsidRPr="00282E3D">
        <w:rPr>
          <w:i/>
          <w:iCs/>
          <w:lang w:val="en-US"/>
        </w:rPr>
        <w:lastRenderedPageBreak/>
        <w:t>Historical SCr</w:t>
      </w:r>
      <w:r w:rsidRPr="00282E3D">
        <w:rPr>
          <w:lang w:val="en-US"/>
        </w:rPr>
        <w:t xml:space="preserve"> is(are) SCr measurement(s) during the 365 days prior to enrollment, excluding the index admission. If there are more than 10 values of historical SCr only the 10 most recent will be considered.</w:t>
      </w:r>
    </w:p>
    <w:p w14:paraId="288BA8B4" w14:textId="77777777" w:rsidR="00362B3F" w:rsidRPr="00282E3D" w:rsidRDefault="00362B3F" w:rsidP="002D75CF">
      <w:pPr>
        <w:pStyle w:val="Papardraft"/>
        <w:spacing w:line="276" w:lineRule="auto"/>
        <w:ind w:firstLine="0"/>
        <w:rPr>
          <w:lang w:val="en-US"/>
        </w:rPr>
      </w:pPr>
    </w:p>
    <w:p w14:paraId="26B16498" w14:textId="77777777" w:rsidR="00362B3F" w:rsidRPr="00282E3D" w:rsidRDefault="00B74D9A" w:rsidP="002D75CF">
      <w:pPr>
        <w:pStyle w:val="Papardraft"/>
        <w:spacing w:line="276" w:lineRule="auto"/>
        <w:ind w:firstLine="0"/>
        <w:rPr>
          <w:lang w:val="en-US"/>
        </w:rPr>
      </w:pPr>
      <w:r w:rsidRPr="00282E3D">
        <w:rPr>
          <w:lang w:val="en-US"/>
        </w:rPr>
        <w:t xml:space="preserve">The </w:t>
      </w:r>
      <w:r w:rsidRPr="00282E3D">
        <w:rPr>
          <w:i/>
          <w:iCs/>
          <w:lang w:val="en-US"/>
        </w:rPr>
        <w:t>Study Reference SCr</w:t>
      </w:r>
      <w:r w:rsidRPr="00282E3D">
        <w:rPr>
          <w:lang w:val="en-US"/>
        </w:rPr>
        <w:t xml:space="preserve"> will be determined as follows:</w:t>
      </w:r>
    </w:p>
    <w:p w14:paraId="61A3BBE1" w14:textId="463A15D2" w:rsidR="00362B3F" w:rsidRPr="00282E3D" w:rsidRDefault="00362B3F" w:rsidP="002D75CF">
      <w:pPr>
        <w:pStyle w:val="Papardraft"/>
        <w:numPr>
          <w:ilvl w:val="0"/>
          <w:numId w:val="40"/>
        </w:numPr>
        <w:spacing w:line="276" w:lineRule="auto"/>
        <w:rPr>
          <w:lang w:val="en-US"/>
        </w:rPr>
      </w:pPr>
      <w:r w:rsidRPr="00282E3D">
        <w:rPr>
          <w:lang w:val="en-US"/>
        </w:rPr>
        <w:t xml:space="preserve">If available, take </w:t>
      </w:r>
      <w:r w:rsidR="00B74D9A" w:rsidRPr="00282E3D">
        <w:rPr>
          <w:lang w:val="en-US"/>
        </w:rPr>
        <w:t xml:space="preserve">the median of </w:t>
      </w:r>
      <w:r w:rsidR="00B74D9A" w:rsidRPr="00282E3D">
        <w:rPr>
          <w:i/>
          <w:iCs/>
          <w:lang w:val="en-US"/>
        </w:rPr>
        <w:t>historical SCr</w:t>
      </w:r>
      <w:r w:rsidR="00B74D9A" w:rsidRPr="00282E3D">
        <w:rPr>
          <w:lang w:val="en-US"/>
        </w:rPr>
        <w:t xml:space="preserve"> values </w:t>
      </w:r>
    </w:p>
    <w:p w14:paraId="270DBD16" w14:textId="77777777" w:rsidR="00F56535" w:rsidRPr="00282E3D" w:rsidRDefault="00362B3F" w:rsidP="002D75CF">
      <w:pPr>
        <w:pStyle w:val="Papardraft"/>
        <w:numPr>
          <w:ilvl w:val="0"/>
          <w:numId w:val="40"/>
        </w:numPr>
        <w:spacing w:line="276" w:lineRule="auto"/>
        <w:rPr>
          <w:lang w:val="en-US"/>
        </w:rPr>
      </w:pPr>
      <w:r w:rsidRPr="00282E3D">
        <w:rPr>
          <w:lang w:val="en-US"/>
        </w:rPr>
        <w:t xml:space="preserve">Compare the median of the </w:t>
      </w:r>
      <w:r w:rsidRPr="00282E3D">
        <w:rPr>
          <w:i/>
          <w:iCs/>
          <w:lang w:val="en-US"/>
        </w:rPr>
        <w:t>historical SCr</w:t>
      </w:r>
      <w:r w:rsidRPr="00282E3D">
        <w:rPr>
          <w:lang w:val="en-US"/>
        </w:rPr>
        <w:t xml:space="preserve"> values and the </w:t>
      </w:r>
      <w:r w:rsidRPr="00282E3D">
        <w:rPr>
          <w:i/>
          <w:iCs/>
          <w:lang w:val="en-US"/>
        </w:rPr>
        <w:t>admission SCr</w:t>
      </w:r>
      <w:r w:rsidR="00F56535" w:rsidRPr="00282E3D">
        <w:rPr>
          <w:lang w:val="en-US"/>
        </w:rPr>
        <w:t xml:space="preserve"> value</w:t>
      </w:r>
    </w:p>
    <w:p w14:paraId="001DFF38" w14:textId="77777777" w:rsidR="00F56535" w:rsidRPr="00282E3D" w:rsidRDefault="00F56535" w:rsidP="002D75CF">
      <w:pPr>
        <w:pStyle w:val="Papardraft"/>
        <w:numPr>
          <w:ilvl w:val="0"/>
          <w:numId w:val="40"/>
        </w:numPr>
        <w:spacing w:line="276" w:lineRule="auto"/>
        <w:rPr>
          <w:lang w:val="en-US"/>
        </w:rPr>
      </w:pPr>
      <w:r w:rsidRPr="00282E3D">
        <w:rPr>
          <w:lang w:val="en-US"/>
        </w:rPr>
        <w:t>The Study Reference SCr is the lower of the two value of this comparison</w:t>
      </w:r>
    </w:p>
    <w:p w14:paraId="39256053" w14:textId="77777777" w:rsidR="00F56535" w:rsidRPr="00282E3D" w:rsidRDefault="00F56535" w:rsidP="002D75CF">
      <w:pPr>
        <w:pStyle w:val="ListParagraph"/>
        <w:numPr>
          <w:ilvl w:val="0"/>
          <w:numId w:val="40"/>
        </w:numPr>
        <w:spacing w:line="276" w:lineRule="auto"/>
        <w:rPr>
          <w:rFonts w:ascii="Arial" w:eastAsiaTheme="minorHAnsi" w:hAnsi="Arial" w:cs="Arial"/>
          <w:kern w:val="0"/>
        </w:rPr>
      </w:pPr>
      <w:r w:rsidRPr="00282E3D">
        <w:rPr>
          <w:rFonts w:ascii="Arial" w:eastAsiaTheme="minorHAnsi" w:hAnsi="Arial" w:cs="Arial"/>
          <w:kern w:val="0"/>
        </w:rPr>
        <w:t xml:space="preserve">If a </w:t>
      </w:r>
      <w:r w:rsidRPr="00282E3D">
        <w:rPr>
          <w:rFonts w:ascii="Arial" w:eastAsiaTheme="minorHAnsi" w:hAnsi="Arial" w:cs="Arial"/>
          <w:i/>
          <w:iCs/>
          <w:kern w:val="0"/>
        </w:rPr>
        <w:t>historical SCr</w:t>
      </w:r>
      <w:r w:rsidRPr="00282E3D">
        <w:rPr>
          <w:rFonts w:ascii="Arial" w:eastAsiaTheme="minorHAnsi" w:hAnsi="Arial" w:cs="Arial"/>
          <w:kern w:val="0"/>
        </w:rPr>
        <w:t xml:space="preserve"> value is not available, the </w:t>
      </w:r>
      <w:r w:rsidRPr="00282E3D">
        <w:rPr>
          <w:rFonts w:ascii="Arial" w:eastAsiaTheme="minorHAnsi" w:hAnsi="Arial" w:cs="Arial"/>
          <w:i/>
          <w:iCs/>
          <w:kern w:val="0"/>
        </w:rPr>
        <w:t>Study Reference SCr</w:t>
      </w:r>
      <w:r w:rsidRPr="00282E3D">
        <w:rPr>
          <w:rFonts w:ascii="Arial" w:eastAsiaTheme="minorHAnsi" w:hAnsi="Arial" w:cs="Arial"/>
          <w:kern w:val="0"/>
        </w:rPr>
        <w:t xml:space="preserve"> value is equal to the </w:t>
      </w:r>
      <w:r w:rsidRPr="00282E3D">
        <w:rPr>
          <w:rFonts w:ascii="Arial" w:eastAsiaTheme="minorHAnsi" w:hAnsi="Arial" w:cs="Arial"/>
          <w:i/>
          <w:iCs/>
          <w:kern w:val="0"/>
        </w:rPr>
        <w:t>admission SCr</w:t>
      </w:r>
      <w:r w:rsidRPr="00282E3D">
        <w:rPr>
          <w:rFonts w:ascii="Arial" w:eastAsiaTheme="minorHAnsi" w:hAnsi="Arial" w:cs="Arial"/>
          <w:kern w:val="0"/>
        </w:rPr>
        <w:t xml:space="preserve"> value</w:t>
      </w:r>
    </w:p>
    <w:p w14:paraId="64623D74" w14:textId="33922787" w:rsidR="00B74D9A" w:rsidRPr="00282E3D" w:rsidRDefault="00F56535" w:rsidP="002D75CF">
      <w:pPr>
        <w:pStyle w:val="Papardraft"/>
        <w:spacing w:line="276" w:lineRule="auto"/>
        <w:ind w:firstLine="0"/>
        <w:rPr>
          <w:lang w:val="en-US"/>
        </w:rPr>
      </w:pPr>
      <w:r w:rsidRPr="00282E3D">
        <w:rPr>
          <w:lang w:val="en-US"/>
        </w:rPr>
        <w:t>Staging of AKI:</w:t>
      </w:r>
    </w:p>
    <w:p w14:paraId="34ED752B" w14:textId="420CFE86" w:rsidR="00F56535" w:rsidRPr="00282E3D" w:rsidRDefault="00F56535" w:rsidP="002D75CF">
      <w:pPr>
        <w:pStyle w:val="Papardraft"/>
        <w:numPr>
          <w:ilvl w:val="0"/>
          <w:numId w:val="41"/>
        </w:numPr>
        <w:spacing w:line="276" w:lineRule="auto"/>
        <w:rPr>
          <w:lang w:val="en-US"/>
        </w:rPr>
      </w:pPr>
      <w:r w:rsidRPr="00282E3D">
        <w:rPr>
          <w:lang w:val="en-US"/>
        </w:rPr>
        <w:t xml:space="preserve">Stage 1: 1.5-1.9 times </w:t>
      </w:r>
      <w:r w:rsidRPr="00282E3D">
        <w:rPr>
          <w:i/>
          <w:iCs/>
          <w:lang w:val="en-US"/>
        </w:rPr>
        <w:t>Study Reference</w:t>
      </w:r>
      <w:r w:rsidRPr="00282E3D">
        <w:rPr>
          <w:lang w:val="en-US"/>
        </w:rPr>
        <w:t xml:space="preserve"> OR an increase of </w:t>
      </w:r>
      <w:r w:rsidRPr="00282E3D">
        <w:rPr>
          <w:i/>
          <w:iCs/>
          <w:lang w:val="en-US"/>
        </w:rPr>
        <w:t>enrollment SCr</w:t>
      </w:r>
      <w:r w:rsidRPr="00282E3D">
        <w:rPr>
          <w:lang w:val="en-US"/>
        </w:rPr>
        <w:t xml:space="preserve"> ≥ 0.3 mg/dL (≥ 26.5 µmol/L) above </w:t>
      </w:r>
      <w:r w:rsidR="00574CF8" w:rsidRPr="00282E3D">
        <w:rPr>
          <w:i/>
          <w:iCs/>
          <w:lang w:val="en-US"/>
        </w:rPr>
        <w:t>Admission SCr</w:t>
      </w:r>
      <w:r w:rsidR="00574CF8" w:rsidRPr="00282E3D">
        <w:rPr>
          <w:lang w:val="en-US"/>
        </w:rPr>
        <w:t xml:space="preserve"> if within 48 hours (if enrollment occurs after 48 hours from admission, this last criterion cannot be used)</w:t>
      </w:r>
    </w:p>
    <w:p w14:paraId="10E1CF43" w14:textId="09B38BC7" w:rsidR="00F56535" w:rsidRPr="00282E3D" w:rsidRDefault="00F56535" w:rsidP="002D75CF">
      <w:pPr>
        <w:pStyle w:val="Papardraft"/>
        <w:numPr>
          <w:ilvl w:val="0"/>
          <w:numId w:val="41"/>
        </w:numPr>
        <w:spacing w:line="276" w:lineRule="auto"/>
        <w:rPr>
          <w:lang w:val="en-US"/>
        </w:rPr>
      </w:pPr>
      <w:r w:rsidRPr="00282E3D">
        <w:rPr>
          <w:lang w:val="en-US"/>
        </w:rPr>
        <w:t xml:space="preserve">Stage 2: 2.0-2.9 times </w:t>
      </w:r>
      <w:r w:rsidRPr="00282E3D">
        <w:rPr>
          <w:i/>
          <w:iCs/>
          <w:lang w:val="en-US"/>
        </w:rPr>
        <w:t>Study Reference</w:t>
      </w:r>
    </w:p>
    <w:p w14:paraId="4806007F" w14:textId="3883C955" w:rsidR="00F56535" w:rsidRPr="00282E3D" w:rsidRDefault="00F56535" w:rsidP="002D75CF">
      <w:pPr>
        <w:pStyle w:val="Papardraft"/>
        <w:numPr>
          <w:ilvl w:val="0"/>
          <w:numId w:val="41"/>
        </w:numPr>
        <w:spacing w:line="276" w:lineRule="auto"/>
        <w:rPr>
          <w:lang w:val="en-US"/>
        </w:rPr>
      </w:pPr>
      <w:r w:rsidRPr="00282E3D">
        <w:rPr>
          <w:lang w:val="en-US"/>
        </w:rPr>
        <w:t>Stage 3: 3.0 times Study Reference OR increase in SCr values to ≥ 4.0 mg/dL (≥ 353.6 µmol/L)</w:t>
      </w:r>
    </w:p>
    <w:p w14:paraId="7DDB6297" w14:textId="01D5A574" w:rsidR="00B74D9A" w:rsidRPr="00282E3D" w:rsidRDefault="00B74D9A" w:rsidP="002D75CF">
      <w:pPr>
        <w:pStyle w:val="Papardraft"/>
        <w:spacing w:line="276" w:lineRule="auto"/>
        <w:ind w:firstLine="0"/>
        <w:rPr>
          <w:lang w:val="en-US"/>
        </w:rPr>
      </w:pPr>
    </w:p>
    <w:p w14:paraId="2A85248C" w14:textId="64022F5D" w:rsidR="00683107" w:rsidRPr="00282E3D" w:rsidRDefault="00683107" w:rsidP="002D75CF">
      <w:pPr>
        <w:pStyle w:val="Papardraft"/>
        <w:spacing w:line="276" w:lineRule="auto"/>
        <w:ind w:firstLine="0"/>
        <w:outlineLvl w:val="1"/>
        <w:rPr>
          <w:b/>
          <w:bCs/>
          <w:lang w:val="en-US"/>
        </w:rPr>
      </w:pPr>
      <w:bookmarkStart w:id="58" w:name="_Toc59032051"/>
      <w:bookmarkStart w:id="59" w:name="_Toc59643480"/>
      <w:r w:rsidRPr="00282E3D">
        <w:rPr>
          <w:b/>
          <w:bCs/>
          <w:lang w:val="en-US"/>
        </w:rPr>
        <w:t>Samples Collection</w:t>
      </w:r>
      <w:bookmarkEnd w:id="58"/>
      <w:bookmarkEnd w:id="59"/>
    </w:p>
    <w:p w14:paraId="688968E7" w14:textId="798448A1" w:rsidR="00683107" w:rsidRPr="00282E3D" w:rsidRDefault="00683107" w:rsidP="002D75CF">
      <w:pPr>
        <w:pStyle w:val="Papardraft"/>
        <w:spacing w:line="276" w:lineRule="auto"/>
        <w:ind w:firstLine="0"/>
        <w:rPr>
          <w:i/>
          <w:iCs/>
          <w:lang w:val="en-US"/>
        </w:rPr>
      </w:pPr>
      <w:r w:rsidRPr="00282E3D">
        <w:rPr>
          <w:i/>
          <w:iCs/>
          <w:lang w:val="en-US"/>
        </w:rPr>
        <w:t>Standard of Care (Control Arm)</w:t>
      </w:r>
    </w:p>
    <w:p w14:paraId="6EA6687E" w14:textId="232AE123" w:rsidR="00683107" w:rsidRPr="00282E3D" w:rsidRDefault="00683107" w:rsidP="002D75CF">
      <w:pPr>
        <w:pStyle w:val="Papardraft"/>
        <w:spacing w:line="276" w:lineRule="auto"/>
        <w:ind w:firstLine="0"/>
        <w:rPr>
          <w:lang w:val="en-US"/>
        </w:rPr>
      </w:pPr>
      <w:r w:rsidRPr="00282E3D">
        <w:rPr>
          <w:lang w:val="en-US"/>
        </w:rPr>
        <w:t xml:space="preserve">Subjects have their urine collected for serial </w:t>
      </w:r>
      <w:r w:rsidR="00D13766" w:rsidRPr="00282E3D">
        <w:rPr>
          <w:lang w:val="en-US"/>
        </w:rPr>
        <w:t>[TIMP-2]•[IGFBP7]</w:t>
      </w:r>
      <w:r w:rsidRPr="00282E3D">
        <w:rPr>
          <w:lang w:val="en-US"/>
        </w:rPr>
        <w:t xml:space="preserve"> testing at the </w:t>
      </w:r>
      <w:r w:rsidR="00CC242A" w:rsidRPr="00282E3D">
        <w:rPr>
          <w:lang w:val="en-US"/>
        </w:rPr>
        <w:t xml:space="preserve">following </w:t>
      </w:r>
      <w:r w:rsidRPr="00282E3D">
        <w:rPr>
          <w:lang w:val="en-US"/>
        </w:rPr>
        <w:t>time points</w:t>
      </w:r>
      <w:r w:rsidR="00CC242A" w:rsidRPr="00282E3D">
        <w:rPr>
          <w:lang w:val="en-US"/>
        </w:rPr>
        <w:t>:</w:t>
      </w:r>
    </w:p>
    <w:p w14:paraId="01038BB5" w14:textId="79E37C29" w:rsidR="00683107" w:rsidRPr="00282E3D" w:rsidRDefault="00683107" w:rsidP="002D75CF">
      <w:pPr>
        <w:pStyle w:val="Papardraft"/>
        <w:numPr>
          <w:ilvl w:val="0"/>
          <w:numId w:val="10"/>
        </w:numPr>
        <w:spacing w:line="276" w:lineRule="auto"/>
        <w:rPr>
          <w:lang w:val="en-US"/>
        </w:rPr>
      </w:pPr>
      <w:r w:rsidRPr="00282E3D">
        <w:rPr>
          <w:lang w:val="en-US"/>
        </w:rPr>
        <w:t>Between 6 and 9 hours of the subject being clinically diagnosed as having sepsis (preferably at the end of the first 6-hour resuscitation bundle)</w:t>
      </w:r>
    </w:p>
    <w:p w14:paraId="001361D2" w14:textId="706C77B1" w:rsidR="00683107" w:rsidRPr="00282E3D" w:rsidRDefault="00683107" w:rsidP="002D75CF">
      <w:pPr>
        <w:pStyle w:val="Papardraft"/>
        <w:numPr>
          <w:ilvl w:val="0"/>
          <w:numId w:val="10"/>
        </w:numPr>
        <w:spacing w:line="276" w:lineRule="auto"/>
        <w:rPr>
          <w:lang w:val="en-US"/>
        </w:rPr>
      </w:pPr>
      <w:r w:rsidRPr="00282E3D">
        <w:rPr>
          <w:lang w:val="en-US"/>
        </w:rPr>
        <w:t>Between 6 and 9 hours after the first urine sample is collected</w:t>
      </w:r>
    </w:p>
    <w:p w14:paraId="029C5836" w14:textId="76677A93" w:rsidR="00683107" w:rsidRPr="00282E3D" w:rsidRDefault="00683107" w:rsidP="002D75CF">
      <w:pPr>
        <w:pStyle w:val="Papardraft"/>
        <w:numPr>
          <w:ilvl w:val="0"/>
          <w:numId w:val="10"/>
        </w:numPr>
        <w:spacing w:line="276" w:lineRule="auto"/>
        <w:rPr>
          <w:lang w:val="en-US"/>
        </w:rPr>
      </w:pPr>
      <w:r w:rsidRPr="00282E3D">
        <w:rPr>
          <w:lang w:val="en-US"/>
        </w:rPr>
        <w:t>Between 12 and 15 hours after the second urine sample is collected</w:t>
      </w:r>
    </w:p>
    <w:p w14:paraId="3465494B" w14:textId="35E20C67" w:rsidR="00CC242A" w:rsidRPr="00282E3D" w:rsidRDefault="00CC242A" w:rsidP="002D75CF">
      <w:pPr>
        <w:pStyle w:val="Papardraft"/>
        <w:spacing w:line="276" w:lineRule="auto"/>
        <w:ind w:firstLine="0"/>
        <w:rPr>
          <w:lang w:val="en-US"/>
        </w:rPr>
      </w:pPr>
      <w:r w:rsidRPr="00282E3D">
        <w:rPr>
          <w:lang w:val="en-US"/>
        </w:rPr>
        <w:t xml:space="preserve">In the control arm </w:t>
      </w:r>
      <w:bookmarkStart w:id="60" w:name="_Hlk58343611"/>
      <w:r w:rsidRPr="00282E3D">
        <w:rPr>
          <w:lang w:val="en-US"/>
        </w:rPr>
        <w:t>samples will be shipped to a central laboratory for processing and will not be available for clinical decision making</w:t>
      </w:r>
      <w:bookmarkEnd w:id="60"/>
      <w:r w:rsidR="00486AAC" w:rsidRPr="00282E3D">
        <w:rPr>
          <w:lang w:val="en-US"/>
        </w:rPr>
        <w:t>.</w:t>
      </w:r>
      <w:r w:rsidRPr="00282E3D">
        <w:rPr>
          <w:lang w:val="en-US"/>
        </w:rPr>
        <w:t xml:space="preserve"> In the </w:t>
      </w:r>
      <w:r w:rsidR="00C94C65" w:rsidRPr="00282E3D">
        <w:rPr>
          <w:lang w:val="en-US"/>
        </w:rPr>
        <w:t>i</w:t>
      </w:r>
      <w:r w:rsidRPr="00282E3D">
        <w:rPr>
          <w:lang w:val="en-US"/>
        </w:rPr>
        <w:t>ntervention arm samples will be processed local</w:t>
      </w:r>
      <w:r w:rsidR="00856682" w:rsidRPr="00282E3D">
        <w:rPr>
          <w:lang w:val="en-US"/>
        </w:rPr>
        <w:t>ly</w:t>
      </w:r>
      <w:r w:rsidRPr="00282E3D">
        <w:rPr>
          <w:lang w:val="en-US"/>
        </w:rPr>
        <w:t xml:space="preserve"> and reported to the investigator</w:t>
      </w:r>
      <w:r w:rsidR="00856682" w:rsidRPr="00282E3D">
        <w:rPr>
          <w:lang w:val="en-US"/>
        </w:rPr>
        <w:t>.</w:t>
      </w:r>
    </w:p>
    <w:p w14:paraId="60E95178" w14:textId="77777777" w:rsidR="00CC242A" w:rsidRPr="00282E3D" w:rsidRDefault="00CC242A" w:rsidP="002D75CF">
      <w:pPr>
        <w:pStyle w:val="Papardraft"/>
        <w:spacing w:line="276" w:lineRule="auto"/>
        <w:ind w:firstLine="0"/>
        <w:rPr>
          <w:lang w:val="en-US"/>
        </w:rPr>
      </w:pPr>
    </w:p>
    <w:p w14:paraId="6CA351D7" w14:textId="04C7F2E5" w:rsidR="003513EC" w:rsidRPr="00282E3D" w:rsidRDefault="00CC242A" w:rsidP="002D75CF">
      <w:pPr>
        <w:pStyle w:val="Papardraft"/>
        <w:spacing w:line="276" w:lineRule="auto"/>
        <w:ind w:firstLine="0"/>
        <w:rPr>
          <w:lang w:val="en-US"/>
        </w:rPr>
      </w:pPr>
      <w:r w:rsidRPr="00282E3D">
        <w:rPr>
          <w:lang w:val="en-US"/>
        </w:rPr>
        <w:t>For all sub</w:t>
      </w:r>
      <w:r w:rsidR="001271EB" w:rsidRPr="00282E3D">
        <w:rPr>
          <w:lang w:val="en-US"/>
        </w:rPr>
        <w:t>j</w:t>
      </w:r>
      <w:r w:rsidRPr="00282E3D">
        <w:rPr>
          <w:lang w:val="en-US"/>
        </w:rPr>
        <w:t>ects</w:t>
      </w:r>
      <w:r w:rsidR="001271EB" w:rsidRPr="00282E3D">
        <w:rPr>
          <w:lang w:val="en-US"/>
        </w:rPr>
        <w:t>,</w:t>
      </w:r>
      <w:r w:rsidRPr="00282E3D">
        <w:rPr>
          <w:lang w:val="en-US"/>
        </w:rPr>
        <w:t xml:space="preserve"> w</w:t>
      </w:r>
      <w:r w:rsidR="00683107" w:rsidRPr="00282E3D">
        <w:rPr>
          <w:lang w:val="en-US"/>
        </w:rPr>
        <w:t xml:space="preserve">hole blood for a PCT level will be drawn each time a </w:t>
      </w:r>
      <w:r w:rsidR="00856682" w:rsidRPr="00282E3D">
        <w:rPr>
          <w:lang w:val="en-US"/>
        </w:rPr>
        <w:t xml:space="preserve">urine </w:t>
      </w:r>
      <w:r w:rsidR="00683107" w:rsidRPr="00282E3D">
        <w:rPr>
          <w:lang w:val="en-US"/>
        </w:rPr>
        <w:t>sample is collected.</w:t>
      </w:r>
      <w:r w:rsidR="001271EB" w:rsidRPr="00282E3D">
        <w:rPr>
          <w:lang w:val="en-US"/>
        </w:rPr>
        <w:t xml:space="preserve"> </w:t>
      </w:r>
      <w:r w:rsidRPr="00282E3D">
        <w:rPr>
          <w:lang w:val="en-US"/>
        </w:rPr>
        <w:t>In addition,</w:t>
      </w:r>
      <w:r w:rsidR="001271EB" w:rsidRPr="00282E3D">
        <w:rPr>
          <w:lang w:val="en-US"/>
        </w:rPr>
        <w:t xml:space="preserve"> </w:t>
      </w:r>
      <w:r w:rsidRPr="00282E3D">
        <w:rPr>
          <w:lang w:val="en-US"/>
        </w:rPr>
        <w:t>w</w:t>
      </w:r>
      <w:r w:rsidR="00683107" w:rsidRPr="00282E3D">
        <w:rPr>
          <w:lang w:val="en-US"/>
        </w:rPr>
        <w:t xml:space="preserve">hole blood for a SCr level will be drawn each time a PCT test sample is collected </w:t>
      </w:r>
      <w:r w:rsidRPr="00282E3D">
        <w:rPr>
          <w:lang w:val="en-US"/>
        </w:rPr>
        <w:t xml:space="preserve">and </w:t>
      </w:r>
      <w:r w:rsidR="00683107" w:rsidRPr="00282E3D">
        <w:rPr>
          <w:lang w:val="en-US"/>
        </w:rPr>
        <w:t>will then be collected approximately every 12 hours after the third sample until 72 hours after enrollment. Blood samples will be shipped to the central laboratory for SCr measurement.</w:t>
      </w:r>
    </w:p>
    <w:p w14:paraId="23E883B2" w14:textId="77777777" w:rsidR="00CC242A" w:rsidRPr="00282E3D" w:rsidRDefault="00CC242A" w:rsidP="002D75CF">
      <w:pPr>
        <w:pStyle w:val="Papardraft"/>
        <w:spacing w:line="276" w:lineRule="auto"/>
        <w:ind w:firstLine="0"/>
        <w:rPr>
          <w:lang w:val="en-US"/>
        </w:rPr>
      </w:pPr>
    </w:p>
    <w:p w14:paraId="3970AEC1" w14:textId="289332DC" w:rsidR="00683107" w:rsidRPr="00282E3D" w:rsidRDefault="00F279D4" w:rsidP="002D75CF">
      <w:pPr>
        <w:pStyle w:val="Papardraft"/>
        <w:spacing w:line="276" w:lineRule="auto"/>
        <w:ind w:firstLine="0"/>
        <w:rPr>
          <w:lang w:val="en-US"/>
        </w:rPr>
      </w:pPr>
      <w:r w:rsidRPr="00282E3D">
        <w:rPr>
          <w:lang w:val="en-US"/>
        </w:rPr>
        <w:t>UO</w:t>
      </w:r>
      <w:r w:rsidR="00683107" w:rsidRPr="00282E3D">
        <w:rPr>
          <w:lang w:val="en-US"/>
        </w:rPr>
        <w:t xml:space="preserve"> will be assessed and recorded at least every 2 hours (hourly if possible) for all subjects who have a urinary catheter in place from the time of enrollment until 72 hours after enrollment. For subjects whose urinary catheter is removed prior to the 72 hour</w:t>
      </w:r>
      <w:r w:rsidR="001F4633" w:rsidRPr="00282E3D">
        <w:rPr>
          <w:lang w:val="en-US"/>
        </w:rPr>
        <w:t>s</w:t>
      </w:r>
      <w:r w:rsidR="00683107" w:rsidRPr="00282E3D">
        <w:rPr>
          <w:lang w:val="en-US"/>
        </w:rPr>
        <w:t xml:space="preserve"> time point, all urine volumes will be recorded at 6 hour</w:t>
      </w:r>
      <w:r w:rsidR="001F4633" w:rsidRPr="00282E3D">
        <w:rPr>
          <w:lang w:val="en-US"/>
        </w:rPr>
        <w:t>s</w:t>
      </w:r>
      <w:r w:rsidR="00683107" w:rsidRPr="00282E3D">
        <w:rPr>
          <w:lang w:val="en-US"/>
        </w:rPr>
        <w:t xml:space="preserve"> intervals (at least) from the time the catheter is removed until 72 hours after enrollment. The average hourly </w:t>
      </w:r>
      <w:r w:rsidRPr="00282E3D">
        <w:rPr>
          <w:lang w:val="en-US"/>
        </w:rPr>
        <w:t>UO</w:t>
      </w:r>
      <w:r w:rsidR="00683107" w:rsidRPr="00282E3D">
        <w:rPr>
          <w:lang w:val="en-US"/>
        </w:rPr>
        <w:t xml:space="preserve"> during each interval will be calculated from data entered into the eCRF.</w:t>
      </w:r>
    </w:p>
    <w:p w14:paraId="6427C01E" w14:textId="137D92C5" w:rsidR="009C6D1D" w:rsidRPr="00282E3D" w:rsidRDefault="009C6D1D" w:rsidP="002D75CF">
      <w:pPr>
        <w:pStyle w:val="Papardraft"/>
        <w:spacing w:line="276" w:lineRule="auto"/>
        <w:ind w:firstLine="0"/>
        <w:rPr>
          <w:b/>
          <w:bCs/>
          <w:lang w:val="en-US"/>
        </w:rPr>
      </w:pPr>
    </w:p>
    <w:p w14:paraId="53745B65" w14:textId="69285568" w:rsidR="00987513" w:rsidRPr="00282E3D" w:rsidRDefault="00987513" w:rsidP="002D75CF">
      <w:pPr>
        <w:pStyle w:val="Papardraft"/>
        <w:spacing w:line="276" w:lineRule="auto"/>
        <w:ind w:firstLine="0"/>
        <w:outlineLvl w:val="1"/>
        <w:rPr>
          <w:b/>
          <w:bCs/>
          <w:lang w:val="en-US"/>
        </w:rPr>
      </w:pPr>
      <w:bookmarkStart w:id="61" w:name="_Toc59032052"/>
      <w:bookmarkStart w:id="62" w:name="_Toc59643481"/>
      <w:r w:rsidRPr="00282E3D">
        <w:rPr>
          <w:b/>
          <w:bCs/>
          <w:lang w:val="en-US"/>
        </w:rPr>
        <w:lastRenderedPageBreak/>
        <w:t>Study Intervention</w:t>
      </w:r>
      <w:r w:rsidR="00964975" w:rsidRPr="00282E3D">
        <w:rPr>
          <w:b/>
          <w:bCs/>
          <w:lang w:val="en-US"/>
        </w:rPr>
        <w:t>s</w:t>
      </w:r>
      <w:bookmarkEnd w:id="61"/>
      <w:bookmarkEnd w:id="62"/>
    </w:p>
    <w:p w14:paraId="01900FE7" w14:textId="6F25BC68" w:rsidR="00987513" w:rsidRPr="00282E3D" w:rsidRDefault="00987513" w:rsidP="002D75CF">
      <w:pPr>
        <w:pStyle w:val="Papardraft"/>
        <w:spacing w:line="276" w:lineRule="auto"/>
        <w:ind w:firstLine="0"/>
        <w:rPr>
          <w:i/>
          <w:iCs/>
          <w:lang w:val="en-US"/>
        </w:rPr>
      </w:pPr>
      <w:r w:rsidRPr="00282E3D">
        <w:rPr>
          <w:i/>
          <w:iCs/>
          <w:lang w:val="en-US"/>
        </w:rPr>
        <w:t>Control arm - Standard of car</w:t>
      </w:r>
      <w:r w:rsidR="00A4315B" w:rsidRPr="00282E3D">
        <w:rPr>
          <w:i/>
          <w:iCs/>
          <w:lang w:val="en-US"/>
        </w:rPr>
        <w:t>e (SOC)</w:t>
      </w:r>
    </w:p>
    <w:p w14:paraId="0EBEB3EA" w14:textId="57F07590" w:rsidR="00987513" w:rsidRPr="00282E3D" w:rsidRDefault="00987513" w:rsidP="002D75CF">
      <w:pPr>
        <w:pStyle w:val="Papardraft"/>
        <w:spacing w:line="276" w:lineRule="auto"/>
        <w:ind w:firstLine="0"/>
        <w:rPr>
          <w:lang w:val="en-US"/>
        </w:rPr>
      </w:pPr>
      <w:r w:rsidRPr="00282E3D">
        <w:rPr>
          <w:lang w:val="en-US"/>
        </w:rPr>
        <w:t>Subjects randomly assigned to the control arm will be treated according to the attending clinician’s clinical judgment and the site’s SOC for treating sepsis subjects.</w:t>
      </w:r>
    </w:p>
    <w:p w14:paraId="3D47168C" w14:textId="77777777" w:rsidR="000A0362" w:rsidRPr="00282E3D" w:rsidRDefault="000A0362" w:rsidP="002D75CF">
      <w:pPr>
        <w:pStyle w:val="Papardraft"/>
        <w:spacing w:line="276" w:lineRule="auto"/>
        <w:ind w:firstLine="0"/>
        <w:rPr>
          <w:lang w:val="en-US"/>
        </w:rPr>
      </w:pPr>
    </w:p>
    <w:p w14:paraId="4508DBD0" w14:textId="3D1B30B0" w:rsidR="00987513" w:rsidRPr="00282E3D" w:rsidRDefault="00987513" w:rsidP="002D75CF">
      <w:pPr>
        <w:pStyle w:val="Papardraft"/>
        <w:spacing w:line="276" w:lineRule="auto"/>
        <w:ind w:firstLine="0"/>
        <w:rPr>
          <w:i/>
          <w:iCs/>
          <w:lang w:val="en-US"/>
        </w:rPr>
      </w:pPr>
      <w:r w:rsidRPr="00282E3D">
        <w:rPr>
          <w:i/>
          <w:iCs/>
          <w:lang w:val="en-US"/>
        </w:rPr>
        <w:t>Intervention arm - Standard of Care</w:t>
      </w:r>
      <w:r w:rsidR="00A4315B" w:rsidRPr="00282E3D">
        <w:rPr>
          <w:i/>
          <w:iCs/>
          <w:lang w:val="en-US"/>
        </w:rPr>
        <w:t xml:space="preserve"> (SOC)</w:t>
      </w:r>
    </w:p>
    <w:p w14:paraId="107DBD41" w14:textId="783255B2" w:rsidR="00057C15" w:rsidRPr="00282E3D" w:rsidRDefault="00057C15" w:rsidP="002D75CF">
      <w:pPr>
        <w:pStyle w:val="Papardraft"/>
        <w:spacing w:line="276" w:lineRule="auto"/>
        <w:ind w:firstLine="0"/>
        <w:rPr>
          <w:lang w:val="en-US"/>
        </w:rPr>
      </w:pPr>
      <w:r w:rsidRPr="00282E3D">
        <w:rPr>
          <w:lang w:val="en-US"/>
        </w:rPr>
        <w:t>As it is SOC to promote the de-escalation of care in low</w:t>
      </w:r>
      <w:r w:rsidRPr="00282E3D">
        <w:rPr>
          <w:rFonts w:ascii="Cambria Math" w:hAnsi="Cambria Math" w:cs="Cambria Math"/>
          <w:lang w:val="en-US"/>
        </w:rPr>
        <w:t>‑</w:t>
      </w:r>
      <w:r w:rsidRPr="00282E3D">
        <w:rPr>
          <w:lang w:val="en-US"/>
        </w:rPr>
        <w:t>risk patients, when subjects have 3 negative [TIMP-2]•[IGFBP7] values and, if medically appropriate according to their judgment, the treating clinician may consider de-escalation of care.</w:t>
      </w:r>
    </w:p>
    <w:p w14:paraId="0FED08F7" w14:textId="7F65CB91" w:rsidR="00987513" w:rsidRPr="00282E3D" w:rsidRDefault="00987513" w:rsidP="002D75CF">
      <w:pPr>
        <w:pStyle w:val="Papardraft"/>
        <w:spacing w:line="276" w:lineRule="auto"/>
        <w:ind w:firstLine="0"/>
        <w:rPr>
          <w:lang w:val="en-US"/>
        </w:rPr>
      </w:pPr>
    </w:p>
    <w:p w14:paraId="4144BDB6" w14:textId="6961290B" w:rsidR="000A0362" w:rsidRPr="00282E3D" w:rsidRDefault="000A0362" w:rsidP="002D75CF">
      <w:pPr>
        <w:pStyle w:val="Papardraft"/>
        <w:spacing w:line="276" w:lineRule="auto"/>
        <w:ind w:firstLine="0"/>
        <w:rPr>
          <w:i/>
          <w:iCs/>
          <w:lang w:val="en-US"/>
        </w:rPr>
      </w:pPr>
      <w:r w:rsidRPr="00282E3D">
        <w:rPr>
          <w:i/>
          <w:iCs/>
          <w:lang w:val="en-US"/>
        </w:rPr>
        <w:t>Intervention arm - Kidney-sparing Sepsis Bundle (KSSB)</w:t>
      </w:r>
    </w:p>
    <w:p w14:paraId="0459327A" w14:textId="4F74A417" w:rsidR="000A0362" w:rsidRPr="00282E3D" w:rsidRDefault="000A0362" w:rsidP="002D75CF">
      <w:pPr>
        <w:pStyle w:val="Papardraft"/>
        <w:spacing w:line="276" w:lineRule="auto"/>
        <w:ind w:firstLine="0"/>
        <w:rPr>
          <w:lang w:val="en-US"/>
        </w:rPr>
      </w:pPr>
      <w:r w:rsidRPr="00282E3D">
        <w:rPr>
          <w:lang w:val="en-US"/>
        </w:rPr>
        <w:t xml:space="preserve">Subjects with any </w:t>
      </w:r>
      <w:r w:rsidR="00D13766" w:rsidRPr="00282E3D">
        <w:rPr>
          <w:lang w:val="en-US"/>
        </w:rPr>
        <w:t>[TIMP-2]•[IGFBP7]</w:t>
      </w:r>
      <w:r w:rsidRPr="00282E3D">
        <w:rPr>
          <w:lang w:val="en-US"/>
        </w:rPr>
        <w:t xml:space="preserve"> test result &gt; 0.3 will be offered KSSBs with 3 levels of care possible depending on the quantitative value of the test results and test result trends over time (</w:t>
      </w:r>
      <w:r w:rsidR="00852337" w:rsidRPr="00282E3D">
        <w:rPr>
          <w:lang w:val="en-US"/>
        </w:rPr>
        <w:t>see Figur</w:t>
      </w:r>
      <w:r w:rsidR="00213416" w:rsidRPr="00282E3D">
        <w:rPr>
          <w:lang w:val="en-US"/>
        </w:rPr>
        <w:t>e 1</w:t>
      </w:r>
      <w:r w:rsidR="00057C15" w:rsidRPr="00282E3D">
        <w:rPr>
          <w:lang w:val="en-US"/>
        </w:rPr>
        <w:t xml:space="preserve"> for protocol treatment algorithm</w:t>
      </w:r>
      <w:r w:rsidR="00213416" w:rsidRPr="00282E3D">
        <w:rPr>
          <w:lang w:val="en-US"/>
        </w:rPr>
        <w:t>)</w:t>
      </w:r>
      <w:r w:rsidRPr="00282E3D">
        <w:rPr>
          <w:lang w:val="en-US"/>
        </w:rPr>
        <w:t>.</w:t>
      </w:r>
    </w:p>
    <w:p w14:paraId="7026115A" w14:textId="0DC372A4" w:rsidR="000A0362" w:rsidRPr="00282E3D" w:rsidRDefault="000A0362" w:rsidP="002D75CF">
      <w:pPr>
        <w:pStyle w:val="Papardraft"/>
        <w:spacing w:line="276" w:lineRule="auto"/>
        <w:ind w:firstLine="0"/>
        <w:rPr>
          <w:lang w:val="en-US"/>
        </w:rPr>
      </w:pPr>
      <w:r w:rsidRPr="00282E3D">
        <w:rPr>
          <w:lang w:val="en-US"/>
        </w:rPr>
        <w:t>All KSSB interventions are derived from the internationally recognized KDIGO guidelines for the prevention of AKI. Many of these interventions are performed routinely in ICUs in Europe and the US. These interventions include acceptable alternatives for sepsis care that pose a reduced risk to the kidney and/or interventions that are appropriate for some patients with sepsis but for which there is no universal standard as to when they should be applied. The institution of any KSSB intervention must be medically appropriate according to the clinical judgment of the treating clinician. The treating clinician will always have the option to decline the use of any KSSB intervention if they feel it is not in the best interest of the subject.</w:t>
      </w:r>
    </w:p>
    <w:p w14:paraId="57D49CB6" w14:textId="77777777" w:rsidR="00AC4630" w:rsidRPr="00282E3D" w:rsidRDefault="00AC4630" w:rsidP="002D75CF">
      <w:pPr>
        <w:pStyle w:val="Papardraft"/>
        <w:spacing w:line="276" w:lineRule="auto"/>
        <w:ind w:firstLine="0"/>
        <w:rPr>
          <w:lang w:val="en-US"/>
        </w:rPr>
      </w:pPr>
      <w:r w:rsidRPr="00282E3D">
        <w:rPr>
          <w:b/>
          <w:bCs/>
          <w:lang w:val="en-US"/>
        </w:rPr>
        <w:t>Level 1</w:t>
      </w:r>
      <w:r w:rsidRPr="00282E3D">
        <w:rPr>
          <w:lang w:val="en-US"/>
        </w:rPr>
        <w:t xml:space="preserve"> kidney-sparing interventions may include the following:</w:t>
      </w:r>
    </w:p>
    <w:p w14:paraId="0EBAF76F" w14:textId="02854E74" w:rsidR="00AC4630" w:rsidRPr="00282E3D" w:rsidRDefault="00AC4630" w:rsidP="002D75CF">
      <w:pPr>
        <w:pStyle w:val="Papardraft"/>
        <w:numPr>
          <w:ilvl w:val="0"/>
          <w:numId w:val="14"/>
        </w:numPr>
        <w:spacing w:line="276" w:lineRule="auto"/>
        <w:rPr>
          <w:lang w:val="en-US"/>
        </w:rPr>
      </w:pPr>
      <w:r w:rsidRPr="00282E3D">
        <w:rPr>
          <w:lang w:val="en-US"/>
        </w:rPr>
        <w:t>Strong recommendation to discontinue the potentially nephrotoxic agents listed below (</w:t>
      </w:r>
      <w:r w:rsidR="00490952" w:rsidRPr="00282E3D">
        <w:rPr>
          <w:lang w:val="en-US"/>
        </w:rPr>
        <w:t xml:space="preserve">Supplemental </w:t>
      </w:r>
      <w:r w:rsidRPr="00282E3D">
        <w:rPr>
          <w:lang w:val="en-US"/>
        </w:rPr>
        <w:t xml:space="preserve">Table </w:t>
      </w:r>
      <w:r w:rsidR="002B0515" w:rsidRPr="00282E3D">
        <w:rPr>
          <w:lang w:val="en-US"/>
        </w:rPr>
        <w:t>S</w:t>
      </w:r>
      <w:r w:rsidR="00490952" w:rsidRPr="00282E3D">
        <w:rPr>
          <w:lang w:val="en-US"/>
        </w:rPr>
        <w:t>2</w:t>
      </w:r>
      <w:r w:rsidRPr="00282E3D">
        <w:rPr>
          <w:lang w:val="en-US"/>
        </w:rPr>
        <w:t>) until at least 72 hours after enrollment</w:t>
      </w:r>
    </w:p>
    <w:p w14:paraId="2DF63202" w14:textId="2728232E" w:rsidR="00597AAB" w:rsidRPr="00282E3D" w:rsidRDefault="00AC4630" w:rsidP="002D75CF">
      <w:pPr>
        <w:pStyle w:val="Papardraft"/>
        <w:numPr>
          <w:ilvl w:val="0"/>
          <w:numId w:val="14"/>
        </w:numPr>
        <w:spacing w:line="276" w:lineRule="auto"/>
        <w:rPr>
          <w:lang w:val="en-US"/>
        </w:rPr>
      </w:pPr>
      <w:r w:rsidRPr="00282E3D">
        <w:rPr>
          <w:lang w:val="en-US"/>
        </w:rPr>
        <w:t>Recommendation to discontinue drugs in the following classes until at least 72 hours after enrollment</w:t>
      </w:r>
      <w:r w:rsidR="00512582" w:rsidRPr="00282E3D">
        <w:rPr>
          <w:lang w:val="en-US"/>
        </w:rPr>
        <w:t>:</w:t>
      </w:r>
      <w:r w:rsidRPr="00282E3D">
        <w:rPr>
          <w:lang w:val="en-US"/>
        </w:rPr>
        <w:t>):</w:t>
      </w:r>
    </w:p>
    <w:p w14:paraId="1E82C154" w14:textId="074AD5D2" w:rsidR="00415409" w:rsidRPr="00282E3D" w:rsidRDefault="00415409" w:rsidP="002D75CF">
      <w:pPr>
        <w:pStyle w:val="Papardraft"/>
        <w:numPr>
          <w:ilvl w:val="1"/>
          <w:numId w:val="13"/>
        </w:numPr>
        <w:spacing w:line="276" w:lineRule="auto"/>
        <w:rPr>
          <w:lang w:val="en-US"/>
        </w:rPr>
      </w:pPr>
      <w:bookmarkStart w:id="63" w:name="_Hlk56159690"/>
      <w:r w:rsidRPr="00282E3D">
        <w:rPr>
          <w:lang w:val="en-US"/>
        </w:rPr>
        <w:t>Nonsteroidal anti-inflammatory drugs</w:t>
      </w:r>
    </w:p>
    <w:p w14:paraId="16424481" w14:textId="5506D533" w:rsidR="00415409" w:rsidRPr="00282E3D" w:rsidRDefault="00415409" w:rsidP="002D75CF">
      <w:pPr>
        <w:pStyle w:val="Papardraft"/>
        <w:numPr>
          <w:ilvl w:val="1"/>
          <w:numId w:val="13"/>
        </w:numPr>
        <w:spacing w:line="276" w:lineRule="auto"/>
        <w:rPr>
          <w:lang w:val="en-US"/>
        </w:rPr>
      </w:pPr>
      <w:r w:rsidRPr="00282E3D">
        <w:rPr>
          <w:lang w:val="en-US"/>
        </w:rPr>
        <w:t>Angiotensin</w:t>
      </w:r>
      <w:r w:rsidR="00F95B5C" w:rsidRPr="00282E3D">
        <w:rPr>
          <w:lang w:val="en-US"/>
        </w:rPr>
        <w:t>-c</w:t>
      </w:r>
      <w:r w:rsidRPr="00282E3D">
        <w:rPr>
          <w:lang w:val="en-US"/>
        </w:rPr>
        <w:t xml:space="preserve">onverting </w:t>
      </w:r>
      <w:r w:rsidR="009F0FF1" w:rsidRPr="00282E3D">
        <w:rPr>
          <w:lang w:val="en-US"/>
        </w:rPr>
        <w:t>e</w:t>
      </w:r>
      <w:r w:rsidRPr="00282E3D">
        <w:rPr>
          <w:lang w:val="en-US"/>
        </w:rPr>
        <w:t>nzyme inhibitors</w:t>
      </w:r>
    </w:p>
    <w:p w14:paraId="5FEB55C2" w14:textId="30B4D2A2" w:rsidR="00415409" w:rsidRPr="00282E3D" w:rsidRDefault="00415409" w:rsidP="002D75CF">
      <w:pPr>
        <w:pStyle w:val="Papardraft"/>
        <w:numPr>
          <w:ilvl w:val="1"/>
          <w:numId w:val="13"/>
        </w:numPr>
        <w:spacing w:line="276" w:lineRule="auto"/>
        <w:rPr>
          <w:lang w:val="en-US"/>
        </w:rPr>
      </w:pPr>
      <w:r w:rsidRPr="00282E3D">
        <w:rPr>
          <w:lang w:val="en-US"/>
        </w:rPr>
        <w:t>Angiotensin receptor blockers</w:t>
      </w:r>
    </w:p>
    <w:bookmarkEnd w:id="63"/>
    <w:p w14:paraId="71075B94" w14:textId="755884CB" w:rsidR="00AC4630" w:rsidRPr="00282E3D" w:rsidRDefault="00AC4630" w:rsidP="002D75CF">
      <w:pPr>
        <w:pStyle w:val="Papardraft"/>
        <w:numPr>
          <w:ilvl w:val="1"/>
          <w:numId w:val="13"/>
        </w:numPr>
        <w:spacing w:line="276" w:lineRule="auto"/>
        <w:rPr>
          <w:lang w:val="en-US"/>
        </w:rPr>
      </w:pPr>
      <w:r w:rsidRPr="00282E3D">
        <w:rPr>
          <w:lang w:val="en-US"/>
        </w:rPr>
        <w:t>Aminoglycosides</w:t>
      </w:r>
    </w:p>
    <w:p w14:paraId="42512C09" w14:textId="5732D419" w:rsidR="00AC4630" w:rsidRPr="00282E3D" w:rsidRDefault="00AC4630" w:rsidP="002D75CF">
      <w:pPr>
        <w:pStyle w:val="Papardraft"/>
        <w:numPr>
          <w:ilvl w:val="1"/>
          <w:numId w:val="13"/>
        </w:numPr>
        <w:spacing w:line="276" w:lineRule="auto"/>
        <w:rPr>
          <w:lang w:val="en-US"/>
        </w:rPr>
      </w:pPr>
      <w:r w:rsidRPr="00282E3D">
        <w:rPr>
          <w:lang w:val="en-US"/>
        </w:rPr>
        <w:t>Radiocontrast agents</w:t>
      </w:r>
    </w:p>
    <w:p w14:paraId="3F132512" w14:textId="141C2E67" w:rsidR="00AC4630" w:rsidRPr="00282E3D" w:rsidRDefault="00AC4630" w:rsidP="002D75CF">
      <w:pPr>
        <w:pStyle w:val="Papardraft"/>
        <w:numPr>
          <w:ilvl w:val="0"/>
          <w:numId w:val="13"/>
        </w:numPr>
        <w:spacing w:line="276" w:lineRule="auto"/>
        <w:rPr>
          <w:lang w:val="en-US"/>
        </w:rPr>
      </w:pPr>
      <w:r w:rsidRPr="00282E3D">
        <w:rPr>
          <w:lang w:val="en-US"/>
        </w:rPr>
        <w:t>When vancomycin or aminoglycosides are required, dosing will be based upon therapeutic drug level monitoring until at least 72 hours after enrollment</w:t>
      </w:r>
    </w:p>
    <w:p w14:paraId="749687EA" w14:textId="37A3B0B1" w:rsidR="00AC4630" w:rsidRPr="00282E3D" w:rsidRDefault="00AC4630" w:rsidP="002D75CF">
      <w:pPr>
        <w:pStyle w:val="Papardraft"/>
        <w:numPr>
          <w:ilvl w:val="0"/>
          <w:numId w:val="13"/>
        </w:numPr>
        <w:spacing w:line="276" w:lineRule="auto"/>
        <w:rPr>
          <w:lang w:val="en-US"/>
        </w:rPr>
      </w:pPr>
      <w:r w:rsidRPr="00282E3D">
        <w:rPr>
          <w:lang w:val="en-US"/>
        </w:rPr>
        <w:t>Review all medications as soon as possible in consultation with available hospital resources (e.g., clinical pharmacists) until at least 72 hours after enrollment</w:t>
      </w:r>
    </w:p>
    <w:p w14:paraId="1AE40614" w14:textId="77777777" w:rsidR="00597AAB" w:rsidRPr="00282E3D" w:rsidRDefault="00597AAB" w:rsidP="002D75CF">
      <w:pPr>
        <w:pStyle w:val="Papardraft"/>
        <w:numPr>
          <w:ilvl w:val="0"/>
          <w:numId w:val="13"/>
        </w:numPr>
        <w:spacing w:line="276" w:lineRule="auto"/>
        <w:rPr>
          <w:lang w:val="en-US"/>
        </w:rPr>
      </w:pPr>
      <w:r w:rsidRPr="00282E3D">
        <w:rPr>
          <w:lang w:val="en-US"/>
        </w:rPr>
        <w:t>Use of only balanced fluids (crystalloid) for fluid boluses until at least 72 hours after enrollment</w:t>
      </w:r>
    </w:p>
    <w:p w14:paraId="38C9F01A" w14:textId="4C1DB275" w:rsidR="00597AAB" w:rsidRPr="00282E3D" w:rsidRDefault="00597AAB" w:rsidP="002D75CF">
      <w:pPr>
        <w:pStyle w:val="Papardraft"/>
        <w:numPr>
          <w:ilvl w:val="0"/>
          <w:numId w:val="13"/>
        </w:numPr>
        <w:spacing w:line="276" w:lineRule="auto"/>
        <w:rPr>
          <w:lang w:val="en-US"/>
        </w:rPr>
      </w:pPr>
      <w:r w:rsidRPr="00282E3D">
        <w:rPr>
          <w:lang w:val="en-US"/>
        </w:rPr>
        <w:t>Strict daily measurement of total fluids in and out until at least 72 hours after enrollment</w:t>
      </w:r>
    </w:p>
    <w:p w14:paraId="360CF02F" w14:textId="78783A76" w:rsidR="00597AAB" w:rsidRPr="00282E3D" w:rsidRDefault="00597AAB" w:rsidP="002D75CF">
      <w:pPr>
        <w:pStyle w:val="Papardraft"/>
        <w:numPr>
          <w:ilvl w:val="0"/>
          <w:numId w:val="13"/>
        </w:numPr>
        <w:spacing w:line="276" w:lineRule="auto"/>
        <w:rPr>
          <w:lang w:val="en-US"/>
        </w:rPr>
      </w:pPr>
      <w:r w:rsidRPr="00282E3D">
        <w:rPr>
          <w:lang w:val="en-US"/>
        </w:rPr>
        <w:t>Use of diuretics and fluids only after determining fluid status and need. Do not use diuretics except in the management of fluid overload until at least 72 hours after enrollment</w:t>
      </w:r>
    </w:p>
    <w:p w14:paraId="1DBE541D" w14:textId="4C2FD889" w:rsidR="00597AAB" w:rsidRPr="00282E3D" w:rsidRDefault="00597AAB" w:rsidP="002D75CF">
      <w:pPr>
        <w:pStyle w:val="Papardraft"/>
        <w:numPr>
          <w:ilvl w:val="0"/>
          <w:numId w:val="13"/>
        </w:numPr>
        <w:spacing w:line="276" w:lineRule="auto"/>
        <w:rPr>
          <w:lang w:val="en-US"/>
        </w:rPr>
      </w:pPr>
      <w:r w:rsidRPr="00282E3D">
        <w:rPr>
          <w:lang w:val="en-US"/>
        </w:rPr>
        <w:lastRenderedPageBreak/>
        <w:t xml:space="preserve">Provision of alternative options to radiocontrast procedures (consideration of alternative imaging methods, use of the lowest possible dose of contrast medium, avoidance of all unnecessary IV iodinated contrast dyes, </w:t>
      </w:r>
      <w:r w:rsidR="000A6FA1" w:rsidRPr="00282E3D">
        <w:rPr>
          <w:lang w:val="en-US"/>
        </w:rPr>
        <w:t>etc.</w:t>
      </w:r>
      <w:r w:rsidRPr="00282E3D">
        <w:rPr>
          <w:lang w:val="en-US"/>
        </w:rPr>
        <w:t>) until at least 72 hours after enrollment</w:t>
      </w:r>
      <w:r w:rsidR="00852337" w:rsidRPr="00282E3D">
        <w:rPr>
          <w:lang w:val="en-US"/>
        </w:rPr>
        <w:t>.</w:t>
      </w:r>
    </w:p>
    <w:p w14:paraId="30DF3DDA" w14:textId="77777777" w:rsidR="00597AAB" w:rsidRPr="00282E3D" w:rsidRDefault="00597AAB" w:rsidP="002D75CF">
      <w:pPr>
        <w:pStyle w:val="Papardraft"/>
        <w:spacing w:line="276" w:lineRule="auto"/>
        <w:ind w:firstLine="0"/>
        <w:rPr>
          <w:lang w:val="en-US"/>
        </w:rPr>
      </w:pPr>
      <w:r w:rsidRPr="00282E3D">
        <w:rPr>
          <w:b/>
          <w:bCs/>
          <w:lang w:val="en-US"/>
        </w:rPr>
        <w:t>Level 2</w:t>
      </w:r>
      <w:r w:rsidRPr="00282E3D">
        <w:rPr>
          <w:lang w:val="en-US"/>
        </w:rPr>
        <w:t xml:space="preserve"> kidney-sparing interventions may include Level 1 interventions plus the following:</w:t>
      </w:r>
    </w:p>
    <w:p w14:paraId="1A1EA17B" w14:textId="196BFCF9" w:rsidR="00597AAB" w:rsidRPr="00282E3D" w:rsidRDefault="00597AAB" w:rsidP="002D75CF">
      <w:pPr>
        <w:pStyle w:val="Papardraft"/>
        <w:numPr>
          <w:ilvl w:val="0"/>
          <w:numId w:val="16"/>
        </w:numPr>
        <w:spacing w:line="276" w:lineRule="auto"/>
        <w:rPr>
          <w:lang w:val="en-US"/>
        </w:rPr>
      </w:pPr>
      <w:r w:rsidRPr="00282E3D">
        <w:rPr>
          <w:lang w:val="en-US"/>
        </w:rPr>
        <w:t>Institution of functional hemodynamic monitoring (e.g., with FloTrac™, PiCCO®, ultrasound) to optimize the volume status and hemodynamic parameters and to assess fluid responsiveness. To be kept in place for at least 72 hours after enrollment</w:t>
      </w:r>
      <w:r w:rsidR="00852337" w:rsidRPr="00282E3D">
        <w:rPr>
          <w:lang w:val="en-US"/>
        </w:rPr>
        <w:t>.</w:t>
      </w:r>
    </w:p>
    <w:p w14:paraId="6D802E21" w14:textId="56C9E337" w:rsidR="00597AAB" w:rsidRPr="00282E3D" w:rsidRDefault="00597AAB" w:rsidP="002D75CF">
      <w:pPr>
        <w:pStyle w:val="Papardraft"/>
        <w:spacing w:line="276" w:lineRule="auto"/>
        <w:ind w:firstLine="0"/>
        <w:rPr>
          <w:lang w:val="en-US"/>
        </w:rPr>
      </w:pPr>
      <w:r w:rsidRPr="00282E3D">
        <w:rPr>
          <w:b/>
          <w:bCs/>
          <w:lang w:val="en-US"/>
        </w:rPr>
        <w:t>Level 3</w:t>
      </w:r>
      <w:r w:rsidRPr="00282E3D">
        <w:rPr>
          <w:lang w:val="en-US"/>
        </w:rPr>
        <w:t xml:space="preserve"> kidney-sparing interventions may include Level 1 and Level 2 interventions plus the following:</w:t>
      </w:r>
    </w:p>
    <w:p w14:paraId="6976A617" w14:textId="723B733D" w:rsidR="00597AAB" w:rsidRPr="00282E3D" w:rsidRDefault="001E1BF0" w:rsidP="002D75CF">
      <w:pPr>
        <w:pStyle w:val="Papardraft"/>
        <w:numPr>
          <w:ilvl w:val="0"/>
          <w:numId w:val="15"/>
        </w:numPr>
        <w:spacing w:line="276" w:lineRule="auto"/>
        <w:rPr>
          <w:lang w:val="en-US"/>
        </w:rPr>
      </w:pPr>
      <w:r w:rsidRPr="00282E3D">
        <w:rPr>
          <w:lang w:val="en-US"/>
        </w:rPr>
        <w:t>Review the study subject’s kidney status with available hospital resources (e.g.</w:t>
      </w:r>
      <w:r w:rsidR="00850A64" w:rsidRPr="00282E3D">
        <w:rPr>
          <w:lang w:val="en-US"/>
        </w:rPr>
        <w:t>,</w:t>
      </w:r>
      <w:r w:rsidRPr="00282E3D">
        <w:rPr>
          <w:lang w:val="en-US"/>
        </w:rPr>
        <w:t xml:space="preserve"> c</w:t>
      </w:r>
      <w:r w:rsidR="00597AAB" w:rsidRPr="00282E3D">
        <w:rPr>
          <w:lang w:val="en-US"/>
        </w:rPr>
        <w:t>onsultation with nephrolog</w:t>
      </w:r>
      <w:r w:rsidRPr="00282E3D">
        <w:rPr>
          <w:lang w:val="en-US"/>
        </w:rPr>
        <w:t>ist)</w:t>
      </w:r>
    </w:p>
    <w:p w14:paraId="403D80F6" w14:textId="77777777" w:rsidR="008A606B" w:rsidRPr="00282E3D" w:rsidRDefault="00850A64" w:rsidP="002D75CF">
      <w:pPr>
        <w:pStyle w:val="Papardraft"/>
        <w:numPr>
          <w:ilvl w:val="0"/>
          <w:numId w:val="15"/>
        </w:numPr>
        <w:spacing w:line="276" w:lineRule="auto"/>
        <w:rPr>
          <w:lang w:val="en-US"/>
        </w:rPr>
      </w:pPr>
      <w:r w:rsidRPr="00282E3D">
        <w:rPr>
          <w:lang w:val="en-US"/>
        </w:rPr>
        <w:t>Review the study subject’s infectious disease management with available hospital resources (e.g., infectious disease specialist).</w:t>
      </w:r>
    </w:p>
    <w:p w14:paraId="0457F0D8" w14:textId="28E3A4FF" w:rsidR="00597AAB" w:rsidRPr="00282E3D" w:rsidRDefault="00597AAB" w:rsidP="002D75CF">
      <w:pPr>
        <w:pStyle w:val="Papardraft"/>
        <w:numPr>
          <w:ilvl w:val="0"/>
          <w:numId w:val="15"/>
        </w:numPr>
        <w:spacing w:line="276" w:lineRule="auto"/>
        <w:rPr>
          <w:lang w:val="en-US"/>
        </w:rPr>
      </w:pPr>
      <w:r w:rsidRPr="00282E3D">
        <w:rPr>
          <w:lang w:val="en-US"/>
        </w:rPr>
        <w:t xml:space="preserve">Consideration of seeking other sources of infection (interventions could include imaging procedures, skin examination, </w:t>
      </w:r>
      <w:r w:rsidR="000A6FA1" w:rsidRPr="00282E3D">
        <w:rPr>
          <w:lang w:val="en-US"/>
        </w:rPr>
        <w:t>etc.</w:t>
      </w:r>
      <w:r w:rsidRPr="00282E3D">
        <w:rPr>
          <w:lang w:val="en-US"/>
        </w:rPr>
        <w:t>)</w:t>
      </w:r>
      <w:r w:rsidR="00852337" w:rsidRPr="00282E3D">
        <w:rPr>
          <w:lang w:val="en-US"/>
        </w:rPr>
        <w:t>.</w:t>
      </w:r>
    </w:p>
    <w:p w14:paraId="634D3861" w14:textId="786F4645" w:rsidR="00597AAB" w:rsidRPr="00282E3D" w:rsidRDefault="00597AAB" w:rsidP="002D75CF">
      <w:pPr>
        <w:pStyle w:val="Papardraft"/>
        <w:spacing w:line="276" w:lineRule="auto"/>
        <w:ind w:firstLine="0"/>
        <w:rPr>
          <w:b/>
          <w:bCs/>
          <w:lang w:val="en-US"/>
        </w:rPr>
      </w:pPr>
      <w:r w:rsidRPr="00282E3D">
        <w:rPr>
          <w:b/>
          <w:bCs/>
          <w:lang w:val="en-US"/>
        </w:rPr>
        <w:t>General Rules:</w:t>
      </w:r>
    </w:p>
    <w:p w14:paraId="2478CF4F" w14:textId="6D5ACA43" w:rsidR="00597AAB" w:rsidRPr="00282E3D" w:rsidRDefault="00597AAB" w:rsidP="002D75CF">
      <w:pPr>
        <w:pStyle w:val="Papardraft"/>
        <w:numPr>
          <w:ilvl w:val="0"/>
          <w:numId w:val="17"/>
        </w:numPr>
        <w:spacing w:line="276" w:lineRule="auto"/>
        <w:rPr>
          <w:lang w:val="en-US"/>
        </w:rPr>
      </w:pPr>
      <w:r w:rsidRPr="00282E3D">
        <w:rPr>
          <w:lang w:val="en-US"/>
        </w:rPr>
        <w:t xml:space="preserve">Once the KSSB is started, the physician will </w:t>
      </w:r>
      <w:r w:rsidR="001E1BF0" w:rsidRPr="00282E3D">
        <w:rPr>
          <w:lang w:val="en-US"/>
        </w:rPr>
        <w:t>not</w:t>
      </w:r>
      <w:r w:rsidRPr="00282E3D">
        <w:rPr>
          <w:lang w:val="en-US"/>
        </w:rPr>
        <w:t xml:space="preserve"> de-escalate levels</w:t>
      </w:r>
      <w:r w:rsidR="001E1BF0" w:rsidRPr="00282E3D">
        <w:rPr>
          <w:lang w:val="en-US"/>
        </w:rPr>
        <w:t xml:space="preserve"> within 72 hours of enrollment</w:t>
      </w:r>
    </w:p>
    <w:p w14:paraId="49B5DD05" w14:textId="30C8E802" w:rsidR="00597AAB" w:rsidRPr="00282E3D" w:rsidRDefault="00597AAB" w:rsidP="002D75CF">
      <w:pPr>
        <w:pStyle w:val="Papardraft"/>
        <w:numPr>
          <w:ilvl w:val="0"/>
          <w:numId w:val="17"/>
        </w:numPr>
        <w:spacing w:line="276" w:lineRule="auto"/>
        <w:rPr>
          <w:lang w:val="en-US"/>
        </w:rPr>
      </w:pPr>
      <w:r w:rsidRPr="00282E3D">
        <w:rPr>
          <w:lang w:val="en-US"/>
        </w:rPr>
        <w:t xml:space="preserve">If the first </w:t>
      </w:r>
      <w:r w:rsidR="00D13766" w:rsidRPr="00282E3D">
        <w:rPr>
          <w:lang w:val="en-US"/>
        </w:rPr>
        <w:t>[TIMP-2]•[IGFBP7]</w:t>
      </w:r>
      <w:r w:rsidRPr="00282E3D">
        <w:rPr>
          <w:lang w:val="en-US"/>
        </w:rPr>
        <w:t xml:space="preserve"> value is between 0.3 and 1, Level 1 KSSB is started</w:t>
      </w:r>
    </w:p>
    <w:p w14:paraId="60ECE20E" w14:textId="6B4065E3" w:rsidR="00597AAB" w:rsidRPr="00282E3D" w:rsidRDefault="00597AAB" w:rsidP="002D75CF">
      <w:pPr>
        <w:pStyle w:val="Papardraft"/>
        <w:numPr>
          <w:ilvl w:val="0"/>
          <w:numId w:val="17"/>
        </w:numPr>
        <w:spacing w:line="276" w:lineRule="auto"/>
        <w:rPr>
          <w:lang w:val="en-US"/>
        </w:rPr>
      </w:pPr>
      <w:r w:rsidRPr="00282E3D">
        <w:rPr>
          <w:lang w:val="en-US"/>
        </w:rPr>
        <w:t xml:space="preserve">If the first </w:t>
      </w:r>
      <w:r w:rsidR="00D13766" w:rsidRPr="00282E3D">
        <w:rPr>
          <w:lang w:val="en-US"/>
        </w:rPr>
        <w:t>[TIMP-2]•[IGFBP7]</w:t>
      </w:r>
      <w:r w:rsidRPr="00282E3D">
        <w:rPr>
          <w:lang w:val="en-US"/>
        </w:rPr>
        <w:t xml:space="preserve"> value is 1 or higher, Level 2 KSSB is started</w:t>
      </w:r>
    </w:p>
    <w:p w14:paraId="0FE05CE2" w14:textId="037D6647" w:rsidR="00597AAB" w:rsidRPr="00282E3D" w:rsidRDefault="00597AAB" w:rsidP="002D75CF">
      <w:pPr>
        <w:pStyle w:val="Papardraft"/>
        <w:numPr>
          <w:ilvl w:val="0"/>
          <w:numId w:val="17"/>
        </w:numPr>
        <w:spacing w:line="276" w:lineRule="auto"/>
        <w:rPr>
          <w:lang w:val="en-US"/>
        </w:rPr>
      </w:pPr>
      <w:r w:rsidRPr="00282E3D">
        <w:rPr>
          <w:lang w:val="en-US"/>
        </w:rPr>
        <w:t xml:space="preserve">In the event that </w:t>
      </w:r>
      <w:bookmarkStart w:id="64" w:name="_Hlk59027498"/>
      <w:r w:rsidRPr="00282E3D">
        <w:rPr>
          <w:lang w:val="en-US"/>
        </w:rPr>
        <w:t xml:space="preserve">any </w:t>
      </w:r>
      <w:r w:rsidR="00D13766" w:rsidRPr="00282E3D">
        <w:rPr>
          <w:lang w:val="en-US"/>
        </w:rPr>
        <w:t>[TIMP-2]•[IGFBP7]</w:t>
      </w:r>
      <w:r w:rsidRPr="00282E3D">
        <w:rPr>
          <w:lang w:val="en-US"/>
        </w:rPr>
        <w:t xml:space="preserve"> result is missing or unavailable</w:t>
      </w:r>
      <w:bookmarkEnd w:id="64"/>
      <w:r w:rsidRPr="00282E3D">
        <w:rPr>
          <w:lang w:val="en-US"/>
        </w:rPr>
        <w:t xml:space="preserve">, </w:t>
      </w:r>
      <w:bookmarkStart w:id="65" w:name="_Hlk58346762"/>
      <w:r w:rsidRPr="00282E3D">
        <w:rPr>
          <w:lang w:val="en-US"/>
        </w:rPr>
        <w:t>the subject will remain at the current KSSB treatment level and use the appropriate decision rules according to the next test in the algorithm.</w:t>
      </w:r>
      <w:bookmarkEnd w:id="65"/>
      <w:r w:rsidRPr="00282E3D">
        <w:rPr>
          <w:lang w:val="en-US"/>
        </w:rPr>
        <w:t xml:space="preserve"> For example, if a subject is at KSSB Level 1 after the first test, and the second test result is unavailable for any reason, the subject will remain at KSSB Level 1, and the decision tree for the third test will be used when the third </w:t>
      </w:r>
      <w:r w:rsidR="00D13766" w:rsidRPr="00282E3D">
        <w:rPr>
          <w:lang w:val="en-US"/>
        </w:rPr>
        <w:t>[TIMP-2]•[IGFBP7]</w:t>
      </w:r>
      <w:r w:rsidRPr="00282E3D">
        <w:rPr>
          <w:lang w:val="en-US"/>
        </w:rPr>
        <w:t xml:space="preserve"> result is available.</w:t>
      </w:r>
    </w:p>
    <w:p w14:paraId="1E5583E3" w14:textId="51B161D2" w:rsidR="00197E31" w:rsidRPr="00282E3D" w:rsidRDefault="00197E31" w:rsidP="002D75CF">
      <w:pPr>
        <w:pStyle w:val="Papardraft"/>
        <w:spacing w:line="276" w:lineRule="auto"/>
        <w:ind w:firstLine="0"/>
        <w:rPr>
          <w:lang w:val="en-US"/>
        </w:rPr>
      </w:pPr>
    </w:p>
    <w:p w14:paraId="679FB0DB" w14:textId="43EC3F4A" w:rsidR="00911D2A" w:rsidRPr="00282E3D" w:rsidRDefault="002F45BE" w:rsidP="002D75CF">
      <w:pPr>
        <w:pStyle w:val="Papardraft"/>
        <w:spacing w:line="276" w:lineRule="auto"/>
        <w:ind w:firstLine="0"/>
        <w:outlineLvl w:val="1"/>
        <w:rPr>
          <w:b/>
          <w:bCs/>
          <w:lang w:val="en-US"/>
        </w:rPr>
      </w:pPr>
      <w:bookmarkStart w:id="66" w:name="_Toc59032053"/>
      <w:bookmarkStart w:id="67" w:name="_Toc59643482"/>
      <w:r w:rsidRPr="00282E3D">
        <w:rPr>
          <w:b/>
          <w:bCs/>
          <w:lang w:val="en-US"/>
        </w:rPr>
        <w:t>Safety Assessment</w:t>
      </w:r>
      <w:bookmarkEnd w:id="66"/>
      <w:bookmarkEnd w:id="67"/>
    </w:p>
    <w:p w14:paraId="7A18C48D" w14:textId="1D334886" w:rsidR="00911D2A" w:rsidRPr="00282E3D" w:rsidRDefault="00911D2A" w:rsidP="002D75CF">
      <w:pPr>
        <w:pStyle w:val="Papardraft"/>
        <w:spacing w:line="276" w:lineRule="auto"/>
        <w:ind w:firstLine="0"/>
        <w:rPr>
          <w:lang w:val="en-US"/>
        </w:rPr>
      </w:pPr>
      <w:bookmarkStart w:id="68" w:name="_Hlk53141503"/>
      <w:r w:rsidRPr="00282E3D">
        <w:rPr>
          <w:lang w:val="en-US"/>
        </w:rPr>
        <w:t>As this protocol does not involve the use of an interventional medicine or device, only serious adverse events (SAEs)</w:t>
      </w:r>
      <w:r w:rsidR="007D684E" w:rsidRPr="00282E3D">
        <w:rPr>
          <w:lang w:val="en-US"/>
        </w:rPr>
        <w:t xml:space="preserve">, </w:t>
      </w:r>
      <w:r w:rsidRPr="00282E3D">
        <w:rPr>
          <w:lang w:val="en-US"/>
        </w:rPr>
        <w:t xml:space="preserve">serious adverse device effects (SADEs) </w:t>
      </w:r>
      <w:r w:rsidR="007D684E" w:rsidRPr="00282E3D">
        <w:rPr>
          <w:lang w:val="en-US"/>
        </w:rPr>
        <w:t>and non-serious adverse events that are definitely, probably or possibly related to the device or a protocol related procedure will be collected</w:t>
      </w:r>
      <w:r w:rsidR="00892AFF" w:rsidRPr="00282E3D">
        <w:rPr>
          <w:lang w:val="en-US"/>
        </w:rPr>
        <w:t>.</w:t>
      </w:r>
    </w:p>
    <w:bookmarkEnd w:id="68"/>
    <w:p w14:paraId="3EA46031" w14:textId="77777777" w:rsidR="00911D2A" w:rsidRPr="00282E3D" w:rsidRDefault="00911D2A" w:rsidP="002D75CF">
      <w:pPr>
        <w:pStyle w:val="Papardraft"/>
        <w:spacing w:line="276" w:lineRule="auto"/>
        <w:ind w:firstLine="0"/>
        <w:rPr>
          <w:lang w:val="en-US"/>
        </w:rPr>
      </w:pPr>
    </w:p>
    <w:p w14:paraId="13BFFCF8" w14:textId="40D5FA22" w:rsidR="00911D2A" w:rsidRPr="00282E3D" w:rsidRDefault="00911D2A" w:rsidP="002D75CF">
      <w:pPr>
        <w:pStyle w:val="Papardraft"/>
        <w:spacing w:line="276" w:lineRule="auto"/>
        <w:ind w:firstLine="0"/>
        <w:rPr>
          <w:i/>
          <w:iCs/>
          <w:lang w:val="en-US"/>
        </w:rPr>
      </w:pPr>
      <w:r w:rsidRPr="00282E3D">
        <w:rPr>
          <w:i/>
          <w:iCs/>
          <w:lang w:val="en-US"/>
        </w:rPr>
        <w:t>Definitions of Adverse Events (AE)</w:t>
      </w:r>
    </w:p>
    <w:p w14:paraId="29F00882" w14:textId="073F0A6A" w:rsidR="00911D2A" w:rsidRPr="00282E3D" w:rsidRDefault="00911D2A" w:rsidP="002D75CF">
      <w:pPr>
        <w:pStyle w:val="Papardraft"/>
        <w:spacing w:line="276" w:lineRule="auto"/>
        <w:ind w:firstLine="0"/>
        <w:rPr>
          <w:lang w:val="en-US"/>
        </w:rPr>
      </w:pPr>
      <w:r w:rsidRPr="00282E3D">
        <w:rPr>
          <w:lang w:val="en-US"/>
        </w:rPr>
        <w:t>An AE is defined as any untoward medical occurrence in a subject enrolled into this study regardless of its causal relationship to study treatment.</w:t>
      </w:r>
    </w:p>
    <w:p w14:paraId="010A29A2" w14:textId="7DEBE29F" w:rsidR="00911D2A" w:rsidRPr="00282E3D" w:rsidRDefault="00911D2A" w:rsidP="002D75CF">
      <w:pPr>
        <w:pStyle w:val="Papardraft"/>
        <w:spacing w:line="276" w:lineRule="auto"/>
        <w:ind w:firstLine="0"/>
        <w:rPr>
          <w:lang w:val="en-US"/>
        </w:rPr>
      </w:pPr>
    </w:p>
    <w:p w14:paraId="5D61E57F" w14:textId="3E276457" w:rsidR="00911D2A" w:rsidRPr="00282E3D" w:rsidRDefault="00911D2A" w:rsidP="002D75CF">
      <w:pPr>
        <w:pStyle w:val="Papardraft"/>
        <w:spacing w:line="276" w:lineRule="auto"/>
        <w:ind w:firstLine="0"/>
        <w:rPr>
          <w:i/>
          <w:iCs/>
          <w:lang w:val="en-US"/>
        </w:rPr>
      </w:pPr>
      <w:r w:rsidRPr="00282E3D">
        <w:rPr>
          <w:i/>
          <w:iCs/>
          <w:lang w:val="en-US"/>
        </w:rPr>
        <w:t>Serious Adverse Events</w:t>
      </w:r>
      <w:r w:rsidR="00BC0772" w:rsidRPr="00282E3D">
        <w:rPr>
          <w:i/>
          <w:iCs/>
          <w:lang w:val="en-US"/>
        </w:rPr>
        <w:t xml:space="preserve"> (SAEs)</w:t>
      </w:r>
    </w:p>
    <w:p w14:paraId="4AA34266" w14:textId="211BCD20" w:rsidR="00911D2A" w:rsidRPr="00282E3D" w:rsidRDefault="00911D2A" w:rsidP="002D75CF">
      <w:pPr>
        <w:pStyle w:val="Papardraft"/>
        <w:spacing w:line="276" w:lineRule="auto"/>
        <w:ind w:firstLine="0"/>
        <w:rPr>
          <w:lang w:val="en-US"/>
        </w:rPr>
      </w:pPr>
      <w:r w:rsidRPr="00282E3D">
        <w:rPr>
          <w:lang w:val="en-US"/>
        </w:rPr>
        <w:t>An SAE is defined as any event that:</w:t>
      </w:r>
    </w:p>
    <w:p w14:paraId="74370E48" w14:textId="006A37EF" w:rsidR="00911D2A" w:rsidRPr="00282E3D" w:rsidRDefault="00911D2A" w:rsidP="002D75CF">
      <w:pPr>
        <w:pStyle w:val="Papardraft"/>
        <w:numPr>
          <w:ilvl w:val="0"/>
          <w:numId w:val="26"/>
        </w:numPr>
        <w:spacing w:line="276" w:lineRule="auto"/>
        <w:rPr>
          <w:lang w:val="en-US"/>
        </w:rPr>
      </w:pPr>
      <w:r w:rsidRPr="00282E3D">
        <w:rPr>
          <w:lang w:val="en-US"/>
        </w:rPr>
        <w:t>Results in death</w:t>
      </w:r>
    </w:p>
    <w:p w14:paraId="7F2BC814" w14:textId="786446B8" w:rsidR="00911D2A" w:rsidRPr="00282E3D" w:rsidRDefault="00911D2A" w:rsidP="002D75CF">
      <w:pPr>
        <w:pStyle w:val="Papardraft"/>
        <w:numPr>
          <w:ilvl w:val="0"/>
          <w:numId w:val="26"/>
        </w:numPr>
        <w:spacing w:line="276" w:lineRule="auto"/>
        <w:rPr>
          <w:lang w:val="en-US"/>
        </w:rPr>
      </w:pPr>
      <w:r w:rsidRPr="00282E3D">
        <w:rPr>
          <w:lang w:val="en-US"/>
        </w:rPr>
        <w:t>Is immediately life-threatening</w:t>
      </w:r>
    </w:p>
    <w:p w14:paraId="4DA7A512" w14:textId="43A9E3CC" w:rsidR="00911D2A" w:rsidRPr="00282E3D" w:rsidRDefault="00911D2A" w:rsidP="002D75CF">
      <w:pPr>
        <w:pStyle w:val="Papardraft"/>
        <w:numPr>
          <w:ilvl w:val="0"/>
          <w:numId w:val="26"/>
        </w:numPr>
        <w:spacing w:line="276" w:lineRule="auto"/>
        <w:rPr>
          <w:lang w:val="en-US"/>
        </w:rPr>
      </w:pPr>
      <w:r w:rsidRPr="00282E3D">
        <w:rPr>
          <w:lang w:val="en-US"/>
        </w:rPr>
        <w:t>Requires inpatient hospitalization or prolongation of existing hospitalization</w:t>
      </w:r>
    </w:p>
    <w:p w14:paraId="33747C7B" w14:textId="543E082F" w:rsidR="00911D2A" w:rsidRPr="00282E3D" w:rsidRDefault="00911D2A" w:rsidP="002D75CF">
      <w:pPr>
        <w:pStyle w:val="Papardraft"/>
        <w:numPr>
          <w:ilvl w:val="0"/>
          <w:numId w:val="26"/>
        </w:numPr>
        <w:spacing w:line="276" w:lineRule="auto"/>
        <w:rPr>
          <w:lang w:val="en-US"/>
        </w:rPr>
      </w:pPr>
      <w:r w:rsidRPr="00282E3D">
        <w:rPr>
          <w:lang w:val="en-US"/>
        </w:rPr>
        <w:lastRenderedPageBreak/>
        <w:t>Results in persistent or significant disability/incapacity</w:t>
      </w:r>
    </w:p>
    <w:p w14:paraId="118E1954" w14:textId="1B3141CD" w:rsidR="00C72FD0" w:rsidRPr="00282E3D" w:rsidRDefault="00911D2A" w:rsidP="002D75CF">
      <w:pPr>
        <w:pStyle w:val="Papardraft"/>
        <w:numPr>
          <w:ilvl w:val="0"/>
          <w:numId w:val="26"/>
        </w:numPr>
        <w:spacing w:line="276" w:lineRule="auto"/>
        <w:rPr>
          <w:lang w:val="en-US"/>
        </w:rPr>
      </w:pPr>
      <w:r w:rsidRPr="00282E3D">
        <w:rPr>
          <w:lang w:val="en-US"/>
        </w:rPr>
        <w:t>Is a congenital anomaly/birth defect.</w:t>
      </w:r>
    </w:p>
    <w:p w14:paraId="01EDA45A" w14:textId="77777777" w:rsidR="00911D2A" w:rsidRPr="00282E3D" w:rsidRDefault="00911D2A" w:rsidP="002D75CF">
      <w:pPr>
        <w:pStyle w:val="Papardraft"/>
        <w:spacing w:line="276" w:lineRule="auto"/>
        <w:ind w:firstLine="0"/>
        <w:rPr>
          <w:lang w:val="en-US"/>
        </w:rPr>
      </w:pPr>
      <w:r w:rsidRPr="00282E3D">
        <w:rPr>
          <w:lang w:val="en-US"/>
        </w:rPr>
        <w:t xml:space="preserve">Important medical events that may not result in death, be life-threatening, or require hospitalization may be considered SAEs when, based upon appropriate medical judgment, they may jeopardize the subject or may require medical or surgical intervention to prevent one of the outcomes listed in this definition. </w:t>
      </w:r>
    </w:p>
    <w:p w14:paraId="5C85B576" w14:textId="1248406C" w:rsidR="00911D2A" w:rsidRPr="00282E3D" w:rsidRDefault="00911D2A" w:rsidP="002D75CF">
      <w:pPr>
        <w:pStyle w:val="Papardraft"/>
        <w:spacing w:line="276" w:lineRule="auto"/>
        <w:ind w:firstLine="0"/>
        <w:rPr>
          <w:lang w:val="en-US"/>
        </w:rPr>
      </w:pPr>
      <w:r w:rsidRPr="00282E3D">
        <w:rPr>
          <w:lang w:val="en-US"/>
        </w:rPr>
        <w:t>For this protocol, a SADE will be any SAE that is assigned as definitely, probably, or possibly related to the device or strategies recommended in the treatment bundles specified by this protocol.</w:t>
      </w:r>
    </w:p>
    <w:p w14:paraId="78DC26FA" w14:textId="263B69EA" w:rsidR="00911D2A" w:rsidRPr="00282E3D" w:rsidRDefault="00911D2A" w:rsidP="002D75CF">
      <w:pPr>
        <w:pStyle w:val="Papardraft"/>
        <w:spacing w:line="276" w:lineRule="auto"/>
        <w:ind w:firstLine="0"/>
        <w:rPr>
          <w:lang w:val="en-US"/>
        </w:rPr>
      </w:pPr>
      <w:r w:rsidRPr="00282E3D">
        <w:rPr>
          <w:lang w:val="en-US"/>
        </w:rPr>
        <w:t>A serious unanticipated adverse device effect is any SADE impacting health or safety, any life-threatening problem or death caused by, or associated with a device, if that effect, problem, or death was not previously identified in nature, severity, or degree of incidence in the application; or any other unanticipated serious problem associated with a device that relates to the rights, safety, or welfare of subjects.</w:t>
      </w:r>
    </w:p>
    <w:p w14:paraId="335AF62D" w14:textId="16C9CFBA" w:rsidR="00140FB9" w:rsidRPr="00282E3D" w:rsidRDefault="00140FB9" w:rsidP="002D75CF">
      <w:pPr>
        <w:pStyle w:val="Papardraft"/>
        <w:spacing w:line="276" w:lineRule="auto"/>
        <w:ind w:firstLine="0"/>
        <w:rPr>
          <w:lang w:val="en-US"/>
        </w:rPr>
      </w:pPr>
    </w:p>
    <w:p w14:paraId="3AB47A0D" w14:textId="77777777" w:rsidR="006E4C83" w:rsidRPr="00282E3D" w:rsidRDefault="006E4C83" w:rsidP="002D75CF">
      <w:pPr>
        <w:pStyle w:val="Papardraft"/>
        <w:spacing w:line="276" w:lineRule="auto"/>
        <w:ind w:firstLine="0"/>
        <w:outlineLvl w:val="1"/>
        <w:rPr>
          <w:b/>
          <w:bCs/>
          <w:lang w:val="en-US"/>
        </w:rPr>
      </w:pPr>
      <w:bookmarkStart w:id="69" w:name="_Toc59032054"/>
      <w:bookmarkStart w:id="70" w:name="_Toc59643483"/>
      <w:r w:rsidRPr="00282E3D">
        <w:rPr>
          <w:b/>
          <w:bCs/>
          <w:lang w:val="en-US"/>
        </w:rPr>
        <w:t>Sample size calculation</w:t>
      </w:r>
      <w:bookmarkEnd w:id="69"/>
      <w:bookmarkEnd w:id="70"/>
    </w:p>
    <w:p w14:paraId="6CAFD5B0" w14:textId="1F6589DB" w:rsidR="00F15CFE" w:rsidRPr="00282E3D" w:rsidRDefault="006E4C83" w:rsidP="002D75CF">
      <w:pPr>
        <w:pStyle w:val="Papardraft"/>
        <w:tabs>
          <w:tab w:val="left" w:pos="2327"/>
        </w:tabs>
        <w:spacing w:line="276" w:lineRule="auto"/>
        <w:ind w:firstLine="0"/>
        <w:rPr>
          <w:iCs/>
          <w:lang w:val="en-US"/>
        </w:rPr>
      </w:pPr>
      <w:r w:rsidRPr="00282E3D">
        <w:rPr>
          <w:lang w:val="en-US"/>
        </w:rPr>
        <w:t>We assumed that the rate of the primary endpoint for the control arm is 35%, and we wish to detect a 30% reduction in this rate with biomarker-guided therapy, and we planned to test the null hypothesis of no difference in endpoint rate between groups. To ensure alpha of 0.05 and power of 80%, we need 258 subjects with full data to analyze in each arm of the study (total study sample size of 516 subjects). To ensure that enough subjects are available for per-protocol after accounting for unevaluable subjects, we planned a final enrollment increase of 5% to a total of 540 subjects. We will perform an intent-to-treat</w:t>
      </w:r>
      <w:r w:rsidR="00BC0772" w:rsidRPr="00282E3D">
        <w:rPr>
          <w:lang w:val="en-US"/>
        </w:rPr>
        <w:t xml:space="preserve"> </w:t>
      </w:r>
      <w:r w:rsidRPr="00282E3D">
        <w:rPr>
          <w:lang w:val="en-US"/>
        </w:rPr>
        <w:t>analysis.</w:t>
      </w:r>
      <w:bookmarkStart w:id="71" w:name="_Toc21649469"/>
      <w:bookmarkStart w:id="72" w:name="_Toc22900597"/>
      <w:bookmarkStart w:id="73" w:name="_Toc22905489"/>
      <w:bookmarkStart w:id="74" w:name="_Toc22906135"/>
      <w:bookmarkStart w:id="75" w:name="_Toc24637556"/>
      <w:bookmarkStart w:id="76" w:name="_Toc24637797"/>
      <w:bookmarkStart w:id="77" w:name="_Toc24638037"/>
      <w:bookmarkStart w:id="78" w:name="_Toc24638276"/>
      <w:bookmarkStart w:id="79" w:name="_Toc24637566"/>
      <w:bookmarkStart w:id="80" w:name="_Toc24637807"/>
      <w:bookmarkStart w:id="81" w:name="_Toc24638047"/>
      <w:bookmarkStart w:id="82" w:name="_Toc24638286"/>
      <w:bookmarkStart w:id="83" w:name="_Toc21649482"/>
      <w:bookmarkStart w:id="84" w:name="_Toc21649483"/>
      <w:bookmarkStart w:id="85" w:name="_Toc2164948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A86A4F9" w14:textId="7BC3EFE7" w:rsidR="00903FD8" w:rsidRPr="00282E3D" w:rsidRDefault="00903FD8" w:rsidP="002D75CF">
      <w:pPr>
        <w:pStyle w:val="Papardraft"/>
        <w:spacing w:line="276" w:lineRule="auto"/>
        <w:ind w:firstLine="0"/>
        <w:rPr>
          <w:iCs/>
          <w:lang w:val="en-US"/>
        </w:rPr>
      </w:pPr>
    </w:p>
    <w:p w14:paraId="26D75A7F" w14:textId="19AEA369" w:rsidR="00004EE9" w:rsidRPr="00282E3D" w:rsidRDefault="00004EE9" w:rsidP="002D75CF">
      <w:pPr>
        <w:pStyle w:val="Papardraft"/>
        <w:spacing w:line="276" w:lineRule="auto"/>
        <w:ind w:firstLine="0"/>
        <w:outlineLvl w:val="1"/>
        <w:rPr>
          <w:b/>
          <w:bCs/>
          <w:iCs/>
          <w:lang w:val="en-US"/>
        </w:rPr>
      </w:pPr>
      <w:bookmarkStart w:id="86" w:name="_Toc59032055"/>
      <w:bookmarkStart w:id="87" w:name="_Toc59643484"/>
      <w:r w:rsidRPr="00282E3D">
        <w:rPr>
          <w:b/>
          <w:bCs/>
          <w:iCs/>
          <w:lang w:val="en-US"/>
        </w:rPr>
        <w:t>Adaptive Changes</w:t>
      </w:r>
      <w:bookmarkEnd w:id="86"/>
      <w:bookmarkEnd w:id="87"/>
    </w:p>
    <w:p w14:paraId="39147D45" w14:textId="77777777" w:rsidR="00004EE9" w:rsidRPr="00282E3D" w:rsidRDefault="00004EE9" w:rsidP="002D75CF">
      <w:pPr>
        <w:pStyle w:val="Papardraft"/>
        <w:spacing w:line="276" w:lineRule="auto"/>
        <w:ind w:firstLine="0"/>
        <w:rPr>
          <w:iCs/>
          <w:lang w:val="en-US"/>
        </w:rPr>
      </w:pPr>
      <w:r w:rsidRPr="00282E3D">
        <w:rPr>
          <w:iCs/>
          <w:lang w:val="en-US"/>
        </w:rPr>
        <w:t>This study will use an adaptive design and pre-specify possible adaptive changes to the protocol. These changes to the protocol can be enacted at any time but will most likely come after the 50% enrollment interim analysis.</w:t>
      </w:r>
    </w:p>
    <w:p w14:paraId="62167FC1" w14:textId="638BD29B" w:rsidR="00004EE9" w:rsidRPr="00282E3D" w:rsidRDefault="00004EE9" w:rsidP="002D75CF">
      <w:pPr>
        <w:pStyle w:val="Papardraft"/>
        <w:spacing w:line="276" w:lineRule="auto"/>
        <w:ind w:firstLine="0"/>
        <w:rPr>
          <w:iCs/>
          <w:lang w:val="en-US"/>
        </w:rPr>
      </w:pPr>
      <w:r w:rsidRPr="00282E3D">
        <w:rPr>
          <w:iCs/>
          <w:lang w:val="en-US"/>
        </w:rPr>
        <w:t xml:space="preserve">The changes will be based on the relative risk reduction (RRR) observed between the control and </w:t>
      </w:r>
      <w:r w:rsidR="00D13766" w:rsidRPr="00282E3D">
        <w:rPr>
          <w:lang w:val="en-US"/>
        </w:rPr>
        <w:t>[TIMP-2]•[IGFBP7] t</w:t>
      </w:r>
      <w:r w:rsidR="007D028B" w:rsidRPr="00282E3D">
        <w:rPr>
          <w:iCs/>
          <w:lang w:val="en-US"/>
        </w:rPr>
        <w:t>est</w:t>
      </w:r>
      <w:r w:rsidRPr="00282E3D">
        <w:rPr>
          <w:iCs/>
          <w:lang w:val="en-US"/>
        </w:rPr>
        <w:t xml:space="preserve"> arms. The following two changes will be pre-specified:</w:t>
      </w:r>
    </w:p>
    <w:p w14:paraId="0633A1B9" w14:textId="77777777" w:rsidR="00004EE9" w:rsidRPr="00282E3D" w:rsidRDefault="00004EE9" w:rsidP="002D75CF">
      <w:pPr>
        <w:pStyle w:val="Papardraft"/>
        <w:numPr>
          <w:ilvl w:val="0"/>
          <w:numId w:val="34"/>
        </w:numPr>
        <w:spacing w:line="276" w:lineRule="auto"/>
        <w:rPr>
          <w:iCs/>
          <w:lang w:val="en-US"/>
        </w:rPr>
      </w:pPr>
      <w:r w:rsidRPr="00282E3D">
        <w:rPr>
          <w:iCs/>
          <w:lang w:val="en-US"/>
        </w:rPr>
        <w:t>Sample size modification</w:t>
      </w:r>
    </w:p>
    <w:p w14:paraId="0F4D5031" w14:textId="651037F4" w:rsidR="00004EE9" w:rsidRPr="00282E3D" w:rsidRDefault="00004EE9" w:rsidP="002D75CF">
      <w:pPr>
        <w:pStyle w:val="Papardraft"/>
        <w:spacing w:line="276" w:lineRule="auto"/>
        <w:ind w:left="360" w:firstLine="0"/>
        <w:rPr>
          <w:iCs/>
          <w:lang w:val="en-US"/>
        </w:rPr>
      </w:pPr>
      <w:r w:rsidRPr="00282E3D">
        <w:rPr>
          <w:iCs/>
          <w:lang w:val="en-US"/>
        </w:rPr>
        <w:t xml:space="preserve">Data for the use of </w:t>
      </w:r>
      <w:r w:rsidR="00D13766" w:rsidRPr="00282E3D">
        <w:rPr>
          <w:lang w:val="en-US"/>
        </w:rPr>
        <w:t>[TIMP-2]•[IGFBP7] t</w:t>
      </w:r>
      <w:r w:rsidR="007D028B" w:rsidRPr="00282E3D">
        <w:rPr>
          <w:iCs/>
          <w:lang w:val="en-US"/>
        </w:rPr>
        <w:t>est</w:t>
      </w:r>
      <w:r w:rsidRPr="00282E3D">
        <w:rPr>
          <w:iCs/>
          <w:lang w:val="en-US"/>
        </w:rPr>
        <w:t xml:space="preserve"> in sepsis are limited, and the sample size is based on the best available data assuming a baseline rate of 35% and an RRR of 30%. If the RRR is different from the assumed 30%, the sample size will be modified as follows:</w:t>
      </w:r>
    </w:p>
    <w:p w14:paraId="240A265E" w14:textId="770D823E" w:rsidR="00004EE9" w:rsidRPr="00282E3D" w:rsidRDefault="00004EE9" w:rsidP="002D75CF">
      <w:pPr>
        <w:pStyle w:val="Papardraft"/>
        <w:numPr>
          <w:ilvl w:val="0"/>
          <w:numId w:val="35"/>
        </w:numPr>
        <w:spacing w:line="276" w:lineRule="auto"/>
        <w:rPr>
          <w:iCs/>
          <w:lang w:val="en-US"/>
        </w:rPr>
      </w:pPr>
      <w:r w:rsidRPr="00282E3D">
        <w:rPr>
          <w:iCs/>
          <w:lang w:val="en-US"/>
        </w:rPr>
        <w:t>RRR &lt; 7%, then discontinue study for futility</w:t>
      </w:r>
    </w:p>
    <w:p w14:paraId="346EB153" w14:textId="32653ECC" w:rsidR="00004EE9" w:rsidRPr="00282E3D" w:rsidRDefault="00004EE9" w:rsidP="002D75CF">
      <w:pPr>
        <w:pStyle w:val="Papardraft"/>
        <w:numPr>
          <w:ilvl w:val="0"/>
          <w:numId w:val="35"/>
        </w:numPr>
        <w:spacing w:line="276" w:lineRule="auto"/>
        <w:rPr>
          <w:iCs/>
          <w:lang w:val="en-US"/>
        </w:rPr>
      </w:pPr>
      <w:r w:rsidRPr="00282E3D">
        <w:rPr>
          <w:iCs/>
          <w:lang w:val="en-US"/>
        </w:rPr>
        <w:t>(7% ≤ RRR ≤ 17%), then increase sample size by 20%</w:t>
      </w:r>
    </w:p>
    <w:p w14:paraId="15959A71" w14:textId="7D61F15A" w:rsidR="00004EE9" w:rsidRPr="00282E3D" w:rsidRDefault="00004EE9" w:rsidP="002D75CF">
      <w:pPr>
        <w:pStyle w:val="Papardraft"/>
        <w:numPr>
          <w:ilvl w:val="0"/>
          <w:numId w:val="35"/>
        </w:numPr>
        <w:spacing w:line="276" w:lineRule="auto"/>
        <w:rPr>
          <w:iCs/>
          <w:lang w:val="en-US"/>
        </w:rPr>
      </w:pPr>
      <w:r w:rsidRPr="00282E3D">
        <w:rPr>
          <w:iCs/>
          <w:lang w:val="en-US"/>
        </w:rPr>
        <w:t>(17% &lt; RRR &lt; 37%), then continue study with original sample size</w:t>
      </w:r>
    </w:p>
    <w:p w14:paraId="27529A00" w14:textId="71E1501C" w:rsidR="00004EE9" w:rsidRPr="00282E3D" w:rsidRDefault="00004EE9" w:rsidP="002D75CF">
      <w:pPr>
        <w:pStyle w:val="Papardraft"/>
        <w:numPr>
          <w:ilvl w:val="0"/>
          <w:numId w:val="35"/>
        </w:numPr>
        <w:spacing w:line="276" w:lineRule="auto"/>
        <w:rPr>
          <w:iCs/>
          <w:lang w:val="en-US"/>
        </w:rPr>
      </w:pPr>
      <w:r w:rsidRPr="00282E3D">
        <w:rPr>
          <w:iCs/>
          <w:lang w:val="en-US"/>
        </w:rPr>
        <w:t>(37% ≤ RRR &lt; 43%), then decrease sample size by 20%</w:t>
      </w:r>
    </w:p>
    <w:p w14:paraId="26EAA747" w14:textId="6DDE2424" w:rsidR="00004EE9" w:rsidRPr="00282E3D" w:rsidRDefault="00004EE9" w:rsidP="002D75CF">
      <w:pPr>
        <w:pStyle w:val="Papardraft"/>
        <w:numPr>
          <w:ilvl w:val="0"/>
          <w:numId w:val="35"/>
        </w:numPr>
        <w:spacing w:line="276" w:lineRule="auto"/>
        <w:rPr>
          <w:iCs/>
          <w:lang w:val="en-US"/>
        </w:rPr>
      </w:pPr>
      <w:r w:rsidRPr="00282E3D">
        <w:rPr>
          <w:iCs/>
          <w:lang w:val="en-US"/>
        </w:rPr>
        <w:t>RRR ≥ 43%, then discontinue study for success</w:t>
      </w:r>
    </w:p>
    <w:p w14:paraId="5BDD4650" w14:textId="77777777" w:rsidR="00004EE9" w:rsidRPr="00282E3D" w:rsidRDefault="00004EE9" w:rsidP="002D75CF">
      <w:pPr>
        <w:pStyle w:val="Papardraft"/>
        <w:numPr>
          <w:ilvl w:val="0"/>
          <w:numId w:val="34"/>
        </w:numPr>
        <w:spacing w:line="276" w:lineRule="auto"/>
        <w:rPr>
          <w:iCs/>
          <w:lang w:val="en-US"/>
        </w:rPr>
      </w:pPr>
      <w:r w:rsidRPr="00282E3D">
        <w:rPr>
          <w:iCs/>
          <w:lang w:val="en-US"/>
        </w:rPr>
        <w:t>Septic shock subjects</w:t>
      </w:r>
    </w:p>
    <w:p w14:paraId="5BBFB874" w14:textId="74EF03FF" w:rsidR="00004EE9" w:rsidRPr="00282E3D" w:rsidRDefault="00004EE9" w:rsidP="002D75CF">
      <w:pPr>
        <w:pStyle w:val="Papardraft"/>
        <w:spacing w:line="276" w:lineRule="auto"/>
        <w:ind w:left="360" w:firstLine="0"/>
        <w:rPr>
          <w:iCs/>
          <w:lang w:val="en-US"/>
        </w:rPr>
      </w:pPr>
      <w:r w:rsidRPr="00282E3D">
        <w:rPr>
          <w:iCs/>
          <w:lang w:val="en-US"/>
        </w:rPr>
        <w:t xml:space="preserve">Since it is known that septic shock subjects have a higher risk of mortality, it is possible that outcomes in this group of subjects may be different and mask the effect of </w:t>
      </w:r>
      <w:r w:rsidR="00D13766" w:rsidRPr="00282E3D">
        <w:rPr>
          <w:lang w:val="en-US"/>
        </w:rPr>
        <w:t>[TIMP-</w:t>
      </w:r>
      <w:r w:rsidR="00D13766" w:rsidRPr="00282E3D">
        <w:rPr>
          <w:lang w:val="en-US"/>
        </w:rPr>
        <w:lastRenderedPageBreak/>
        <w:t>2]•[IGFBP7] t</w:t>
      </w:r>
      <w:r w:rsidR="007D028B" w:rsidRPr="00282E3D">
        <w:rPr>
          <w:iCs/>
          <w:lang w:val="en-US"/>
        </w:rPr>
        <w:t>est</w:t>
      </w:r>
      <w:r w:rsidRPr="00282E3D">
        <w:rPr>
          <w:iCs/>
          <w:lang w:val="en-US"/>
        </w:rPr>
        <w:t>-guided therapy in the remaining subjects. If the RRR is less than 17%</w:t>
      </w:r>
      <w:r w:rsidR="00F61FB3" w:rsidRPr="00282E3D">
        <w:rPr>
          <w:iCs/>
          <w:lang w:val="en-US"/>
        </w:rPr>
        <w:t>,</w:t>
      </w:r>
      <w:r w:rsidRPr="00282E3D">
        <w:rPr>
          <w:iCs/>
          <w:lang w:val="en-US"/>
        </w:rPr>
        <w:t xml:space="preserve"> the effect of excluding septic shock subjects will be evaluated. If the RRR after excluding septic shock subjects increases sufficiently to reduce the sample size required or avoid a stop for futility, then septic shock subjects will be excluded for the remainder of the study.</w:t>
      </w:r>
    </w:p>
    <w:p w14:paraId="1A764967" w14:textId="46EAB262" w:rsidR="00004EE9" w:rsidRPr="00282E3D" w:rsidRDefault="00004EE9" w:rsidP="002D75CF">
      <w:pPr>
        <w:pStyle w:val="Papardraft"/>
        <w:spacing w:line="276" w:lineRule="auto"/>
        <w:ind w:firstLine="0"/>
        <w:rPr>
          <w:iCs/>
          <w:lang w:val="en-US"/>
        </w:rPr>
      </w:pPr>
    </w:p>
    <w:p w14:paraId="5F5C33B5" w14:textId="49F940AD" w:rsidR="00F80B71" w:rsidRPr="00282E3D" w:rsidRDefault="00F80B71" w:rsidP="00F80B71">
      <w:pPr>
        <w:pStyle w:val="Papardraft"/>
        <w:spacing w:line="276" w:lineRule="auto"/>
        <w:ind w:firstLine="0"/>
        <w:outlineLvl w:val="1"/>
        <w:rPr>
          <w:b/>
          <w:bCs/>
          <w:iCs/>
          <w:lang w:val="en-US"/>
        </w:rPr>
      </w:pPr>
      <w:bookmarkStart w:id="88" w:name="_Toc59643485"/>
      <w:r w:rsidRPr="00282E3D">
        <w:rPr>
          <w:b/>
          <w:bCs/>
          <w:iCs/>
          <w:lang w:val="en-US"/>
        </w:rPr>
        <w:t>Analysis</w:t>
      </w:r>
      <w:bookmarkEnd w:id="88"/>
    </w:p>
    <w:p w14:paraId="07A76F3C" w14:textId="38B6FEDD" w:rsidR="00C8255E" w:rsidRPr="00282E3D" w:rsidRDefault="00C8255E" w:rsidP="002D75CF">
      <w:pPr>
        <w:pStyle w:val="Papardraft"/>
        <w:spacing w:line="276" w:lineRule="auto"/>
        <w:ind w:firstLine="0"/>
        <w:rPr>
          <w:i/>
          <w:lang w:val="en-US"/>
        </w:rPr>
      </w:pPr>
      <w:r w:rsidRPr="00282E3D">
        <w:rPr>
          <w:i/>
          <w:lang w:val="en-US"/>
        </w:rPr>
        <w:t>Economic Analyses</w:t>
      </w:r>
    </w:p>
    <w:p w14:paraId="542CBE6C" w14:textId="7005D13A" w:rsidR="00C8255E" w:rsidRPr="00282E3D" w:rsidRDefault="00C8255E" w:rsidP="002D75CF">
      <w:pPr>
        <w:pStyle w:val="Papardraft"/>
        <w:spacing w:line="276" w:lineRule="auto"/>
        <w:ind w:firstLine="0"/>
        <w:rPr>
          <w:iCs/>
          <w:lang w:val="en-US"/>
        </w:rPr>
      </w:pPr>
      <w:r w:rsidRPr="00282E3D">
        <w:rPr>
          <w:iCs/>
          <w:lang w:val="en-US"/>
        </w:rPr>
        <w:t xml:space="preserve">The economic impact of </w:t>
      </w:r>
      <w:r w:rsidR="00D13766" w:rsidRPr="00282E3D">
        <w:rPr>
          <w:lang w:val="en-US"/>
        </w:rPr>
        <w:t>[TIMP-2]•[IGFBP7] t</w:t>
      </w:r>
      <w:r w:rsidR="007D028B" w:rsidRPr="00282E3D">
        <w:rPr>
          <w:iCs/>
          <w:lang w:val="en-US"/>
        </w:rPr>
        <w:t>est</w:t>
      </w:r>
      <w:r w:rsidRPr="00282E3D">
        <w:rPr>
          <w:iCs/>
          <w:lang w:val="en-US"/>
        </w:rPr>
        <w:t xml:space="preserve"> may be assessed with an evaluation of healthcare utilization based on use of the test. These healthcare services and interventions will include the following:</w:t>
      </w:r>
    </w:p>
    <w:p w14:paraId="539219A3" w14:textId="16165215" w:rsidR="00C8255E" w:rsidRPr="00282E3D" w:rsidRDefault="00C8255E" w:rsidP="002D75CF">
      <w:pPr>
        <w:pStyle w:val="Papardraft"/>
        <w:numPr>
          <w:ilvl w:val="0"/>
          <w:numId w:val="37"/>
        </w:numPr>
        <w:spacing w:line="276" w:lineRule="auto"/>
        <w:rPr>
          <w:iCs/>
          <w:lang w:val="en-US"/>
        </w:rPr>
      </w:pPr>
      <w:r w:rsidRPr="00282E3D">
        <w:rPr>
          <w:iCs/>
          <w:lang w:val="en-US"/>
        </w:rPr>
        <w:t>Days in hospital, including re-admissions up to 30 days</w:t>
      </w:r>
    </w:p>
    <w:p w14:paraId="26EE6B57" w14:textId="4C0A5E1B" w:rsidR="00C8255E" w:rsidRPr="00282E3D" w:rsidRDefault="00C8255E" w:rsidP="002D75CF">
      <w:pPr>
        <w:pStyle w:val="Papardraft"/>
        <w:numPr>
          <w:ilvl w:val="0"/>
          <w:numId w:val="37"/>
        </w:numPr>
        <w:spacing w:line="276" w:lineRule="auto"/>
        <w:rPr>
          <w:iCs/>
          <w:lang w:val="en-US"/>
        </w:rPr>
      </w:pPr>
      <w:r w:rsidRPr="00282E3D">
        <w:rPr>
          <w:iCs/>
          <w:lang w:val="en-US"/>
        </w:rPr>
        <w:t>Days in ICU</w:t>
      </w:r>
    </w:p>
    <w:p w14:paraId="2398BC61" w14:textId="72269613" w:rsidR="00C8255E" w:rsidRPr="00282E3D" w:rsidRDefault="00C8255E" w:rsidP="002D75CF">
      <w:pPr>
        <w:pStyle w:val="Papardraft"/>
        <w:numPr>
          <w:ilvl w:val="0"/>
          <w:numId w:val="37"/>
        </w:numPr>
        <w:spacing w:line="276" w:lineRule="auto"/>
        <w:rPr>
          <w:iCs/>
          <w:lang w:val="en-US"/>
        </w:rPr>
      </w:pPr>
      <w:r w:rsidRPr="00282E3D">
        <w:rPr>
          <w:iCs/>
          <w:lang w:val="en-US"/>
        </w:rPr>
        <w:t>Days of RRT</w:t>
      </w:r>
    </w:p>
    <w:p w14:paraId="357F8B90" w14:textId="4F075018" w:rsidR="00C8255E" w:rsidRPr="00282E3D" w:rsidRDefault="00C8255E" w:rsidP="002D75CF">
      <w:pPr>
        <w:pStyle w:val="Papardraft"/>
        <w:numPr>
          <w:ilvl w:val="0"/>
          <w:numId w:val="37"/>
        </w:numPr>
        <w:spacing w:line="276" w:lineRule="auto"/>
        <w:rPr>
          <w:iCs/>
          <w:lang w:val="en-US"/>
        </w:rPr>
      </w:pPr>
      <w:r w:rsidRPr="00282E3D">
        <w:rPr>
          <w:iCs/>
          <w:lang w:val="en-US"/>
        </w:rPr>
        <w:t>Days of ventilator support</w:t>
      </w:r>
    </w:p>
    <w:p w14:paraId="7919E13C" w14:textId="023A6C1E" w:rsidR="00C8255E" w:rsidRPr="00282E3D" w:rsidRDefault="00C8255E" w:rsidP="002D75CF">
      <w:pPr>
        <w:pStyle w:val="Papardraft"/>
        <w:numPr>
          <w:ilvl w:val="0"/>
          <w:numId w:val="37"/>
        </w:numPr>
        <w:spacing w:line="276" w:lineRule="auto"/>
        <w:rPr>
          <w:iCs/>
          <w:lang w:val="en-US"/>
        </w:rPr>
      </w:pPr>
      <w:r w:rsidRPr="00282E3D">
        <w:rPr>
          <w:iCs/>
          <w:lang w:val="en-US"/>
        </w:rPr>
        <w:t>Days of hemodynamic monitoring</w:t>
      </w:r>
    </w:p>
    <w:p w14:paraId="70E2B766" w14:textId="7563B366" w:rsidR="00C8255E" w:rsidRPr="00282E3D" w:rsidRDefault="00C8255E" w:rsidP="002D75CF">
      <w:pPr>
        <w:pStyle w:val="Papardraft"/>
        <w:numPr>
          <w:ilvl w:val="0"/>
          <w:numId w:val="37"/>
        </w:numPr>
        <w:spacing w:line="276" w:lineRule="auto"/>
        <w:rPr>
          <w:iCs/>
          <w:lang w:val="en-US"/>
        </w:rPr>
      </w:pPr>
      <w:r w:rsidRPr="00282E3D">
        <w:rPr>
          <w:iCs/>
          <w:lang w:val="en-US"/>
        </w:rPr>
        <w:t>Number of consultations</w:t>
      </w:r>
    </w:p>
    <w:p w14:paraId="44A2C6F4" w14:textId="7ABB05C3" w:rsidR="00C8255E" w:rsidRPr="00282E3D" w:rsidRDefault="00C8255E" w:rsidP="002D75CF">
      <w:pPr>
        <w:pStyle w:val="Papardraft"/>
        <w:numPr>
          <w:ilvl w:val="0"/>
          <w:numId w:val="37"/>
        </w:numPr>
        <w:spacing w:line="276" w:lineRule="auto"/>
        <w:rPr>
          <w:iCs/>
          <w:lang w:val="en-US"/>
        </w:rPr>
      </w:pPr>
      <w:r w:rsidRPr="00282E3D">
        <w:rPr>
          <w:iCs/>
          <w:lang w:val="en-US"/>
        </w:rPr>
        <w:t xml:space="preserve">Number of </w:t>
      </w:r>
      <w:r w:rsidR="00D13766" w:rsidRPr="00282E3D">
        <w:rPr>
          <w:lang w:val="en-US"/>
        </w:rPr>
        <w:t>[TIMP-2]•[IGFBP7] t</w:t>
      </w:r>
      <w:r w:rsidR="007D028B" w:rsidRPr="00282E3D">
        <w:rPr>
          <w:iCs/>
          <w:lang w:val="en-US"/>
        </w:rPr>
        <w:t>est</w:t>
      </w:r>
      <w:r w:rsidRPr="00282E3D">
        <w:rPr>
          <w:iCs/>
          <w:lang w:val="en-US"/>
        </w:rPr>
        <w:t xml:space="preserve"> measurements</w:t>
      </w:r>
    </w:p>
    <w:p w14:paraId="44724675" w14:textId="77777777" w:rsidR="00021FB5" w:rsidRPr="00282E3D" w:rsidRDefault="00021FB5" w:rsidP="002D75CF">
      <w:pPr>
        <w:pStyle w:val="Papardraft"/>
        <w:spacing w:line="276" w:lineRule="auto"/>
        <w:ind w:firstLine="0"/>
        <w:rPr>
          <w:iCs/>
          <w:lang w:val="en-US"/>
        </w:rPr>
      </w:pPr>
    </w:p>
    <w:p w14:paraId="3ABDADAF" w14:textId="11AD67C2" w:rsidR="00C8255E" w:rsidRPr="00282E3D" w:rsidRDefault="00C8255E" w:rsidP="002D75CF">
      <w:pPr>
        <w:pStyle w:val="Papardraft"/>
        <w:spacing w:line="276" w:lineRule="auto"/>
        <w:ind w:firstLine="0"/>
        <w:rPr>
          <w:i/>
          <w:lang w:val="en-US"/>
        </w:rPr>
      </w:pPr>
      <w:r w:rsidRPr="00282E3D">
        <w:rPr>
          <w:i/>
          <w:lang w:val="en-US"/>
        </w:rPr>
        <w:t>Procalcitonin Analysis</w:t>
      </w:r>
    </w:p>
    <w:p w14:paraId="169307BE" w14:textId="6F05CD32" w:rsidR="00C8255E" w:rsidRPr="00282E3D" w:rsidRDefault="00C8255E" w:rsidP="002D75CF">
      <w:pPr>
        <w:pStyle w:val="Papardraft"/>
        <w:spacing w:line="276" w:lineRule="auto"/>
        <w:ind w:firstLine="0"/>
        <w:rPr>
          <w:iCs/>
          <w:lang w:val="en-US"/>
        </w:rPr>
      </w:pPr>
      <w:r w:rsidRPr="00282E3D">
        <w:rPr>
          <w:iCs/>
          <w:lang w:val="en-US"/>
        </w:rPr>
        <w:t>The observed values for PCT at each time point and/or the pattern of PCT values will be used as independent variables in a logistic regression analysis after adjustment for study arm. Both the primary endpoint and the development of Stage 2/3 AKI will be considered as dependent variables. If appropriate, this analysis will adjust for other variables as well. A significant value for PCT will indicate an additional benefit from knowledge of PCT values or patterns.</w:t>
      </w:r>
    </w:p>
    <w:p w14:paraId="1844757F" w14:textId="1C133391" w:rsidR="00C8255E" w:rsidRPr="00282E3D" w:rsidRDefault="00C8255E" w:rsidP="002D75CF">
      <w:pPr>
        <w:pStyle w:val="Papardraft"/>
        <w:spacing w:line="276" w:lineRule="auto"/>
        <w:ind w:firstLine="0"/>
        <w:rPr>
          <w:lang w:val="en-US"/>
        </w:rPr>
      </w:pPr>
    </w:p>
    <w:p w14:paraId="40B850E2" w14:textId="453D14F0" w:rsidR="00F80B71" w:rsidRPr="00282E3D" w:rsidRDefault="00F80B71" w:rsidP="00F80B71">
      <w:pPr>
        <w:pStyle w:val="Papardraft"/>
        <w:spacing w:line="276" w:lineRule="auto"/>
        <w:ind w:firstLine="0"/>
        <w:rPr>
          <w:i/>
          <w:lang w:val="en-US"/>
        </w:rPr>
      </w:pPr>
      <w:r w:rsidRPr="00282E3D">
        <w:rPr>
          <w:i/>
          <w:lang w:val="en-US"/>
        </w:rPr>
        <w:t>Adherence Analysis</w:t>
      </w:r>
      <w:r w:rsidR="00486AAC" w:rsidRPr="00282E3D">
        <w:rPr>
          <w:i/>
          <w:lang w:val="en-US"/>
        </w:rPr>
        <w:t xml:space="preserve"> and Score</w:t>
      </w:r>
    </w:p>
    <w:p w14:paraId="7A03B38F" w14:textId="7A32F839" w:rsidR="00F80B71" w:rsidRPr="00282E3D" w:rsidRDefault="00F80B71" w:rsidP="00F80B71">
      <w:pPr>
        <w:pStyle w:val="Papardraft"/>
        <w:spacing w:line="276" w:lineRule="auto"/>
        <w:ind w:firstLine="0"/>
        <w:rPr>
          <w:lang w:val="en-US"/>
        </w:rPr>
      </w:pPr>
      <w:r w:rsidRPr="00282E3D">
        <w:rPr>
          <w:lang w:val="en-US"/>
        </w:rPr>
        <w:t>Adherence to KSSB Levels 1 to 3 will be defined by a score and evaluated within the [TIMP-2]•[IGFBP7] test-guided therapy arm. The number of subjects experiencing the primary endpoint will be compared among those with varying levels of adherence as well as between those who have varying levels of adherence and all 3 [TIMP-2]•[IGFBP7] values compared with other subjects.</w:t>
      </w:r>
    </w:p>
    <w:p w14:paraId="10699893" w14:textId="399628EC" w:rsidR="00F80B71" w:rsidRPr="00282E3D" w:rsidRDefault="00F80B71" w:rsidP="00F80B71">
      <w:pPr>
        <w:pStyle w:val="Papardraft"/>
        <w:spacing w:line="276" w:lineRule="auto"/>
        <w:ind w:firstLine="0"/>
        <w:rPr>
          <w:lang w:val="en-US"/>
        </w:rPr>
      </w:pPr>
      <w:r w:rsidRPr="00282E3D">
        <w:rPr>
          <w:lang w:val="en-US"/>
        </w:rPr>
        <w:t>Below is report</w:t>
      </w:r>
      <w:r w:rsidR="007E38EA" w:rsidRPr="00282E3D">
        <w:rPr>
          <w:lang w:val="en-US"/>
        </w:rPr>
        <w:t>ed</w:t>
      </w:r>
      <w:r w:rsidRPr="00282E3D">
        <w:rPr>
          <w:lang w:val="en-US"/>
        </w:rPr>
        <w:t xml:space="preserve"> the Adherence Score </w:t>
      </w:r>
      <w:r w:rsidR="000E05AD" w:rsidRPr="00282E3D">
        <w:rPr>
          <w:lang w:val="en-US"/>
        </w:rPr>
        <w:t>and its items:</w:t>
      </w:r>
    </w:p>
    <w:p w14:paraId="7BC5320B" w14:textId="5845529B" w:rsidR="00F80B71" w:rsidRPr="00282E3D" w:rsidRDefault="000E05AD" w:rsidP="000E05AD">
      <w:pPr>
        <w:pStyle w:val="Papardraft"/>
        <w:numPr>
          <w:ilvl w:val="0"/>
          <w:numId w:val="45"/>
        </w:numPr>
        <w:spacing w:line="276" w:lineRule="auto"/>
        <w:rPr>
          <w:lang w:val="en-US"/>
        </w:rPr>
      </w:pPr>
      <w:r w:rsidRPr="00282E3D">
        <w:rPr>
          <w:lang w:val="en-US"/>
        </w:rPr>
        <w:t>KSSB Level 1:</w:t>
      </w:r>
    </w:p>
    <w:p w14:paraId="767EE38A" w14:textId="53991D52" w:rsidR="000E05AD" w:rsidRPr="00282E3D" w:rsidRDefault="000E05AD" w:rsidP="000E05AD">
      <w:pPr>
        <w:pStyle w:val="Papardraft"/>
        <w:numPr>
          <w:ilvl w:val="1"/>
          <w:numId w:val="45"/>
        </w:numPr>
        <w:spacing w:line="276" w:lineRule="auto"/>
        <w:rPr>
          <w:lang w:val="en-US"/>
        </w:rPr>
      </w:pPr>
      <w:r w:rsidRPr="00282E3D">
        <w:rPr>
          <w:lang w:val="en-US"/>
        </w:rPr>
        <w:t>Any documented use of protocol-defined nephrotoxic drugs results in 1 point</w:t>
      </w:r>
    </w:p>
    <w:p w14:paraId="3406B7CB" w14:textId="30A157A2" w:rsidR="000E05AD" w:rsidRPr="00282E3D" w:rsidRDefault="000E05AD" w:rsidP="000E05AD">
      <w:pPr>
        <w:pStyle w:val="Papardraft"/>
        <w:numPr>
          <w:ilvl w:val="1"/>
          <w:numId w:val="45"/>
        </w:numPr>
        <w:spacing w:line="276" w:lineRule="auto"/>
        <w:rPr>
          <w:lang w:val="en-US"/>
        </w:rPr>
      </w:pPr>
      <w:r w:rsidRPr="00282E3D">
        <w:rPr>
          <w:lang w:val="en-US"/>
        </w:rPr>
        <w:t>If vancomycin/aminog</w:t>
      </w:r>
      <w:r w:rsidR="00486AAC" w:rsidRPr="00282E3D">
        <w:rPr>
          <w:lang w:val="en-US"/>
        </w:rPr>
        <w:t>l</w:t>
      </w:r>
      <w:r w:rsidRPr="00282E3D">
        <w:rPr>
          <w:lang w:val="en-US"/>
        </w:rPr>
        <w:t>ycosides are deemed required and ordered, lack of documented order for therapeutic drug levels for vancomycin/aminogl</w:t>
      </w:r>
      <w:r w:rsidR="00486AAC" w:rsidRPr="00282E3D">
        <w:rPr>
          <w:lang w:val="en-US"/>
        </w:rPr>
        <w:t>y</w:t>
      </w:r>
      <w:r w:rsidRPr="00282E3D">
        <w:rPr>
          <w:lang w:val="en-US"/>
        </w:rPr>
        <w:t>cosides results in 1 point</w:t>
      </w:r>
    </w:p>
    <w:p w14:paraId="28FC53CC" w14:textId="49D16134" w:rsidR="000E05AD" w:rsidRPr="00282E3D" w:rsidRDefault="000E05AD" w:rsidP="000E05AD">
      <w:pPr>
        <w:pStyle w:val="Papardraft"/>
        <w:numPr>
          <w:ilvl w:val="1"/>
          <w:numId w:val="45"/>
        </w:numPr>
        <w:spacing w:line="276" w:lineRule="auto"/>
        <w:rPr>
          <w:lang w:val="en-US"/>
        </w:rPr>
      </w:pPr>
      <w:r w:rsidRPr="00282E3D">
        <w:rPr>
          <w:lang w:val="en-US"/>
        </w:rPr>
        <w:t>Lack of medication review for nephrotoxicity with hospital resources (e.g., with pharmacy consultation) results in 1 point</w:t>
      </w:r>
    </w:p>
    <w:p w14:paraId="5A7FE16F" w14:textId="66EAC16A" w:rsidR="000E05AD" w:rsidRPr="00282E3D" w:rsidRDefault="000E05AD" w:rsidP="000E05AD">
      <w:pPr>
        <w:pStyle w:val="Papardraft"/>
        <w:numPr>
          <w:ilvl w:val="1"/>
          <w:numId w:val="45"/>
        </w:numPr>
        <w:spacing w:line="276" w:lineRule="auto"/>
        <w:rPr>
          <w:lang w:val="en-US"/>
        </w:rPr>
      </w:pPr>
      <w:r w:rsidRPr="00282E3D">
        <w:rPr>
          <w:lang w:val="en-US"/>
        </w:rPr>
        <w:t>Documented use of any non-crystalloids for fluid boluses results in 1 point</w:t>
      </w:r>
    </w:p>
    <w:p w14:paraId="6BFBF1AD" w14:textId="77777777" w:rsidR="005B483B" w:rsidRPr="00282E3D" w:rsidRDefault="000E05AD" w:rsidP="005B483B">
      <w:pPr>
        <w:pStyle w:val="Papardraft"/>
        <w:numPr>
          <w:ilvl w:val="1"/>
          <w:numId w:val="45"/>
        </w:numPr>
        <w:spacing w:line="276" w:lineRule="auto"/>
        <w:rPr>
          <w:lang w:val="en-US"/>
        </w:rPr>
      </w:pPr>
      <w:r w:rsidRPr="00282E3D">
        <w:rPr>
          <w:lang w:val="en-US"/>
        </w:rPr>
        <w:t>Lack of documented order for protocol-defined Intake/Output measurement results in 1 point</w:t>
      </w:r>
    </w:p>
    <w:p w14:paraId="04D35ED9" w14:textId="23040336" w:rsidR="000E05AD" w:rsidRPr="00282E3D" w:rsidRDefault="000E05AD" w:rsidP="005B483B">
      <w:pPr>
        <w:pStyle w:val="Papardraft"/>
        <w:numPr>
          <w:ilvl w:val="1"/>
          <w:numId w:val="45"/>
        </w:numPr>
        <w:spacing w:line="276" w:lineRule="auto"/>
        <w:rPr>
          <w:lang w:val="en-US"/>
        </w:rPr>
      </w:pPr>
      <w:r w:rsidRPr="00282E3D">
        <w:rPr>
          <w:lang w:val="en-US"/>
        </w:rPr>
        <w:lastRenderedPageBreak/>
        <w:t>Unless fluid overload is denoted in eCRF, any documented diuretic use results in 1 point</w:t>
      </w:r>
    </w:p>
    <w:p w14:paraId="47B92D4E" w14:textId="6D492B25" w:rsidR="000E05AD" w:rsidRPr="00282E3D" w:rsidRDefault="000E05AD" w:rsidP="000E05AD">
      <w:pPr>
        <w:pStyle w:val="Papardraft"/>
        <w:numPr>
          <w:ilvl w:val="1"/>
          <w:numId w:val="45"/>
        </w:numPr>
        <w:spacing w:line="276" w:lineRule="auto"/>
        <w:rPr>
          <w:lang w:val="en-US"/>
        </w:rPr>
      </w:pPr>
      <w:r w:rsidRPr="00282E3D">
        <w:rPr>
          <w:lang w:val="en-US"/>
        </w:rPr>
        <w:t>Any documented use of protocol-defined nephrotoxic radiocontrast media results in 1 point</w:t>
      </w:r>
    </w:p>
    <w:p w14:paraId="2B092DB8" w14:textId="01A74449" w:rsidR="000E05AD" w:rsidRPr="00282E3D" w:rsidRDefault="000E05AD" w:rsidP="000E05AD">
      <w:pPr>
        <w:pStyle w:val="Papardraft"/>
        <w:numPr>
          <w:ilvl w:val="0"/>
          <w:numId w:val="45"/>
        </w:numPr>
        <w:spacing w:line="276" w:lineRule="auto"/>
        <w:rPr>
          <w:lang w:val="en-US"/>
        </w:rPr>
      </w:pPr>
      <w:r w:rsidRPr="00282E3D">
        <w:rPr>
          <w:lang w:val="en-US"/>
        </w:rPr>
        <w:t>KSSB Level 2:</w:t>
      </w:r>
    </w:p>
    <w:p w14:paraId="3B82A968" w14:textId="77777777" w:rsidR="000E05AD" w:rsidRPr="00282E3D" w:rsidRDefault="000E05AD" w:rsidP="000E05AD">
      <w:pPr>
        <w:pStyle w:val="Papardraft"/>
        <w:numPr>
          <w:ilvl w:val="0"/>
          <w:numId w:val="47"/>
        </w:numPr>
        <w:spacing w:line="276" w:lineRule="auto"/>
        <w:rPr>
          <w:lang w:val="en-US"/>
        </w:rPr>
      </w:pPr>
      <w:r w:rsidRPr="00282E3D">
        <w:rPr>
          <w:lang w:val="en-US"/>
        </w:rPr>
        <w:t>Lack of a documented order for a form of functional hemodynamic monitoring (as defined in the protocol) results in 1 point</w:t>
      </w:r>
    </w:p>
    <w:p w14:paraId="2DF8B0CD" w14:textId="747D40B7" w:rsidR="000E05AD" w:rsidRPr="00282E3D" w:rsidRDefault="000E05AD" w:rsidP="000E05AD">
      <w:pPr>
        <w:pStyle w:val="Papardraft"/>
        <w:numPr>
          <w:ilvl w:val="0"/>
          <w:numId w:val="45"/>
        </w:numPr>
        <w:spacing w:line="276" w:lineRule="auto"/>
        <w:rPr>
          <w:lang w:val="en-US"/>
        </w:rPr>
      </w:pPr>
      <w:r w:rsidRPr="00282E3D">
        <w:rPr>
          <w:lang w:val="en-US"/>
        </w:rPr>
        <w:t>KSSB Level 3:</w:t>
      </w:r>
    </w:p>
    <w:p w14:paraId="00D0CD06" w14:textId="06D4A46C" w:rsidR="007E38EA" w:rsidRPr="00282E3D" w:rsidRDefault="007E38EA" w:rsidP="000E05AD">
      <w:pPr>
        <w:pStyle w:val="Papardraft"/>
        <w:numPr>
          <w:ilvl w:val="0"/>
          <w:numId w:val="48"/>
        </w:numPr>
        <w:spacing w:line="276" w:lineRule="auto"/>
        <w:rPr>
          <w:lang w:val="en-US"/>
        </w:rPr>
      </w:pPr>
      <w:r w:rsidRPr="00282E3D">
        <w:rPr>
          <w:lang w:val="en-US"/>
        </w:rPr>
        <w:t xml:space="preserve">Lack of review </w:t>
      </w:r>
      <w:r w:rsidR="00F05B78" w:rsidRPr="00282E3D">
        <w:rPr>
          <w:lang w:val="en-US"/>
        </w:rPr>
        <w:t xml:space="preserve">of </w:t>
      </w:r>
      <w:r w:rsidRPr="00282E3D">
        <w:rPr>
          <w:lang w:val="en-US"/>
        </w:rPr>
        <w:t>the study subject’s kidney status with available hospital resources (e.g., consultation with nephrologist) results in 1 point</w:t>
      </w:r>
    </w:p>
    <w:p w14:paraId="0A718FD6" w14:textId="4E5F102C" w:rsidR="007E38EA" w:rsidRPr="00282E3D" w:rsidRDefault="007E38EA" w:rsidP="00486AAC">
      <w:pPr>
        <w:pStyle w:val="Papardraft"/>
        <w:numPr>
          <w:ilvl w:val="0"/>
          <w:numId w:val="48"/>
        </w:numPr>
        <w:spacing w:line="276" w:lineRule="auto"/>
        <w:rPr>
          <w:lang w:val="en-US"/>
        </w:rPr>
      </w:pPr>
      <w:r w:rsidRPr="00282E3D">
        <w:rPr>
          <w:lang w:val="en-US"/>
        </w:rPr>
        <w:t xml:space="preserve">Lack of review </w:t>
      </w:r>
      <w:r w:rsidR="00792563" w:rsidRPr="00282E3D">
        <w:rPr>
          <w:lang w:val="en-US"/>
        </w:rPr>
        <w:t xml:space="preserve">of </w:t>
      </w:r>
      <w:r w:rsidRPr="00282E3D">
        <w:rPr>
          <w:lang w:val="en-US"/>
        </w:rPr>
        <w:t>the study subject’s infectious disease management with available hospital resources (e.g., infectious disease specialist) results in 1 point</w:t>
      </w:r>
    </w:p>
    <w:p w14:paraId="27AE0231" w14:textId="77777777" w:rsidR="00F80B71" w:rsidRPr="00282E3D" w:rsidRDefault="00F80B71" w:rsidP="002D75CF">
      <w:pPr>
        <w:pStyle w:val="Papardraft"/>
        <w:spacing w:line="276" w:lineRule="auto"/>
        <w:ind w:firstLine="0"/>
        <w:rPr>
          <w:lang w:val="en-US"/>
        </w:rPr>
      </w:pPr>
    </w:p>
    <w:p w14:paraId="10852E14" w14:textId="7CCACC3E" w:rsidR="00C8255E" w:rsidRPr="00282E3D" w:rsidRDefault="00C8255E" w:rsidP="002D75CF">
      <w:pPr>
        <w:pStyle w:val="Papardraft"/>
        <w:spacing w:line="276" w:lineRule="auto"/>
        <w:ind w:firstLine="0"/>
        <w:rPr>
          <w:i/>
          <w:iCs/>
          <w:lang w:val="en-US"/>
        </w:rPr>
      </w:pPr>
      <w:r w:rsidRPr="00282E3D">
        <w:rPr>
          <w:i/>
          <w:iCs/>
          <w:lang w:val="en-US"/>
        </w:rPr>
        <w:t>Interim</w:t>
      </w:r>
      <w:r w:rsidR="006A529D" w:rsidRPr="00282E3D">
        <w:rPr>
          <w:i/>
          <w:iCs/>
          <w:lang w:val="en-US"/>
        </w:rPr>
        <w:t xml:space="preserve"> Analysis of Safety and Efficacy</w:t>
      </w:r>
      <w:r w:rsidRPr="00282E3D">
        <w:rPr>
          <w:i/>
          <w:iCs/>
          <w:lang w:val="en-US"/>
        </w:rPr>
        <w:t xml:space="preserve"> </w:t>
      </w:r>
    </w:p>
    <w:p w14:paraId="7B83790A" w14:textId="77777777" w:rsidR="00021FB5" w:rsidRPr="00282E3D" w:rsidRDefault="00C8255E" w:rsidP="002D75CF">
      <w:pPr>
        <w:pStyle w:val="Papardraft"/>
        <w:spacing w:line="276" w:lineRule="auto"/>
        <w:ind w:firstLine="0"/>
        <w:rPr>
          <w:lang w:val="en-US"/>
        </w:rPr>
      </w:pPr>
      <w:r w:rsidRPr="00282E3D">
        <w:rPr>
          <w:lang w:val="en-US"/>
        </w:rPr>
        <w:t xml:space="preserve">Interim safety reviews after 25%, 50%, and 75% of total enrollment will be performed by the DSMB. The DSMB may review, as necessary, enrollment and demographic information, medical history, SAEs/SADEs, and deaths in order to assess risk and benefit. Additional data may be requested by the DSMB in consultation with the unblinded statistician. The DSMB may receive data in aggregate and presented by treatment arm. </w:t>
      </w:r>
    </w:p>
    <w:p w14:paraId="58137B4E" w14:textId="5A11E4CD" w:rsidR="00C8255E" w:rsidRPr="00282E3D" w:rsidRDefault="00C8255E" w:rsidP="002D75CF">
      <w:pPr>
        <w:pStyle w:val="Papardraft"/>
        <w:spacing w:line="276" w:lineRule="auto"/>
        <w:ind w:firstLine="0"/>
        <w:rPr>
          <w:lang w:val="en-US"/>
        </w:rPr>
      </w:pPr>
      <w:r w:rsidRPr="00282E3D">
        <w:rPr>
          <w:lang w:val="en-US"/>
        </w:rPr>
        <w:t>If there are no safety issues at the evaluations after 25% and 75% of total enrollment, the study will continue, and there will be no formal comparison of the primary endpoint to a boundary value.</w:t>
      </w:r>
    </w:p>
    <w:p w14:paraId="43888495" w14:textId="0C1F626A" w:rsidR="004B5184" w:rsidRPr="00282E3D" w:rsidRDefault="006A529D" w:rsidP="002D75CF">
      <w:pPr>
        <w:pStyle w:val="Papardraft"/>
        <w:spacing w:line="276" w:lineRule="auto"/>
        <w:ind w:firstLine="0"/>
        <w:rPr>
          <w:lang w:val="en-US"/>
        </w:rPr>
      </w:pPr>
      <w:r w:rsidRPr="00282E3D">
        <w:rPr>
          <w:lang w:val="en-US"/>
        </w:rPr>
        <w:t>There will be one formal interim analysis for efficacy after 50% of the subjects (129 per arm) have been enrolled. The interim analysis will assess the assumptions used for sample size calculations, including rate of occurrence of the primary endpoint and frequency of enrolled subjects experiencing the primary endpoint.</w:t>
      </w:r>
    </w:p>
    <w:p w14:paraId="2B0F36A7" w14:textId="060D4AA7" w:rsidR="00F31524" w:rsidRPr="00282E3D" w:rsidRDefault="00F31524" w:rsidP="00F31524">
      <w:pPr>
        <w:pStyle w:val="Papardraft"/>
        <w:spacing w:line="276" w:lineRule="auto"/>
        <w:ind w:firstLine="0"/>
        <w:rPr>
          <w:lang w:val="en-US"/>
        </w:rPr>
      </w:pPr>
    </w:p>
    <w:p w14:paraId="6083E0A8" w14:textId="6B1B64BA" w:rsidR="00FD56E5" w:rsidRPr="00282E3D" w:rsidRDefault="00FD56E5" w:rsidP="0007263F">
      <w:pPr>
        <w:pStyle w:val="Papardraft"/>
        <w:spacing w:line="276" w:lineRule="auto"/>
        <w:ind w:firstLine="0"/>
        <w:outlineLvl w:val="1"/>
        <w:rPr>
          <w:b/>
          <w:bCs/>
          <w:lang w:val="en-US"/>
        </w:rPr>
      </w:pPr>
      <w:bookmarkStart w:id="89" w:name="_Toc59643486"/>
      <w:r w:rsidRPr="00282E3D">
        <w:rPr>
          <w:b/>
          <w:bCs/>
          <w:lang w:val="en-US"/>
        </w:rPr>
        <w:t>Process Evaluation</w:t>
      </w:r>
      <w:bookmarkEnd w:id="89"/>
    </w:p>
    <w:p w14:paraId="3E4E793A" w14:textId="6D140524" w:rsidR="00FD56E5" w:rsidRPr="00282E3D" w:rsidRDefault="00FD56E5" w:rsidP="00FD56E5">
      <w:pPr>
        <w:pStyle w:val="Papardraft"/>
        <w:spacing w:line="276" w:lineRule="auto"/>
        <w:ind w:firstLine="0"/>
        <w:rPr>
          <w:lang w:val="en-US"/>
        </w:rPr>
      </w:pPr>
      <w:r w:rsidRPr="00282E3D">
        <w:rPr>
          <w:lang w:val="en-US"/>
        </w:rPr>
        <w:t xml:space="preserve">Different steps have been </w:t>
      </w:r>
      <w:r w:rsidR="00456D91" w:rsidRPr="00282E3D">
        <w:rPr>
          <w:lang w:val="en-US"/>
        </w:rPr>
        <w:t>considered</w:t>
      </w:r>
      <w:r w:rsidRPr="00282E3D">
        <w:rPr>
          <w:lang w:val="en-US"/>
        </w:rPr>
        <w:t xml:space="preserve"> to allow a proper process evaluation in the LAPIS trial.</w:t>
      </w:r>
      <w:r w:rsidR="00051742" w:rsidRPr="00282E3D">
        <w:rPr>
          <w:lang w:val="en-US"/>
        </w:rPr>
        <w:t xml:space="preserve"> Using these steps, we will evaluate both the extent to which the process was followed and the impact of the complex intervention.</w:t>
      </w:r>
    </w:p>
    <w:p w14:paraId="638D8AFF" w14:textId="77777777" w:rsidR="00FD56E5" w:rsidRPr="00282E3D" w:rsidRDefault="00FD56E5" w:rsidP="00FD56E5">
      <w:pPr>
        <w:pStyle w:val="Papardraft"/>
        <w:spacing w:line="276" w:lineRule="auto"/>
        <w:rPr>
          <w:lang w:val="en-US"/>
        </w:rPr>
      </w:pPr>
    </w:p>
    <w:p w14:paraId="481A4C2D" w14:textId="77777777" w:rsidR="00FD56E5" w:rsidRPr="00282E3D" w:rsidRDefault="00FD56E5" w:rsidP="00FD56E5">
      <w:pPr>
        <w:pStyle w:val="Papardraft"/>
        <w:spacing w:line="276" w:lineRule="auto"/>
        <w:ind w:firstLine="0"/>
        <w:rPr>
          <w:i/>
          <w:iCs/>
          <w:lang w:val="en-US"/>
        </w:rPr>
      </w:pPr>
      <w:r w:rsidRPr="00282E3D">
        <w:rPr>
          <w:i/>
          <w:iCs/>
          <w:lang w:val="en-US"/>
        </w:rPr>
        <w:t>Planning</w:t>
      </w:r>
    </w:p>
    <w:p w14:paraId="33E937A2" w14:textId="77777777" w:rsidR="00FD56E5" w:rsidRPr="00282E3D" w:rsidRDefault="00FD56E5" w:rsidP="00FD56E5">
      <w:pPr>
        <w:pStyle w:val="Papardraft"/>
        <w:spacing w:line="276" w:lineRule="auto"/>
        <w:ind w:firstLine="0"/>
        <w:rPr>
          <w:lang w:val="en-US"/>
        </w:rPr>
      </w:pPr>
      <w:r w:rsidRPr="00282E3D">
        <w:rPr>
          <w:lang w:val="en-US"/>
        </w:rPr>
        <w:t>In the planning phase of the trial, a Science Committee (SC) composed by members from the sponsor company (bioMérieux SA, Marcy l’Etoile, France) and international experts in the field of critical care nephrology was established to design the trial and help during all the trial processes. A principal investigator was designated to oversight the trial.</w:t>
      </w:r>
    </w:p>
    <w:p w14:paraId="79E5EA46" w14:textId="77777777" w:rsidR="00FD56E5" w:rsidRPr="00282E3D" w:rsidRDefault="00FD56E5" w:rsidP="00FD56E5">
      <w:pPr>
        <w:pStyle w:val="Papardraft"/>
        <w:spacing w:line="276" w:lineRule="auto"/>
        <w:ind w:firstLine="0"/>
        <w:rPr>
          <w:i/>
          <w:iCs/>
          <w:lang w:val="en-US"/>
        </w:rPr>
      </w:pPr>
    </w:p>
    <w:p w14:paraId="1508212A" w14:textId="5BD0F222" w:rsidR="00FD56E5" w:rsidRPr="00282E3D" w:rsidRDefault="00FD56E5" w:rsidP="00FD56E5">
      <w:pPr>
        <w:pStyle w:val="Papardraft"/>
        <w:spacing w:line="276" w:lineRule="auto"/>
        <w:ind w:firstLine="0"/>
        <w:rPr>
          <w:i/>
          <w:iCs/>
          <w:lang w:val="en-US"/>
        </w:rPr>
      </w:pPr>
      <w:r w:rsidRPr="00282E3D">
        <w:rPr>
          <w:i/>
          <w:iCs/>
          <w:lang w:val="en-US"/>
        </w:rPr>
        <w:t>Design and conduct</w:t>
      </w:r>
    </w:p>
    <w:p w14:paraId="6BC8CA3A" w14:textId="77777777" w:rsidR="00FD56E5" w:rsidRPr="00282E3D" w:rsidRDefault="00FD56E5" w:rsidP="00FD56E5">
      <w:pPr>
        <w:pStyle w:val="Papardraft"/>
        <w:spacing w:line="276" w:lineRule="auto"/>
        <w:ind w:firstLine="0"/>
        <w:rPr>
          <w:lang w:val="en-US"/>
        </w:rPr>
      </w:pPr>
      <w:r w:rsidRPr="00282E3D">
        <w:rPr>
          <w:lang w:val="en-US"/>
        </w:rPr>
        <w:t xml:space="preserve">Regarding the design, previous scientific evidence and unmet clinical needs were assessed by the SC to better define the aim and the design of the study. Then a protocol clearly describing the rationale, the intervention and the methodology of the trial was prepared. </w:t>
      </w:r>
    </w:p>
    <w:p w14:paraId="73ECFD87" w14:textId="0C72BC51" w:rsidR="00FD56E5" w:rsidRPr="00282E3D" w:rsidRDefault="00FD56E5" w:rsidP="00FD56E5">
      <w:pPr>
        <w:pStyle w:val="Papardraft"/>
        <w:spacing w:line="276" w:lineRule="auto"/>
        <w:ind w:firstLine="0"/>
        <w:rPr>
          <w:lang w:val="en-US"/>
        </w:rPr>
      </w:pPr>
      <w:r w:rsidRPr="00282E3D">
        <w:rPr>
          <w:lang w:val="en-US"/>
        </w:rPr>
        <w:lastRenderedPageBreak/>
        <w:t>The trial will be multicenter</w:t>
      </w:r>
      <w:r w:rsidR="00373368" w:rsidRPr="00282E3D">
        <w:rPr>
          <w:lang w:val="en-US"/>
        </w:rPr>
        <w:t xml:space="preserve">, with multiple </w:t>
      </w:r>
      <w:r w:rsidRPr="00282E3D">
        <w:rPr>
          <w:lang w:val="en-US"/>
        </w:rPr>
        <w:t>study sites across different countries both in the United States and Europe, to allow an international validation.</w:t>
      </w:r>
    </w:p>
    <w:p w14:paraId="65C729DD" w14:textId="009EC40F" w:rsidR="00FD56E5" w:rsidRPr="00282E3D" w:rsidRDefault="00FD56E5" w:rsidP="00FD56E5">
      <w:pPr>
        <w:pStyle w:val="Papardraft"/>
        <w:spacing w:line="276" w:lineRule="auto"/>
        <w:ind w:firstLine="0"/>
        <w:rPr>
          <w:lang w:val="en-US"/>
        </w:rPr>
      </w:pPr>
      <w:r w:rsidRPr="00282E3D">
        <w:rPr>
          <w:lang w:val="en-US"/>
        </w:rPr>
        <w:t>The study will be conducted and data generated, documented, and reported in compliance with the protocol that follows Good Clinical Practice (GCP), and applicable regulatory requirements. This study will be conducted in accordance with the provisions of the Declaration of Helsinki (October 2008) and the ICH guidelines on GCP. Approval of the protocol was obtained from institutional review boards/research ethics boards/independent ethics committees according to country regulations. The trial was also registered on clinicaltrials.gov (#NCT04434209).</w:t>
      </w:r>
    </w:p>
    <w:p w14:paraId="74E3A229" w14:textId="77777777" w:rsidR="00FD56E5" w:rsidRPr="00282E3D" w:rsidRDefault="00FD56E5" w:rsidP="00FD56E5">
      <w:pPr>
        <w:pStyle w:val="Papardraft"/>
        <w:spacing w:line="276" w:lineRule="auto"/>
        <w:ind w:firstLine="0"/>
        <w:rPr>
          <w:i/>
          <w:iCs/>
          <w:lang w:val="en-US"/>
        </w:rPr>
      </w:pPr>
    </w:p>
    <w:p w14:paraId="249DED03" w14:textId="14F422B1" w:rsidR="00FD56E5" w:rsidRPr="00282E3D" w:rsidRDefault="00FD56E5" w:rsidP="00FD56E5">
      <w:pPr>
        <w:pStyle w:val="Papardraft"/>
        <w:spacing w:line="276" w:lineRule="auto"/>
        <w:ind w:firstLine="0"/>
        <w:rPr>
          <w:i/>
          <w:iCs/>
          <w:lang w:val="en-US"/>
        </w:rPr>
      </w:pPr>
      <w:r w:rsidRPr="00282E3D">
        <w:rPr>
          <w:i/>
          <w:iCs/>
          <w:lang w:val="en-US"/>
        </w:rPr>
        <w:t>Data collection and analysis</w:t>
      </w:r>
    </w:p>
    <w:p w14:paraId="599A4AE1" w14:textId="7A027009" w:rsidR="00FD56E5" w:rsidRPr="00282E3D" w:rsidRDefault="00FD56E5" w:rsidP="00FD56E5">
      <w:pPr>
        <w:pStyle w:val="Papardraft"/>
        <w:spacing w:line="276" w:lineRule="auto"/>
        <w:ind w:firstLine="0"/>
        <w:rPr>
          <w:lang w:val="en-US"/>
        </w:rPr>
      </w:pPr>
      <w:r w:rsidRPr="00282E3D">
        <w:rPr>
          <w:lang w:val="en-US"/>
        </w:rPr>
        <w:t>Data will be collected similarly for intervention and control arms including demographic, medical history, interventions (also in the control arm, if activities similar to the interventions are performed, they will be reported</w:t>
      </w:r>
      <w:r w:rsidR="00373368" w:rsidRPr="00282E3D">
        <w:rPr>
          <w:lang w:val="en-US"/>
        </w:rPr>
        <w:t xml:space="preserve"> in the eCRF</w:t>
      </w:r>
      <w:r w:rsidRPr="00282E3D">
        <w:rPr>
          <w:lang w:val="en-US"/>
        </w:rPr>
        <w:t>). Collection of samples and data will be performed at different timepoints, according to the protocol and trial design. A central laboratory will be used to evaluate in a homogeneous way serum creatinine values for outcome assessment. [TIMP-2]•[IGFBP7] values will be collected on the control arm (results masked to investigators) as well as intervention arm so that we will be able to evaluate the extent to which knowledge of the result drove implementation</w:t>
      </w:r>
      <w:r w:rsidR="00DD739D" w:rsidRPr="00282E3D">
        <w:rPr>
          <w:lang w:val="en-US"/>
        </w:rPr>
        <w:t xml:space="preserve"> of interventions</w:t>
      </w:r>
      <w:r w:rsidRPr="00282E3D">
        <w:rPr>
          <w:lang w:val="en-US"/>
        </w:rPr>
        <w:t>. Protocol adherence will be assessed through a score allowing determination of overall as well as individual intervention adherence. A detailed analysis plan was prepared in advance describing the intention-to-treat analysis, the sample size calculation, the analysis of the endpoints, the planned sub-group analysis, as well as the interim safety and efficacy analysis at pre-specified enrollment rates.</w:t>
      </w:r>
    </w:p>
    <w:p w14:paraId="11DFC702" w14:textId="77777777" w:rsidR="00FD56E5" w:rsidRPr="00282E3D" w:rsidRDefault="00FD56E5" w:rsidP="00FD56E5">
      <w:pPr>
        <w:pStyle w:val="Papardraft"/>
        <w:spacing w:line="276" w:lineRule="auto"/>
        <w:ind w:firstLine="0"/>
        <w:rPr>
          <w:lang w:val="en-US"/>
        </w:rPr>
      </w:pPr>
    </w:p>
    <w:p w14:paraId="0F377BD3" w14:textId="0024766C" w:rsidR="00FD56E5" w:rsidRPr="00282E3D" w:rsidRDefault="00FD56E5" w:rsidP="00FD56E5">
      <w:pPr>
        <w:pStyle w:val="Papardraft"/>
        <w:spacing w:line="276" w:lineRule="auto"/>
        <w:ind w:firstLine="0"/>
        <w:rPr>
          <w:i/>
          <w:iCs/>
          <w:lang w:val="en-US"/>
        </w:rPr>
      </w:pPr>
      <w:r w:rsidRPr="00282E3D">
        <w:rPr>
          <w:i/>
          <w:iCs/>
          <w:lang w:val="en-US"/>
        </w:rPr>
        <w:t>Reporting</w:t>
      </w:r>
    </w:p>
    <w:p w14:paraId="46F5A090" w14:textId="2243A6FE" w:rsidR="00FD56E5" w:rsidRPr="00282E3D" w:rsidRDefault="00FD56E5" w:rsidP="00FD56E5">
      <w:pPr>
        <w:pStyle w:val="Papardraft"/>
        <w:spacing w:line="276" w:lineRule="auto"/>
        <w:ind w:firstLine="0"/>
        <w:rPr>
          <w:lang w:val="en-US"/>
        </w:rPr>
      </w:pPr>
      <w:r w:rsidRPr="00282E3D">
        <w:rPr>
          <w:lang w:val="en-US"/>
        </w:rPr>
        <w:t>After completion of the study, the data will be considered for reporting at a scientific meeting and/or for publication in an international peer-reviewed scientific journal. We will report the results of our trial following the international guidelines for publication of randomized controlled trial (e.g., CONSORT 2010 statement).</w:t>
      </w:r>
    </w:p>
    <w:sectPr w:rsidR="00FD56E5" w:rsidRPr="00282E3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625B" w14:textId="77777777" w:rsidR="008278F0" w:rsidRDefault="008278F0" w:rsidP="00D05586">
      <w:pPr>
        <w:spacing w:after="0" w:line="240" w:lineRule="auto"/>
      </w:pPr>
      <w:r>
        <w:separator/>
      </w:r>
    </w:p>
  </w:endnote>
  <w:endnote w:type="continuationSeparator" w:id="0">
    <w:p w14:paraId="0DE0CEEF" w14:textId="77777777" w:rsidR="008278F0" w:rsidRDefault="008278F0" w:rsidP="00D0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73067"/>
      <w:docPartObj>
        <w:docPartGallery w:val="Page Numbers (Bottom of Page)"/>
        <w:docPartUnique/>
      </w:docPartObj>
    </w:sdtPr>
    <w:sdtEndPr/>
    <w:sdtContent>
      <w:p w14:paraId="31901C6E" w14:textId="107759E5" w:rsidR="00767C64" w:rsidRDefault="00767C64">
        <w:pPr>
          <w:pStyle w:val="Footer"/>
          <w:jc w:val="center"/>
        </w:pPr>
        <w:r>
          <w:fldChar w:fldCharType="begin"/>
        </w:r>
        <w:r>
          <w:instrText>PAGE   \* MERGEFORMAT</w:instrText>
        </w:r>
        <w:r>
          <w:fldChar w:fldCharType="separate"/>
        </w:r>
        <w:r w:rsidRPr="00C51BF3">
          <w:rPr>
            <w:noProof/>
            <w:lang w:val="it-IT"/>
          </w:rPr>
          <w:t>28</w:t>
        </w:r>
        <w:r>
          <w:fldChar w:fldCharType="end"/>
        </w:r>
      </w:p>
    </w:sdtContent>
  </w:sdt>
  <w:p w14:paraId="33E51E1B" w14:textId="77777777" w:rsidR="00767C64" w:rsidRDefault="0076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E2FDF" w14:textId="77777777" w:rsidR="008278F0" w:rsidRDefault="008278F0" w:rsidP="00D05586">
      <w:pPr>
        <w:spacing w:after="0" w:line="240" w:lineRule="auto"/>
      </w:pPr>
      <w:r>
        <w:separator/>
      </w:r>
    </w:p>
  </w:footnote>
  <w:footnote w:type="continuationSeparator" w:id="0">
    <w:p w14:paraId="5C7D4CEF" w14:textId="77777777" w:rsidR="008278F0" w:rsidRDefault="008278F0" w:rsidP="00D05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B5F"/>
    <w:multiLevelType w:val="hybridMultilevel"/>
    <w:tmpl w:val="9EC0D2EA"/>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B39FF"/>
    <w:multiLevelType w:val="hybridMultilevel"/>
    <w:tmpl w:val="7862E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F1492"/>
    <w:multiLevelType w:val="hybridMultilevel"/>
    <w:tmpl w:val="972C1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6E3974"/>
    <w:multiLevelType w:val="hybridMultilevel"/>
    <w:tmpl w:val="917823CA"/>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0358BF"/>
    <w:multiLevelType w:val="hybridMultilevel"/>
    <w:tmpl w:val="A82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A482F"/>
    <w:multiLevelType w:val="hybridMultilevel"/>
    <w:tmpl w:val="481EF78C"/>
    <w:lvl w:ilvl="0" w:tplc="49B03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31739"/>
    <w:multiLevelType w:val="hybridMultilevel"/>
    <w:tmpl w:val="26829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45A81"/>
    <w:multiLevelType w:val="hybridMultilevel"/>
    <w:tmpl w:val="AC6E7A5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7A2CB6"/>
    <w:multiLevelType w:val="hybridMultilevel"/>
    <w:tmpl w:val="E3B2B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F43329"/>
    <w:multiLevelType w:val="hybridMultilevel"/>
    <w:tmpl w:val="C32289E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4F40EE"/>
    <w:multiLevelType w:val="hybridMultilevel"/>
    <w:tmpl w:val="4D82E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CC29CA"/>
    <w:multiLevelType w:val="hybridMultilevel"/>
    <w:tmpl w:val="DB24B14C"/>
    <w:lvl w:ilvl="0" w:tplc="79CA95CC">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7216F"/>
    <w:multiLevelType w:val="hybridMultilevel"/>
    <w:tmpl w:val="D32CC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520F83"/>
    <w:multiLevelType w:val="hybridMultilevel"/>
    <w:tmpl w:val="8744A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D3430F"/>
    <w:multiLevelType w:val="hybridMultilevel"/>
    <w:tmpl w:val="A3A0A05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0032A1"/>
    <w:multiLevelType w:val="hybridMultilevel"/>
    <w:tmpl w:val="03A2B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D27D13"/>
    <w:multiLevelType w:val="hybridMultilevel"/>
    <w:tmpl w:val="3B8E3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A2A36"/>
    <w:multiLevelType w:val="hybridMultilevel"/>
    <w:tmpl w:val="37F653A6"/>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A2066"/>
    <w:multiLevelType w:val="hybridMultilevel"/>
    <w:tmpl w:val="55864BE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2F0A13"/>
    <w:multiLevelType w:val="hybridMultilevel"/>
    <w:tmpl w:val="3CBED12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8E141E"/>
    <w:multiLevelType w:val="hybridMultilevel"/>
    <w:tmpl w:val="E31E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00344"/>
    <w:multiLevelType w:val="hybridMultilevel"/>
    <w:tmpl w:val="027224B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8795D"/>
    <w:multiLevelType w:val="hybridMultilevel"/>
    <w:tmpl w:val="5B2069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D5B657F"/>
    <w:multiLevelType w:val="hybridMultilevel"/>
    <w:tmpl w:val="CD862A34"/>
    <w:name w:val="List Bulleted"/>
    <w:lvl w:ilvl="0" w:tplc="736EA70E">
      <w:start w:val="1"/>
      <w:numFmt w:val="bullet"/>
      <w:pStyle w:val="ListBulleted"/>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490E86"/>
    <w:multiLevelType w:val="hybridMultilevel"/>
    <w:tmpl w:val="AAC61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2F3F51"/>
    <w:multiLevelType w:val="hybridMultilevel"/>
    <w:tmpl w:val="A914E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DE4AE5"/>
    <w:multiLevelType w:val="hybridMultilevel"/>
    <w:tmpl w:val="0B0E872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6F7A06"/>
    <w:multiLevelType w:val="hybridMultilevel"/>
    <w:tmpl w:val="354AD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30024"/>
    <w:multiLevelType w:val="hybridMultilevel"/>
    <w:tmpl w:val="45066A1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1D52F7"/>
    <w:multiLevelType w:val="hybridMultilevel"/>
    <w:tmpl w:val="378C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980142"/>
    <w:multiLevelType w:val="hybridMultilevel"/>
    <w:tmpl w:val="028C1C7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1125FD"/>
    <w:multiLevelType w:val="hybridMultilevel"/>
    <w:tmpl w:val="278A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F27845"/>
    <w:multiLevelType w:val="hybridMultilevel"/>
    <w:tmpl w:val="6248C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EE7B28"/>
    <w:multiLevelType w:val="hybridMultilevel"/>
    <w:tmpl w:val="0F5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97863"/>
    <w:multiLevelType w:val="multilevel"/>
    <w:tmpl w:val="9E4EAA30"/>
    <w:lvl w:ilvl="0">
      <w:start w:val="1"/>
      <w:numFmt w:val="decimal"/>
      <w:lvlRestart w:val="0"/>
      <w:pStyle w:val="Heading1"/>
      <w:lvlText w:val="%1"/>
      <w:lvlJc w:val="left"/>
      <w:pPr>
        <w:ind w:left="281" w:hanging="281"/>
      </w:pPr>
      <w:rPr>
        <w:rFonts w:hint="default"/>
      </w:rPr>
    </w:lvl>
    <w:lvl w:ilvl="1">
      <w:start w:val="1"/>
      <w:numFmt w:val="decimal"/>
      <w:pStyle w:val="Heading2"/>
      <w:lvlText w:val="%1.%2"/>
      <w:lvlJc w:val="left"/>
      <w:pPr>
        <w:ind w:left="533" w:hanging="533"/>
      </w:pPr>
      <w:rPr>
        <w:rFonts w:hint="default"/>
      </w:rPr>
    </w:lvl>
    <w:lvl w:ilvl="2">
      <w:start w:val="1"/>
      <w:numFmt w:val="decimal"/>
      <w:pStyle w:val="Heading3"/>
      <w:lvlText w:val="%1.%2.%3"/>
      <w:lvlJc w:val="left"/>
      <w:pPr>
        <w:ind w:left="770" w:hanging="770"/>
      </w:pPr>
      <w:rPr>
        <w:rFonts w:hint="default"/>
      </w:rPr>
    </w:lvl>
    <w:lvl w:ilvl="3">
      <w:start w:val="1"/>
      <w:numFmt w:val="decimal"/>
      <w:pStyle w:val="Heading4"/>
      <w:lvlText w:val="%1.%2.%3.%4"/>
      <w:lvlJc w:val="left"/>
      <w:pPr>
        <w:ind w:left="994" w:hanging="994"/>
      </w:pPr>
      <w:rPr>
        <w:rFonts w:hint="default"/>
      </w:rPr>
    </w:lvl>
    <w:lvl w:ilvl="4">
      <w:start w:val="1"/>
      <w:numFmt w:val="decimal"/>
      <w:pStyle w:val="Heading5"/>
      <w:lvlText w:val="%1.%2.%3.%4.%5"/>
      <w:lvlJc w:val="left"/>
      <w:pPr>
        <w:ind w:left="1202" w:hanging="1202"/>
      </w:pPr>
      <w:rPr>
        <w:rFonts w:hint="default"/>
      </w:rPr>
    </w:lvl>
    <w:lvl w:ilvl="5">
      <w:start w:val="1"/>
      <w:numFmt w:val="decimal"/>
      <w:pStyle w:val="Heading6"/>
      <w:lvlText w:val="%1.%2.%3.%4.%5.%6"/>
      <w:lvlJc w:val="left"/>
      <w:pPr>
        <w:ind w:left="1397" w:hanging="1397"/>
      </w:pPr>
      <w:rPr>
        <w:rFonts w:hint="default"/>
      </w:rPr>
    </w:lvl>
    <w:lvl w:ilvl="6">
      <w:start w:val="1"/>
      <w:numFmt w:val="decimal"/>
      <w:pStyle w:val="Heading7"/>
      <w:lvlText w:val="%1.%2.%3.%4.%5.%6.%7"/>
      <w:lvlJc w:val="left"/>
      <w:pPr>
        <w:ind w:left="1577" w:hanging="1577"/>
      </w:pPr>
      <w:rPr>
        <w:rFonts w:hint="default"/>
      </w:rPr>
    </w:lvl>
    <w:lvl w:ilvl="7">
      <w:start w:val="1"/>
      <w:numFmt w:val="decimal"/>
      <w:pStyle w:val="Heading8"/>
      <w:lvlText w:val="%1.%2.%3.%4.%5.%6.%7.%8"/>
      <w:lvlJc w:val="left"/>
      <w:pPr>
        <w:ind w:left="1742" w:hanging="1742"/>
      </w:pPr>
      <w:rPr>
        <w:rFonts w:hint="default"/>
      </w:rPr>
    </w:lvl>
    <w:lvl w:ilvl="8">
      <w:start w:val="1"/>
      <w:numFmt w:val="decimal"/>
      <w:pStyle w:val="Heading9"/>
      <w:lvlText w:val="%1.%2.%3.%4.%5.%6.%7.%8.%9"/>
      <w:lvlJc w:val="left"/>
      <w:pPr>
        <w:ind w:left="1894" w:hanging="1894"/>
      </w:pPr>
      <w:rPr>
        <w:rFonts w:hint="default"/>
      </w:rPr>
    </w:lvl>
  </w:abstractNum>
  <w:abstractNum w:abstractNumId="35" w15:restartNumberingAfterBreak="0">
    <w:nsid w:val="68177991"/>
    <w:multiLevelType w:val="hybridMultilevel"/>
    <w:tmpl w:val="1D0C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11EC9"/>
    <w:multiLevelType w:val="hybridMultilevel"/>
    <w:tmpl w:val="5D2CF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A7F7F"/>
    <w:multiLevelType w:val="hybridMultilevel"/>
    <w:tmpl w:val="E3C0F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8E7B25"/>
    <w:multiLevelType w:val="multilevel"/>
    <w:tmpl w:val="0E845F2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b/>
        <w:bCs w:val="0"/>
        <w:sz w:val="24"/>
        <w:szCs w:val="24"/>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0A4717"/>
    <w:multiLevelType w:val="hybridMultilevel"/>
    <w:tmpl w:val="F9D61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22CB6"/>
    <w:multiLevelType w:val="hybridMultilevel"/>
    <w:tmpl w:val="E114373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C26B20"/>
    <w:multiLevelType w:val="hybridMultilevel"/>
    <w:tmpl w:val="EE4A4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4041B9"/>
    <w:multiLevelType w:val="hybridMultilevel"/>
    <w:tmpl w:val="3DBA6F7A"/>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D50892"/>
    <w:multiLevelType w:val="hybridMultilevel"/>
    <w:tmpl w:val="D51AFB9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E3173D"/>
    <w:multiLevelType w:val="hybridMultilevel"/>
    <w:tmpl w:val="8B8C1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E3376B"/>
    <w:multiLevelType w:val="hybridMultilevel"/>
    <w:tmpl w:val="77625AD6"/>
    <w:lvl w:ilvl="0" w:tplc="57D8718E">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5977"/>
    <w:multiLevelType w:val="hybridMultilevel"/>
    <w:tmpl w:val="EF7AA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36A65"/>
    <w:multiLevelType w:val="hybridMultilevel"/>
    <w:tmpl w:val="C7F8F566"/>
    <w:lvl w:ilvl="0" w:tplc="F24AA86E">
      <w:start w:val="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9"/>
  </w:num>
  <w:num w:numId="4">
    <w:abstractNumId w:val="42"/>
  </w:num>
  <w:num w:numId="5">
    <w:abstractNumId w:val="0"/>
  </w:num>
  <w:num w:numId="6">
    <w:abstractNumId w:val="21"/>
  </w:num>
  <w:num w:numId="7">
    <w:abstractNumId w:val="3"/>
  </w:num>
  <w:num w:numId="8">
    <w:abstractNumId w:val="28"/>
  </w:num>
  <w:num w:numId="9">
    <w:abstractNumId w:val="26"/>
  </w:num>
  <w:num w:numId="10">
    <w:abstractNumId w:val="43"/>
  </w:num>
  <w:num w:numId="11">
    <w:abstractNumId w:val="19"/>
  </w:num>
  <w:num w:numId="12">
    <w:abstractNumId w:val="27"/>
  </w:num>
  <w:num w:numId="13">
    <w:abstractNumId w:val="15"/>
  </w:num>
  <w:num w:numId="14">
    <w:abstractNumId w:val="31"/>
  </w:num>
  <w:num w:numId="15">
    <w:abstractNumId w:val="41"/>
  </w:num>
  <w:num w:numId="16">
    <w:abstractNumId w:val="37"/>
  </w:num>
  <w:num w:numId="17">
    <w:abstractNumId w:val="10"/>
  </w:num>
  <w:num w:numId="18">
    <w:abstractNumId w:val="12"/>
  </w:num>
  <w:num w:numId="19">
    <w:abstractNumId w:val="14"/>
  </w:num>
  <w:num w:numId="20">
    <w:abstractNumId w:val="18"/>
  </w:num>
  <w:num w:numId="21">
    <w:abstractNumId w:val="7"/>
  </w:num>
  <w:num w:numId="22">
    <w:abstractNumId w:val="40"/>
  </w:num>
  <w:num w:numId="23">
    <w:abstractNumId w:val="30"/>
  </w:num>
  <w:num w:numId="24">
    <w:abstractNumId w:val="25"/>
  </w:num>
  <w:num w:numId="25">
    <w:abstractNumId w:val="38"/>
  </w:num>
  <w:num w:numId="26">
    <w:abstractNumId w:val="8"/>
  </w:num>
  <w:num w:numId="27">
    <w:abstractNumId w:val="44"/>
  </w:num>
  <w:num w:numId="28">
    <w:abstractNumId w:val="1"/>
  </w:num>
  <w:num w:numId="29">
    <w:abstractNumId w:val="36"/>
  </w:num>
  <w:num w:numId="30">
    <w:abstractNumId w:val="6"/>
  </w:num>
  <w:num w:numId="31">
    <w:abstractNumId w:val="16"/>
  </w:num>
  <w:num w:numId="32">
    <w:abstractNumId w:val="24"/>
  </w:num>
  <w:num w:numId="33">
    <w:abstractNumId w:val="46"/>
  </w:num>
  <w:num w:numId="34">
    <w:abstractNumId w:val="22"/>
  </w:num>
  <w:num w:numId="35">
    <w:abstractNumId w:val="2"/>
  </w:num>
  <w:num w:numId="36">
    <w:abstractNumId w:val="29"/>
  </w:num>
  <w:num w:numId="37">
    <w:abstractNumId w:val="32"/>
  </w:num>
  <w:num w:numId="38">
    <w:abstractNumId w:val="17"/>
  </w:num>
  <w:num w:numId="39">
    <w:abstractNumId w:val="5"/>
  </w:num>
  <w:num w:numId="40">
    <w:abstractNumId w:val="33"/>
  </w:num>
  <w:num w:numId="41">
    <w:abstractNumId w:val="4"/>
  </w:num>
  <w:num w:numId="42">
    <w:abstractNumId w:val="35"/>
  </w:num>
  <w:num w:numId="43">
    <w:abstractNumId w:val="13"/>
  </w:num>
  <w:num w:numId="44">
    <w:abstractNumId w:val="20"/>
  </w:num>
  <w:num w:numId="45">
    <w:abstractNumId w:val="39"/>
  </w:num>
  <w:num w:numId="46">
    <w:abstractNumId w:val="47"/>
  </w:num>
  <w:num w:numId="47">
    <w:abstractNumId w:val="11"/>
  </w:num>
  <w:num w:numId="48">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DE2MDOyNDQ0MTRW0lEKTi0uzszPAykwqgUANxEJi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07C1"/>
    <w:rsid w:val="00003CE8"/>
    <w:rsid w:val="00004EE9"/>
    <w:rsid w:val="00010C3E"/>
    <w:rsid w:val="00021FB5"/>
    <w:rsid w:val="00022BE3"/>
    <w:rsid w:val="0002389B"/>
    <w:rsid w:val="00023B8E"/>
    <w:rsid w:val="00024053"/>
    <w:rsid w:val="000348C3"/>
    <w:rsid w:val="00043D1C"/>
    <w:rsid w:val="000468BE"/>
    <w:rsid w:val="00051742"/>
    <w:rsid w:val="0005423E"/>
    <w:rsid w:val="00057C15"/>
    <w:rsid w:val="00062275"/>
    <w:rsid w:val="00065C7D"/>
    <w:rsid w:val="00070AAB"/>
    <w:rsid w:val="0007263F"/>
    <w:rsid w:val="00075858"/>
    <w:rsid w:val="00080156"/>
    <w:rsid w:val="00080DC2"/>
    <w:rsid w:val="00085A98"/>
    <w:rsid w:val="0009067A"/>
    <w:rsid w:val="00092338"/>
    <w:rsid w:val="000A0362"/>
    <w:rsid w:val="000A2FC4"/>
    <w:rsid w:val="000A31F8"/>
    <w:rsid w:val="000A375E"/>
    <w:rsid w:val="000A62EF"/>
    <w:rsid w:val="000A6FA1"/>
    <w:rsid w:val="000C1D76"/>
    <w:rsid w:val="000C4765"/>
    <w:rsid w:val="000D2E36"/>
    <w:rsid w:val="000D4626"/>
    <w:rsid w:val="000D6AED"/>
    <w:rsid w:val="000E05AD"/>
    <w:rsid w:val="000E0BA2"/>
    <w:rsid w:val="000E0D09"/>
    <w:rsid w:val="000E3F1E"/>
    <w:rsid w:val="000F334C"/>
    <w:rsid w:val="00105942"/>
    <w:rsid w:val="00107E67"/>
    <w:rsid w:val="001130EF"/>
    <w:rsid w:val="00113E80"/>
    <w:rsid w:val="00114023"/>
    <w:rsid w:val="00114AE1"/>
    <w:rsid w:val="001228DD"/>
    <w:rsid w:val="00124E62"/>
    <w:rsid w:val="001271EB"/>
    <w:rsid w:val="00140FB9"/>
    <w:rsid w:val="00144EF6"/>
    <w:rsid w:val="001544DC"/>
    <w:rsid w:val="001545D6"/>
    <w:rsid w:val="00157C43"/>
    <w:rsid w:val="0016705E"/>
    <w:rsid w:val="00175B7A"/>
    <w:rsid w:val="00184FE6"/>
    <w:rsid w:val="0019369D"/>
    <w:rsid w:val="00194B3E"/>
    <w:rsid w:val="00197E31"/>
    <w:rsid w:val="001A2479"/>
    <w:rsid w:val="001B63ED"/>
    <w:rsid w:val="001C3F5F"/>
    <w:rsid w:val="001C5FC2"/>
    <w:rsid w:val="001D4C48"/>
    <w:rsid w:val="001E0D80"/>
    <w:rsid w:val="001E1BF0"/>
    <w:rsid w:val="001E3DB3"/>
    <w:rsid w:val="001F4633"/>
    <w:rsid w:val="002105BC"/>
    <w:rsid w:val="00212A7D"/>
    <w:rsid w:val="00213416"/>
    <w:rsid w:val="0021580A"/>
    <w:rsid w:val="00221787"/>
    <w:rsid w:val="00232DFE"/>
    <w:rsid w:val="0023399B"/>
    <w:rsid w:val="00233E2B"/>
    <w:rsid w:val="00235910"/>
    <w:rsid w:val="00244692"/>
    <w:rsid w:val="002463A6"/>
    <w:rsid w:val="00247878"/>
    <w:rsid w:val="00250D78"/>
    <w:rsid w:val="00261799"/>
    <w:rsid w:val="002632C8"/>
    <w:rsid w:val="00271F2F"/>
    <w:rsid w:val="002752D1"/>
    <w:rsid w:val="00275B96"/>
    <w:rsid w:val="002773C7"/>
    <w:rsid w:val="00282E3D"/>
    <w:rsid w:val="002A0B87"/>
    <w:rsid w:val="002A6119"/>
    <w:rsid w:val="002A7463"/>
    <w:rsid w:val="002B0515"/>
    <w:rsid w:val="002B0BC5"/>
    <w:rsid w:val="002B283E"/>
    <w:rsid w:val="002C2C00"/>
    <w:rsid w:val="002D0270"/>
    <w:rsid w:val="002D1828"/>
    <w:rsid w:val="002D733A"/>
    <w:rsid w:val="002D75CF"/>
    <w:rsid w:val="002E3029"/>
    <w:rsid w:val="002F3836"/>
    <w:rsid w:val="002F45BE"/>
    <w:rsid w:val="00311230"/>
    <w:rsid w:val="0031680F"/>
    <w:rsid w:val="00320FC5"/>
    <w:rsid w:val="00321900"/>
    <w:rsid w:val="00325BE5"/>
    <w:rsid w:val="00335D23"/>
    <w:rsid w:val="00340866"/>
    <w:rsid w:val="00343AE0"/>
    <w:rsid w:val="00343F27"/>
    <w:rsid w:val="00346405"/>
    <w:rsid w:val="003513EC"/>
    <w:rsid w:val="00362B3F"/>
    <w:rsid w:val="00363F59"/>
    <w:rsid w:val="00373368"/>
    <w:rsid w:val="0037471A"/>
    <w:rsid w:val="00377066"/>
    <w:rsid w:val="00377F89"/>
    <w:rsid w:val="003A303F"/>
    <w:rsid w:val="003A4039"/>
    <w:rsid w:val="003A6BEC"/>
    <w:rsid w:val="003B0443"/>
    <w:rsid w:val="003C5FBB"/>
    <w:rsid w:val="003E7476"/>
    <w:rsid w:val="003F63DC"/>
    <w:rsid w:val="00401557"/>
    <w:rsid w:val="0040550E"/>
    <w:rsid w:val="0041280B"/>
    <w:rsid w:val="00415409"/>
    <w:rsid w:val="00420675"/>
    <w:rsid w:val="004207C1"/>
    <w:rsid w:val="00422260"/>
    <w:rsid w:val="00435079"/>
    <w:rsid w:val="00443BD9"/>
    <w:rsid w:val="004503A2"/>
    <w:rsid w:val="00456D91"/>
    <w:rsid w:val="00461EEA"/>
    <w:rsid w:val="004709B3"/>
    <w:rsid w:val="004711A1"/>
    <w:rsid w:val="004800CF"/>
    <w:rsid w:val="0048084B"/>
    <w:rsid w:val="00486AAC"/>
    <w:rsid w:val="00490952"/>
    <w:rsid w:val="004B298E"/>
    <w:rsid w:val="004B5184"/>
    <w:rsid w:val="004C59A4"/>
    <w:rsid w:val="004D3096"/>
    <w:rsid w:val="004D6013"/>
    <w:rsid w:val="004E5E7F"/>
    <w:rsid w:val="005059D6"/>
    <w:rsid w:val="00512582"/>
    <w:rsid w:val="005135C1"/>
    <w:rsid w:val="00520224"/>
    <w:rsid w:val="00522348"/>
    <w:rsid w:val="00524006"/>
    <w:rsid w:val="00525DFA"/>
    <w:rsid w:val="00527088"/>
    <w:rsid w:val="00533358"/>
    <w:rsid w:val="00537740"/>
    <w:rsid w:val="0055638C"/>
    <w:rsid w:val="005610B4"/>
    <w:rsid w:val="00562BF1"/>
    <w:rsid w:val="00564874"/>
    <w:rsid w:val="005700BF"/>
    <w:rsid w:val="0057476E"/>
    <w:rsid w:val="00574CF8"/>
    <w:rsid w:val="00597AAB"/>
    <w:rsid w:val="005A4889"/>
    <w:rsid w:val="005B0F1D"/>
    <w:rsid w:val="005B483B"/>
    <w:rsid w:val="005E7E0A"/>
    <w:rsid w:val="005F1CAA"/>
    <w:rsid w:val="005F7A2D"/>
    <w:rsid w:val="00611443"/>
    <w:rsid w:val="006218B2"/>
    <w:rsid w:val="00624501"/>
    <w:rsid w:val="006245D0"/>
    <w:rsid w:val="00650925"/>
    <w:rsid w:val="00666B41"/>
    <w:rsid w:val="006674C9"/>
    <w:rsid w:val="00672B8C"/>
    <w:rsid w:val="0068298B"/>
    <w:rsid w:val="00683107"/>
    <w:rsid w:val="00691765"/>
    <w:rsid w:val="006A1C25"/>
    <w:rsid w:val="006A4B2E"/>
    <w:rsid w:val="006A529D"/>
    <w:rsid w:val="006A7C4E"/>
    <w:rsid w:val="006B17D8"/>
    <w:rsid w:val="006C39EB"/>
    <w:rsid w:val="006D6F5E"/>
    <w:rsid w:val="006D7DDF"/>
    <w:rsid w:val="006E4C83"/>
    <w:rsid w:val="006F00C0"/>
    <w:rsid w:val="006F065F"/>
    <w:rsid w:val="006F4173"/>
    <w:rsid w:val="006F6042"/>
    <w:rsid w:val="00700CC6"/>
    <w:rsid w:val="007109B6"/>
    <w:rsid w:val="00711DA1"/>
    <w:rsid w:val="00724172"/>
    <w:rsid w:val="00730267"/>
    <w:rsid w:val="0074215D"/>
    <w:rsid w:val="00742433"/>
    <w:rsid w:val="00754C55"/>
    <w:rsid w:val="00760042"/>
    <w:rsid w:val="00766974"/>
    <w:rsid w:val="00767C64"/>
    <w:rsid w:val="0077370B"/>
    <w:rsid w:val="00781764"/>
    <w:rsid w:val="00783062"/>
    <w:rsid w:val="00792563"/>
    <w:rsid w:val="00792E6F"/>
    <w:rsid w:val="00797B85"/>
    <w:rsid w:val="007B0380"/>
    <w:rsid w:val="007B1223"/>
    <w:rsid w:val="007B1856"/>
    <w:rsid w:val="007B4E9D"/>
    <w:rsid w:val="007B5CF5"/>
    <w:rsid w:val="007C2360"/>
    <w:rsid w:val="007C7253"/>
    <w:rsid w:val="007D028B"/>
    <w:rsid w:val="007D684E"/>
    <w:rsid w:val="007E0EB6"/>
    <w:rsid w:val="007E23CD"/>
    <w:rsid w:val="007E38EA"/>
    <w:rsid w:val="007E5B0B"/>
    <w:rsid w:val="008026A9"/>
    <w:rsid w:val="008034E8"/>
    <w:rsid w:val="008278F0"/>
    <w:rsid w:val="0084264F"/>
    <w:rsid w:val="00844444"/>
    <w:rsid w:val="00850A64"/>
    <w:rsid w:val="00852337"/>
    <w:rsid w:val="00856682"/>
    <w:rsid w:val="0085786A"/>
    <w:rsid w:val="00876CA2"/>
    <w:rsid w:val="00885514"/>
    <w:rsid w:val="00887A0A"/>
    <w:rsid w:val="00892AFF"/>
    <w:rsid w:val="008A606B"/>
    <w:rsid w:val="008B7241"/>
    <w:rsid w:val="008C6A82"/>
    <w:rsid w:val="008C72F0"/>
    <w:rsid w:val="00903FD8"/>
    <w:rsid w:val="00905477"/>
    <w:rsid w:val="00910C8B"/>
    <w:rsid w:val="00911D2A"/>
    <w:rsid w:val="0091466E"/>
    <w:rsid w:val="009147C8"/>
    <w:rsid w:val="009237E3"/>
    <w:rsid w:val="009258FD"/>
    <w:rsid w:val="009319E2"/>
    <w:rsid w:val="00932727"/>
    <w:rsid w:val="009331CE"/>
    <w:rsid w:val="009349C5"/>
    <w:rsid w:val="00945126"/>
    <w:rsid w:val="009507F8"/>
    <w:rsid w:val="00950EDC"/>
    <w:rsid w:val="0096337D"/>
    <w:rsid w:val="00964975"/>
    <w:rsid w:val="00965EDB"/>
    <w:rsid w:val="00972C59"/>
    <w:rsid w:val="00974A83"/>
    <w:rsid w:val="00986030"/>
    <w:rsid w:val="00987513"/>
    <w:rsid w:val="009A0890"/>
    <w:rsid w:val="009B58AA"/>
    <w:rsid w:val="009B6585"/>
    <w:rsid w:val="009C6D1D"/>
    <w:rsid w:val="009C6E99"/>
    <w:rsid w:val="009D0900"/>
    <w:rsid w:val="009D204F"/>
    <w:rsid w:val="009D241B"/>
    <w:rsid w:val="009D34BF"/>
    <w:rsid w:val="009D6A7A"/>
    <w:rsid w:val="009F0C41"/>
    <w:rsid w:val="009F0FF1"/>
    <w:rsid w:val="009F5954"/>
    <w:rsid w:val="00A26331"/>
    <w:rsid w:val="00A32ED2"/>
    <w:rsid w:val="00A4315B"/>
    <w:rsid w:val="00A4547A"/>
    <w:rsid w:val="00A53DC9"/>
    <w:rsid w:val="00A55AA4"/>
    <w:rsid w:val="00A5782B"/>
    <w:rsid w:val="00A6243A"/>
    <w:rsid w:val="00A76E53"/>
    <w:rsid w:val="00A804FB"/>
    <w:rsid w:val="00A81F2F"/>
    <w:rsid w:val="00A97A81"/>
    <w:rsid w:val="00AA1739"/>
    <w:rsid w:val="00AA232F"/>
    <w:rsid w:val="00AA630F"/>
    <w:rsid w:val="00AC4630"/>
    <w:rsid w:val="00AC7B45"/>
    <w:rsid w:val="00AD1F72"/>
    <w:rsid w:val="00AE331D"/>
    <w:rsid w:val="00AE4FE8"/>
    <w:rsid w:val="00AE5A2D"/>
    <w:rsid w:val="00AF1F9D"/>
    <w:rsid w:val="00AF7141"/>
    <w:rsid w:val="00B1494B"/>
    <w:rsid w:val="00B1546F"/>
    <w:rsid w:val="00B25C6C"/>
    <w:rsid w:val="00B316D4"/>
    <w:rsid w:val="00B3225C"/>
    <w:rsid w:val="00B35CD8"/>
    <w:rsid w:val="00B74D9A"/>
    <w:rsid w:val="00B8716D"/>
    <w:rsid w:val="00B94912"/>
    <w:rsid w:val="00BB126F"/>
    <w:rsid w:val="00BB37FB"/>
    <w:rsid w:val="00BC0772"/>
    <w:rsid w:val="00BC2534"/>
    <w:rsid w:val="00BC5FBE"/>
    <w:rsid w:val="00BD1F30"/>
    <w:rsid w:val="00BD4965"/>
    <w:rsid w:val="00BE007A"/>
    <w:rsid w:val="00BE1FFD"/>
    <w:rsid w:val="00BE67AC"/>
    <w:rsid w:val="00BF30AA"/>
    <w:rsid w:val="00C11EDA"/>
    <w:rsid w:val="00C240E2"/>
    <w:rsid w:val="00C32E3E"/>
    <w:rsid w:val="00C333AB"/>
    <w:rsid w:val="00C35441"/>
    <w:rsid w:val="00C3704B"/>
    <w:rsid w:val="00C47546"/>
    <w:rsid w:val="00C51BF3"/>
    <w:rsid w:val="00C64760"/>
    <w:rsid w:val="00C66509"/>
    <w:rsid w:val="00C72FD0"/>
    <w:rsid w:val="00C8255E"/>
    <w:rsid w:val="00C94C65"/>
    <w:rsid w:val="00CC0C0D"/>
    <w:rsid w:val="00CC242A"/>
    <w:rsid w:val="00CE1043"/>
    <w:rsid w:val="00CE1233"/>
    <w:rsid w:val="00CE2CE6"/>
    <w:rsid w:val="00CF13F7"/>
    <w:rsid w:val="00CF3214"/>
    <w:rsid w:val="00D006EB"/>
    <w:rsid w:val="00D03F64"/>
    <w:rsid w:val="00D05586"/>
    <w:rsid w:val="00D07043"/>
    <w:rsid w:val="00D111F8"/>
    <w:rsid w:val="00D13766"/>
    <w:rsid w:val="00D16675"/>
    <w:rsid w:val="00D218E2"/>
    <w:rsid w:val="00D246F7"/>
    <w:rsid w:val="00D373B4"/>
    <w:rsid w:val="00D521CF"/>
    <w:rsid w:val="00D56F91"/>
    <w:rsid w:val="00D73F61"/>
    <w:rsid w:val="00D81606"/>
    <w:rsid w:val="00DA1BA3"/>
    <w:rsid w:val="00DA774E"/>
    <w:rsid w:val="00DC07D7"/>
    <w:rsid w:val="00DC189F"/>
    <w:rsid w:val="00DC656E"/>
    <w:rsid w:val="00DD2829"/>
    <w:rsid w:val="00DD739D"/>
    <w:rsid w:val="00DF295E"/>
    <w:rsid w:val="00DF36CB"/>
    <w:rsid w:val="00E159A6"/>
    <w:rsid w:val="00E24771"/>
    <w:rsid w:val="00E34F44"/>
    <w:rsid w:val="00E37D15"/>
    <w:rsid w:val="00E40189"/>
    <w:rsid w:val="00E405E8"/>
    <w:rsid w:val="00E40BE8"/>
    <w:rsid w:val="00E435B3"/>
    <w:rsid w:val="00E45101"/>
    <w:rsid w:val="00E512E3"/>
    <w:rsid w:val="00E6309C"/>
    <w:rsid w:val="00E6316E"/>
    <w:rsid w:val="00E845E6"/>
    <w:rsid w:val="00E85234"/>
    <w:rsid w:val="00E94CCA"/>
    <w:rsid w:val="00E9626D"/>
    <w:rsid w:val="00EA17D5"/>
    <w:rsid w:val="00EB182D"/>
    <w:rsid w:val="00EB62A8"/>
    <w:rsid w:val="00EC0EAA"/>
    <w:rsid w:val="00EC7FD2"/>
    <w:rsid w:val="00EE03F3"/>
    <w:rsid w:val="00EE73AD"/>
    <w:rsid w:val="00EF3502"/>
    <w:rsid w:val="00EF4B05"/>
    <w:rsid w:val="00EF57E8"/>
    <w:rsid w:val="00F039B8"/>
    <w:rsid w:val="00F05B78"/>
    <w:rsid w:val="00F13C5A"/>
    <w:rsid w:val="00F15CFE"/>
    <w:rsid w:val="00F17308"/>
    <w:rsid w:val="00F279D4"/>
    <w:rsid w:val="00F30789"/>
    <w:rsid w:val="00F31524"/>
    <w:rsid w:val="00F36028"/>
    <w:rsid w:val="00F3661A"/>
    <w:rsid w:val="00F44E33"/>
    <w:rsid w:val="00F56535"/>
    <w:rsid w:val="00F56B1D"/>
    <w:rsid w:val="00F57A90"/>
    <w:rsid w:val="00F60192"/>
    <w:rsid w:val="00F61FB3"/>
    <w:rsid w:val="00F7572F"/>
    <w:rsid w:val="00F80B71"/>
    <w:rsid w:val="00F843FF"/>
    <w:rsid w:val="00F84F78"/>
    <w:rsid w:val="00F863C1"/>
    <w:rsid w:val="00F94682"/>
    <w:rsid w:val="00F95B5C"/>
    <w:rsid w:val="00FA0E49"/>
    <w:rsid w:val="00FA4F6B"/>
    <w:rsid w:val="00FB018F"/>
    <w:rsid w:val="00FC4BBF"/>
    <w:rsid w:val="00FC58A0"/>
    <w:rsid w:val="00FD1A33"/>
    <w:rsid w:val="00FD56E5"/>
    <w:rsid w:val="00FE0CF2"/>
    <w:rsid w:val="00FE6845"/>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53A6"/>
  <w15:chartTrackingRefBased/>
  <w15:docId w15:val="{4A3026AE-7560-4A35-8D59-86E1A9E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13"/>
    <w:pPr>
      <w:spacing w:after="240" w:line="300" w:lineRule="auto"/>
    </w:pPr>
    <w:rPr>
      <w:rFonts w:ascii="Times New Roman" w:eastAsia="Times New Roman" w:hAnsi="Times New Roman" w:cs="Times New Roman"/>
      <w:kern w:val="24"/>
      <w:sz w:val="24"/>
      <w:szCs w:val="24"/>
      <w:lang w:val="en-US"/>
    </w:rPr>
  </w:style>
  <w:style w:type="paragraph" w:styleId="Heading1">
    <w:name w:val="heading 1"/>
    <w:basedOn w:val="DocumentText"/>
    <w:next w:val="DocumentText"/>
    <w:link w:val="Heading1Char"/>
    <w:qFormat/>
    <w:rsid w:val="00520224"/>
    <w:pPr>
      <w:keepNext/>
      <w:keepLines/>
      <w:pageBreakBefore/>
      <w:numPr>
        <w:numId w:val="1"/>
      </w:numPr>
      <w:tabs>
        <w:tab w:val="num" w:pos="360"/>
        <w:tab w:val="left" w:pos="482"/>
      </w:tabs>
      <w:spacing w:before="120" w:after="120"/>
      <w:ind w:left="4820" w:hanging="4820"/>
      <w:outlineLvl w:val="0"/>
    </w:pPr>
    <w:rPr>
      <w:b/>
      <w:kern w:val="28"/>
      <w:sz w:val="28"/>
      <w:szCs w:val="28"/>
    </w:rPr>
  </w:style>
  <w:style w:type="paragraph" w:styleId="Heading2">
    <w:name w:val="heading 2"/>
    <w:basedOn w:val="Heading1"/>
    <w:next w:val="DocumentText"/>
    <w:link w:val="Heading2Char"/>
    <w:qFormat/>
    <w:rsid w:val="00520224"/>
    <w:pPr>
      <w:pageBreakBefore w:val="0"/>
      <w:numPr>
        <w:ilvl w:val="1"/>
      </w:numPr>
      <w:tabs>
        <w:tab w:val="clear" w:pos="482"/>
        <w:tab w:val="num" w:pos="360"/>
        <w:tab w:val="left" w:pos="680"/>
      </w:tabs>
      <w:outlineLvl w:val="1"/>
    </w:pPr>
  </w:style>
  <w:style w:type="paragraph" w:styleId="Heading3">
    <w:name w:val="heading 3"/>
    <w:basedOn w:val="Heading1"/>
    <w:next w:val="DocumentText"/>
    <w:link w:val="Heading3Char"/>
    <w:qFormat/>
    <w:rsid w:val="00520224"/>
    <w:pPr>
      <w:pageBreakBefore w:val="0"/>
      <w:numPr>
        <w:ilvl w:val="2"/>
      </w:numPr>
      <w:tabs>
        <w:tab w:val="clear" w:pos="482"/>
        <w:tab w:val="num" w:pos="360"/>
        <w:tab w:val="left" w:pos="1021"/>
      </w:tabs>
      <w:ind w:left="1021" w:hanging="1021"/>
      <w:outlineLvl w:val="2"/>
    </w:pPr>
  </w:style>
  <w:style w:type="paragraph" w:styleId="Heading4">
    <w:name w:val="heading 4"/>
    <w:basedOn w:val="Heading1"/>
    <w:next w:val="DocumentText"/>
    <w:link w:val="Heading4Char"/>
    <w:qFormat/>
    <w:rsid w:val="00520224"/>
    <w:pPr>
      <w:pageBreakBefore w:val="0"/>
      <w:numPr>
        <w:ilvl w:val="3"/>
      </w:numPr>
      <w:tabs>
        <w:tab w:val="clear" w:pos="482"/>
        <w:tab w:val="num" w:pos="360"/>
        <w:tab w:val="left" w:pos="1247"/>
      </w:tabs>
      <w:ind w:left="1247" w:hanging="1247"/>
      <w:outlineLvl w:val="3"/>
    </w:pPr>
  </w:style>
  <w:style w:type="paragraph" w:styleId="Heading5">
    <w:name w:val="heading 5"/>
    <w:basedOn w:val="Heading1"/>
    <w:next w:val="DocumentText"/>
    <w:link w:val="Heading5Char"/>
    <w:qFormat/>
    <w:rsid w:val="00520224"/>
    <w:pPr>
      <w:pageBreakBefore w:val="0"/>
      <w:numPr>
        <w:ilvl w:val="4"/>
      </w:numPr>
      <w:tabs>
        <w:tab w:val="clear" w:pos="482"/>
        <w:tab w:val="num" w:pos="360"/>
        <w:tab w:val="left" w:pos="1588"/>
      </w:tabs>
      <w:outlineLvl w:val="4"/>
    </w:pPr>
  </w:style>
  <w:style w:type="paragraph" w:styleId="Heading6">
    <w:name w:val="heading 6"/>
    <w:basedOn w:val="Heading1"/>
    <w:next w:val="DocumentText"/>
    <w:link w:val="Heading6Char"/>
    <w:qFormat/>
    <w:rsid w:val="00520224"/>
    <w:pPr>
      <w:pageBreakBefore w:val="0"/>
      <w:numPr>
        <w:ilvl w:val="5"/>
      </w:numPr>
      <w:tabs>
        <w:tab w:val="clear" w:pos="482"/>
        <w:tab w:val="num" w:pos="360"/>
        <w:tab w:val="left" w:pos="1814"/>
      </w:tabs>
      <w:ind w:left="1814" w:hanging="1814"/>
      <w:outlineLvl w:val="5"/>
    </w:pPr>
  </w:style>
  <w:style w:type="paragraph" w:styleId="Heading7">
    <w:name w:val="heading 7"/>
    <w:basedOn w:val="Heading1"/>
    <w:next w:val="DocumentText"/>
    <w:link w:val="Heading7Char"/>
    <w:qFormat/>
    <w:rsid w:val="00520224"/>
    <w:pPr>
      <w:pageBreakBefore w:val="0"/>
      <w:numPr>
        <w:ilvl w:val="6"/>
      </w:numPr>
      <w:tabs>
        <w:tab w:val="clear" w:pos="482"/>
        <w:tab w:val="num" w:pos="360"/>
        <w:tab w:val="left" w:pos="2155"/>
      </w:tabs>
      <w:ind w:left="2155" w:hanging="2155"/>
      <w:outlineLvl w:val="6"/>
    </w:pPr>
  </w:style>
  <w:style w:type="paragraph" w:styleId="Heading8">
    <w:name w:val="heading 8"/>
    <w:basedOn w:val="Heading1"/>
    <w:next w:val="DocumentText"/>
    <w:link w:val="Heading8Char"/>
    <w:qFormat/>
    <w:rsid w:val="00520224"/>
    <w:pPr>
      <w:pageBreakBefore w:val="0"/>
      <w:numPr>
        <w:ilvl w:val="7"/>
      </w:numPr>
      <w:tabs>
        <w:tab w:val="clear" w:pos="482"/>
        <w:tab w:val="num" w:pos="360"/>
        <w:tab w:val="left" w:pos="2381"/>
      </w:tabs>
      <w:ind w:left="2381" w:hanging="2381"/>
      <w:outlineLvl w:val="7"/>
    </w:pPr>
  </w:style>
  <w:style w:type="paragraph" w:styleId="Heading9">
    <w:name w:val="heading 9"/>
    <w:basedOn w:val="Heading1"/>
    <w:next w:val="DocumentText"/>
    <w:link w:val="Heading9Char"/>
    <w:qFormat/>
    <w:rsid w:val="00520224"/>
    <w:pPr>
      <w:pageBreakBefore w:val="0"/>
      <w:numPr>
        <w:ilvl w:val="8"/>
      </w:numPr>
      <w:tabs>
        <w:tab w:val="clear" w:pos="482"/>
        <w:tab w:val="num" w:pos="360"/>
        <w:tab w:val="left" w:pos="2722"/>
      </w:tabs>
      <w:ind w:left="2722" w:hanging="272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ardraft">
    <w:name w:val="Papar draft"/>
    <w:basedOn w:val="NoSpacing"/>
    <w:link w:val="PapardraftCarattere"/>
    <w:qFormat/>
    <w:rsid w:val="00F7572F"/>
    <w:pPr>
      <w:spacing w:line="480" w:lineRule="auto"/>
      <w:ind w:firstLine="709"/>
    </w:pPr>
    <w:rPr>
      <w:rFonts w:ascii="Arial" w:hAnsi="Arial" w:cs="Arial"/>
      <w:sz w:val="24"/>
      <w:szCs w:val="24"/>
    </w:rPr>
  </w:style>
  <w:style w:type="character" w:customStyle="1" w:styleId="PapardraftCarattere">
    <w:name w:val="Papar draft Carattere"/>
    <w:basedOn w:val="DefaultParagraphFont"/>
    <w:link w:val="Papardraft"/>
    <w:rsid w:val="00F7572F"/>
    <w:rPr>
      <w:rFonts w:ascii="Arial" w:hAnsi="Arial" w:cs="Arial"/>
      <w:sz w:val="24"/>
      <w:szCs w:val="24"/>
    </w:rPr>
  </w:style>
  <w:style w:type="paragraph" w:styleId="NoSpacing">
    <w:name w:val="No Spacing"/>
    <w:link w:val="NoSpacingChar"/>
    <w:uiPriority w:val="1"/>
    <w:qFormat/>
    <w:rsid w:val="00F7572F"/>
    <w:pPr>
      <w:spacing w:after="0" w:line="240" w:lineRule="auto"/>
    </w:pPr>
  </w:style>
  <w:style w:type="paragraph" w:customStyle="1" w:styleId="heading2paperdraft">
    <w:name w:val="heading 2_paper draft"/>
    <w:basedOn w:val="heading1paperdraft"/>
    <w:link w:val="heading2paperdraftCarattere"/>
    <w:qFormat/>
    <w:rsid w:val="00C47546"/>
    <w:rPr>
      <w:caps w:val="0"/>
    </w:rPr>
  </w:style>
  <w:style w:type="character" w:customStyle="1" w:styleId="heading2paperdraftCarattere">
    <w:name w:val="heading 2_paper draft Carattere"/>
    <w:basedOn w:val="heading1paperdraftCarattere"/>
    <w:link w:val="heading2paperdraft"/>
    <w:rsid w:val="00C47546"/>
    <w:rPr>
      <w:rFonts w:ascii="Arial" w:hAnsi="Arial" w:cs="Arial"/>
      <w:b/>
      <w:caps w:val="0"/>
      <w:sz w:val="24"/>
      <w:szCs w:val="24"/>
    </w:rPr>
  </w:style>
  <w:style w:type="paragraph" w:customStyle="1" w:styleId="heading1paperdraft">
    <w:name w:val="heading 1_paper draft"/>
    <w:basedOn w:val="Papardraft"/>
    <w:next w:val="heading2paperdraft"/>
    <w:link w:val="heading1paperdraftCarattere"/>
    <w:qFormat/>
    <w:rsid w:val="00F7572F"/>
    <w:pPr>
      <w:ind w:firstLine="0"/>
    </w:pPr>
    <w:rPr>
      <w:b/>
      <w:caps/>
    </w:rPr>
  </w:style>
  <w:style w:type="character" w:customStyle="1" w:styleId="heading1paperdraftCarattere">
    <w:name w:val="heading 1_paper draft Carattere"/>
    <w:basedOn w:val="PapardraftCarattere"/>
    <w:link w:val="heading1paperdraft"/>
    <w:rsid w:val="00F7572F"/>
    <w:rPr>
      <w:rFonts w:ascii="Arial" w:hAnsi="Arial" w:cs="Arial"/>
      <w:b/>
      <w:caps/>
      <w:sz w:val="24"/>
      <w:szCs w:val="24"/>
    </w:rPr>
  </w:style>
  <w:style w:type="paragraph" w:styleId="BalloonText">
    <w:name w:val="Balloon Text"/>
    <w:basedOn w:val="Normal"/>
    <w:link w:val="BalloonTextChar"/>
    <w:uiPriority w:val="99"/>
    <w:semiHidden/>
    <w:unhideWhenUsed/>
    <w:rsid w:val="0052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24"/>
    <w:rPr>
      <w:rFonts w:ascii="Segoe UI" w:hAnsi="Segoe UI" w:cs="Segoe UI"/>
      <w:sz w:val="18"/>
      <w:szCs w:val="18"/>
    </w:rPr>
  </w:style>
  <w:style w:type="character" w:customStyle="1" w:styleId="Heading1Char">
    <w:name w:val="Heading 1 Char"/>
    <w:basedOn w:val="DefaultParagraphFont"/>
    <w:link w:val="Heading1"/>
    <w:rsid w:val="00520224"/>
    <w:rPr>
      <w:rFonts w:ascii="Times New Roman" w:eastAsia="Times New Roman" w:hAnsi="Times New Roman" w:cs="Times New Roman"/>
      <w:b/>
      <w:kern w:val="28"/>
      <w:sz w:val="28"/>
      <w:szCs w:val="28"/>
      <w:lang w:val="en-US"/>
    </w:rPr>
  </w:style>
  <w:style w:type="character" w:customStyle="1" w:styleId="Heading2Char">
    <w:name w:val="Heading 2 Char"/>
    <w:basedOn w:val="DefaultParagraphFont"/>
    <w:link w:val="Heading2"/>
    <w:rsid w:val="00520224"/>
    <w:rPr>
      <w:rFonts w:ascii="Times New Roman" w:eastAsia="Times New Roman" w:hAnsi="Times New Roman" w:cs="Times New Roman"/>
      <w:b/>
      <w:kern w:val="28"/>
      <w:sz w:val="28"/>
      <w:szCs w:val="28"/>
      <w:lang w:val="en-US"/>
    </w:rPr>
  </w:style>
  <w:style w:type="character" w:customStyle="1" w:styleId="Heading3Char">
    <w:name w:val="Heading 3 Char"/>
    <w:basedOn w:val="DefaultParagraphFont"/>
    <w:link w:val="Heading3"/>
    <w:rsid w:val="00520224"/>
    <w:rPr>
      <w:rFonts w:ascii="Times New Roman" w:eastAsia="Times New Roman" w:hAnsi="Times New Roman" w:cs="Times New Roman"/>
      <w:b/>
      <w:kern w:val="28"/>
      <w:sz w:val="28"/>
      <w:szCs w:val="28"/>
      <w:lang w:val="en-US"/>
    </w:rPr>
  </w:style>
  <w:style w:type="character" w:customStyle="1" w:styleId="Heading4Char">
    <w:name w:val="Heading 4 Char"/>
    <w:basedOn w:val="DefaultParagraphFont"/>
    <w:link w:val="Heading4"/>
    <w:rsid w:val="00520224"/>
    <w:rPr>
      <w:rFonts w:ascii="Times New Roman" w:eastAsia="Times New Roman" w:hAnsi="Times New Roman" w:cs="Times New Roman"/>
      <w:b/>
      <w:kern w:val="28"/>
      <w:sz w:val="28"/>
      <w:szCs w:val="28"/>
      <w:lang w:val="en-US"/>
    </w:rPr>
  </w:style>
  <w:style w:type="character" w:customStyle="1" w:styleId="Heading5Char">
    <w:name w:val="Heading 5 Char"/>
    <w:basedOn w:val="DefaultParagraphFont"/>
    <w:link w:val="Heading5"/>
    <w:rsid w:val="00520224"/>
    <w:rPr>
      <w:rFonts w:ascii="Times New Roman" w:eastAsia="Times New Roman" w:hAnsi="Times New Roman" w:cs="Times New Roman"/>
      <w:b/>
      <w:kern w:val="28"/>
      <w:sz w:val="28"/>
      <w:szCs w:val="28"/>
      <w:lang w:val="en-US"/>
    </w:rPr>
  </w:style>
  <w:style w:type="character" w:customStyle="1" w:styleId="Heading6Char">
    <w:name w:val="Heading 6 Char"/>
    <w:basedOn w:val="DefaultParagraphFont"/>
    <w:link w:val="Heading6"/>
    <w:rsid w:val="00520224"/>
    <w:rPr>
      <w:rFonts w:ascii="Times New Roman" w:eastAsia="Times New Roman" w:hAnsi="Times New Roman" w:cs="Times New Roman"/>
      <w:b/>
      <w:kern w:val="28"/>
      <w:sz w:val="28"/>
      <w:szCs w:val="28"/>
      <w:lang w:val="en-US"/>
    </w:rPr>
  </w:style>
  <w:style w:type="character" w:customStyle="1" w:styleId="Heading7Char">
    <w:name w:val="Heading 7 Char"/>
    <w:basedOn w:val="DefaultParagraphFont"/>
    <w:link w:val="Heading7"/>
    <w:rsid w:val="00520224"/>
    <w:rPr>
      <w:rFonts w:ascii="Times New Roman" w:eastAsia="Times New Roman" w:hAnsi="Times New Roman" w:cs="Times New Roman"/>
      <w:b/>
      <w:kern w:val="28"/>
      <w:sz w:val="28"/>
      <w:szCs w:val="28"/>
      <w:lang w:val="en-US"/>
    </w:rPr>
  </w:style>
  <w:style w:type="character" w:customStyle="1" w:styleId="Heading8Char">
    <w:name w:val="Heading 8 Char"/>
    <w:basedOn w:val="DefaultParagraphFont"/>
    <w:link w:val="Heading8"/>
    <w:rsid w:val="00520224"/>
    <w:rPr>
      <w:rFonts w:ascii="Times New Roman" w:eastAsia="Times New Roman" w:hAnsi="Times New Roman" w:cs="Times New Roman"/>
      <w:b/>
      <w:kern w:val="28"/>
      <w:sz w:val="28"/>
      <w:szCs w:val="28"/>
      <w:lang w:val="en-US"/>
    </w:rPr>
  </w:style>
  <w:style w:type="character" w:customStyle="1" w:styleId="Heading9Char">
    <w:name w:val="Heading 9 Char"/>
    <w:basedOn w:val="DefaultParagraphFont"/>
    <w:link w:val="Heading9"/>
    <w:rsid w:val="00520224"/>
    <w:rPr>
      <w:rFonts w:ascii="Times New Roman" w:eastAsia="Times New Roman" w:hAnsi="Times New Roman" w:cs="Times New Roman"/>
      <w:b/>
      <w:kern w:val="28"/>
      <w:sz w:val="28"/>
      <w:szCs w:val="28"/>
      <w:lang w:val="en-US"/>
    </w:rPr>
  </w:style>
  <w:style w:type="paragraph" w:customStyle="1" w:styleId="DocumentText">
    <w:name w:val="Document Text"/>
    <w:basedOn w:val="Normal"/>
    <w:link w:val="DocumentTextChar"/>
    <w:qFormat/>
    <w:rsid w:val="00520224"/>
  </w:style>
  <w:style w:type="character" w:customStyle="1" w:styleId="DocumentTextChar">
    <w:name w:val="Document Text Char"/>
    <w:link w:val="DocumentText"/>
    <w:rsid w:val="00520224"/>
    <w:rPr>
      <w:rFonts w:ascii="Times New Roman" w:eastAsia="Times New Roman" w:hAnsi="Times New Roman" w:cs="Times New Roman"/>
      <w:kern w:val="24"/>
      <w:sz w:val="24"/>
      <w:szCs w:val="24"/>
      <w:lang w:val="en-US"/>
    </w:rPr>
  </w:style>
  <w:style w:type="character" w:styleId="CommentReference">
    <w:name w:val="annotation reference"/>
    <w:basedOn w:val="DefaultParagraphFont"/>
    <w:uiPriority w:val="99"/>
    <w:unhideWhenUsed/>
    <w:rsid w:val="00520224"/>
    <w:rPr>
      <w:sz w:val="16"/>
      <w:szCs w:val="16"/>
    </w:rPr>
  </w:style>
  <w:style w:type="paragraph" w:styleId="CommentText">
    <w:name w:val="annotation text"/>
    <w:basedOn w:val="Normal"/>
    <w:link w:val="CommentTextChar"/>
    <w:uiPriority w:val="99"/>
    <w:unhideWhenUsed/>
    <w:rsid w:val="00520224"/>
    <w:pPr>
      <w:spacing w:line="240" w:lineRule="auto"/>
    </w:pPr>
    <w:rPr>
      <w:sz w:val="20"/>
      <w:szCs w:val="20"/>
    </w:rPr>
  </w:style>
  <w:style w:type="character" w:customStyle="1" w:styleId="CommentTextChar">
    <w:name w:val="Comment Text Char"/>
    <w:basedOn w:val="DefaultParagraphFont"/>
    <w:link w:val="CommentText"/>
    <w:uiPriority w:val="99"/>
    <w:rsid w:val="00520224"/>
    <w:rPr>
      <w:sz w:val="20"/>
      <w:szCs w:val="20"/>
    </w:rPr>
  </w:style>
  <w:style w:type="paragraph" w:styleId="CommentSubject">
    <w:name w:val="annotation subject"/>
    <w:basedOn w:val="CommentText"/>
    <w:next w:val="CommentText"/>
    <w:link w:val="CommentSubjectChar"/>
    <w:uiPriority w:val="99"/>
    <w:semiHidden/>
    <w:unhideWhenUsed/>
    <w:rsid w:val="00520224"/>
    <w:rPr>
      <w:b/>
      <w:bCs/>
    </w:rPr>
  </w:style>
  <w:style w:type="character" w:customStyle="1" w:styleId="CommentSubjectChar">
    <w:name w:val="Comment Subject Char"/>
    <w:basedOn w:val="CommentTextChar"/>
    <w:link w:val="CommentSubject"/>
    <w:uiPriority w:val="99"/>
    <w:semiHidden/>
    <w:rsid w:val="00520224"/>
    <w:rPr>
      <w:b/>
      <w:bCs/>
      <w:sz w:val="20"/>
      <w:szCs w:val="20"/>
    </w:rPr>
  </w:style>
  <w:style w:type="paragraph" w:customStyle="1" w:styleId="Guidance">
    <w:name w:val="Guidance"/>
    <w:basedOn w:val="DocumentText"/>
    <w:link w:val="GuidanceChar"/>
    <w:qFormat/>
    <w:rsid w:val="002D733A"/>
    <w:rPr>
      <w:i/>
    </w:rPr>
  </w:style>
  <w:style w:type="character" w:customStyle="1" w:styleId="GuidanceChar">
    <w:name w:val="Guidance Char"/>
    <w:link w:val="Guidance"/>
    <w:rsid w:val="002D733A"/>
    <w:rPr>
      <w:rFonts w:ascii="Times New Roman" w:eastAsia="Times New Roman" w:hAnsi="Times New Roman" w:cs="Times New Roman"/>
      <w:i/>
      <w:kern w:val="24"/>
      <w:sz w:val="24"/>
      <w:szCs w:val="24"/>
      <w:lang w:val="en-US"/>
    </w:rPr>
  </w:style>
  <w:style w:type="paragraph" w:customStyle="1" w:styleId="ListBulleted">
    <w:name w:val="List Bulleted"/>
    <w:basedOn w:val="DocumentText"/>
    <w:rsid w:val="004D6013"/>
    <w:pPr>
      <w:keepLines/>
      <w:numPr>
        <w:numId w:val="2"/>
      </w:numPr>
      <w:tabs>
        <w:tab w:val="clear" w:pos="360"/>
      </w:tabs>
      <w:adjustRightInd w:val="0"/>
      <w:spacing w:before="120" w:after="120"/>
      <w:ind w:left="648"/>
    </w:pPr>
  </w:style>
  <w:style w:type="paragraph" w:customStyle="1" w:styleId="TableCellText12pt">
    <w:name w:val="Table Cell Text 12pt"/>
    <w:basedOn w:val="DocumentText"/>
    <w:rsid w:val="004D6013"/>
    <w:pPr>
      <w:keepNext/>
      <w:spacing w:before="40" w:after="40" w:line="240" w:lineRule="auto"/>
    </w:pPr>
  </w:style>
  <w:style w:type="paragraph" w:styleId="Caption">
    <w:name w:val="caption"/>
    <w:basedOn w:val="Normal"/>
    <w:next w:val="Normal"/>
    <w:qFormat/>
    <w:rsid w:val="00DA1BA3"/>
    <w:pPr>
      <w:keepNext/>
      <w:spacing w:before="240" w:after="120" w:line="240" w:lineRule="auto"/>
      <w:ind w:left="2160" w:hanging="2160"/>
    </w:pPr>
    <w:rPr>
      <w:b/>
      <w:bCs/>
      <w:szCs w:val="20"/>
    </w:rPr>
  </w:style>
  <w:style w:type="paragraph" w:customStyle="1" w:styleId="EndNoteBibliographyTitle">
    <w:name w:val="EndNote Bibliography Title"/>
    <w:basedOn w:val="Normal"/>
    <w:link w:val="EndNoteBibliographyTitleCarattere"/>
    <w:rsid w:val="002463A6"/>
    <w:pPr>
      <w:spacing w:after="0"/>
      <w:jc w:val="center"/>
    </w:pPr>
    <w:rPr>
      <w:rFonts w:ascii="Arial" w:hAnsi="Arial" w:cs="Arial"/>
      <w:noProof/>
    </w:rPr>
  </w:style>
  <w:style w:type="character" w:customStyle="1" w:styleId="EndNoteBibliographyTitleCarattere">
    <w:name w:val="EndNote Bibliography Title Carattere"/>
    <w:basedOn w:val="PapardraftCarattere"/>
    <w:link w:val="EndNoteBibliographyTitle"/>
    <w:rsid w:val="002463A6"/>
    <w:rPr>
      <w:rFonts w:ascii="Arial" w:eastAsia="Times New Roman" w:hAnsi="Arial" w:cs="Arial"/>
      <w:noProof/>
      <w:kern w:val="24"/>
      <w:sz w:val="24"/>
      <w:szCs w:val="24"/>
      <w:lang w:val="en-US"/>
    </w:rPr>
  </w:style>
  <w:style w:type="paragraph" w:customStyle="1" w:styleId="EndNoteBibliography">
    <w:name w:val="EndNote Bibliography"/>
    <w:basedOn w:val="Normal"/>
    <w:link w:val="EndNoteBibliographyCarattere"/>
    <w:rsid w:val="002463A6"/>
    <w:pPr>
      <w:spacing w:line="240" w:lineRule="auto"/>
    </w:pPr>
    <w:rPr>
      <w:rFonts w:ascii="Arial" w:hAnsi="Arial" w:cs="Arial"/>
      <w:noProof/>
    </w:rPr>
  </w:style>
  <w:style w:type="character" w:customStyle="1" w:styleId="EndNoteBibliographyCarattere">
    <w:name w:val="EndNote Bibliography Carattere"/>
    <w:basedOn w:val="PapardraftCarattere"/>
    <w:link w:val="EndNoteBibliography"/>
    <w:rsid w:val="002463A6"/>
    <w:rPr>
      <w:rFonts w:ascii="Arial" w:eastAsia="Times New Roman" w:hAnsi="Arial" w:cs="Arial"/>
      <w:noProof/>
      <w:kern w:val="24"/>
      <w:sz w:val="24"/>
      <w:szCs w:val="24"/>
      <w:lang w:val="en-US"/>
    </w:rPr>
  </w:style>
  <w:style w:type="character" w:customStyle="1" w:styleId="NoSpacingChar">
    <w:name w:val="No Spacing Char"/>
    <w:basedOn w:val="DefaultParagraphFont"/>
    <w:link w:val="NoSpacing"/>
    <w:uiPriority w:val="1"/>
    <w:rsid w:val="004B5184"/>
  </w:style>
  <w:style w:type="paragraph" w:styleId="TOC9">
    <w:name w:val="toc 9"/>
    <w:basedOn w:val="Normal"/>
    <w:next w:val="Normal"/>
    <w:autoRedefine/>
    <w:uiPriority w:val="39"/>
    <w:unhideWhenUsed/>
    <w:rsid w:val="00EB182D"/>
    <w:pPr>
      <w:spacing w:after="100" w:line="259" w:lineRule="auto"/>
      <w:jc w:val="both"/>
    </w:pPr>
    <w:rPr>
      <w:rFonts w:ascii="Arial" w:eastAsiaTheme="minorHAnsi" w:hAnsi="Arial" w:cs="Arial"/>
      <w:kern w:val="0"/>
      <w:lang w:val="it-IT"/>
    </w:rPr>
  </w:style>
  <w:style w:type="paragraph" w:styleId="TOCHeading">
    <w:name w:val="TOC Heading"/>
    <w:basedOn w:val="Heading1"/>
    <w:next w:val="Normal"/>
    <w:uiPriority w:val="39"/>
    <w:unhideWhenUsed/>
    <w:qFormat/>
    <w:rsid w:val="000E0BA2"/>
    <w:pPr>
      <w:pageBreakBefore w:val="0"/>
      <w:numPr>
        <w:numId w:val="0"/>
      </w:numPr>
      <w:tabs>
        <w:tab w:val="clear" w:pos="482"/>
      </w:tabs>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CE1043"/>
    <w:pPr>
      <w:tabs>
        <w:tab w:val="right" w:leader="dot" w:pos="9628"/>
      </w:tabs>
      <w:spacing w:after="100"/>
    </w:pPr>
    <w:rPr>
      <w:rFonts w:ascii="Arial" w:hAnsi="Arial" w:cs="Arial"/>
      <w:b/>
      <w:bCs/>
      <w:i/>
      <w:iCs/>
      <w:noProof/>
    </w:rPr>
  </w:style>
  <w:style w:type="paragraph" w:styleId="TOC2">
    <w:name w:val="toc 2"/>
    <w:basedOn w:val="Normal"/>
    <w:next w:val="Normal"/>
    <w:autoRedefine/>
    <w:uiPriority w:val="39"/>
    <w:unhideWhenUsed/>
    <w:rsid w:val="000E0BA2"/>
    <w:pPr>
      <w:spacing w:after="100"/>
      <w:ind w:left="240"/>
    </w:pPr>
  </w:style>
  <w:style w:type="character" w:styleId="Hyperlink">
    <w:name w:val="Hyperlink"/>
    <w:basedOn w:val="DefaultParagraphFont"/>
    <w:uiPriority w:val="99"/>
    <w:unhideWhenUsed/>
    <w:rsid w:val="000E0BA2"/>
    <w:rPr>
      <w:color w:val="0563C1" w:themeColor="hyperlink"/>
      <w:u w:val="single"/>
    </w:rPr>
  </w:style>
  <w:style w:type="paragraph" w:styleId="TOC3">
    <w:name w:val="toc 3"/>
    <w:basedOn w:val="Normal"/>
    <w:next w:val="Normal"/>
    <w:autoRedefine/>
    <w:uiPriority w:val="39"/>
    <w:unhideWhenUsed/>
    <w:rsid w:val="004B298E"/>
    <w:pPr>
      <w:spacing w:after="100"/>
      <w:ind w:left="480"/>
    </w:pPr>
  </w:style>
  <w:style w:type="table" w:styleId="TableGridLight">
    <w:name w:val="Grid Table Light"/>
    <w:basedOn w:val="TableNormal"/>
    <w:uiPriority w:val="40"/>
    <w:rsid w:val="00AC7B4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05586"/>
    <w:pPr>
      <w:tabs>
        <w:tab w:val="center" w:pos="4986"/>
        <w:tab w:val="right" w:pos="9972"/>
      </w:tabs>
      <w:spacing w:after="0" w:line="240" w:lineRule="auto"/>
    </w:pPr>
  </w:style>
  <w:style w:type="character" w:customStyle="1" w:styleId="HeaderChar">
    <w:name w:val="Header Char"/>
    <w:basedOn w:val="DefaultParagraphFont"/>
    <w:link w:val="Header"/>
    <w:uiPriority w:val="99"/>
    <w:rsid w:val="00D05586"/>
    <w:rPr>
      <w:rFonts w:ascii="Times New Roman" w:eastAsia="Times New Roman" w:hAnsi="Times New Roman" w:cs="Times New Roman"/>
      <w:kern w:val="24"/>
      <w:sz w:val="24"/>
      <w:szCs w:val="24"/>
      <w:lang w:val="en-US"/>
    </w:rPr>
  </w:style>
  <w:style w:type="paragraph" w:styleId="Footer">
    <w:name w:val="footer"/>
    <w:basedOn w:val="Normal"/>
    <w:link w:val="FooterChar"/>
    <w:uiPriority w:val="99"/>
    <w:unhideWhenUsed/>
    <w:rsid w:val="00D05586"/>
    <w:pPr>
      <w:tabs>
        <w:tab w:val="center" w:pos="4986"/>
        <w:tab w:val="right" w:pos="9972"/>
      </w:tabs>
      <w:spacing w:after="0" w:line="240" w:lineRule="auto"/>
    </w:pPr>
  </w:style>
  <w:style w:type="character" w:customStyle="1" w:styleId="FooterChar">
    <w:name w:val="Footer Char"/>
    <w:basedOn w:val="DefaultParagraphFont"/>
    <w:link w:val="Footer"/>
    <w:uiPriority w:val="99"/>
    <w:rsid w:val="00D05586"/>
    <w:rPr>
      <w:rFonts w:ascii="Times New Roman" w:eastAsia="Times New Roman" w:hAnsi="Times New Roman" w:cs="Times New Roman"/>
      <w:kern w:val="24"/>
      <w:sz w:val="24"/>
      <w:szCs w:val="24"/>
      <w:lang w:val="en-US"/>
    </w:rPr>
  </w:style>
  <w:style w:type="character" w:styleId="PlaceholderText">
    <w:name w:val="Placeholder Text"/>
    <w:basedOn w:val="DefaultParagraphFont"/>
    <w:uiPriority w:val="99"/>
    <w:semiHidden/>
    <w:rsid w:val="00DC189F"/>
    <w:rPr>
      <w:color w:val="808080"/>
    </w:rPr>
  </w:style>
  <w:style w:type="table" w:styleId="TableGrid">
    <w:name w:val="Table Grid"/>
    <w:basedOn w:val="TableNormal"/>
    <w:uiPriority w:val="39"/>
    <w:rsid w:val="00D8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535"/>
    <w:pPr>
      <w:ind w:left="720"/>
      <w:contextualSpacing/>
    </w:pPr>
  </w:style>
  <w:style w:type="character" w:customStyle="1" w:styleId="Menzionenonrisolta1">
    <w:name w:val="Menzione non risolta1"/>
    <w:basedOn w:val="DefaultParagraphFont"/>
    <w:uiPriority w:val="99"/>
    <w:semiHidden/>
    <w:unhideWhenUsed/>
    <w:rsid w:val="003F63DC"/>
    <w:rPr>
      <w:color w:val="605E5C"/>
      <w:shd w:val="clear" w:color="auto" w:fill="E1DFDD"/>
    </w:rPr>
  </w:style>
  <w:style w:type="character" w:styleId="FollowedHyperlink">
    <w:name w:val="FollowedHyperlink"/>
    <w:basedOn w:val="DefaultParagraphFont"/>
    <w:uiPriority w:val="99"/>
    <w:semiHidden/>
    <w:unhideWhenUsed/>
    <w:rsid w:val="00271F2F"/>
    <w:rPr>
      <w:color w:val="954F72" w:themeColor="followedHyperlink"/>
      <w:u w:val="single"/>
    </w:rPr>
  </w:style>
  <w:style w:type="character" w:styleId="UnresolvedMention">
    <w:name w:val="Unresolved Mention"/>
    <w:basedOn w:val="DefaultParagraphFont"/>
    <w:uiPriority w:val="99"/>
    <w:semiHidden/>
    <w:unhideWhenUsed/>
    <w:rsid w:val="000D2E36"/>
    <w:rPr>
      <w:color w:val="605E5C"/>
      <w:shd w:val="clear" w:color="auto" w:fill="E1DFDD"/>
    </w:rPr>
  </w:style>
  <w:style w:type="table" w:styleId="PlainTable2">
    <w:name w:val="Plain Table 2"/>
    <w:basedOn w:val="TableNormal"/>
    <w:uiPriority w:val="42"/>
    <w:rsid w:val="009D34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D34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7817">
      <w:bodyDiv w:val="1"/>
      <w:marLeft w:val="0"/>
      <w:marRight w:val="0"/>
      <w:marTop w:val="0"/>
      <w:marBottom w:val="0"/>
      <w:divBdr>
        <w:top w:val="none" w:sz="0" w:space="0" w:color="auto"/>
        <w:left w:val="none" w:sz="0" w:space="0" w:color="auto"/>
        <w:bottom w:val="none" w:sz="0" w:space="0" w:color="auto"/>
        <w:right w:val="none" w:sz="0" w:space="0" w:color="auto"/>
      </w:divBdr>
    </w:div>
    <w:div w:id="65692106">
      <w:bodyDiv w:val="1"/>
      <w:marLeft w:val="0"/>
      <w:marRight w:val="0"/>
      <w:marTop w:val="0"/>
      <w:marBottom w:val="0"/>
      <w:divBdr>
        <w:top w:val="none" w:sz="0" w:space="0" w:color="auto"/>
        <w:left w:val="none" w:sz="0" w:space="0" w:color="auto"/>
        <w:bottom w:val="none" w:sz="0" w:space="0" w:color="auto"/>
        <w:right w:val="none" w:sz="0" w:space="0" w:color="auto"/>
      </w:divBdr>
    </w:div>
    <w:div w:id="714086814">
      <w:bodyDiv w:val="1"/>
      <w:marLeft w:val="0"/>
      <w:marRight w:val="0"/>
      <w:marTop w:val="0"/>
      <w:marBottom w:val="0"/>
      <w:divBdr>
        <w:top w:val="none" w:sz="0" w:space="0" w:color="auto"/>
        <w:left w:val="none" w:sz="0" w:space="0" w:color="auto"/>
        <w:bottom w:val="none" w:sz="0" w:space="0" w:color="auto"/>
        <w:right w:val="none" w:sz="0" w:space="0" w:color="auto"/>
      </w:divBdr>
    </w:div>
    <w:div w:id="1109163665">
      <w:bodyDiv w:val="1"/>
      <w:marLeft w:val="0"/>
      <w:marRight w:val="0"/>
      <w:marTop w:val="0"/>
      <w:marBottom w:val="0"/>
      <w:divBdr>
        <w:top w:val="none" w:sz="0" w:space="0" w:color="auto"/>
        <w:left w:val="none" w:sz="0" w:space="0" w:color="auto"/>
        <w:bottom w:val="none" w:sz="0" w:space="0" w:color="auto"/>
        <w:right w:val="none" w:sz="0" w:space="0" w:color="auto"/>
      </w:divBdr>
    </w:div>
    <w:div w:id="1602835327">
      <w:bodyDiv w:val="1"/>
      <w:marLeft w:val="0"/>
      <w:marRight w:val="0"/>
      <w:marTop w:val="0"/>
      <w:marBottom w:val="0"/>
      <w:divBdr>
        <w:top w:val="none" w:sz="0" w:space="0" w:color="auto"/>
        <w:left w:val="none" w:sz="0" w:space="0" w:color="auto"/>
        <w:bottom w:val="none" w:sz="0" w:space="0" w:color="auto"/>
        <w:right w:val="none" w:sz="0" w:space="0" w:color="auto"/>
      </w:divBdr>
    </w:div>
    <w:div w:id="1720058121">
      <w:bodyDiv w:val="1"/>
      <w:marLeft w:val="0"/>
      <w:marRight w:val="0"/>
      <w:marTop w:val="0"/>
      <w:marBottom w:val="0"/>
      <w:divBdr>
        <w:top w:val="none" w:sz="0" w:space="0" w:color="auto"/>
        <w:left w:val="none" w:sz="0" w:space="0" w:color="auto"/>
        <w:bottom w:val="none" w:sz="0" w:space="0" w:color="auto"/>
        <w:right w:val="none" w:sz="0" w:space="0" w:color="auto"/>
      </w:divBdr>
    </w:div>
    <w:div w:id="1965772442">
      <w:bodyDiv w:val="1"/>
      <w:marLeft w:val="0"/>
      <w:marRight w:val="0"/>
      <w:marTop w:val="0"/>
      <w:marBottom w:val="0"/>
      <w:divBdr>
        <w:top w:val="none" w:sz="0" w:space="0" w:color="auto"/>
        <w:left w:val="none" w:sz="0" w:space="0" w:color="auto"/>
        <w:bottom w:val="none" w:sz="0" w:space="0" w:color="auto"/>
        <w:right w:val="none" w:sz="0" w:space="0" w:color="auto"/>
      </w:divBdr>
    </w:div>
    <w:div w:id="19929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B921-8006-49CF-BF69-6E020AE5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8526</Words>
  <Characters>48603</Characters>
  <Application>Microsoft Office Word</Application>
  <DocSecurity>0</DocSecurity>
  <Lines>405</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MOLINARI</dc:creator>
  <cp:keywords/>
  <dc:description/>
  <cp:lastModifiedBy>Baeuerlein, Christopher</cp:lastModifiedBy>
  <cp:revision>19</cp:revision>
  <dcterms:created xsi:type="dcterms:W3CDTF">2021-01-04T16:09:00Z</dcterms:created>
  <dcterms:modified xsi:type="dcterms:W3CDTF">2021-04-01T19:55:00Z</dcterms:modified>
</cp:coreProperties>
</file>