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4CE" w:rsidRPr="00CC39D0" w:rsidRDefault="00F624CE" w:rsidP="00F624CE">
      <w:pPr>
        <w:pStyle w:val="Standard1"/>
        <w:spacing w:line="240" w:lineRule="auto"/>
        <w:rPr>
          <w:rFonts w:ascii="Times New Roman" w:hAnsi="Times New Roman" w:cs="Times New Roman"/>
          <w:bCs/>
          <w:sz w:val="24"/>
          <w:szCs w:val="20"/>
        </w:rPr>
      </w:pPr>
      <w:r w:rsidRPr="00CC39D0">
        <w:rPr>
          <w:rFonts w:ascii="Times New Roman" w:hAnsi="Times New Roman" w:cs="Times New Roman"/>
          <w:b/>
          <w:sz w:val="24"/>
          <w:szCs w:val="20"/>
        </w:rPr>
        <w:t xml:space="preserve">Supplementary Table S1. </w:t>
      </w:r>
      <w:r w:rsidR="005D6AEA">
        <w:rPr>
          <w:rFonts w:ascii="Times New Roman" w:hAnsi="Times New Roman" w:cs="Times New Roman"/>
          <w:bCs/>
          <w:sz w:val="24"/>
          <w:szCs w:val="20"/>
        </w:rPr>
        <w:t>Extended</w:t>
      </w:r>
      <w:r w:rsidRPr="00CC39D0">
        <w:rPr>
          <w:rFonts w:ascii="Times New Roman" w:hAnsi="Times New Roman" w:cs="Times New Roman"/>
          <w:bCs/>
          <w:sz w:val="24"/>
          <w:szCs w:val="20"/>
        </w:rPr>
        <w:t xml:space="preserve"> Standard-of-Care Diagnostics</w:t>
      </w:r>
    </w:p>
    <w:p w:rsidR="00F624CE" w:rsidRPr="00E848E8" w:rsidRDefault="00F624CE" w:rsidP="00F624CE">
      <w:pPr>
        <w:pStyle w:val="Standard1"/>
        <w:spacing w:line="240" w:lineRule="auto"/>
        <w:rPr>
          <w:rFonts w:ascii="Times New Roman" w:hAnsi="Times New Roman" w:cs="Times New Roman"/>
          <w:bCs/>
          <w:sz w:val="20"/>
          <w:szCs w:val="20"/>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35"/>
      </w:tblGrid>
      <w:tr w:rsidR="00F624CE" w:rsidRPr="00E848E8" w:rsidTr="00F624CE">
        <w:trPr>
          <w:trHeight w:val="530"/>
        </w:trPr>
        <w:tc>
          <w:tcPr>
            <w:tcW w:w="6237" w:type="dxa"/>
            <w:tcBorders>
              <w:top w:val="single" w:sz="4" w:space="0" w:color="auto"/>
              <w:bottom w:val="single" w:sz="4" w:space="0" w:color="auto"/>
            </w:tcBorders>
            <w:vAlign w:val="center"/>
          </w:tcPr>
          <w:p w:rsidR="00F624CE" w:rsidRPr="00E848E8" w:rsidRDefault="00F624CE" w:rsidP="00F624CE">
            <w:pPr>
              <w:pStyle w:val="Standard1"/>
              <w:spacing w:line="240" w:lineRule="auto"/>
              <w:jc w:val="center"/>
              <w:rPr>
                <w:b/>
                <w:szCs w:val="20"/>
              </w:rPr>
            </w:pPr>
            <w:r>
              <w:rPr>
                <w:b/>
                <w:szCs w:val="20"/>
              </w:rPr>
              <w:t>Parameter</w:t>
            </w:r>
          </w:p>
        </w:tc>
        <w:tc>
          <w:tcPr>
            <w:tcW w:w="2835" w:type="dxa"/>
            <w:tcBorders>
              <w:top w:val="single" w:sz="4" w:space="0" w:color="auto"/>
              <w:bottom w:val="single" w:sz="4" w:space="0" w:color="auto"/>
            </w:tcBorders>
            <w:vAlign w:val="center"/>
          </w:tcPr>
          <w:p w:rsidR="00F624CE" w:rsidRDefault="00F624CE" w:rsidP="00F624CE">
            <w:pPr>
              <w:pStyle w:val="Standard1"/>
              <w:spacing w:line="240" w:lineRule="auto"/>
              <w:jc w:val="center"/>
              <w:rPr>
                <w:b/>
                <w:szCs w:val="20"/>
              </w:rPr>
            </w:pPr>
            <w:r>
              <w:rPr>
                <w:b/>
                <w:szCs w:val="20"/>
              </w:rPr>
              <w:t>Patients</w:t>
            </w:r>
          </w:p>
        </w:tc>
      </w:tr>
      <w:tr w:rsidR="00F624CE" w:rsidRPr="00E848E8" w:rsidTr="00F624CE">
        <w:trPr>
          <w:trHeight w:val="264"/>
        </w:trPr>
        <w:tc>
          <w:tcPr>
            <w:tcW w:w="6237" w:type="dxa"/>
            <w:vAlign w:val="center"/>
          </w:tcPr>
          <w:p w:rsidR="00F624CE" w:rsidRPr="00F624CE" w:rsidRDefault="00F624CE" w:rsidP="00F624CE">
            <w:pPr>
              <w:pStyle w:val="Standard1"/>
              <w:spacing w:line="240" w:lineRule="auto"/>
              <w:rPr>
                <w:b/>
                <w:bCs/>
                <w:szCs w:val="20"/>
              </w:rPr>
            </w:pPr>
            <w:r w:rsidRPr="00F624CE">
              <w:rPr>
                <w:b/>
                <w:bCs/>
                <w:szCs w:val="20"/>
              </w:rPr>
              <w:t>Blood Tests</w:t>
            </w:r>
          </w:p>
        </w:tc>
        <w:tc>
          <w:tcPr>
            <w:tcW w:w="2835" w:type="dxa"/>
            <w:vAlign w:val="center"/>
          </w:tcPr>
          <w:p w:rsidR="00F624CE" w:rsidRPr="00F624CE" w:rsidRDefault="00F624CE" w:rsidP="00F624CE">
            <w:pPr>
              <w:pStyle w:val="Standard1"/>
              <w:spacing w:line="240" w:lineRule="auto"/>
              <w:rPr>
                <w:b/>
                <w:bCs/>
                <w:szCs w:val="20"/>
              </w:rPr>
            </w:pPr>
          </w:p>
        </w:tc>
      </w:tr>
      <w:tr w:rsidR="00F624CE" w:rsidRPr="00E848E8" w:rsidTr="004C56CB">
        <w:trPr>
          <w:trHeight w:val="264"/>
        </w:trPr>
        <w:tc>
          <w:tcPr>
            <w:tcW w:w="6237" w:type="dxa"/>
            <w:vAlign w:val="center"/>
          </w:tcPr>
          <w:p w:rsidR="00F624CE" w:rsidRPr="00F624CE" w:rsidRDefault="00F624CE" w:rsidP="00F624CE">
            <w:pPr>
              <w:pStyle w:val="Standard1"/>
              <w:spacing w:line="240" w:lineRule="auto"/>
              <w:rPr>
                <w:bCs/>
                <w:szCs w:val="20"/>
              </w:rPr>
            </w:pPr>
            <w:r w:rsidRPr="00F624CE">
              <w:rPr>
                <w:bCs/>
                <w:szCs w:val="20"/>
              </w:rPr>
              <w:t>Complete Blood Count</w:t>
            </w:r>
          </w:p>
        </w:tc>
        <w:tc>
          <w:tcPr>
            <w:tcW w:w="2835" w:type="dxa"/>
            <w:vAlign w:val="center"/>
          </w:tcPr>
          <w:p w:rsidR="00F624CE" w:rsidRPr="00F624CE" w:rsidRDefault="00F624CE" w:rsidP="004C56CB">
            <w:pPr>
              <w:pStyle w:val="Standard1"/>
              <w:spacing w:line="240" w:lineRule="auto"/>
              <w:jc w:val="center"/>
              <w:rPr>
                <w:bCs/>
                <w:szCs w:val="20"/>
              </w:rPr>
            </w:pPr>
            <w:r w:rsidRPr="00F624CE">
              <w:rPr>
                <w:bCs/>
                <w:szCs w:val="20"/>
              </w:rPr>
              <w:t>All</w:t>
            </w:r>
          </w:p>
        </w:tc>
      </w:tr>
      <w:tr w:rsidR="00F624CE" w:rsidRPr="00E848E8" w:rsidTr="004C56CB">
        <w:trPr>
          <w:trHeight w:val="264"/>
        </w:trPr>
        <w:tc>
          <w:tcPr>
            <w:tcW w:w="6237" w:type="dxa"/>
            <w:vAlign w:val="center"/>
          </w:tcPr>
          <w:p w:rsidR="00F624CE" w:rsidRPr="00F624CE" w:rsidRDefault="00F624CE" w:rsidP="00F624CE">
            <w:pPr>
              <w:pStyle w:val="Standard1"/>
              <w:spacing w:line="240" w:lineRule="auto"/>
              <w:rPr>
                <w:bCs/>
                <w:szCs w:val="20"/>
              </w:rPr>
            </w:pPr>
            <w:r w:rsidRPr="00F624CE">
              <w:rPr>
                <w:bCs/>
                <w:szCs w:val="20"/>
              </w:rPr>
              <w:t>CRP</w:t>
            </w:r>
          </w:p>
        </w:tc>
        <w:tc>
          <w:tcPr>
            <w:tcW w:w="2835" w:type="dxa"/>
            <w:vAlign w:val="center"/>
          </w:tcPr>
          <w:p w:rsidR="00F624CE" w:rsidRPr="00F624CE" w:rsidRDefault="00F624CE" w:rsidP="004C56CB">
            <w:pPr>
              <w:pStyle w:val="Standard1"/>
              <w:spacing w:line="240" w:lineRule="auto"/>
              <w:jc w:val="center"/>
              <w:rPr>
                <w:bCs/>
                <w:szCs w:val="20"/>
              </w:rPr>
            </w:pPr>
            <w:r w:rsidRPr="00F624CE">
              <w:rPr>
                <w:bCs/>
                <w:szCs w:val="20"/>
              </w:rPr>
              <w:t>All</w:t>
            </w:r>
          </w:p>
        </w:tc>
      </w:tr>
      <w:tr w:rsidR="00F624CE" w:rsidRPr="00E848E8" w:rsidTr="004C56CB">
        <w:trPr>
          <w:trHeight w:val="264"/>
        </w:trPr>
        <w:tc>
          <w:tcPr>
            <w:tcW w:w="6237" w:type="dxa"/>
            <w:vAlign w:val="center"/>
          </w:tcPr>
          <w:p w:rsidR="00F624CE" w:rsidRPr="00F624CE" w:rsidRDefault="00F624CE" w:rsidP="00F624CE">
            <w:pPr>
              <w:pStyle w:val="Standard1"/>
              <w:spacing w:line="240" w:lineRule="auto"/>
              <w:rPr>
                <w:bCs/>
                <w:szCs w:val="20"/>
              </w:rPr>
            </w:pPr>
            <w:r w:rsidRPr="00F624CE">
              <w:rPr>
                <w:bCs/>
                <w:szCs w:val="20"/>
              </w:rPr>
              <w:t>PCT</w:t>
            </w:r>
          </w:p>
        </w:tc>
        <w:tc>
          <w:tcPr>
            <w:tcW w:w="2835" w:type="dxa"/>
            <w:vAlign w:val="center"/>
          </w:tcPr>
          <w:p w:rsidR="00F624CE" w:rsidRPr="00F624CE" w:rsidRDefault="00F624CE" w:rsidP="004C56CB">
            <w:pPr>
              <w:pStyle w:val="Standard1"/>
              <w:spacing w:line="240" w:lineRule="auto"/>
              <w:jc w:val="center"/>
              <w:rPr>
                <w:bCs/>
                <w:szCs w:val="20"/>
              </w:rPr>
            </w:pPr>
            <w:r w:rsidRPr="00F624CE">
              <w:rPr>
                <w:bCs/>
                <w:szCs w:val="20"/>
              </w:rPr>
              <w:t>All</w:t>
            </w:r>
          </w:p>
        </w:tc>
      </w:tr>
      <w:tr w:rsidR="00F624CE" w:rsidRPr="00E848E8" w:rsidTr="004C56CB">
        <w:trPr>
          <w:trHeight w:val="264"/>
        </w:trPr>
        <w:tc>
          <w:tcPr>
            <w:tcW w:w="6237" w:type="dxa"/>
            <w:vAlign w:val="center"/>
          </w:tcPr>
          <w:p w:rsidR="00F624CE" w:rsidRPr="00F624CE" w:rsidRDefault="00F624CE" w:rsidP="00F624CE">
            <w:pPr>
              <w:pStyle w:val="Standard1"/>
              <w:spacing w:line="240" w:lineRule="auto"/>
              <w:rPr>
                <w:bCs/>
                <w:szCs w:val="20"/>
              </w:rPr>
            </w:pPr>
            <w:r w:rsidRPr="00F624CE">
              <w:rPr>
                <w:bCs/>
                <w:szCs w:val="20"/>
              </w:rPr>
              <w:t>Clinical Chemistry</w:t>
            </w:r>
          </w:p>
        </w:tc>
        <w:tc>
          <w:tcPr>
            <w:tcW w:w="2835" w:type="dxa"/>
            <w:vAlign w:val="center"/>
          </w:tcPr>
          <w:p w:rsidR="00F624CE" w:rsidRPr="00F624CE" w:rsidRDefault="00F624CE" w:rsidP="004C56CB">
            <w:pPr>
              <w:pStyle w:val="Standard1"/>
              <w:spacing w:line="240" w:lineRule="auto"/>
              <w:jc w:val="center"/>
              <w:rPr>
                <w:bCs/>
                <w:szCs w:val="20"/>
              </w:rPr>
            </w:pPr>
            <w:r w:rsidRPr="00F624CE">
              <w:rPr>
                <w:bCs/>
                <w:szCs w:val="20"/>
              </w:rPr>
              <w:t>All</w:t>
            </w:r>
          </w:p>
        </w:tc>
      </w:tr>
      <w:tr w:rsidR="00F624CE" w:rsidRPr="00E848E8" w:rsidTr="004C56CB">
        <w:trPr>
          <w:trHeight w:val="264"/>
        </w:trPr>
        <w:tc>
          <w:tcPr>
            <w:tcW w:w="6237" w:type="dxa"/>
            <w:vAlign w:val="center"/>
          </w:tcPr>
          <w:p w:rsidR="00F624CE" w:rsidRPr="00F624CE" w:rsidRDefault="00F624CE" w:rsidP="00F624CE">
            <w:pPr>
              <w:pStyle w:val="Standard1"/>
              <w:spacing w:line="240" w:lineRule="auto"/>
              <w:rPr>
                <w:bCs/>
                <w:szCs w:val="20"/>
              </w:rPr>
            </w:pPr>
            <w:r w:rsidRPr="00F624CE">
              <w:rPr>
                <w:bCs/>
                <w:szCs w:val="20"/>
              </w:rPr>
              <w:t>Blood-gas Analysis</w:t>
            </w:r>
          </w:p>
        </w:tc>
        <w:tc>
          <w:tcPr>
            <w:tcW w:w="2835" w:type="dxa"/>
            <w:vAlign w:val="center"/>
          </w:tcPr>
          <w:p w:rsidR="00F624CE" w:rsidRPr="00F624CE" w:rsidRDefault="00F624CE" w:rsidP="004C56CB">
            <w:pPr>
              <w:pStyle w:val="Standard1"/>
              <w:spacing w:line="240" w:lineRule="auto"/>
              <w:jc w:val="center"/>
              <w:rPr>
                <w:bCs/>
                <w:szCs w:val="20"/>
              </w:rPr>
            </w:pPr>
            <w:r w:rsidRPr="00F624CE">
              <w:rPr>
                <w:bCs/>
                <w:szCs w:val="20"/>
              </w:rPr>
              <w:t>All</w:t>
            </w:r>
          </w:p>
        </w:tc>
      </w:tr>
      <w:tr w:rsidR="00F624CE" w:rsidRPr="00E848E8" w:rsidTr="004C56CB">
        <w:trPr>
          <w:trHeight w:val="264"/>
        </w:trPr>
        <w:tc>
          <w:tcPr>
            <w:tcW w:w="6237" w:type="dxa"/>
            <w:vAlign w:val="center"/>
          </w:tcPr>
          <w:p w:rsidR="00F624CE" w:rsidRPr="00F624CE" w:rsidRDefault="00F624CE" w:rsidP="00F624CE">
            <w:pPr>
              <w:pStyle w:val="Standard1"/>
              <w:spacing w:line="240" w:lineRule="auto"/>
              <w:rPr>
                <w:bCs/>
                <w:szCs w:val="20"/>
              </w:rPr>
            </w:pPr>
          </w:p>
        </w:tc>
        <w:tc>
          <w:tcPr>
            <w:tcW w:w="2835" w:type="dxa"/>
            <w:vAlign w:val="center"/>
          </w:tcPr>
          <w:p w:rsidR="00F624CE" w:rsidRPr="00F624CE" w:rsidRDefault="00F624CE" w:rsidP="004C56CB">
            <w:pPr>
              <w:pStyle w:val="Standard1"/>
              <w:spacing w:line="240" w:lineRule="auto"/>
              <w:jc w:val="center"/>
              <w:rPr>
                <w:bCs/>
                <w:szCs w:val="20"/>
              </w:rPr>
            </w:pPr>
          </w:p>
        </w:tc>
      </w:tr>
      <w:tr w:rsidR="00F624CE" w:rsidRPr="00E848E8" w:rsidTr="004C56CB">
        <w:trPr>
          <w:trHeight w:val="264"/>
        </w:trPr>
        <w:tc>
          <w:tcPr>
            <w:tcW w:w="6237" w:type="dxa"/>
            <w:vAlign w:val="center"/>
          </w:tcPr>
          <w:p w:rsidR="00F624CE" w:rsidRPr="00F624CE" w:rsidRDefault="00F624CE" w:rsidP="00F624CE">
            <w:pPr>
              <w:pStyle w:val="Standard1"/>
              <w:spacing w:line="240" w:lineRule="auto"/>
              <w:rPr>
                <w:b/>
                <w:bCs/>
                <w:szCs w:val="20"/>
              </w:rPr>
            </w:pPr>
            <w:r w:rsidRPr="00F624CE">
              <w:rPr>
                <w:b/>
                <w:bCs/>
                <w:szCs w:val="20"/>
              </w:rPr>
              <w:t>Microbiology</w:t>
            </w:r>
          </w:p>
        </w:tc>
        <w:tc>
          <w:tcPr>
            <w:tcW w:w="2835" w:type="dxa"/>
            <w:vAlign w:val="center"/>
          </w:tcPr>
          <w:p w:rsidR="00F624CE" w:rsidRPr="00F624CE" w:rsidRDefault="00F624CE" w:rsidP="004C56CB">
            <w:pPr>
              <w:pStyle w:val="Standard1"/>
              <w:spacing w:line="240" w:lineRule="auto"/>
              <w:jc w:val="center"/>
              <w:rPr>
                <w:b/>
                <w:bCs/>
                <w:szCs w:val="20"/>
              </w:rPr>
            </w:pPr>
          </w:p>
        </w:tc>
      </w:tr>
      <w:tr w:rsidR="00F624CE" w:rsidRPr="00E848E8" w:rsidTr="004C56CB">
        <w:trPr>
          <w:trHeight w:val="264"/>
        </w:trPr>
        <w:tc>
          <w:tcPr>
            <w:tcW w:w="6237" w:type="dxa"/>
            <w:vAlign w:val="center"/>
          </w:tcPr>
          <w:p w:rsidR="00F624CE" w:rsidRPr="00F624CE" w:rsidRDefault="00F624CE" w:rsidP="00F624CE">
            <w:pPr>
              <w:pStyle w:val="Standard1"/>
              <w:spacing w:line="240" w:lineRule="auto"/>
              <w:rPr>
                <w:bCs/>
                <w:szCs w:val="20"/>
              </w:rPr>
            </w:pPr>
            <w:r w:rsidRPr="00F624CE">
              <w:rPr>
                <w:bCs/>
                <w:szCs w:val="20"/>
              </w:rPr>
              <w:t>2x Blood Cultures</w:t>
            </w:r>
          </w:p>
        </w:tc>
        <w:tc>
          <w:tcPr>
            <w:tcW w:w="2835" w:type="dxa"/>
            <w:vAlign w:val="center"/>
          </w:tcPr>
          <w:p w:rsidR="00F624CE" w:rsidRPr="00F624CE" w:rsidRDefault="00F624CE" w:rsidP="004C56CB">
            <w:pPr>
              <w:pStyle w:val="Standard1"/>
              <w:spacing w:line="240" w:lineRule="auto"/>
              <w:jc w:val="center"/>
              <w:rPr>
                <w:bCs/>
                <w:szCs w:val="20"/>
              </w:rPr>
            </w:pPr>
            <w:r w:rsidRPr="00F624CE">
              <w:rPr>
                <w:bCs/>
                <w:szCs w:val="20"/>
              </w:rPr>
              <w:t>All</w:t>
            </w:r>
          </w:p>
        </w:tc>
      </w:tr>
      <w:tr w:rsidR="00F624CE" w:rsidRPr="00E848E8" w:rsidTr="004C56CB">
        <w:trPr>
          <w:trHeight w:val="264"/>
        </w:trPr>
        <w:tc>
          <w:tcPr>
            <w:tcW w:w="6237" w:type="dxa"/>
            <w:vAlign w:val="center"/>
          </w:tcPr>
          <w:p w:rsidR="00F624CE" w:rsidRPr="00F624CE" w:rsidRDefault="00F624CE" w:rsidP="00F624CE">
            <w:pPr>
              <w:pStyle w:val="Standard1"/>
              <w:spacing w:line="240" w:lineRule="auto"/>
              <w:rPr>
                <w:bCs/>
                <w:szCs w:val="20"/>
              </w:rPr>
            </w:pPr>
            <w:r>
              <w:rPr>
                <w:bCs/>
                <w:szCs w:val="20"/>
              </w:rPr>
              <w:t>Urine Culture</w:t>
            </w:r>
          </w:p>
        </w:tc>
        <w:tc>
          <w:tcPr>
            <w:tcW w:w="2835" w:type="dxa"/>
            <w:vAlign w:val="center"/>
          </w:tcPr>
          <w:p w:rsidR="00F624CE" w:rsidRPr="00F624CE" w:rsidRDefault="00F624CE" w:rsidP="004C56CB">
            <w:pPr>
              <w:pStyle w:val="Standard1"/>
              <w:spacing w:line="240" w:lineRule="auto"/>
              <w:jc w:val="center"/>
              <w:rPr>
                <w:bCs/>
                <w:szCs w:val="20"/>
              </w:rPr>
            </w:pPr>
            <w:r w:rsidRPr="00F624CE">
              <w:rPr>
                <w:bCs/>
                <w:szCs w:val="20"/>
              </w:rPr>
              <w:t>All</w:t>
            </w:r>
          </w:p>
        </w:tc>
      </w:tr>
      <w:tr w:rsidR="009A1B65" w:rsidRPr="00E848E8" w:rsidTr="004C56CB">
        <w:trPr>
          <w:trHeight w:val="264"/>
        </w:trPr>
        <w:tc>
          <w:tcPr>
            <w:tcW w:w="6237" w:type="dxa"/>
            <w:vAlign w:val="center"/>
          </w:tcPr>
          <w:p w:rsidR="009A1B65" w:rsidRDefault="009A1B65" w:rsidP="00F624CE">
            <w:pPr>
              <w:pStyle w:val="Standard1"/>
              <w:spacing w:line="240" w:lineRule="auto"/>
              <w:rPr>
                <w:bCs/>
                <w:szCs w:val="20"/>
              </w:rPr>
            </w:pPr>
            <w:r>
              <w:t>P</w:t>
            </w:r>
            <w:r w:rsidRPr="006765EB">
              <w:t xml:space="preserve">neumococcal and </w:t>
            </w:r>
            <w:r w:rsidRPr="006953AB">
              <w:rPr>
                <w:i/>
                <w:iCs/>
              </w:rPr>
              <w:t>L. pneumophila</w:t>
            </w:r>
            <w:r w:rsidRPr="006765EB">
              <w:t xml:space="preserve"> urinary antigen testing</w:t>
            </w:r>
          </w:p>
        </w:tc>
        <w:tc>
          <w:tcPr>
            <w:tcW w:w="2835" w:type="dxa"/>
            <w:vAlign w:val="center"/>
          </w:tcPr>
          <w:p w:rsidR="009A1B65" w:rsidRPr="00F624CE" w:rsidRDefault="009A1B65" w:rsidP="004C56CB">
            <w:pPr>
              <w:pStyle w:val="Standard1"/>
              <w:spacing w:line="240" w:lineRule="auto"/>
              <w:jc w:val="center"/>
              <w:rPr>
                <w:bCs/>
                <w:szCs w:val="20"/>
              </w:rPr>
            </w:pPr>
            <w:r>
              <w:rPr>
                <w:bCs/>
                <w:szCs w:val="20"/>
              </w:rPr>
              <w:t>All</w:t>
            </w:r>
          </w:p>
        </w:tc>
      </w:tr>
      <w:tr w:rsidR="00F624CE" w:rsidRPr="00E848E8" w:rsidTr="004C56CB">
        <w:trPr>
          <w:trHeight w:val="244"/>
        </w:trPr>
        <w:tc>
          <w:tcPr>
            <w:tcW w:w="6237" w:type="dxa"/>
            <w:vAlign w:val="center"/>
          </w:tcPr>
          <w:p w:rsidR="00F624CE" w:rsidRPr="00F624CE" w:rsidRDefault="009A1B65" w:rsidP="009A1B65">
            <w:pPr>
              <w:pStyle w:val="Standard1"/>
              <w:spacing w:line="240" w:lineRule="auto"/>
              <w:rPr>
                <w:bCs/>
                <w:szCs w:val="20"/>
              </w:rPr>
            </w:pPr>
            <w:r>
              <w:rPr>
                <w:bCs/>
                <w:szCs w:val="20"/>
              </w:rPr>
              <w:t>Nasopharyngeal Multiplex PCR swab*</w:t>
            </w:r>
          </w:p>
        </w:tc>
        <w:tc>
          <w:tcPr>
            <w:tcW w:w="2835" w:type="dxa"/>
            <w:vAlign w:val="center"/>
          </w:tcPr>
          <w:p w:rsidR="00F624CE" w:rsidRPr="00F624CE" w:rsidRDefault="00F624CE" w:rsidP="004C56CB">
            <w:pPr>
              <w:pStyle w:val="Standard1"/>
              <w:spacing w:line="240" w:lineRule="auto"/>
              <w:jc w:val="center"/>
              <w:rPr>
                <w:bCs/>
                <w:szCs w:val="20"/>
              </w:rPr>
            </w:pPr>
            <w:r w:rsidRPr="00F624CE">
              <w:rPr>
                <w:bCs/>
                <w:szCs w:val="20"/>
              </w:rPr>
              <w:t>All</w:t>
            </w:r>
          </w:p>
        </w:tc>
      </w:tr>
      <w:tr w:rsidR="00F624CE" w:rsidRPr="00E848E8" w:rsidTr="004C56CB">
        <w:trPr>
          <w:trHeight w:val="244"/>
        </w:trPr>
        <w:tc>
          <w:tcPr>
            <w:tcW w:w="6237" w:type="dxa"/>
            <w:vAlign w:val="center"/>
          </w:tcPr>
          <w:p w:rsidR="00F624CE" w:rsidRPr="00F624CE" w:rsidRDefault="00F624CE" w:rsidP="00F624CE">
            <w:pPr>
              <w:pStyle w:val="Standard1"/>
              <w:spacing w:line="240" w:lineRule="auto"/>
              <w:rPr>
                <w:bCs/>
                <w:szCs w:val="20"/>
              </w:rPr>
            </w:pPr>
          </w:p>
        </w:tc>
        <w:tc>
          <w:tcPr>
            <w:tcW w:w="2835" w:type="dxa"/>
            <w:vAlign w:val="center"/>
          </w:tcPr>
          <w:p w:rsidR="00F624CE" w:rsidRPr="00F624CE" w:rsidRDefault="00F624CE" w:rsidP="004C56CB">
            <w:pPr>
              <w:pStyle w:val="Standard1"/>
              <w:spacing w:line="240" w:lineRule="auto"/>
              <w:jc w:val="center"/>
              <w:rPr>
                <w:bCs/>
                <w:szCs w:val="20"/>
              </w:rPr>
            </w:pPr>
          </w:p>
        </w:tc>
      </w:tr>
      <w:tr w:rsidR="00F624CE" w:rsidRPr="00E848E8" w:rsidTr="004C56CB">
        <w:trPr>
          <w:trHeight w:val="244"/>
        </w:trPr>
        <w:tc>
          <w:tcPr>
            <w:tcW w:w="6237" w:type="dxa"/>
            <w:vAlign w:val="center"/>
          </w:tcPr>
          <w:p w:rsidR="00F624CE" w:rsidRPr="00F624CE" w:rsidRDefault="00F624CE" w:rsidP="00F624CE">
            <w:pPr>
              <w:pStyle w:val="Standard1"/>
              <w:spacing w:line="240" w:lineRule="auto"/>
              <w:rPr>
                <w:b/>
                <w:bCs/>
                <w:szCs w:val="20"/>
              </w:rPr>
            </w:pPr>
            <w:r w:rsidRPr="00F624CE">
              <w:rPr>
                <w:b/>
                <w:bCs/>
                <w:szCs w:val="20"/>
              </w:rPr>
              <w:t>Radiology</w:t>
            </w:r>
          </w:p>
        </w:tc>
        <w:tc>
          <w:tcPr>
            <w:tcW w:w="2835" w:type="dxa"/>
            <w:vAlign w:val="center"/>
          </w:tcPr>
          <w:p w:rsidR="00F624CE" w:rsidRPr="00F624CE" w:rsidRDefault="00F624CE" w:rsidP="004C56CB">
            <w:pPr>
              <w:pStyle w:val="Standard1"/>
              <w:spacing w:line="240" w:lineRule="auto"/>
              <w:jc w:val="center"/>
              <w:rPr>
                <w:bCs/>
                <w:szCs w:val="20"/>
              </w:rPr>
            </w:pPr>
          </w:p>
        </w:tc>
      </w:tr>
      <w:tr w:rsidR="00F624CE" w:rsidRPr="00E848E8" w:rsidTr="004C56CB">
        <w:trPr>
          <w:trHeight w:val="244"/>
        </w:trPr>
        <w:tc>
          <w:tcPr>
            <w:tcW w:w="6237" w:type="dxa"/>
            <w:tcBorders>
              <w:bottom w:val="single" w:sz="4" w:space="0" w:color="auto"/>
            </w:tcBorders>
            <w:vAlign w:val="center"/>
          </w:tcPr>
          <w:p w:rsidR="00F624CE" w:rsidRPr="00F624CE" w:rsidRDefault="00F624CE" w:rsidP="00F624CE">
            <w:pPr>
              <w:pStyle w:val="Standard1"/>
              <w:spacing w:line="240" w:lineRule="auto"/>
              <w:rPr>
                <w:bCs/>
                <w:szCs w:val="20"/>
              </w:rPr>
            </w:pPr>
            <w:r>
              <w:rPr>
                <w:bCs/>
                <w:szCs w:val="20"/>
              </w:rPr>
              <w:t>Chest X-ray or CT</w:t>
            </w:r>
          </w:p>
        </w:tc>
        <w:tc>
          <w:tcPr>
            <w:tcW w:w="2835" w:type="dxa"/>
            <w:tcBorders>
              <w:bottom w:val="single" w:sz="4" w:space="0" w:color="auto"/>
            </w:tcBorders>
            <w:vAlign w:val="center"/>
          </w:tcPr>
          <w:p w:rsidR="00F624CE" w:rsidRPr="00F624CE" w:rsidRDefault="00F624CE" w:rsidP="004C56CB">
            <w:pPr>
              <w:pStyle w:val="Standard1"/>
              <w:spacing w:line="240" w:lineRule="auto"/>
              <w:jc w:val="center"/>
              <w:rPr>
                <w:bCs/>
                <w:szCs w:val="20"/>
              </w:rPr>
            </w:pPr>
            <w:r>
              <w:rPr>
                <w:bCs/>
                <w:szCs w:val="20"/>
              </w:rPr>
              <w:t>Only with clinical indication</w:t>
            </w:r>
          </w:p>
        </w:tc>
      </w:tr>
    </w:tbl>
    <w:p w:rsidR="009A1B65" w:rsidRPr="00E848E8" w:rsidRDefault="009A1B65" w:rsidP="009A1B65">
      <w:pPr>
        <w:pStyle w:val="Standard1"/>
        <w:spacing w:line="240" w:lineRule="auto"/>
        <w:rPr>
          <w:rFonts w:ascii="Times New Roman" w:hAnsi="Times New Roman" w:cs="Times New Roman"/>
          <w:bCs/>
          <w:sz w:val="20"/>
          <w:szCs w:val="20"/>
        </w:rPr>
      </w:pPr>
      <w:r>
        <w:rPr>
          <w:rFonts w:ascii="Times New Roman" w:hAnsi="Times New Roman" w:cs="Times New Roman"/>
          <w:bCs/>
          <w:sz w:val="20"/>
          <w:szCs w:val="20"/>
        </w:rPr>
        <w:t>*PCR on nasopharyngeal swab to detect 22 common respiratory viruses and 3 atypical pneumonia bacterial pathogens using the multiplex set</w:t>
      </w:r>
      <w:r w:rsidRPr="00E848E8">
        <w:rPr>
          <w:rFonts w:ascii="Times New Roman" w:hAnsi="Times New Roman" w:cs="Times New Roman"/>
          <w:bCs/>
          <w:sz w:val="20"/>
          <w:szCs w:val="20"/>
        </w:rPr>
        <w:t xml:space="preserve"> </w:t>
      </w:r>
      <w:r>
        <w:rPr>
          <w:rFonts w:ascii="Times New Roman" w:hAnsi="Times New Roman" w:cs="Times New Roman"/>
          <w:bCs/>
          <w:sz w:val="20"/>
          <w:szCs w:val="20"/>
        </w:rPr>
        <w:t>NxTAG® RPP IUO (</w:t>
      </w:r>
      <w:r w:rsidRPr="009A1B65">
        <w:rPr>
          <w:rFonts w:ascii="Times New Roman" w:hAnsi="Times New Roman" w:cs="Times New Roman"/>
          <w:bCs/>
          <w:sz w:val="20"/>
          <w:szCs w:val="20"/>
        </w:rPr>
        <w:t>Luminex Inc., Austin, Texas</w:t>
      </w:r>
      <w:r>
        <w:rPr>
          <w:rFonts w:ascii="Times New Roman" w:hAnsi="Times New Roman" w:cs="Times New Roman"/>
          <w:bCs/>
          <w:sz w:val="20"/>
          <w:szCs w:val="20"/>
        </w:rPr>
        <w:t>)</w:t>
      </w:r>
    </w:p>
    <w:p w:rsidR="00F624CE" w:rsidRPr="00E848E8" w:rsidRDefault="00F624CE" w:rsidP="00F624CE">
      <w:pPr>
        <w:pStyle w:val="Standard1"/>
        <w:spacing w:line="240" w:lineRule="auto"/>
        <w:rPr>
          <w:rFonts w:ascii="Times New Roman" w:hAnsi="Times New Roman" w:cs="Times New Roman"/>
          <w:bCs/>
          <w:sz w:val="20"/>
          <w:szCs w:val="20"/>
          <w:vertAlign w:val="superscript"/>
        </w:rPr>
      </w:pPr>
    </w:p>
    <w:p w:rsidR="00E573CC" w:rsidRDefault="00E573CC"/>
    <w:p w:rsidR="00CC39D0" w:rsidRPr="00CC39D0" w:rsidRDefault="00CC39D0" w:rsidP="00CC39D0">
      <w:pPr>
        <w:rPr>
          <w:rFonts w:ascii="Times New Roman" w:hAnsi="Times New Roman" w:cs="Times New Roman"/>
          <w:b/>
          <w:sz w:val="24"/>
          <w:szCs w:val="24"/>
        </w:rPr>
      </w:pPr>
      <w:r w:rsidRPr="00CC39D0">
        <w:rPr>
          <w:rFonts w:ascii="Times New Roman" w:hAnsi="Times New Roman" w:cs="Times New Roman"/>
          <w:b/>
          <w:sz w:val="24"/>
          <w:szCs w:val="24"/>
        </w:rPr>
        <w:t>Sample Processing and result readout</w:t>
      </w:r>
      <w:bookmarkStart w:id="0" w:name="_GoBack"/>
      <w:bookmarkEnd w:id="0"/>
    </w:p>
    <w:p w:rsidR="00CC39D0" w:rsidRPr="00CC39D0" w:rsidRDefault="00CC39D0" w:rsidP="00CC39D0">
      <w:pPr>
        <w:rPr>
          <w:rFonts w:ascii="Times New Roman" w:hAnsi="Times New Roman" w:cs="Times New Roman"/>
          <w:sz w:val="24"/>
          <w:szCs w:val="24"/>
        </w:rPr>
      </w:pPr>
      <w:r w:rsidRPr="00CC39D0">
        <w:rPr>
          <w:rFonts w:ascii="Times New Roman" w:hAnsi="Times New Roman" w:cs="Times New Roman"/>
          <w:sz w:val="24"/>
          <w:szCs w:val="24"/>
        </w:rPr>
        <w:t>For each patient, 2.5 mL of whole blood was collected in a PAXgene Blood RNA tube, processed according to the manufacturers´ recommendations and stored at -80</w:t>
      </w:r>
      <w:r>
        <w:rPr>
          <w:rFonts w:ascii="Times New Roman" w:hAnsi="Times New Roman" w:cs="Times New Roman"/>
          <w:sz w:val="24"/>
          <w:szCs w:val="24"/>
        </w:rPr>
        <w:t>°</w:t>
      </w:r>
      <w:r w:rsidRPr="00CC39D0">
        <w:rPr>
          <w:rFonts w:ascii="Times New Roman" w:hAnsi="Times New Roman" w:cs="Times New Roman"/>
          <w:sz w:val="24"/>
          <w:szCs w:val="24"/>
        </w:rPr>
        <w:t>C within two hours until transfer to Inflammatix. Gene expression measurements for the IMX-BVN-2 29-mRNA signature were generated as previously described (16), blinded to patient outcomes. Briefly, RNA was extracted from PAXgene Blood RNA samples on the QiaCube® Connect instrument using RNeasy® Plus Micro Kit (QIAGEN, Hilden, Germany). Next, using 150 ng of isolated RNA, the 29 target mRNAs and four housekeeping genes for normalization (CDIPT, KPNA6, RREB1, YWHAB) were quantitated using the reference technology NanoString nCounter® SPRINT profiler.</w:t>
      </w:r>
    </w:p>
    <w:sectPr w:rsidR="00CC39D0" w:rsidRPr="00CC39D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1F0" w:rsidRDefault="005861F0" w:rsidP="00CC39D0">
      <w:r>
        <w:separator/>
      </w:r>
    </w:p>
  </w:endnote>
  <w:endnote w:type="continuationSeparator" w:id="0">
    <w:p w:rsidR="005861F0" w:rsidRDefault="005861F0" w:rsidP="00CC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1F0" w:rsidRDefault="005861F0" w:rsidP="00CC39D0">
      <w:r>
        <w:separator/>
      </w:r>
    </w:p>
  </w:footnote>
  <w:footnote w:type="continuationSeparator" w:id="0">
    <w:p w:rsidR="005861F0" w:rsidRDefault="005861F0" w:rsidP="00CC3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CE"/>
    <w:rsid w:val="00354C7E"/>
    <w:rsid w:val="004C56CB"/>
    <w:rsid w:val="005861F0"/>
    <w:rsid w:val="005D6AEA"/>
    <w:rsid w:val="005F51DD"/>
    <w:rsid w:val="009A1B65"/>
    <w:rsid w:val="00CC39D0"/>
    <w:rsid w:val="00CC6C2A"/>
    <w:rsid w:val="00E573CC"/>
    <w:rsid w:val="00F624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5451"/>
  <w15:chartTrackingRefBased/>
  <w15:docId w15:val="{AEE2D455-267E-46C5-9490-96163CFA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24CE"/>
    <w:pPr>
      <w:widowControl w:val="0"/>
      <w:suppressAutoHyphens/>
      <w:autoSpaceDN w:val="0"/>
      <w:spacing w:after="0" w:line="240" w:lineRule="auto"/>
      <w:textAlignment w:val="baseline"/>
    </w:pPr>
    <w:rPr>
      <w:rFonts w:ascii="Arial" w:eastAsia="Arial" w:hAnsi="Arial" w:cs="Arial"/>
      <w:lang w:val="e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F624CE"/>
    <w:pPr>
      <w:suppressAutoHyphens/>
      <w:autoSpaceDN w:val="0"/>
      <w:spacing w:after="0" w:line="276" w:lineRule="auto"/>
      <w:textAlignment w:val="baseline"/>
    </w:pPr>
    <w:rPr>
      <w:rFonts w:ascii="Arial" w:eastAsia="Arial" w:hAnsi="Arial" w:cs="Arial"/>
      <w:lang w:val="en"/>
    </w:rPr>
  </w:style>
  <w:style w:type="table" w:styleId="Tabellenraster">
    <w:name w:val="Table Grid"/>
    <w:basedOn w:val="NormaleTabelle"/>
    <w:uiPriority w:val="39"/>
    <w:rsid w:val="00F624CE"/>
    <w:pPr>
      <w:spacing w:after="0" w:line="240" w:lineRule="auto"/>
    </w:pPr>
    <w:rPr>
      <w:rFonts w:ascii="Times New Roman" w:eastAsia="Times New Roman" w:hAnsi="Times New Roman" w:cs="Times New Roman"/>
      <w:sz w:val="20"/>
      <w:szCs w:val="3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C39D0"/>
    <w:rPr>
      <w:sz w:val="20"/>
      <w:szCs w:val="20"/>
    </w:rPr>
  </w:style>
  <w:style w:type="character" w:customStyle="1" w:styleId="FunotentextZchn">
    <w:name w:val="Fußnotentext Zchn"/>
    <w:basedOn w:val="Absatz-Standardschriftart"/>
    <w:link w:val="Funotentext"/>
    <w:uiPriority w:val="99"/>
    <w:semiHidden/>
    <w:rsid w:val="00CC39D0"/>
    <w:rPr>
      <w:rFonts w:ascii="Arial" w:eastAsia="Arial" w:hAnsi="Arial" w:cs="Arial"/>
      <w:sz w:val="20"/>
      <w:szCs w:val="20"/>
      <w:lang w:val="en"/>
    </w:rPr>
  </w:style>
  <w:style w:type="character" w:styleId="Funotenzeichen">
    <w:name w:val="footnote reference"/>
    <w:basedOn w:val="Absatz-Standardschriftart"/>
    <w:uiPriority w:val="99"/>
    <w:semiHidden/>
    <w:unhideWhenUsed/>
    <w:rsid w:val="00CC39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1165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Charité Universitaetsmedizin Berlin</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Wolfgang</dc:creator>
  <cp:keywords/>
  <dc:description/>
  <cp:lastModifiedBy>Bauer, Wolfgang</cp:lastModifiedBy>
  <cp:revision>5</cp:revision>
  <dcterms:created xsi:type="dcterms:W3CDTF">2021-01-25T11:01:00Z</dcterms:created>
  <dcterms:modified xsi:type="dcterms:W3CDTF">2021-01-25T12:21:00Z</dcterms:modified>
</cp:coreProperties>
</file>