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67D8" w14:textId="77777777" w:rsidR="00D1075B" w:rsidRDefault="00D1075B" w:rsidP="00D1075B">
      <w:pPr>
        <w:spacing w:after="0" w:line="480" w:lineRule="auto"/>
        <w:rPr>
          <w:rFonts w:ascii="Calibri" w:eastAsia="Calibri" w:hAnsi="Calibri" w:cs="Calibri"/>
          <w:b/>
          <w:iCs/>
          <w:color w:val="010101"/>
          <w:sz w:val="24"/>
          <w:szCs w:val="24"/>
        </w:rPr>
      </w:pPr>
      <w:r>
        <w:rPr>
          <w:rFonts w:ascii="Calibri" w:eastAsia="Calibri" w:hAnsi="Calibri" w:cs="Calibri"/>
          <w:b/>
          <w:iCs/>
          <w:color w:val="010101"/>
          <w:sz w:val="24"/>
          <w:szCs w:val="24"/>
        </w:rPr>
        <w:t>LIST OF SUPPLEMENTAL DIGITAL CONTENT</w:t>
      </w:r>
    </w:p>
    <w:p w14:paraId="554679F2" w14:textId="77777777" w:rsidR="00D1075B" w:rsidRDefault="00D1075B" w:rsidP="00D1075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Calibri" w:hAnsi="Calibri" w:cs="Calibri"/>
          <w:color w:val="010101"/>
          <w:sz w:val="24"/>
          <w:szCs w:val="24"/>
        </w:rPr>
      </w:pPr>
      <w:r w:rsidRPr="00035AF2">
        <w:rPr>
          <w:rFonts w:ascii="Calibri" w:eastAsia="Calibri" w:hAnsi="Calibri" w:cs="Calibri"/>
          <w:b/>
          <w:iCs/>
          <w:color w:val="010101"/>
          <w:sz w:val="24"/>
          <w:szCs w:val="24"/>
        </w:rPr>
        <w:t>Supplemental Digital Content 1</w:t>
      </w:r>
      <w:r w:rsidRPr="00035AF2">
        <w:rPr>
          <w:rFonts w:ascii="Calibri" w:eastAsia="Calibri" w:hAnsi="Calibri" w:cs="Calibri"/>
          <w:b/>
          <w:i/>
          <w:color w:val="010101"/>
          <w:sz w:val="24"/>
          <w:szCs w:val="24"/>
        </w:rPr>
        <w:t>.</w:t>
      </w:r>
      <w:r w:rsidRPr="00035AF2">
        <w:rPr>
          <w:rFonts w:ascii="Calibri" w:eastAsia="Calibri" w:hAnsi="Calibri" w:cs="Calibri"/>
          <w:color w:val="010101"/>
          <w:sz w:val="24"/>
          <w:szCs w:val="24"/>
        </w:rPr>
        <w:t xml:space="preserve"> Figure that illustrates p</w:t>
      </w:r>
      <w:r w:rsidRPr="00035AF2">
        <w:rPr>
          <w:rFonts w:ascii="Calibri" w:eastAsia="Calibri" w:hAnsi="Calibri" w:cs="Calibri"/>
          <w:bCs/>
          <w:color w:val="010101"/>
          <w:sz w:val="24"/>
          <w:szCs w:val="24"/>
        </w:rPr>
        <w:t>riority populations for ACTIV</w:t>
      </w:r>
      <w:r w:rsidRPr="00035AF2">
        <w:rPr>
          <w:rFonts w:ascii="Calibri" w:eastAsia="Calibri" w:hAnsi="Calibri" w:cs="Calibri"/>
          <w:color w:val="010101"/>
          <w:sz w:val="24"/>
          <w:szCs w:val="24"/>
        </w:rPr>
        <w:t>.</w:t>
      </w:r>
    </w:p>
    <w:p w14:paraId="0BC126C3" w14:textId="77777777" w:rsidR="00D1075B" w:rsidRPr="005C627D" w:rsidRDefault="00D1075B" w:rsidP="00D1075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Calibri" w:hAnsi="Calibri" w:cs="Calibri"/>
          <w:b/>
          <w:sz w:val="24"/>
          <w:szCs w:val="24"/>
        </w:rPr>
      </w:pPr>
      <w:r w:rsidRPr="005C627D">
        <w:rPr>
          <w:rFonts w:ascii="Calibri" w:eastAsia="Calibri" w:hAnsi="Calibri" w:cs="Calibri"/>
          <w:b/>
          <w:iCs/>
          <w:sz w:val="24"/>
          <w:szCs w:val="24"/>
        </w:rPr>
        <w:t xml:space="preserve">Supplemental Digital Content </w:t>
      </w:r>
      <w:r>
        <w:rPr>
          <w:rFonts w:ascii="Calibri" w:eastAsia="Calibri" w:hAnsi="Calibri" w:cs="Calibri"/>
          <w:b/>
          <w:iCs/>
          <w:sz w:val="24"/>
          <w:szCs w:val="24"/>
        </w:rPr>
        <w:t>2</w:t>
      </w:r>
      <w:r w:rsidRPr="005C627D">
        <w:rPr>
          <w:rFonts w:ascii="Calibri" w:eastAsia="Calibri" w:hAnsi="Calibri" w:cs="Calibri"/>
          <w:b/>
          <w:i/>
          <w:sz w:val="24"/>
          <w:szCs w:val="24"/>
        </w:rPr>
        <w:t>.</w:t>
      </w:r>
      <w:r w:rsidRPr="00603F12">
        <w:rPr>
          <w:rFonts w:ascii="Calibri" w:eastAsia="Calibri" w:hAnsi="Calibri" w:cs="Calibri"/>
          <w:sz w:val="24"/>
          <w:szCs w:val="24"/>
        </w:rPr>
        <w:t xml:space="preserve"> Figure that illustrates m</w:t>
      </w:r>
      <w:r w:rsidRPr="00035AF2">
        <w:rPr>
          <w:rFonts w:ascii="Calibri" w:eastAsia="Calibri" w:hAnsi="Calibri" w:cs="Calibri"/>
          <w:bCs/>
          <w:sz w:val="24"/>
          <w:szCs w:val="24"/>
        </w:rPr>
        <w:t>odified review criteria for Waves 2 and beyond.</w:t>
      </w:r>
    </w:p>
    <w:p w14:paraId="0BF8C542" w14:textId="77777777" w:rsidR="00D1075B" w:rsidRDefault="00D1075B" w:rsidP="00D1075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056988">
        <w:rPr>
          <w:rFonts w:ascii="Calibri" w:eastAsia="Calibri" w:hAnsi="Calibri" w:cs="Calibri"/>
          <w:b/>
          <w:iCs/>
          <w:sz w:val="24"/>
          <w:szCs w:val="24"/>
        </w:rPr>
        <w:t xml:space="preserve">Supplemental Digital Content </w:t>
      </w:r>
      <w:r>
        <w:rPr>
          <w:rFonts w:ascii="Calibri" w:eastAsia="Calibri" w:hAnsi="Calibri" w:cs="Calibri"/>
          <w:b/>
          <w:iCs/>
          <w:sz w:val="24"/>
          <w:szCs w:val="24"/>
        </w:rPr>
        <w:t>3</w:t>
      </w:r>
      <w:r w:rsidRPr="00056988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035AF2">
        <w:rPr>
          <w:rFonts w:ascii="Calibri" w:eastAsia="Calibri" w:hAnsi="Calibri" w:cs="Calibri"/>
          <w:bCs/>
          <w:sz w:val="24"/>
          <w:szCs w:val="24"/>
        </w:rPr>
        <w:t>Figure that illustrates agent assignment categories post review by ACTIV.</w:t>
      </w:r>
    </w:p>
    <w:p w14:paraId="61B43437" w14:textId="39BDB20F" w:rsidR="00D1075B" w:rsidRPr="00CF64DA" w:rsidRDefault="00D1075B" w:rsidP="00D1075B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Cs/>
          <w:sz w:val="24"/>
          <w:szCs w:val="24"/>
        </w:rPr>
        <w:t>Supplemental Digital Content 4</w:t>
      </w:r>
      <w:r w:rsidRPr="00B72EE3"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35AF2">
        <w:rPr>
          <w:rFonts w:ascii="Calibri" w:eastAsia="Calibri" w:hAnsi="Calibri" w:cs="Calibri"/>
          <w:bCs/>
          <w:sz w:val="24"/>
          <w:szCs w:val="24"/>
        </w:rPr>
        <w:t xml:space="preserve">Figure that illustrates the original </w:t>
      </w:r>
      <w:r>
        <w:rPr>
          <w:rFonts w:ascii="Calibri" w:eastAsia="Calibri" w:hAnsi="Calibri" w:cs="Calibri"/>
          <w:bCs/>
          <w:sz w:val="24"/>
          <w:szCs w:val="24"/>
        </w:rPr>
        <w:t>neutralizing antibody</w:t>
      </w:r>
      <w:r w:rsidRPr="00035AF2">
        <w:rPr>
          <w:rFonts w:ascii="Calibri" w:eastAsia="Calibri" w:hAnsi="Calibri" w:cs="Calibri"/>
          <w:bCs/>
          <w:sz w:val="24"/>
          <w:szCs w:val="24"/>
        </w:rPr>
        <w:t xml:space="preserve"> review criteria and revision process.</w:t>
      </w:r>
    </w:p>
    <w:p w14:paraId="3D64C1CA" w14:textId="77777777" w:rsidR="00CF64DA" w:rsidRPr="00116D87" w:rsidRDefault="00CF64DA" w:rsidP="00CF64D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21E0E4CA" w14:textId="07348164" w:rsidR="00B42549" w:rsidRDefault="00D1075B" w:rsidP="00D1075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Calibri" w:hAnsi="Calibri" w:cs="Calibri"/>
          <w:bCs/>
          <w:sz w:val="24"/>
          <w:szCs w:val="24"/>
        </w:rPr>
      </w:pPr>
      <w:r w:rsidRPr="00B509E3">
        <w:rPr>
          <w:rFonts w:ascii="Calibri" w:eastAsia="Calibri" w:hAnsi="Calibri" w:cs="Calibri"/>
          <w:b/>
          <w:iCs/>
          <w:sz w:val="24"/>
          <w:szCs w:val="24"/>
        </w:rPr>
        <w:t>Supplemental Digit</w:t>
      </w:r>
      <w:r w:rsidRPr="00B72EE3">
        <w:rPr>
          <w:rFonts w:ascii="Calibri" w:eastAsia="Calibri" w:hAnsi="Calibri" w:cs="Calibri"/>
          <w:b/>
          <w:iCs/>
          <w:sz w:val="24"/>
          <w:szCs w:val="24"/>
        </w:rPr>
        <w:t xml:space="preserve">al Content </w:t>
      </w:r>
      <w:r>
        <w:rPr>
          <w:rFonts w:ascii="Calibri" w:eastAsia="Calibri" w:hAnsi="Calibri" w:cs="Calibri"/>
          <w:b/>
          <w:iCs/>
          <w:sz w:val="24"/>
          <w:szCs w:val="24"/>
        </w:rPr>
        <w:t>5</w:t>
      </w:r>
      <w:r w:rsidRPr="00B509E3"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Cs/>
          <w:sz w:val="24"/>
          <w:szCs w:val="24"/>
        </w:rPr>
        <w:t>Repurposed figure with permission from Menetski, JP from</w:t>
      </w:r>
      <w:r w:rsidRPr="00B72EE3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DA58F3">
        <w:rPr>
          <w:rFonts w:ascii="Calibri" w:eastAsia="Calibri" w:hAnsi="Calibri" w:cs="Calibri"/>
          <w:bCs/>
          <w:sz w:val="24"/>
          <w:szCs w:val="24"/>
        </w:rPr>
        <w:t>Cell Host Microbe. 2020 Nov 11;28(5):638-645</w:t>
      </w:r>
      <w:r>
        <w:rPr>
          <w:rFonts w:ascii="Calibri" w:eastAsia="Calibri" w:hAnsi="Calibri" w:cs="Calibri"/>
          <w:bCs/>
          <w:sz w:val="24"/>
          <w:szCs w:val="24"/>
        </w:rPr>
        <w:t>.</w:t>
      </w:r>
      <w:r w:rsidRPr="00DA58F3">
        <w:rPr>
          <w:rFonts w:ascii="Calibri" w:eastAsia="Calibri" w:hAnsi="Calibri" w:cs="Calibri"/>
          <w:bCs/>
          <w:sz w:val="24"/>
          <w:szCs w:val="24"/>
        </w:rPr>
        <w:t xml:space="preserve"> doi: 10.1016/j.chom.2020.09.017. Epub 2020 Oct 1. that illustrates coordination of agent review with Preclinical Working Group.</w:t>
      </w:r>
    </w:p>
    <w:p w14:paraId="04549CFE" w14:textId="5AB50FA1" w:rsidR="00F61199" w:rsidRPr="00133D6B" w:rsidRDefault="00133D6B" w:rsidP="00133D6B">
      <w:pPr>
        <w:pStyle w:val="ListParagraph"/>
        <w:numPr>
          <w:ilvl w:val="0"/>
          <w:numId w:val="1"/>
        </w:numPr>
        <w:spacing w:after="0" w:line="480" w:lineRule="auto"/>
        <w:rPr>
          <w:rFonts w:ascii="Calibri" w:eastAsia="Calibri" w:hAnsi="Calibri" w:cs="Calibri"/>
          <w:bCs/>
          <w:sz w:val="24"/>
          <w:szCs w:val="24"/>
        </w:rPr>
      </w:pPr>
      <w:r w:rsidRPr="00133D6B">
        <w:rPr>
          <w:rFonts w:ascii="Calibri" w:eastAsia="Calibri" w:hAnsi="Calibri" w:cs="Calibri"/>
          <w:b/>
          <w:sz w:val="24"/>
          <w:szCs w:val="24"/>
        </w:rPr>
        <w:t>Supplemental Digital Content</w:t>
      </w:r>
      <w:r w:rsidRPr="00133D6B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/>
          <w:sz w:val="24"/>
          <w:szCs w:val="24"/>
        </w:rPr>
        <w:t>6</w:t>
      </w:r>
      <w:r w:rsidRPr="00133D6B">
        <w:rPr>
          <w:rFonts w:ascii="Calibri" w:eastAsia="Calibri" w:hAnsi="Calibri" w:cs="Calibri"/>
          <w:b/>
          <w:sz w:val="24"/>
          <w:szCs w:val="24"/>
        </w:rPr>
        <w:t>.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Review criteria for widely available repurposed agents for outpatient treatment of COVID 19 To effectively and efficiently evaluate the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COVID 19 therapeutic potential of widely available, mostly generic repurposed agents, the ACTIV agent prioritization subteam defined a set of </w:t>
      </w:r>
      <w:proofErr w:type="gramStart"/>
      <w:r w:rsidRPr="00133D6B">
        <w:rPr>
          <w:rFonts w:ascii="Calibri" w:eastAsia="Calibri" w:hAnsi="Calibri" w:cs="Calibri"/>
          <w:bCs/>
          <w:sz w:val="24"/>
          <w:szCs w:val="24"/>
        </w:rPr>
        <w:t>triage</w:t>
      </w:r>
      <w:proofErr w:type="gramEnd"/>
      <w:r w:rsidRPr="00133D6B">
        <w:rPr>
          <w:rFonts w:ascii="Calibri" w:eastAsia="Calibri" w:hAnsi="Calibri" w:cs="Calibri"/>
          <w:bCs/>
          <w:sz w:val="24"/>
          <w:szCs w:val="24"/>
        </w:rPr>
        <w:t>, “must have”, and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“nice to have” criteria. Two triage criteria safety and route of administration are established to focus on candidates with sufficient safety data and are easily stored and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administered. This would ensure that the prioritized candidates are appropriate to be investigated in a mostly remotely condu cte d trial. “Must have” criteria include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considerations around the candidate’s mechanism of action and its relevancy for COVID 19, early clinical evidence or </w:t>
      </w:r>
      <w:proofErr w:type="gramStart"/>
      <w:r w:rsidRPr="00133D6B">
        <w:rPr>
          <w:rFonts w:ascii="Calibri" w:eastAsia="Calibri" w:hAnsi="Calibri" w:cs="Calibri"/>
          <w:bCs/>
          <w:sz w:val="24"/>
          <w:szCs w:val="24"/>
        </w:rPr>
        <w:t>real world</w:t>
      </w:r>
      <w:proofErr w:type="gramEnd"/>
      <w:r w:rsidRPr="00133D6B">
        <w:rPr>
          <w:rFonts w:ascii="Calibri" w:eastAsia="Calibri" w:hAnsi="Calibri" w:cs="Calibri"/>
          <w:bCs/>
          <w:sz w:val="24"/>
          <w:szCs w:val="24"/>
        </w:rPr>
        <w:t xml:space="preserve"> evidence in the context of COVID 19, and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potential drug drug </w:t>
      </w:r>
      <w:r w:rsidRPr="00133D6B">
        <w:rPr>
          <w:rFonts w:ascii="Calibri" w:eastAsia="Calibri" w:hAnsi="Calibri" w:cs="Calibri"/>
          <w:bCs/>
          <w:sz w:val="24"/>
          <w:szCs w:val="24"/>
        </w:rPr>
        <w:lastRenderedPageBreak/>
        <w:t>interaction concerns. Notably, the ACTIV agent prioritization subteam recognized that a wholistic approach needs to be taken when evaluating relevant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clinical trial data, so that a wide range of study designs and outcomes can be considered in an integrative manner. In addit ion to the </w:t>
      </w:r>
      <w:proofErr w:type="gramStart"/>
      <w:r w:rsidRPr="00133D6B">
        <w:rPr>
          <w:rFonts w:ascii="Calibri" w:eastAsia="Calibri" w:hAnsi="Calibri" w:cs="Calibri"/>
          <w:bCs/>
          <w:sz w:val="24"/>
          <w:szCs w:val="24"/>
        </w:rPr>
        <w:t>aforementioned criteria</w:t>
      </w:r>
      <w:proofErr w:type="gramEnd"/>
      <w:r w:rsidRPr="00133D6B">
        <w:rPr>
          <w:rFonts w:ascii="Calibri" w:eastAsia="Calibri" w:hAnsi="Calibri" w:cs="Calibri"/>
          <w:bCs/>
          <w:sz w:val="24"/>
          <w:szCs w:val="24"/>
        </w:rPr>
        <w:t>, the ACTIV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agent prioritization subteam also deemed preclinical data, pharmacokinetics / pharmacodynamics, and level of public / scientific interest as relevant revi ew criteria as “nice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to haves”. Finally, a vailability / scalability of the candidate will be assessed after prioritization of any agent before official entry into the tri al. ACTIV Accelerating COVID 19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Therapeutic Interventions and Vaccines IV = intravenous, PD = pharmacodynamics, PK = pharmacokinetics, RCT = randomized controlled trial, SARS CoV 2 Severe Acute</w:t>
      </w:r>
      <w:r w:rsidRPr="00133D6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133D6B">
        <w:rPr>
          <w:rFonts w:ascii="Calibri" w:eastAsia="Calibri" w:hAnsi="Calibri" w:cs="Calibri"/>
          <w:bCs/>
          <w:sz w:val="24"/>
          <w:szCs w:val="24"/>
        </w:rPr>
        <w:t>Respiratory Syndrome Coronavirus 2, SubQ = subcutaneous</w:t>
      </w:r>
      <w:r w:rsidR="00CF64DA">
        <w:rPr>
          <w:rFonts w:ascii="Calibri" w:eastAsia="Calibri" w:hAnsi="Calibri" w:cs="Calibri"/>
          <w:bCs/>
          <w:sz w:val="24"/>
          <w:szCs w:val="24"/>
        </w:rPr>
        <w:t>.</w:t>
      </w:r>
    </w:p>
    <w:sectPr w:rsidR="00F61199" w:rsidRPr="00133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1B2"/>
    <w:multiLevelType w:val="hybridMultilevel"/>
    <w:tmpl w:val="B28E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5B"/>
    <w:rsid w:val="00133D6B"/>
    <w:rsid w:val="00313837"/>
    <w:rsid w:val="00657CF7"/>
    <w:rsid w:val="00742FE5"/>
    <w:rsid w:val="00BA1543"/>
    <w:rsid w:val="00CF64DA"/>
    <w:rsid w:val="00D1075B"/>
    <w:rsid w:val="00F6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B58A"/>
  <w15:chartTrackingRefBased/>
  <w15:docId w15:val="{B56C4ECE-18E5-494F-A99D-63D98C5A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75B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3</cp:revision>
  <dcterms:created xsi:type="dcterms:W3CDTF">2021-08-18T21:58:00Z</dcterms:created>
  <dcterms:modified xsi:type="dcterms:W3CDTF">2021-08-18T22:00:00Z</dcterms:modified>
</cp:coreProperties>
</file>