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FFB67" w14:textId="735CE067" w:rsidR="00AC304F" w:rsidRDefault="00B747FA" w:rsidP="00AC304F">
      <w:pPr>
        <w:jc w:val="both"/>
        <w:rPr>
          <w:rFonts w:ascii="Arial" w:eastAsiaTheme="minorHAnsi" w:hAnsi="Arial" w:cs="Arial"/>
          <w:sz w:val="20"/>
          <w:szCs w:val="20"/>
          <w:lang w:val="en-US"/>
        </w:rPr>
      </w:pPr>
      <w:r w:rsidRPr="008B5FB2">
        <w:rPr>
          <w:rFonts w:ascii="Arial" w:eastAsiaTheme="minorHAnsi" w:hAnsi="Arial" w:cs="Arial"/>
          <w:b/>
          <w:bCs/>
          <w:sz w:val="20"/>
          <w:szCs w:val="20"/>
          <w:lang w:val="en-US"/>
        </w:rPr>
        <w:t>Supp</w:t>
      </w:r>
      <w:r w:rsidR="001854F2" w:rsidRPr="008B5FB2">
        <w:rPr>
          <w:rFonts w:ascii="Arial" w:eastAsiaTheme="minorHAnsi" w:hAnsi="Arial" w:cs="Arial"/>
          <w:b/>
          <w:bCs/>
          <w:sz w:val="20"/>
          <w:szCs w:val="20"/>
          <w:lang w:val="en-US"/>
        </w:rPr>
        <w:t>lementary</w:t>
      </w:r>
      <w:r w:rsidRPr="008B5FB2">
        <w:rPr>
          <w:rFonts w:ascii="Arial" w:eastAsiaTheme="minorHAnsi" w:hAnsi="Arial" w:cs="Arial"/>
          <w:b/>
          <w:bCs/>
          <w:sz w:val="20"/>
          <w:szCs w:val="20"/>
          <w:lang w:val="en-US"/>
        </w:rPr>
        <w:t xml:space="preserve"> </w:t>
      </w:r>
      <w:r w:rsidR="00AC304F" w:rsidRPr="008B5FB2">
        <w:rPr>
          <w:rFonts w:ascii="Arial" w:eastAsiaTheme="minorHAnsi" w:hAnsi="Arial" w:cs="Arial"/>
          <w:b/>
          <w:bCs/>
          <w:sz w:val="20"/>
          <w:szCs w:val="20"/>
          <w:lang w:val="en-US"/>
        </w:rPr>
        <w:t>Figure</w:t>
      </w:r>
      <w:r w:rsidR="003F10B0">
        <w:rPr>
          <w:rFonts w:ascii="Arial" w:eastAsiaTheme="minorHAnsi" w:hAnsi="Arial" w:cs="Arial"/>
          <w:b/>
          <w:bCs/>
          <w:sz w:val="20"/>
          <w:szCs w:val="20"/>
          <w:lang w:val="en-US"/>
        </w:rPr>
        <w:t xml:space="preserve"> S1</w:t>
      </w:r>
      <w:r w:rsidR="00AC304F" w:rsidRPr="008B5FB2">
        <w:rPr>
          <w:rFonts w:ascii="Arial" w:eastAsiaTheme="minorHAnsi" w:hAnsi="Arial" w:cs="Arial"/>
          <w:b/>
          <w:bCs/>
          <w:sz w:val="20"/>
          <w:szCs w:val="20"/>
          <w:lang w:val="en-US"/>
        </w:rPr>
        <w:t>:</w:t>
      </w:r>
      <w:r w:rsidR="00AC304F" w:rsidRPr="008B5FB2">
        <w:rPr>
          <w:rFonts w:ascii="Arial" w:eastAsiaTheme="minorHAnsi" w:hAnsi="Arial" w:cs="Arial"/>
          <w:sz w:val="20"/>
          <w:szCs w:val="20"/>
          <w:lang w:val="en-US"/>
        </w:rPr>
        <w:t xml:space="preserve"> BCSN program activities </w:t>
      </w:r>
    </w:p>
    <w:p w14:paraId="613AF291" w14:textId="2D7884BC" w:rsidR="00C710B8" w:rsidRDefault="00C710B8" w:rsidP="00AC304F">
      <w:pPr>
        <w:jc w:val="both"/>
        <w:rPr>
          <w:rFonts w:ascii="Arial" w:eastAsiaTheme="minorHAnsi" w:hAnsi="Arial" w:cs="Arial"/>
          <w:sz w:val="20"/>
          <w:szCs w:val="20"/>
          <w:lang w:val="en-US"/>
        </w:rPr>
      </w:pPr>
    </w:p>
    <w:p w14:paraId="0388F4E5" w14:textId="3827AB71" w:rsidR="00C710B8" w:rsidRDefault="00C710B8" w:rsidP="00AC304F">
      <w:pPr>
        <w:jc w:val="both"/>
        <w:rPr>
          <w:rFonts w:ascii="Arial" w:eastAsiaTheme="minorHAnsi" w:hAnsi="Arial" w:cs="Arial"/>
          <w:sz w:val="20"/>
          <w:szCs w:val="20"/>
          <w:lang w:val="en-US"/>
        </w:rPr>
      </w:pPr>
    </w:p>
    <w:p w14:paraId="64E8D502" w14:textId="53408817" w:rsidR="00C710B8" w:rsidRDefault="00C710B8" w:rsidP="00AC304F">
      <w:pPr>
        <w:jc w:val="both"/>
        <w:rPr>
          <w:rFonts w:ascii="Arial" w:eastAsiaTheme="minorHAnsi" w:hAnsi="Arial" w:cs="Arial"/>
          <w:sz w:val="20"/>
          <w:szCs w:val="20"/>
          <w:lang w:val="en-US"/>
        </w:rPr>
      </w:pPr>
    </w:p>
    <w:p w14:paraId="6DB1B671" w14:textId="55B0EFF5" w:rsidR="00C710B8" w:rsidRDefault="00C710B8" w:rsidP="00AC304F">
      <w:pPr>
        <w:jc w:val="both"/>
        <w:rPr>
          <w:rFonts w:ascii="Arial" w:eastAsiaTheme="minorHAnsi" w:hAnsi="Arial" w:cs="Arial"/>
          <w:sz w:val="20"/>
          <w:szCs w:val="20"/>
          <w:lang w:val="en-US"/>
        </w:rPr>
      </w:pPr>
    </w:p>
    <w:p w14:paraId="7FF25AD9" w14:textId="77777777" w:rsidR="00C710B8" w:rsidRPr="008B5FB2" w:rsidRDefault="00C710B8" w:rsidP="00AC304F">
      <w:pPr>
        <w:jc w:val="both"/>
        <w:rPr>
          <w:rFonts w:ascii="Arial" w:eastAsiaTheme="minorHAnsi" w:hAnsi="Arial" w:cs="Arial"/>
          <w:sz w:val="20"/>
          <w:szCs w:val="20"/>
          <w:lang w:val="en-US"/>
        </w:rPr>
      </w:pPr>
    </w:p>
    <w:p w14:paraId="5D3C7B41" w14:textId="643621F2" w:rsidR="00AC304F" w:rsidRPr="008B5FB2" w:rsidRDefault="00C710B8" w:rsidP="00AC304F">
      <w:pPr>
        <w:jc w:val="both"/>
        <w:rPr>
          <w:rFonts w:ascii="Arial" w:eastAsiaTheme="minorHAnsi" w:hAnsi="Arial" w:cs="Arial"/>
          <w:b/>
          <w:bCs/>
          <w:sz w:val="20"/>
          <w:szCs w:val="20"/>
          <w:lang w:val="en-US"/>
        </w:rPr>
      </w:pPr>
      <w:r w:rsidRPr="00565253">
        <w:rPr>
          <w:rFonts w:ascii="Arial" w:eastAsiaTheme="minorHAnsi" w:hAnsi="Arial" w:cs="Arial"/>
          <w:b/>
          <w:bCs/>
          <w:noProof/>
          <w:sz w:val="20"/>
          <w:szCs w:val="20"/>
          <w:lang w:val="en-US"/>
        </w:rPr>
        <w:drawing>
          <wp:inline distT="0" distB="0" distL="0" distR="0" wp14:anchorId="0BC130DC" wp14:editId="0D7C29A3">
            <wp:extent cx="7916333" cy="318709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32144" cy="3193459"/>
                    </a:xfrm>
                    <a:prstGeom prst="rect">
                      <a:avLst/>
                    </a:prstGeom>
                  </pic:spPr>
                </pic:pic>
              </a:graphicData>
            </a:graphic>
          </wp:inline>
        </w:drawing>
      </w:r>
    </w:p>
    <w:p w14:paraId="74514879" w14:textId="77777777" w:rsidR="00AC304F" w:rsidRPr="008B5FB2" w:rsidRDefault="00AC304F" w:rsidP="00AC304F">
      <w:pPr>
        <w:jc w:val="both"/>
        <w:rPr>
          <w:rFonts w:ascii="Arial" w:eastAsiaTheme="minorHAnsi" w:hAnsi="Arial" w:cs="Arial"/>
          <w:b/>
          <w:bCs/>
          <w:sz w:val="20"/>
          <w:szCs w:val="20"/>
          <w:lang w:val="en-US"/>
        </w:rPr>
      </w:pPr>
    </w:p>
    <w:p w14:paraId="6D563E51" w14:textId="77777777" w:rsidR="00AC304F" w:rsidRPr="008B5FB2" w:rsidRDefault="00AC304F" w:rsidP="00AC304F">
      <w:pPr>
        <w:rPr>
          <w:rFonts w:ascii="Arial" w:hAnsi="Arial" w:cs="Arial"/>
        </w:rPr>
      </w:pPr>
      <w:r w:rsidRPr="008B5FB2">
        <w:rPr>
          <w:rFonts w:ascii="Arial" w:hAnsi="Arial" w:cs="Arial"/>
        </w:rPr>
        <w:fldChar w:fldCharType="begin"/>
      </w:r>
      <w:r w:rsidRPr="008B5FB2">
        <w:rPr>
          <w:rFonts w:ascii="Arial" w:hAnsi="Arial" w:cs="Arial"/>
        </w:rPr>
        <w:instrText xml:space="preserve"> INCLUDEPICTURE "cid:image001.png@01D5F88C.019B1BF0" \* MERGEFORMATINET </w:instrText>
      </w:r>
      <w:r w:rsidRPr="008B5FB2">
        <w:rPr>
          <w:rFonts w:ascii="Arial" w:hAnsi="Arial" w:cs="Arial"/>
        </w:rPr>
        <w:fldChar w:fldCharType="end"/>
      </w:r>
    </w:p>
    <w:p w14:paraId="20A1AD14" w14:textId="7896893D" w:rsidR="00AC304F" w:rsidRPr="008B5FB2" w:rsidRDefault="00AC304F" w:rsidP="00AC304F">
      <w:pPr>
        <w:jc w:val="center"/>
        <w:rPr>
          <w:rFonts w:ascii="Arial" w:eastAsiaTheme="minorHAnsi" w:hAnsi="Arial" w:cs="Arial"/>
          <w:b/>
          <w:bCs/>
          <w:sz w:val="20"/>
          <w:szCs w:val="20"/>
          <w:lang w:val="en-US"/>
        </w:rPr>
        <w:sectPr w:rsidR="00AC304F" w:rsidRPr="008B5FB2" w:rsidSect="00E44B35">
          <w:pgSz w:w="15840" w:h="12240"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2041"/>
        <w:gridCol w:w="4092"/>
        <w:gridCol w:w="6817"/>
      </w:tblGrid>
      <w:tr w:rsidR="00251CB8" w:rsidRPr="00792FD3" w14:paraId="7E6ADEAE" w14:textId="77777777" w:rsidTr="00251CB8">
        <w:tc>
          <w:tcPr>
            <w:tcW w:w="788" w:type="pct"/>
          </w:tcPr>
          <w:p w14:paraId="5EC8F2E2" w14:textId="0510ECC5" w:rsidR="00251CB8" w:rsidRPr="00792FD3" w:rsidRDefault="00251CB8">
            <w:pPr>
              <w:rPr>
                <w:b/>
                <w:bCs/>
                <w:sz w:val="22"/>
                <w:szCs w:val="22"/>
              </w:rPr>
            </w:pPr>
            <w:r w:rsidRPr="00792FD3">
              <w:rPr>
                <w:b/>
                <w:bCs/>
                <w:sz w:val="22"/>
                <w:szCs w:val="22"/>
              </w:rPr>
              <w:lastRenderedPageBreak/>
              <w:t>Colour Code</w:t>
            </w:r>
          </w:p>
        </w:tc>
        <w:tc>
          <w:tcPr>
            <w:tcW w:w="1580" w:type="pct"/>
          </w:tcPr>
          <w:p w14:paraId="5E1ABC04" w14:textId="71FEAA30" w:rsidR="00251CB8" w:rsidRPr="00792FD3" w:rsidRDefault="00251CB8">
            <w:pPr>
              <w:rPr>
                <w:b/>
                <w:bCs/>
                <w:sz w:val="22"/>
                <w:szCs w:val="22"/>
              </w:rPr>
            </w:pPr>
            <w:r w:rsidRPr="00792FD3">
              <w:rPr>
                <w:b/>
                <w:bCs/>
                <w:sz w:val="22"/>
                <w:szCs w:val="22"/>
              </w:rPr>
              <w:t>Activity Type</w:t>
            </w:r>
          </w:p>
        </w:tc>
        <w:tc>
          <w:tcPr>
            <w:tcW w:w="2633" w:type="pct"/>
          </w:tcPr>
          <w:p w14:paraId="42ABBF38" w14:textId="48DB3879" w:rsidR="00251CB8" w:rsidRPr="00792FD3" w:rsidRDefault="00251CB8">
            <w:pPr>
              <w:rPr>
                <w:b/>
                <w:bCs/>
                <w:sz w:val="22"/>
                <w:szCs w:val="22"/>
              </w:rPr>
            </w:pPr>
            <w:r w:rsidRPr="00792FD3">
              <w:rPr>
                <w:b/>
                <w:bCs/>
                <w:sz w:val="22"/>
                <w:szCs w:val="22"/>
              </w:rPr>
              <w:t>Examples</w:t>
            </w:r>
          </w:p>
        </w:tc>
      </w:tr>
      <w:tr w:rsidR="00251CB8" w:rsidRPr="00792FD3" w14:paraId="4815002C" w14:textId="77777777" w:rsidTr="00251CB8">
        <w:tc>
          <w:tcPr>
            <w:tcW w:w="788" w:type="pct"/>
            <w:shd w:val="clear" w:color="auto" w:fill="FFC000"/>
          </w:tcPr>
          <w:p w14:paraId="64EDA628" w14:textId="3C574229" w:rsidR="00251CB8" w:rsidRPr="00792FD3" w:rsidRDefault="00251CB8" w:rsidP="008B5FB2">
            <w:pPr>
              <w:rPr>
                <w:sz w:val="22"/>
                <w:szCs w:val="22"/>
              </w:rPr>
            </w:pPr>
          </w:p>
        </w:tc>
        <w:tc>
          <w:tcPr>
            <w:tcW w:w="1580" w:type="pct"/>
          </w:tcPr>
          <w:p w14:paraId="0C0C2A92" w14:textId="04C5A8E9" w:rsidR="00251CB8" w:rsidRPr="00792FD3" w:rsidRDefault="00251CB8" w:rsidP="008B5FB2">
            <w:pPr>
              <w:rPr>
                <w:sz w:val="22"/>
                <w:szCs w:val="22"/>
              </w:rPr>
            </w:pPr>
            <w:r w:rsidRPr="00792FD3">
              <w:rPr>
                <w:sz w:val="22"/>
                <w:szCs w:val="22"/>
              </w:rPr>
              <w:t>Engagement Campaigns and Pilot Projects</w:t>
            </w:r>
          </w:p>
        </w:tc>
        <w:tc>
          <w:tcPr>
            <w:tcW w:w="2633" w:type="pct"/>
          </w:tcPr>
          <w:p w14:paraId="790F6DAE" w14:textId="499DBFAE" w:rsidR="00045652" w:rsidRPr="00792FD3" w:rsidRDefault="00045652" w:rsidP="00045652">
            <w:pPr>
              <w:rPr>
                <w:i/>
                <w:iCs/>
                <w:sz w:val="22"/>
                <w:szCs w:val="22"/>
              </w:rPr>
            </w:pPr>
            <w:r w:rsidRPr="00792FD3">
              <w:rPr>
                <w:i/>
                <w:iCs/>
                <w:sz w:val="22"/>
                <w:szCs w:val="22"/>
              </w:rPr>
              <w:t>World Sepsis Day</w:t>
            </w:r>
            <w:r w:rsidR="008977CB" w:rsidRPr="00792FD3">
              <w:rPr>
                <w:i/>
                <w:iCs/>
                <w:sz w:val="22"/>
                <w:szCs w:val="22"/>
              </w:rPr>
              <w:t xml:space="preserve"> </w:t>
            </w:r>
            <w:r w:rsidR="00BC15B4" w:rsidRPr="00792FD3">
              <w:rPr>
                <w:i/>
                <w:iCs/>
                <w:sz w:val="22"/>
                <w:szCs w:val="22"/>
              </w:rPr>
              <w:t xml:space="preserve">engagement campaigns- promotion of local </w:t>
            </w:r>
            <w:r w:rsidR="00417741" w:rsidRPr="00792FD3">
              <w:rPr>
                <w:i/>
                <w:iCs/>
                <w:sz w:val="22"/>
                <w:szCs w:val="22"/>
              </w:rPr>
              <w:t>presentations and education</w:t>
            </w:r>
            <w:r w:rsidR="008977CB" w:rsidRPr="00792FD3">
              <w:rPr>
                <w:i/>
                <w:iCs/>
                <w:sz w:val="22"/>
                <w:szCs w:val="22"/>
              </w:rPr>
              <w:t xml:space="preserve"> </w:t>
            </w:r>
            <w:r w:rsidRPr="00792FD3">
              <w:rPr>
                <w:i/>
                <w:iCs/>
                <w:sz w:val="22"/>
                <w:szCs w:val="22"/>
              </w:rPr>
              <w:t>(</w:t>
            </w:r>
            <w:r w:rsidR="00565253" w:rsidRPr="00792FD3">
              <w:rPr>
                <w:i/>
                <w:iCs/>
                <w:sz w:val="22"/>
                <w:szCs w:val="22"/>
              </w:rPr>
              <w:t xml:space="preserve">annually, </w:t>
            </w:r>
            <w:r w:rsidRPr="00792FD3">
              <w:rPr>
                <w:i/>
                <w:iCs/>
                <w:sz w:val="22"/>
                <w:szCs w:val="22"/>
              </w:rPr>
              <w:t>2012</w:t>
            </w:r>
            <w:r w:rsidR="00565253" w:rsidRPr="00792FD3">
              <w:rPr>
                <w:i/>
                <w:iCs/>
                <w:sz w:val="22"/>
                <w:szCs w:val="22"/>
              </w:rPr>
              <w:t>-</w:t>
            </w:r>
            <w:r w:rsidR="00670ACA" w:rsidRPr="00792FD3">
              <w:rPr>
                <w:i/>
                <w:iCs/>
                <w:sz w:val="22"/>
                <w:szCs w:val="22"/>
              </w:rPr>
              <w:t>2018</w:t>
            </w:r>
            <w:r w:rsidRPr="00792FD3">
              <w:rPr>
                <w:i/>
                <w:iCs/>
                <w:sz w:val="22"/>
                <w:szCs w:val="22"/>
              </w:rPr>
              <w:t>)</w:t>
            </w:r>
          </w:p>
          <w:p w14:paraId="077EFBE9" w14:textId="5C645D17" w:rsidR="00045652" w:rsidRPr="00792FD3" w:rsidRDefault="00045652" w:rsidP="00045652">
            <w:pPr>
              <w:rPr>
                <w:i/>
                <w:iCs/>
                <w:sz w:val="22"/>
                <w:szCs w:val="22"/>
              </w:rPr>
            </w:pPr>
            <w:r w:rsidRPr="00792FD3">
              <w:rPr>
                <w:i/>
                <w:iCs/>
                <w:sz w:val="22"/>
                <w:szCs w:val="22"/>
              </w:rPr>
              <w:t>Sepsis Call to Action</w:t>
            </w:r>
            <w:r w:rsidR="00417741" w:rsidRPr="00792FD3">
              <w:rPr>
                <w:i/>
                <w:iCs/>
                <w:sz w:val="22"/>
                <w:szCs w:val="22"/>
              </w:rPr>
              <w:t xml:space="preserve"> </w:t>
            </w:r>
            <w:r w:rsidRPr="00792FD3">
              <w:rPr>
                <w:i/>
                <w:iCs/>
                <w:sz w:val="22"/>
                <w:szCs w:val="22"/>
              </w:rPr>
              <w:t>Video</w:t>
            </w:r>
            <w:r w:rsidR="00565253" w:rsidRPr="00792FD3">
              <w:rPr>
                <w:i/>
                <w:iCs/>
                <w:sz w:val="22"/>
                <w:szCs w:val="22"/>
              </w:rPr>
              <w:t xml:space="preserve"> –</w:t>
            </w:r>
            <w:r w:rsidR="00417741" w:rsidRPr="00792FD3">
              <w:rPr>
                <w:i/>
                <w:iCs/>
                <w:sz w:val="22"/>
                <w:szCs w:val="22"/>
              </w:rPr>
              <w:t xml:space="preserve"> </w:t>
            </w:r>
            <w:r w:rsidR="00092D2F" w:rsidRPr="00792FD3">
              <w:rPr>
                <w:i/>
                <w:iCs/>
                <w:sz w:val="22"/>
                <w:szCs w:val="22"/>
              </w:rPr>
              <w:t xml:space="preserve">video of health care practitioners around the province calling for action and quality improvement </w:t>
            </w:r>
            <w:r w:rsidR="007C65BF" w:rsidRPr="00792FD3">
              <w:rPr>
                <w:i/>
                <w:iCs/>
                <w:sz w:val="22"/>
                <w:szCs w:val="22"/>
              </w:rPr>
              <w:t>for sepsis</w:t>
            </w:r>
            <w:r w:rsidRPr="00792FD3">
              <w:rPr>
                <w:i/>
                <w:iCs/>
                <w:sz w:val="22"/>
                <w:szCs w:val="22"/>
              </w:rPr>
              <w:t xml:space="preserve"> (2013)</w:t>
            </w:r>
          </w:p>
          <w:p w14:paraId="65BE7AE5" w14:textId="0108042E" w:rsidR="00251CB8" w:rsidRPr="00792FD3" w:rsidRDefault="00251CB8" w:rsidP="008B5FB2">
            <w:pPr>
              <w:rPr>
                <w:sz w:val="22"/>
                <w:szCs w:val="22"/>
                <w:vertAlign w:val="superscript"/>
              </w:rPr>
            </w:pPr>
            <w:r w:rsidRPr="00792FD3">
              <w:rPr>
                <w:i/>
                <w:iCs/>
                <w:sz w:val="22"/>
                <w:szCs w:val="22"/>
              </w:rPr>
              <w:t>150 Lives Campaign</w:t>
            </w:r>
            <w:r w:rsidR="00045652" w:rsidRPr="00792FD3">
              <w:rPr>
                <w:i/>
                <w:iCs/>
                <w:sz w:val="22"/>
                <w:szCs w:val="22"/>
              </w:rPr>
              <w:t xml:space="preserve"> (2013-14)</w:t>
            </w:r>
            <w:r w:rsidR="00792FD3" w:rsidRPr="00792FD3">
              <w:rPr>
                <w:rStyle w:val="FootnoteReference"/>
                <w:i/>
                <w:iCs/>
                <w:sz w:val="22"/>
                <w:szCs w:val="22"/>
              </w:rPr>
              <w:footnoteReference w:id="1"/>
            </w:r>
            <w:r w:rsidRPr="00792FD3">
              <w:rPr>
                <w:i/>
                <w:iCs/>
                <w:sz w:val="22"/>
                <w:szCs w:val="22"/>
                <w:vertAlign w:val="superscript"/>
              </w:rPr>
              <w:t xml:space="preserve"> </w:t>
            </w:r>
          </w:p>
          <w:p w14:paraId="28544A54" w14:textId="44B447B7" w:rsidR="00C41E6A" w:rsidRDefault="00251CB8" w:rsidP="00B73DB3">
            <w:pPr>
              <w:pStyle w:val="ListParagraph"/>
              <w:numPr>
                <w:ilvl w:val="0"/>
                <w:numId w:val="2"/>
              </w:numPr>
              <w:rPr>
                <w:sz w:val="22"/>
                <w:szCs w:val="22"/>
              </w:rPr>
            </w:pPr>
            <w:r w:rsidRPr="00792FD3">
              <w:rPr>
                <w:sz w:val="22"/>
                <w:szCs w:val="22"/>
              </w:rPr>
              <w:t>Gamification-based campaign to improve sepsis care in participating BCSN care centres from October 2013 to March 2014.</w:t>
            </w:r>
            <w:r w:rsidR="007C65BF" w:rsidRPr="00792FD3">
              <w:rPr>
                <w:sz w:val="22"/>
                <w:szCs w:val="22"/>
              </w:rPr>
              <w:t xml:space="preserve"> Goal of saving 150 lives in 150 days.</w:t>
            </w:r>
          </w:p>
          <w:p w14:paraId="67ADF06F" w14:textId="77777777" w:rsidR="00C41E6A" w:rsidRPr="00C41E6A" w:rsidRDefault="00C41E6A" w:rsidP="00C41E6A">
            <w:pPr>
              <w:pStyle w:val="ListParagraph"/>
              <w:numPr>
                <w:ilvl w:val="0"/>
                <w:numId w:val="2"/>
              </w:numPr>
              <w:rPr>
                <w:color w:val="000000" w:themeColor="text1"/>
                <w:sz w:val="22"/>
                <w:szCs w:val="22"/>
              </w:rPr>
            </w:pPr>
            <w:r w:rsidRPr="00C41E6A">
              <w:rPr>
                <w:color w:val="000000" w:themeColor="text1"/>
                <w:sz w:val="22"/>
                <w:szCs w:val="22"/>
              </w:rPr>
              <w:t xml:space="preserve">32 Emergency Departments in British Columbia, from all 5 Health Authorities, actively participated and submitted data.   </w:t>
            </w:r>
          </w:p>
          <w:p w14:paraId="282CD7F4" w14:textId="77777777" w:rsidR="00251CB8" w:rsidRPr="00792FD3" w:rsidRDefault="00251CB8" w:rsidP="00B73DB3">
            <w:pPr>
              <w:pStyle w:val="ListParagraph"/>
              <w:numPr>
                <w:ilvl w:val="0"/>
                <w:numId w:val="2"/>
              </w:numPr>
              <w:rPr>
                <w:sz w:val="22"/>
                <w:szCs w:val="22"/>
              </w:rPr>
            </w:pPr>
            <w:r w:rsidRPr="00792FD3">
              <w:rPr>
                <w:sz w:val="22"/>
                <w:szCs w:val="22"/>
              </w:rPr>
              <w:t xml:space="preserve">Average mortality for severe sepsis was significantly reduced during campaign to 6.4% when compared to 21.1% in prior periods. </w:t>
            </w:r>
          </w:p>
          <w:p w14:paraId="035A6F47" w14:textId="557B75E4" w:rsidR="00045652" w:rsidRPr="00792FD3" w:rsidRDefault="00251CB8" w:rsidP="00045652">
            <w:pPr>
              <w:pStyle w:val="ListParagraph"/>
              <w:numPr>
                <w:ilvl w:val="0"/>
                <w:numId w:val="2"/>
              </w:numPr>
              <w:rPr>
                <w:sz w:val="22"/>
                <w:szCs w:val="22"/>
              </w:rPr>
            </w:pPr>
            <w:r w:rsidRPr="00792FD3">
              <w:rPr>
                <w:sz w:val="22"/>
                <w:szCs w:val="22"/>
              </w:rPr>
              <w:t>Significant improvement in lactate measurement by time goal during the period of the campaign (an average of 16.0% when compared to the average in prior periods of 5.5%).</w:t>
            </w:r>
          </w:p>
          <w:p w14:paraId="7508E97B" w14:textId="435732C8" w:rsidR="00045652" w:rsidRPr="00792FD3" w:rsidRDefault="00045652" w:rsidP="00045652">
            <w:pPr>
              <w:rPr>
                <w:i/>
                <w:iCs/>
                <w:sz w:val="22"/>
                <w:szCs w:val="22"/>
              </w:rPr>
            </w:pPr>
            <w:r w:rsidRPr="00792FD3">
              <w:rPr>
                <w:i/>
                <w:iCs/>
                <w:sz w:val="22"/>
                <w:szCs w:val="22"/>
              </w:rPr>
              <w:t>In-Patient Sepsis Pilot Project (2014)</w:t>
            </w:r>
          </w:p>
          <w:p w14:paraId="6BD14F8D" w14:textId="3B1CDCEA" w:rsidR="00251CB8" w:rsidRPr="00792FD3" w:rsidRDefault="00251CB8" w:rsidP="00B73DB3">
            <w:pPr>
              <w:rPr>
                <w:i/>
                <w:iCs/>
                <w:sz w:val="22"/>
                <w:szCs w:val="22"/>
              </w:rPr>
            </w:pPr>
            <w:r w:rsidRPr="00792FD3">
              <w:rPr>
                <w:i/>
                <w:iCs/>
                <w:sz w:val="22"/>
                <w:szCs w:val="22"/>
              </w:rPr>
              <w:t>In-Patient Sepsis Call to Action</w:t>
            </w:r>
            <w:r w:rsidR="00A84A3C" w:rsidRPr="00792FD3">
              <w:rPr>
                <w:i/>
                <w:iCs/>
                <w:sz w:val="22"/>
                <w:szCs w:val="22"/>
              </w:rPr>
              <w:t xml:space="preserve"> and provincial implementation of </w:t>
            </w:r>
            <w:r w:rsidR="0021644B" w:rsidRPr="00792FD3">
              <w:rPr>
                <w:i/>
                <w:iCs/>
                <w:sz w:val="22"/>
                <w:szCs w:val="22"/>
              </w:rPr>
              <w:t>In-Patient Sepsis programs</w:t>
            </w:r>
            <w:r w:rsidR="00045652" w:rsidRPr="00792FD3">
              <w:rPr>
                <w:i/>
                <w:iCs/>
                <w:sz w:val="22"/>
                <w:szCs w:val="22"/>
              </w:rPr>
              <w:t xml:space="preserve"> (20</w:t>
            </w:r>
            <w:r w:rsidR="00670ACA" w:rsidRPr="00792FD3">
              <w:rPr>
                <w:i/>
                <w:iCs/>
                <w:sz w:val="22"/>
                <w:szCs w:val="22"/>
              </w:rPr>
              <w:t>15)</w:t>
            </w:r>
          </w:p>
          <w:p w14:paraId="3ABC868A" w14:textId="1FEF070C" w:rsidR="00670ACA" w:rsidRPr="00792FD3" w:rsidRDefault="00670ACA" w:rsidP="00B73DB3">
            <w:pPr>
              <w:rPr>
                <w:i/>
                <w:iCs/>
                <w:sz w:val="22"/>
                <w:szCs w:val="22"/>
              </w:rPr>
            </w:pPr>
            <w:r w:rsidRPr="00792FD3">
              <w:rPr>
                <w:i/>
                <w:iCs/>
                <w:sz w:val="22"/>
                <w:szCs w:val="22"/>
              </w:rPr>
              <w:t>Social Medial Blitz</w:t>
            </w:r>
            <w:r w:rsidR="003111EE" w:rsidRPr="00792FD3">
              <w:rPr>
                <w:i/>
                <w:iCs/>
                <w:sz w:val="22"/>
                <w:szCs w:val="22"/>
              </w:rPr>
              <w:t xml:space="preserve"> around importance of In-Patient </w:t>
            </w:r>
            <w:r w:rsidR="00DC4B22" w:rsidRPr="00792FD3">
              <w:rPr>
                <w:i/>
                <w:iCs/>
                <w:sz w:val="22"/>
                <w:szCs w:val="22"/>
              </w:rPr>
              <w:t>sepsis management</w:t>
            </w:r>
            <w:r w:rsidRPr="00792FD3">
              <w:rPr>
                <w:i/>
                <w:iCs/>
                <w:sz w:val="22"/>
                <w:szCs w:val="22"/>
              </w:rPr>
              <w:t xml:space="preserve"> (National and International (2015)</w:t>
            </w:r>
          </w:p>
          <w:p w14:paraId="507921C4" w14:textId="43C964E7" w:rsidR="00045652" w:rsidRPr="00792FD3" w:rsidRDefault="0021644B" w:rsidP="00B73DB3">
            <w:pPr>
              <w:rPr>
                <w:i/>
                <w:iCs/>
                <w:sz w:val="22"/>
                <w:szCs w:val="22"/>
              </w:rPr>
            </w:pPr>
            <w:r w:rsidRPr="00792FD3">
              <w:rPr>
                <w:i/>
                <w:iCs/>
                <w:sz w:val="22"/>
                <w:szCs w:val="22"/>
              </w:rPr>
              <w:t xml:space="preserve">Official </w:t>
            </w:r>
            <w:r w:rsidR="00251CB8" w:rsidRPr="00792FD3">
              <w:rPr>
                <w:i/>
                <w:iCs/>
                <w:sz w:val="22"/>
                <w:szCs w:val="22"/>
              </w:rPr>
              <w:t>In-Patient Sepsis Toolkit Launch</w:t>
            </w:r>
            <w:r w:rsidR="00670ACA" w:rsidRPr="00792FD3">
              <w:rPr>
                <w:i/>
                <w:iCs/>
                <w:sz w:val="22"/>
                <w:szCs w:val="22"/>
              </w:rPr>
              <w:t xml:space="preserve"> (2016)</w:t>
            </w:r>
          </w:p>
          <w:p w14:paraId="49C9D4F1" w14:textId="1FD9A4C2" w:rsidR="00670ACA" w:rsidRPr="00792FD3" w:rsidRDefault="00670ACA" w:rsidP="00B73DB3">
            <w:pPr>
              <w:rPr>
                <w:i/>
                <w:iCs/>
                <w:sz w:val="22"/>
                <w:szCs w:val="22"/>
              </w:rPr>
            </w:pPr>
            <w:r w:rsidRPr="00792FD3">
              <w:rPr>
                <w:i/>
                <w:iCs/>
                <w:sz w:val="22"/>
                <w:szCs w:val="22"/>
              </w:rPr>
              <w:t>WSD – In-Patient Toolkit</w:t>
            </w:r>
            <w:r w:rsidR="0021644B" w:rsidRPr="00792FD3">
              <w:rPr>
                <w:i/>
                <w:iCs/>
                <w:sz w:val="22"/>
                <w:szCs w:val="22"/>
              </w:rPr>
              <w:t xml:space="preserve"> promotion</w:t>
            </w:r>
            <w:r w:rsidR="003111EE" w:rsidRPr="00792FD3">
              <w:rPr>
                <w:i/>
                <w:iCs/>
                <w:sz w:val="22"/>
                <w:szCs w:val="22"/>
              </w:rPr>
              <w:t xml:space="preserve"> provincially</w:t>
            </w:r>
            <w:r w:rsidRPr="00792FD3">
              <w:rPr>
                <w:i/>
                <w:iCs/>
                <w:sz w:val="22"/>
                <w:szCs w:val="22"/>
              </w:rPr>
              <w:t xml:space="preserve"> (2016)</w:t>
            </w:r>
          </w:p>
        </w:tc>
      </w:tr>
      <w:tr w:rsidR="00251CB8" w:rsidRPr="00792FD3" w14:paraId="6603DBC7" w14:textId="77777777" w:rsidTr="00251CB8">
        <w:tc>
          <w:tcPr>
            <w:tcW w:w="788" w:type="pct"/>
            <w:shd w:val="clear" w:color="auto" w:fill="FF0000"/>
          </w:tcPr>
          <w:p w14:paraId="68B477F7" w14:textId="7A91E5A0" w:rsidR="00251CB8" w:rsidRPr="00792FD3" w:rsidRDefault="00251CB8" w:rsidP="008B5FB2">
            <w:pPr>
              <w:rPr>
                <w:sz w:val="22"/>
                <w:szCs w:val="22"/>
              </w:rPr>
            </w:pPr>
          </w:p>
        </w:tc>
        <w:tc>
          <w:tcPr>
            <w:tcW w:w="1580" w:type="pct"/>
          </w:tcPr>
          <w:p w14:paraId="6E6B32B8" w14:textId="2DED9C3B" w:rsidR="00251CB8" w:rsidRPr="00792FD3" w:rsidRDefault="00251CB8" w:rsidP="008B5FB2">
            <w:pPr>
              <w:rPr>
                <w:sz w:val="22"/>
                <w:szCs w:val="22"/>
              </w:rPr>
            </w:pPr>
            <w:r w:rsidRPr="00792FD3">
              <w:rPr>
                <w:sz w:val="22"/>
                <w:szCs w:val="22"/>
              </w:rPr>
              <w:t>Presentations (Oral and Poster)</w:t>
            </w:r>
          </w:p>
        </w:tc>
        <w:tc>
          <w:tcPr>
            <w:tcW w:w="2633" w:type="pct"/>
          </w:tcPr>
          <w:p w14:paraId="2A0E8CE3" w14:textId="288C0177" w:rsidR="00251CB8" w:rsidRPr="00792FD3" w:rsidRDefault="00045652" w:rsidP="008B5FB2">
            <w:pPr>
              <w:rPr>
                <w:i/>
                <w:iCs/>
                <w:sz w:val="22"/>
                <w:szCs w:val="22"/>
              </w:rPr>
            </w:pPr>
            <w:r w:rsidRPr="00792FD3">
              <w:rPr>
                <w:i/>
                <w:iCs/>
                <w:sz w:val="22"/>
                <w:szCs w:val="22"/>
              </w:rPr>
              <w:t xml:space="preserve">Provincial </w:t>
            </w:r>
            <w:r w:rsidR="002D4B72" w:rsidRPr="00792FD3">
              <w:rPr>
                <w:i/>
                <w:iCs/>
                <w:sz w:val="22"/>
                <w:szCs w:val="22"/>
              </w:rPr>
              <w:t xml:space="preserve">Sepsis </w:t>
            </w:r>
            <w:r w:rsidRPr="00792FD3">
              <w:rPr>
                <w:i/>
                <w:iCs/>
                <w:sz w:val="22"/>
                <w:szCs w:val="22"/>
              </w:rPr>
              <w:t>Clinical Expert Group</w:t>
            </w:r>
            <w:r w:rsidR="002D4B72" w:rsidRPr="00792FD3">
              <w:rPr>
                <w:i/>
                <w:iCs/>
                <w:sz w:val="22"/>
                <w:szCs w:val="22"/>
              </w:rPr>
              <w:t xml:space="preserve"> formation</w:t>
            </w:r>
            <w:r w:rsidR="00565253" w:rsidRPr="00792FD3">
              <w:rPr>
                <w:i/>
                <w:iCs/>
                <w:sz w:val="22"/>
                <w:szCs w:val="22"/>
              </w:rPr>
              <w:t xml:space="preserve"> – c</w:t>
            </w:r>
            <w:r w:rsidR="002D4B72" w:rsidRPr="00792FD3">
              <w:rPr>
                <w:i/>
                <w:iCs/>
                <w:sz w:val="22"/>
                <w:szCs w:val="22"/>
              </w:rPr>
              <w:t xml:space="preserve">linicians that evaluate new sepsis </w:t>
            </w:r>
            <w:r w:rsidR="00354930" w:rsidRPr="00792FD3">
              <w:rPr>
                <w:i/>
                <w:iCs/>
                <w:sz w:val="22"/>
                <w:szCs w:val="22"/>
              </w:rPr>
              <w:t>literature/publications and how they should be incorporated into practice.</w:t>
            </w:r>
            <w:r w:rsidRPr="00792FD3">
              <w:rPr>
                <w:i/>
                <w:iCs/>
                <w:sz w:val="22"/>
                <w:szCs w:val="22"/>
              </w:rPr>
              <w:t xml:space="preserve"> (2012)</w:t>
            </w:r>
          </w:p>
          <w:p w14:paraId="0A4B80FD" w14:textId="13B4C34A" w:rsidR="00045652" w:rsidRPr="00792FD3" w:rsidRDefault="00045652" w:rsidP="008B5FB2">
            <w:pPr>
              <w:rPr>
                <w:i/>
                <w:iCs/>
                <w:sz w:val="22"/>
                <w:szCs w:val="22"/>
              </w:rPr>
            </w:pPr>
            <w:r w:rsidRPr="00792FD3">
              <w:rPr>
                <w:i/>
                <w:iCs/>
                <w:sz w:val="22"/>
                <w:szCs w:val="22"/>
              </w:rPr>
              <w:t>IHI Storyboard</w:t>
            </w:r>
            <w:r w:rsidR="00565253" w:rsidRPr="00792FD3">
              <w:rPr>
                <w:i/>
                <w:iCs/>
                <w:sz w:val="22"/>
                <w:szCs w:val="22"/>
              </w:rPr>
              <w:t xml:space="preserve"> –</w:t>
            </w:r>
            <w:r w:rsidR="00D80317" w:rsidRPr="00792FD3">
              <w:rPr>
                <w:i/>
                <w:iCs/>
                <w:sz w:val="22"/>
                <w:szCs w:val="22"/>
              </w:rPr>
              <w:t xml:space="preserve"> Presentation at IHI Orlando on the BC experience</w:t>
            </w:r>
            <w:r w:rsidRPr="00792FD3">
              <w:rPr>
                <w:i/>
                <w:iCs/>
                <w:sz w:val="22"/>
                <w:szCs w:val="22"/>
              </w:rPr>
              <w:t xml:space="preserve"> (2013)</w:t>
            </w:r>
          </w:p>
          <w:p w14:paraId="24F4F77E" w14:textId="5C5684DF" w:rsidR="00045652" w:rsidRPr="00792FD3" w:rsidRDefault="00045652" w:rsidP="008B5FB2">
            <w:pPr>
              <w:rPr>
                <w:i/>
                <w:iCs/>
                <w:sz w:val="22"/>
                <w:szCs w:val="22"/>
              </w:rPr>
            </w:pPr>
            <w:r w:rsidRPr="00792FD3">
              <w:rPr>
                <w:i/>
                <w:iCs/>
                <w:sz w:val="22"/>
                <w:szCs w:val="22"/>
              </w:rPr>
              <w:t>150 Lives</w:t>
            </w:r>
            <w:r w:rsidR="00565253" w:rsidRPr="00792FD3">
              <w:rPr>
                <w:i/>
                <w:iCs/>
                <w:sz w:val="22"/>
                <w:szCs w:val="22"/>
              </w:rPr>
              <w:t xml:space="preserve"> – h</w:t>
            </w:r>
            <w:r w:rsidR="00D80317" w:rsidRPr="00792FD3">
              <w:rPr>
                <w:i/>
                <w:iCs/>
                <w:sz w:val="22"/>
                <w:szCs w:val="22"/>
              </w:rPr>
              <w:t>ow gamification changed sepsis practice in BC.</w:t>
            </w:r>
            <w:r w:rsidRPr="00792FD3">
              <w:rPr>
                <w:i/>
                <w:iCs/>
                <w:sz w:val="22"/>
                <w:szCs w:val="22"/>
              </w:rPr>
              <w:t xml:space="preserve"> (2013, 2014, 2015)</w:t>
            </w:r>
          </w:p>
          <w:p w14:paraId="17F55241" w14:textId="77777777" w:rsidR="00045652" w:rsidRPr="00792FD3" w:rsidRDefault="00045652" w:rsidP="008B5FB2">
            <w:pPr>
              <w:rPr>
                <w:i/>
                <w:iCs/>
                <w:sz w:val="22"/>
                <w:szCs w:val="22"/>
              </w:rPr>
            </w:pPr>
            <w:r w:rsidRPr="00792FD3">
              <w:rPr>
                <w:i/>
                <w:iCs/>
                <w:sz w:val="22"/>
                <w:szCs w:val="22"/>
              </w:rPr>
              <w:t>Quality Forum Storyboard (2015)</w:t>
            </w:r>
          </w:p>
          <w:p w14:paraId="32CE8292" w14:textId="6A8CF3B9" w:rsidR="00045652" w:rsidRPr="00792FD3" w:rsidRDefault="00045652" w:rsidP="008B5FB2">
            <w:pPr>
              <w:rPr>
                <w:i/>
                <w:iCs/>
                <w:sz w:val="22"/>
                <w:szCs w:val="22"/>
              </w:rPr>
            </w:pPr>
            <w:r w:rsidRPr="00792FD3">
              <w:rPr>
                <w:i/>
                <w:iCs/>
                <w:sz w:val="22"/>
                <w:szCs w:val="22"/>
              </w:rPr>
              <w:t>C</w:t>
            </w:r>
            <w:r w:rsidR="00D80317" w:rsidRPr="00792FD3">
              <w:rPr>
                <w:i/>
                <w:iCs/>
                <w:sz w:val="22"/>
                <w:szCs w:val="22"/>
              </w:rPr>
              <w:t xml:space="preserve">ritical </w:t>
            </w:r>
            <w:r w:rsidRPr="00792FD3">
              <w:rPr>
                <w:i/>
                <w:iCs/>
                <w:sz w:val="22"/>
                <w:szCs w:val="22"/>
              </w:rPr>
              <w:t>C</w:t>
            </w:r>
            <w:r w:rsidR="00D80317" w:rsidRPr="00792FD3">
              <w:rPr>
                <w:i/>
                <w:iCs/>
                <w:sz w:val="22"/>
                <w:szCs w:val="22"/>
              </w:rPr>
              <w:t xml:space="preserve">are </w:t>
            </w:r>
            <w:r w:rsidRPr="00792FD3">
              <w:rPr>
                <w:i/>
                <w:iCs/>
                <w:sz w:val="22"/>
                <w:szCs w:val="22"/>
              </w:rPr>
              <w:t>W</w:t>
            </w:r>
            <w:r w:rsidR="00D80317" w:rsidRPr="00792FD3">
              <w:rPr>
                <w:i/>
                <w:iCs/>
                <w:sz w:val="22"/>
                <w:szCs w:val="22"/>
              </w:rPr>
              <w:t xml:space="preserve">orking </w:t>
            </w:r>
            <w:r w:rsidRPr="00792FD3">
              <w:rPr>
                <w:i/>
                <w:iCs/>
                <w:sz w:val="22"/>
                <w:szCs w:val="22"/>
              </w:rPr>
              <w:t>G</w:t>
            </w:r>
            <w:r w:rsidR="00D80317" w:rsidRPr="00792FD3">
              <w:rPr>
                <w:i/>
                <w:iCs/>
                <w:sz w:val="22"/>
                <w:szCs w:val="22"/>
              </w:rPr>
              <w:t>roup</w:t>
            </w:r>
            <w:r w:rsidRPr="00792FD3">
              <w:rPr>
                <w:i/>
                <w:iCs/>
                <w:sz w:val="22"/>
                <w:szCs w:val="22"/>
              </w:rPr>
              <w:t xml:space="preserve"> Presentation</w:t>
            </w:r>
            <w:r w:rsidR="00565253" w:rsidRPr="00792FD3">
              <w:rPr>
                <w:i/>
                <w:iCs/>
                <w:sz w:val="22"/>
                <w:szCs w:val="22"/>
              </w:rPr>
              <w:t xml:space="preserve"> – </w:t>
            </w:r>
            <w:r w:rsidR="00D80317" w:rsidRPr="00792FD3">
              <w:rPr>
                <w:i/>
                <w:iCs/>
                <w:sz w:val="22"/>
                <w:szCs w:val="22"/>
              </w:rPr>
              <w:t>Sepsis in BC.</w:t>
            </w:r>
            <w:r w:rsidRPr="00792FD3">
              <w:rPr>
                <w:i/>
                <w:iCs/>
                <w:sz w:val="22"/>
                <w:szCs w:val="22"/>
              </w:rPr>
              <w:t xml:space="preserve"> (2015</w:t>
            </w:r>
            <w:r w:rsidR="00670ACA" w:rsidRPr="00792FD3">
              <w:rPr>
                <w:i/>
                <w:iCs/>
                <w:sz w:val="22"/>
                <w:szCs w:val="22"/>
              </w:rPr>
              <w:t>, 2019</w:t>
            </w:r>
            <w:r w:rsidRPr="00792FD3">
              <w:rPr>
                <w:i/>
                <w:iCs/>
                <w:sz w:val="22"/>
                <w:szCs w:val="22"/>
              </w:rPr>
              <w:t>)</w:t>
            </w:r>
          </w:p>
          <w:p w14:paraId="661B9ED0" w14:textId="1CFC51D8" w:rsidR="00045652" w:rsidRPr="00792FD3" w:rsidRDefault="00F14874" w:rsidP="008B5FB2">
            <w:pPr>
              <w:rPr>
                <w:i/>
                <w:iCs/>
                <w:sz w:val="22"/>
                <w:szCs w:val="22"/>
              </w:rPr>
            </w:pPr>
            <w:r w:rsidRPr="00792FD3">
              <w:rPr>
                <w:i/>
                <w:iCs/>
                <w:sz w:val="22"/>
                <w:szCs w:val="22"/>
              </w:rPr>
              <w:lastRenderedPageBreak/>
              <w:t xml:space="preserve">Quality </w:t>
            </w:r>
            <w:r w:rsidR="00045652" w:rsidRPr="00792FD3">
              <w:rPr>
                <w:i/>
                <w:iCs/>
                <w:sz w:val="22"/>
                <w:szCs w:val="22"/>
              </w:rPr>
              <w:t>C</w:t>
            </w:r>
            <w:r w:rsidRPr="00792FD3">
              <w:rPr>
                <w:i/>
                <w:iCs/>
                <w:sz w:val="22"/>
                <w:szCs w:val="22"/>
              </w:rPr>
              <w:t xml:space="preserve">ouncil </w:t>
            </w:r>
            <w:r w:rsidR="00045652" w:rsidRPr="00792FD3">
              <w:rPr>
                <w:i/>
                <w:iCs/>
                <w:sz w:val="22"/>
                <w:szCs w:val="22"/>
              </w:rPr>
              <w:t>Presentation</w:t>
            </w:r>
            <w:r w:rsidR="00565253" w:rsidRPr="00792FD3">
              <w:rPr>
                <w:i/>
                <w:iCs/>
                <w:sz w:val="22"/>
                <w:szCs w:val="22"/>
              </w:rPr>
              <w:t xml:space="preserve"> –</w:t>
            </w:r>
            <w:r w:rsidRPr="00792FD3">
              <w:rPr>
                <w:i/>
                <w:iCs/>
                <w:sz w:val="22"/>
                <w:szCs w:val="22"/>
              </w:rPr>
              <w:t xml:space="preserve"> Sepsis in BC.</w:t>
            </w:r>
            <w:r w:rsidR="00045652" w:rsidRPr="00792FD3">
              <w:rPr>
                <w:i/>
                <w:iCs/>
                <w:sz w:val="22"/>
                <w:szCs w:val="22"/>
              </w:rPr>
              <w:t xml:space="preserve"> (2015)</w:t>
            </w:r>
          </w:p>
          <w:p w14:paraId="3F84C338" w14:textId="7BAA4775" w:rsidR="00045652" w:rsidRPr="00792FD3" w:rsidRDefault="00045652" w:rsidP="008B5FB2">
            <w:pPr>
              <w:rPr>
                <w:i/>
                <w:iCs/>
                <w:sz w:val="22"/>
                <w:szCs w:val="22"/>
              </w:rPr>
            </w:pPr>
            <w:r w:rsidRPr="00792FD3">
              <w:rPr>
                <w:i/>
                <w:iCs/>
                <w:sz w:val="22"/>
                <w:szCs w:val="22"/>
              </w:rPr>
              <w:t>E</w:t>
            </w:r>
            <w:r w:rsidR="00C3587D" w:rsidRPr="00792FD3">
              <w:rPr>
                <w:i/>
                <w:iCs/>
                <w:sz w:val="22"/>
                <w:szCs w:val="22"/>
              </w:rPr>
              <w:t xml:space="preserve">mergency </w:t>
            </w:r>
            <w:r w:rsidRPr="00792FD3">
              <w:rPr>
                <w:i/>
                <w:iCs/>
                <w:sz w:val="22"/>
                <w:szCs w:val="22"/>
              </w:rPr>
              <w:t>S</w:t>
            </w:r>
            <w:r w:rsidR="00C3587D" w:rsidRPr="00792FD3">
              <w:rPr>
                <w:i/>
                <w:iCs/>
                <w:sz w:val="22"/>
                <w:szCs w:val="22"/>
              </w:rPr>
              <w:t xml:space="preserve">ervices </w:t>
            </w:r>
            <w:r w:rsidRPr="00792FD3">
              <w:rPr>
                <w:i/>
                <w:iCs/>
                <w:sz w:val="22"/>
                <w:szCs w:val="22"/>
              </w:rPr>
              <w:t>A</w:t>
            </w:r>
            <w:r w:rsidR="00C3587D" w:rsidRPr="00792FD3">
              <w:rPr>
                <w:i/>
                <w:iCs/>
                <w:sz w:val="22"/>
                <w:szCs w:val="22"/>
              </w:rPr>
              <w:t xml:space="preserve">dvisory </w:t>
            </w:r>
            <w:r w:rsidRPr="00792FD3">
              <w:rPr>
                <w:i/>
                <w:iCs/>
                <w:sz w:val="22"/>
                <w:szCs w:val="22"/>
              </w:rPr>
              <w:t>C</w:t>
            </w:r>
            <w:r w:rsidR="00C3587D" w:rsidRPr="00792FD3">
              <w:rPr>
                <w:i/>
                <w:iCs/>
                <w:sz w:val="22"/>
                <w:szCs w:val="22"/>
              </w:rPr>
              <w:t>ouncil</w:t>
            </w:r>
            <w:r w:rsidRPr="00792FD3">
              <w:rPr>
                <w:i/>
                <w:iCs/>
                <w:sz w:val="22"/>
                <w:szCs w:val="22"/>
              </w:rPr>
              <w:t xml:space="preserve"> Presentation</w:t>
            </w:r>
            <w:r w:rsidR="00565253" w:rsidRPr="00792FD3">
              <w:rPr>
                <w:i/>
                <w:iCs/>
                <w:sz w:val="22"/>
                <w:szCs w:val="22"/>
              </w:rPr>
              <w:t xml:space="preserve"> –</w:t>
            </w:r>
            <w:r w:rsidR="00C3587D" w:rsidRPr="00792FD3">
              <w:rPr>
                <w:i/>
                <w:iCs/>
                <w:sz w:val="22"/>
                <w:szCs w:val="22"/>
              </w:rPr>
              <w:t xml:space="preserve"> Sepsis in BC</w:t>
            </w:r>
            <w:r w:rsidRPr="00792FD3">
              <w:rPr>
                <w:i/>
                <w:iCs/>
                <w:sz w:val="22"/>
                <w:szCs w:val="22"/>
              </w:rPr>
              <w:t xml:space="preserve"> (2015)</w:t>
            </w:r>
          </w:p>
          <w:p w14:paraId="43FE3D6B" w14:textId="16DC7A60" w:rsidR="00045652" w:rsidRPr="00792FD3" w:rsidRDefault="00045652" w:rsidP="008B5FB2">
            <w:pPr>
              <w:rPr>
                <w:i/>
                <w:iCs/>
                <w:sz w:val="22"/>
                <w:szCs w:val="22"/>
              </w:rPr>
            </w:pPr>
            <w:r w:rsidRPr="00792FD3">
              <w:rPr>
                <w:i/>
                <w:iCs/>
                <w:sz w:val="22"/>
                <w:szCs w:val="22"/>
              </w:rPr>
              <w:t>C</w:t>
            </w:r>
            <w:r w:rsidR="00F72B87" w:rsidRPr="00792FD3">
              <w:rPr>
                <w:i/>
                <w:iCs/>
                <w:sz w:val="22"/>
                <w:szCs w:val="22"/>
              </w:rPr>
              <w:t xml:space="preserve">anadian </w:t>
            </w:r>
            <w:r w:rsidRPr="00792FD3">
              <w:rPr>
                <w:i/>
                <w:iCs/>
                <w:sz w:val="22"/>
                <w:szCs w:val="22"/>
              </w:rPr>
              <w:t>P</w:t>
            </w:r>
            <w:r w:rsidR="00F72B87" w:rsidRPr="00792FD3">
              <w:rPr>
                <w:i/>
                <w:iCs/>
                <w:sz w:val="22"/>
                <w:szCs w:val="22"/>
              </w:rPr>
              <w:t xml:space="preserve">atient </w:t>
            </w:r>
            <w:r w:rsidRPr="00792FD3">
              <w:rPr>
                <w:i/>
                <w:iCs/>
                <w:sz w:val="22"/>
                <w:szCs w:val="22"/>
              </w:rPr>
              <w:t>S</w:t>
            </w:r>
            <w:r w:rsidR="00F72B87" w:rsidRPr="00792FD3">
              <w:rPr>
                <w:i/>
                <w:iCs/>
                <w:sz w:val="22"/>
                <w:szCs w:val="22"/>
              </w:rPr>
              <w:t xml:space="preserve">afety </w:t>
            </w:r>
            <w:r w:rsidR="00F14874" w:rsidRPr="00792FD3">
              <w:rPr>
                <w:i/>
                <w:iCs/>
                <w:sz w:val="22"/>
                <w:szCs w:val="22"/>
              </w:rPr>
              <w:t>Institute</w:t>
            </w:r>
            <w:r w:rsidRPr="00792FD3">
              <w:rPr>
                <w:i/>
                <w:iCs/>
                <w:sz w:val="22"/>
                <w:szCs w:val="22"/>
              </w:rPr>
              <w:t xml:space="preserve"> Presentation</w:t>
            </w:r>
            <w:r w:rsidR="00565253" w:rsidRPr="00792FD3">
              <w:rPr>
                <w:i/>
                <w:iCs/>
                <w:sz w:val="22"/>
                <w:szCs w:val="22"/>
              </w:rPr>
              <w:t xml:space="preserve"> –</w:t>
            </w:r>
            <w:r w:rsidR="00F14874" w:rsidRPr="00792FD3">
              <w:rPr>
                <w:i/>
                <w:iCs/>
                <w:sz w:val="22"/>
                <w:szCs w:val="22"/>
              </w:rPr>
              <w:t xml:space="preserve"> National presentation on the BC experience with Sepsis QI.</w:t>
            </w:r>
            <w:r w:rsidRPr="00792FD3">
              <w:rPr>
                <w:i/>
                <w:iCs/>
                <w:sz w:val="22"/>
                <w:szCs w:val="22"/>
              </w:rPr>
              <w:t xml:space="preserve"> (2015)</w:t>
            </w:r>
          </w:p>
          <w:p w14:paraId="007ED9C1" w14:textId="77777777" w:rsidR="00670ACA" w:rsidRPr="00792FD3" w:rsidRDefault="00670ACA" w:rsidP="008B5FB2">
            <w:pPr>
              <w:rPr>
                <w:i/>
                <w:iCs/>
                <w:sz w:val="22"/>
                <w:szCs w:val="22"/>
              </w:rPr>
            </w:pPr>
            <w:r w:rsidRPr="00792FD3">
              <w:rPr>
                <w:i/>
                <w:iCs/>
                <w:sz w:val="22"/>
                <w:szCs w:val="22"/>
              </w:rPr>
              <w:t>Sepsis Education with Fraser Health (2016)</w:t>
            </w:r>
          </w:p>
          <w:p w14:paraId="28413B04" w14:textId="7457FEC2" w:rsidR="00670ACA" w:rsidRPr="00792FD3" w:rsidRDefault="00F14874" w:rsidP="008B5FB2">
            <w:pPr>
              <w:rPr>
                <w:i/>
                <w:iCs/>
                <w:sz w:val="22"/>
                <w:szCs w:val="22"/>
              </w:rPr>
            </w:pPr>
            <w:r w:rsidRPr="00792FD3">
              <w:rPr>
                <w:i/>
                <w:iCs/>
                <w:sz w:val="22"/>
                <w:szCs w:val="22"/>
              </w:rPr>
              <w:t>Sepsis quality improvement in British Columbia</w:t>
            </w:r>
            <w:r w:rsidR="00435FD9" w:rsidRPr="00792FD3">
              <w:rPr>
                <w:i/>
                <w:iCs/>
                <w:sz w:val="22"/>
                <w:szCs w:val="22"/>
              </w:rPr>
              <w:t xml:space="preserve"> – Pacific North West Sepsis Conference. </w:t>
            </w:r>
          </w:p>
          <w:p w14:paraId="53CB20BC" w14:textId="549E948C" w:rsidR="00670ACA" w:rsidRPr="00792FD3" w:rsidRDefault="00670ACA" w:rsidP="008B5FB2">
            <w:pPr>
              <w:rPr>
                <w:i/>
                <w:iCs/>
                <w:sz w:val="22"/>
                <w:szCs w:val="22"/>
              </w:rPr>
            </w:pPr>
            <w:r w:rsidRPr="00792FD3">
              <w:rPr>
                <w:i/>
                <w:iCs/>
                <w:sz w:val="22"/>
                <w:szCs w:val="22"/>
              </w:rPr>
              <w:t xml:space="preserve">In-Patient Sepsis Toolkit Presentation with </w:t>
            </w:r>
            <w:r w:rsidR="00435FD9" w:rsidRPr="00792FD3">
              <w:rPr>
                <w:i/>
                <w:iCs/>
                <w:sz w:val="22"/>
                <w:szCs w:val="22"/>
              </w:rPr>
              <w:t xml:space="preserve">Vancouver </w:t>
            </w:r>
            <w:r w:rsidRPr="00792FD3">
              <w:rPr>
                <w:i/>
                <w:iCs/>
                <w:sz w:val="22"/>
                <w:szCs w:val="22"/>
              </w:rPr>
              <w:t>Island Health</w:t>
            </w:r>
            <w:r w:rsidR="00435FD9" w:rsidRPr="00792FD3">
              <w:rPr>
                <w:i/>
                <w:iCs/>
                <w:sz w:val="22"/>
                <w:szCs w:val="22"/>
              </w:rPr>
              <w:t xml:space="preserve"> Authority</w:t>
            </w:r>
            <w:r w:rsidRPr="00792FD3">
              <w:rPr>
                <w:i/>
                <w:iCs/>
                <w:sz w:val="22"/>
                <w:szCs w:val="22"/>
              </w:rPr>
              <w:t xml:space="preserve"> (2017)</w:t>
            </w:r>
          </w:p>
          <w:p w14:paraId="04C2CC2C" w14:textId="703E66C1" w:rsidR="00670ACA" w:rsidRPr="00792FD3" w:rsidRDefault="00670ACA" w:rsidP="008B5FB2">
            <w:pPr>
              <w:rPr>
                <w:i/>
                <w:iCs/>
                <w:sz w:val="22"/>
                <w:szCs w:val="22"/>
              </w:rPr>
            </w:pPr>
            <w:r w:rsidRPr="00792FD3">
              <w:rPr>
                <w:i/>
                <w:iCs/>
                <w:sz w:val="22"/>
                <w:szCs w:val="22"/>
              </w:rPr>
              <w:t xml:space="preserve">Fraser Health </w:t>
            </w:r>
            <w:r w:rsidR="00435FD9" w:rsidRPr="00792FD3">
              <w:rPr>
                <w:i/>
                <w:iCs/>
                <w:sz w:val="22"/>
                <w:szCs w:val="22"/>
              </w:rPr>
              <w:t xml:space="preserve">Authority </w:t>
            </w:r>
            <w:r w:rsidRPr="00792FD3">
              <w:rPr>
                <w:i/>
                <w:iCs/>
                <w:sz w:val="22"/>
                <w:szCs w:val="22"/>
              </w:rPr>
              <w:t>Screening Tool Launch (2017)</w:t>
            </w:r>
          </w:p>
          <w:p w14:paraId="552EC32E" w14:textId="5A0C8F7A" w:rsidR="00670ACA" w:rsidRPr="00792FD3" w:rsidRDefault="00203624" w:rsidP="008B5FB2">
            <w:pPr>
              <w:rPr>
                <w:i/>
                <w:iCs/>
                <w:sz w:val="22"/>
                <w:szCs w:val="22"/>
              </w:rPr>
            </w:pPr>
            <w:r w:rsidRPr="00792FD3">
              <w:rPr>
                <w:i/>
                <w:iCs/>
                <w:sz w:val="22"/>
                <w:szCs w:val="22"/>
              </w:rPr>
              <w:t xml:space="preserve">BC </w:t>
            </w:r>
            <w:r w:rsidR="00435FD9" w:rsidRPr="00792FD3">
              <w:rPr>
                <w:i/>
                <w:iCs/>
                <w:sz w:val="22"/>
                <w:szCs w:val="22"/>
              </w:rPr>
              <w:t xml:space="preserve">Sepsis </w:t>
            </w:r>
            <w:r w:rsidR="00670ACA" w:rsidRPr="00792FD3">
              <w:rPr>
                <w:i/>
                <w:iCs/>
                <w:sz w:val="22"/>
                <w:szCs w:val="22"/>
              </w:rPr>
              <w:t>Network Webinar</w:t>
            </w:r>
            <w:r w:rsidR="00565253" w:rsidRPr="00792FD3">
              <w:rPr>
                <w:i/>
                <w:iCs/>
                <w:sz w:val="22"/>
                <w:szCs w:val="22"/>
              </w:rPr>
              <w:t xml:space="preserve"> –</w:t>
            </w:r>
            <w:r w:rsidRPr="00792FD3">
              <w:rPr>
                <w:i/>
                <w:iCs/>
                <w:sz w:val="22"/>
                <w:szCs w:val="22"/>
              </w:rPr>
              <w:t xml:space="preserve"> </w:t>
            </w:r>
            <w:r w:rsidR="00565253" w:rsidRPr="00792FD3">
              <w:rPr>
                <w:i/>
                <w:iCs/>
                <w:sz w:val="22"/>
                <w:szCs w:val="22"/>
              </w:rPr>
              <w:t>w</w:t>
            </w:r>
            <w:r w:rsidRPr="00792FD3">
              <w:rPr>
                <w:i/>
                <w:iCs/>
                <w:sz w:val="22"/>
                <w:szCs w:val="22"/>
              </w:rPr>
              <w:t>hat</w:t>
            </w:r>
            <w:r w:rsidR="00565253" w:rsidRPr="00792FD3">
              <w:rPr>
                <w:i/>
                <w:iCs/>
                <w:sz w:val="22"/>
                <w:szCs w:val="22"/>
              </w:rPr>
              <w:t>’</w:t>
            </w:r>
            <w:r w:rsidRPr="00792FD3">
              <w:rPr>
                <w:i/>
                <w:iCs/>
                <w:sz w:val="22"/>
                <w:szCs w:val="22"/>
              </w:rPr>
              <w:t>s new in sepsis care</w:t>
            </w:r>
            <w:r w:rsidR="00670ACA" w:rsidRPr="00792FD3">
              <w:rPr>
                <w:i/>
                <w:iCs/>
                <w:sz w:val="22"/>
                <w:szCs w:val="22"/>
              </w:rPr>
              <w:t xml:space="preserve"> (2018)</w:t>
            </w:r>
          </w:p>
          <w:p w14:paraId="21859D94" w14:textId="24A304CF" w:rsidR="00670ACA" w:rsidRPr="00792FD3" w:rsidRDefault="00203624" w:rsidP="008B5FB2">
            <w:pPr>
              <w:rPr>
                <w:i/>
                <w:iCs/>
                <w:sz w:val="22"/>
                <w:szCs w:val="22"/>
              </w:rPr>
            </w:pPr>
            <w:r w:rsidRPr="00792FD3">
              <w:rPr>
                <w:i/>
                <w:iCs/>
                <w:sz w:val="22"/>
                <w:szCs w:val="22"/>
              </w:rPr>
              <w:t xml:space="preserve">Provincial ICU Database </w:t>
            </w:r>
            <w:r w:rsidR="00670ACA" w:rsidRPr="00792FD3">
              <w:rPr>
                <w:i/>
                <w:iCs/>
                <w:sz w:val="22"/>
                <w:szCs w:val="22"/>
              </w:rPr>
              <w:t>Sepsis Dashboard</w:t>
            </w:r>
            <w:r w:rsidR="00565253" w:rsidRPr="00792FD3">
              <w:rPr>
                <w:i/>
                <w:iCs/>
                <w:sz w:val="22"/>
                <w:szCs w:val="22"/>
              </w:rPr>
              <w:t xml:space="preserve"> –</w:t>
            </w:r>
            <w:r w:rsidRPr="00792FD3">
              <w:rPr>
                <w:i/>
                <w:iCs/>
                <w:sz w:val="22"/>
                <w:szCs w:val="22"/>
              </w:rPr>
              <w:t xml:space="preserve"> </w:t>
            </w:r>
            <w:r w:rsidR="00565253" w:rsidRPr="00792FD3">
              <w:rPr>
                <w:i/>
                <w:iCs/>
                <w:sz w:val="22"/>
                <w:szCs w:val="22"/>
              </w:rPr>
              <w:t>r</w:t>
            </w:r>
            <w:r w:rsidRPr="00792FD3">
              <w:rPr>
                <w:i/>
                <w:iCs/>
                <w:sz w:val="22"/>
                <w:szCs w:val="22"/>
              </w:rPr>
              <w:t>ea</w:t>
            </w:r>
            <w:r w:rsidR="00565253" w:rsidRPr="00792FD3">
              <w:rPr>
                <w:i/>
                <w:iCs/>
                <w:sz w:val="22"/>
                <w:szCs w:val="22"/>
              </w:rPr>
              <w:t>l-</w:t>
            </w:r>
            <w:r w:rsidRPr="00792FD3">
              <w:rPr>
                <w:i/>
                <w:iCs/>
                <w:sz w:val="22"/>
                <w:szCs w:val="22"/>
              </w:rPr>
              <w:t xml:space="preserve">time tracking of </w:t>
            </w:r>
            <w:r w:rsidR="00565253" w:rsidRPr="00792FD3">
              <w:rPr>
                <w:i/>
                <w:iCs/>
                <w:sz w:val="22"/>
                <w:szCs w:val="22"/>
              </w:rPr>
              <w:t>ED</w:t>
            </w:r>
            <w:r w:rsidR="00433F43" w:rsidRPr="00792FD3">
              <w:rPr>
                <w:i/>
                <w:iCs/>
                <w:sz w:val="22"/>
                <w:szCs w:val="22"/>
              </w:rPr>
              <w:t xml:space="preserve"> sepsis metrics for QI</w:t>
            </w:r>
            <w:r w:rsidR="00670ACA" w:rsidRPr="00792FD3">
              <w:rPr>
                <w:i/>
                <w:iCs/>
                <w:sz w:val="22"/>
                <w:szCs w:val="22"/>
              </w:rPr>
              <w:t xml:space="preserve"> (2019)</w:t>
            </w:r>
          </w:p>
        </w:tc>
      </w:tr>
      <w:tr w:rsidR="00251CB8" w:rsidRPr="00792FD3" w14:paraId="201C7ABD" w14:textId="77777777" w:rsidTr="00251CB8">
        <w:tc>
          <w:tcPr>
            <w:tcW w:w="788" w:type="pct"/>
            <w:shd w:val="clear" w:color="auto" w:fill="FFFF00"/>
          </w:tcPr>
          <w:p w14:paraId="3D134074" w14:textId="4A2316F2" w:rsidR="00251CB8" w:rsidRPr="00792FD3" w:rsidRDefault="00251CB8" w:rsidP="008B5FB2">
            <w:pPr>
              <w:rPr>
                <w:sz w:val="22"/>
                <w:szCs w:val="22"/>
              </w:rPr>
            </w:pPr>
          </w:p>
        </w:tc>
        <w:tc>
          <w:tcPr>
            <w:tcW w:w="1580" w:type="pct"/>
          </w:tcPr>
          <w:p w14:paraId="269C6FD8" w14:textId="0F8F5602" w:rsidR="00251CB8" w:rsidRPr="00792FD3" w:rsidRDefault="00251CB8" w:rsidP="008B5FB2">
            <w:pPr>
              <w:rPr>
                <w:sz w:val="22"/>
                <w:szCs w:val="22"/>
              </w:rPr>
            </w:pPr>
            <w:r w:rsidRPr="00792FD3">
              <w:rPr>
                <w:sz w:val="22"/>
                <w:szCs w:val="22"/>
              </w:rPr>
              <w:t>Media Releases</w:t>
            </w:r>
          </w:p>
        </w:tc>
        <w:tc>
          <w:tcPr>
            <w:tcW w:w="2633" w:type="pct"/>
          </w:tcPr>
          <w:p w14:paraId="7FAD35F3" w14:textId="77777777" w:rsidR="00251CB8" w:rsidRPr="00792FD3" w:rsidRDefault="00045652" w:rsidP="008B5FB2">
            <w:pPr>
              <w:rPr>
                <w:i/>
                <w:iCs/>
                <w:sz w:val="22"/>
                <w:szCs w:val="22"/>
              </w:rPr>
            </w:pPr>
            <w:r w:rsidRPr="00792FD3">
              <w:rPr>
                <w:i/>
                <w:iCs/>
                <w:sz w:val="22"/>
                <w:szCs w:val="22"/>
              </w:rPr>
              <w:t>Sepsis Website Development and Launch (2013)</w:t>
            </w:r>
          </w:p>
          <w:p w14:paraId="7FA426FE" w14:textId="01D3E996" w:rsidR="00045652" w:rsidRPr="00792FD3" w:rsidRDefault="00045652" w:rsidP="008B5FB2">
            <w:pPr>
              <w:rPr>
                <w:i/>
                <w:iCs/>
                <w:sz w:val="22"/>
                <w:szCs w:val="22"/>
              </w:rPr>
            </w:pPr>
            <w:r w:rsidRPr="00792FD3">
              <w:rPr>
                <w:i/>
                <w:iCs/>
                <w:sz w:val="22"/>
                <w:szCs w:val="22"/>
              </w:rPr>
              <w:t xml:space="preserve">World Sepsis Day BC </w:t>
            </w:r>
            <w:proofErr w:type="spellStart"/>
            <w:r w:rsidRPr="00792FD3">
              <w:rPr>
                <w:i/>
                <w:iCs/>
                <w:sz w:val="22"/>
                <w:szCs w:val="22"/>
              </w:rPr>
              <w:t>MoH</w:t>
            </w:r>
            <w:proofErr w:type="spellEnd"/>
            <w:r w:rsidRPr="00792FD3">
              <w:rPr>
                <w:i/>
                <w:iCs/>
                <w:sz w:val="22"/>
                <w:szCs w:val="22"/>
              </w:rPr>
              <w:t xml:space="preserve"> Proclamation</w:t>
            </w:r>
            <w:r w:rsidR="00D40648" w:rsidRPr="00792FD3">
              <w:rPr>
                <w:i/>
                <w:iCs/>
                <w:sz w:val="22"/>
                <w:szCs w:val="22"/>
              </w:rPr>
              <w:t xml:space="preserve"> – o</w:t>
            </w:r>
            <w:r w:rsidR="00457751" w:rsidRPr="00792FD3">
              <w:rPr>
                <w:i/>
                <w:iCs/>
                <w:sz w:val="22"/>
                <w:szCs w:val="22"/>
              </w:rPr>
              <w:t>fficial</w:t>
            </w:r>
            <w:r w:rsidR="00DC21F8" w:rsidRPr="00792FD3">
              <w:rPr>
                <w:i/>
                <w:iCs/>
                <w:sz w:val="22"/>
                <w:szCs w:val="22"/>
              </w:rPr>
              <w:t xml:space="preserve"> </w:t>
            </w:r>
            <w:r w:rsidR="00457751" w:rsidRPr="00792FD3">
              <w:rPr>
                <w:i/>
                <w:iCs/>
                <w:sz w:val="22"/>
                <w:szCs w:val="22"/>
              </w:rPr>
              <w:t>acceptance of World Sepsis Day within BC.</w:t>
            </w:r>
            <w:r w:rsidRPr="00792FD3">
              <w:rPr>
                <w:i/>
                <w:iCs/>
                <w:sz w:val="22"/>
                <w:szCs w:val="22"/>
              </w:rPr>
              <w:t xml:space="preserve"> (</w:t>
            </w:r>
            <w:r w:rsidR="00D40648" w:rsidRPr="00792FD3">
              <w:rPr>
                <w:i/>
                <w:iCs/>
                <w:sz w:val="22"/>
                <w:szCs w:val="22"/>
              </w:rPr>
              <w:t xml:space="preserve">annually </w:t>
            </w:r>
            <w:r w:rsidRPr="00792FD3">
              <w:rPr>
                <w:i/>
                <w:iCs/>
                <w:sz w:val="22"/>
                <w:szCs w:val="22"/>
              </w:rPr>
              <w:t>2013</w:t>
            </w:r>
            <w:r w:rsidR="00D40648" w:rsidRPr="00792FD3">
              <w:rPr>
                <w:i/>
                <w:iCs/>
                <w:sz w:val="22"/>
                <w:szCs w:val="22"/>
              </w:rPr>
              <w:t>-201</w:t>
            </w:r>
            <w:r w:rsidR="00670ACA" w:rsidRPr="00792FD3">
              <w:rPr>
                <w:i/>
                <w:iCs/>
                <w:sz w:val="22"/>
                <w:szCs w:val="22"/>
              </w:rPr>
              <w:t>7, 2019</w:t>
            </w:r>
            <w:r w:rsidRPr="00792FD3">
              <w:rPr>
                <w:i/>
                <w:iCs/>
                <w:sz w:val="22"/>
                <w:szCs w:val="22"/>
              </w:rPr>
              <w:t>)</w:t>
            </w:r>
          </w:p>
          <w:p w14:paraId="0CA6D403" w14:textId="77777777" w:rsidR="00045652" w:rsidRPr="00792FD3" w:rsidRDefault="00045652" w:rsidP="008B5FB2">
            <w:pPr>
              <w:rPr>
                <w:i/>
                <w:iCs/>
                <w:sz w:val="22"/>
                <w:szCs w:val="22"/>
              </w:rPr>
            </w:pPr>
            <w:r w:rsidRPr="00792FD3">
              <w:rPr>
                <w:i/>
                <w:iCs/>
                <w:sz w:val="22"/>
                <w:szCs w:val="22"/>
              </w:rPr>
              <w:t>Sepsis Website Update (2015)</w:t>
            </w:r>
          </w:p>
          <w:p w14:paraId="1973C23E" w14:textId="77777777" w:rsidR="00670ACA" w:rsidRPr="00792FD3" w:rsidRDefault="00670ACA" w:rsidP="008B5FB2">
            <w:pPr>
              <w:rPr>
                <w:i/>
                <w:iCs/>
                <w:sz w:val="22"/>
                <w:szCs w:val="22"/>
              </w:rPr>
            </w:pPr>
            <w:r w:rsidRPr="00792FD3">
              <w:rPr>
                <w:i/>
                <w:iCs/>
                <w:sz w:val="22"/>
                <w:szCs w:val="22"/>
              </w:rPr>
              <w:t>Fraser Health Screening Tool Online Module Development (2017)</w:t>
            </w:r>
          </w:p>
          <w:p w14:paraId="5A7B72CE" w14:textId="2EFD1F0C" w:rsidR="00670ACA" w:rsidRPr="00792FD3" w:rsidRDefault="00670ACA" w:rsidP="008B5FB2">
            <w:pPr>
              <w:rPr>
                <w:i/>
                <w:iCs/>
                <w:sz w:val="22"/>
                <w:szCs w:val="22"/>
              </w:rPr>
            </w:pPr>
            <w:r w:rsidRPr="00792FD3">
              <w:rPr>
                <w:i/>
                <w:iCs/>
                <w:sz w:val="22"/>
                <w:szCs w:val="22"/>
              </w:rPr>
              <w:t xml:space="preserve">Press Release </w:t>
            </w:r>
            <w:r w:rsidR="00457751" w:rsidRPr="00792FD3">
              <w:rPr>
                <w:i/>
                <w:iCs/>
                <w:sz w:val="22"/>
                <w:szCs w:val="22"/>
              </w:rPr>
              <w:t xml:space="preserve">FABLED </w:t>
            </w:r>
            <w:r w:rsidRPr="00792FD3">
              <w:rPr>
                <w:i/>
                <w:iCs/>
                <w:sz w:val="22"/>
                <w:szCs w:val="22"/>
              </w:rPr>
              <w:t>Blood Culture Study</w:t>
            </w:r>
            <w:r w:rsidR="00D40648" w:rsidRPr="00792FD3">
              <w:rPr>
                <w:i/>
                <w:iCs/>
                <w:sz w:val="22"/>
                <w:szCs w:val="22"/>
              </w:rPr>
              <w:t xml:space="preserve"> –</w:t>
            </w:r>
            <w:r w:rsidR="003969C4" w:rsidRPr="00792FD3">
              <w:rPr>
                <w:i/>
                <w:iCs/>
                <w:sz w:val="22"/>
                <w:szCs w:val="22"/>
              </w:rPr>
              <w:t xml:space="preserve"> supported by the BC Sepsis Network</w:t>
            </w:r>
            <w:r w:rsidRPr="00792FD3">
              <w:rPr>
                <w:i/>
                <w:iCs/>
                <w:sz w:val="22"/>
                <w:szCs w:val="22"/>
              </w:rPr>
              <w:t xml:space="preserve"> (2019)</w:t>
            </w:r>
          </w:p>
        </w:tc>
      </w:tr>
      <w:tr w:rsidR="00251CB8" w:rsidRPr="00792FD3" w14:paraId="4F03DC8A" w14:textId="77777777" w:rsidTr="00251CB8">
        <w:tc>
          <w:tcPr>
            <w:tcW w:w="788" w:type="pct"/>
            <w:shd w:val="clear" w:color="auto" w:fill="92D050"/>
          </w:tcPr>
          <w:p w14:paraId="7F9D6073" w14:textId="3F342A70" w:rsidR="00251CB8" w:rsidRPr="00792FD3" w:rsidRDefault="00251CB8" w:rsidP="008B5FB2">
            <w:pPr>
              <w:rPr>
                <w:sz w:val="22"/>
                <w:szCs w:val="22"/>
              </w:rPr>
            </w:pPr>
          </w:p>
        </w:tc>
        <w:tc>
          <w:tcPr>
            <w:tcW w:w="1580" w:type="pct"/>
          </w:tcPr>
          <w:p w14:paraId="538A1A08" w14:textId="08E344A6" w:rsidR="00251CB8" w:rsidRPr="00792FD3" w:rsidRDefault="00251CB8" w:rsidP="008B5FB2">
            <w:pPr>
              <w:rPr>
                <w:sz w:val="22"/>
                <w:szCs w:val="22"/>
              </w:rPr>
            </w:pPr>
            <w:r w:rsidRPr="00792FD3">
              <w:rPr>
                <w:sz w:val="22"/>
                <w:szCs w:val="22"/>
              </w:rPr>
              <w:t>International Meetings</w:t>
            </w:r>
          </w:p>
        </w:tc>
        <w:tc>
          <w:tcPr>
            <w:tcW w:w="2633" w:type="pct"/>
          </w:tcPr>
          <w:p w14:paraId="55C0A92D" w14:textId="386ED474" w:rsidR="00251CB8" w:rsidRPr="00792FD3" w:rsidRDefault="00045652" w:rsidP="008B5FB2">
            <w:pPr>
              <w:rPr>
                <w:i/>
                <w:iCs/>
                <w:sz w:val="22"/>
                <w:szCs w:val="22"/>
              </w:rPr>
            </w:pPr>
            <w:r w:rsidRPr="00792FD3">
              <w:rPr>
                <w:i/>
                <w:iCs/>
                <w:sz w:val="22"/>
                <w:szCs w:val="22"/>
              </w:rPr>
              <w:t>Australian Sepsis (NSW) Meeting</w:t>
            </w:r>
            <w:r w:rsidR="00D40648" w:rsidRPr="00792FD3">
              <w:rPr>
                <w:i/>
                <w:iCs/>
                <w:sz w:val="22"/>
                <w:szCs w:val="22"/>
              </w:rPr>
              <w:t xml:space="preserve"> –</w:t>
            </w:r>
            <w:r w:rsidR="003969C4" w:rsidRPr="00792FD3">
              <w:rPr>
                <w:i/>
                <w:iCs/>
                <w:sz w:val="22"/>
                <w:szCs w:val="22"/>
              </w:rPr>
              <w:t xml:space="preserve"> </w:t>
            </w:r>
            <w:r w:rsidR="00D40648" w:rsidRPr="00792FD3">
              <w:rPr>
                <w:i/>
                <w:iCs/>
                <w:sz w:val="22"/>
                <w:szCs w:val="22"/>
              </w:rPr>
              <w:t>d</w:t>
            </w:r>
            <w:r w:rsidR="003969C4" w:rsidRPr="00792FD3">
              <w:rPr>
                <w:i/>
                <w:iCs/>
                <w:sz w:val="22"/>
                <w:szCs w:val="22"/>
              </w:rPr>
              <w:t>iscussing large scale sepsis quality improvement</w:t>
            </w:r>
            <w:r w:rsidRPr="00792FD3">
              <w:rPr>
                <w:i/>
                <w:iCs/>
                <w:sz w:val="22"/>
                <w:szCs w:val="22"/>
              </w:rPr>
              <w:t xml:space="preserve"> (2012)</w:t>
            </w:r>
          </w:p>
          <w:p w14:paraId="7B88F04F" w14:textId="23E2FD69" w:rsidR="00045652" w:rsidRPr="00792FD3" w:rsidRDefault="00045652" w:rsidP="008B5FB2">
            <w:pPr>
              <w:rPr>
                <w:i/>
                <w:iCs/>
                <w:sz w:val="22"/>
                <w:szCs w:val="22"/>
              </w:rPr>
            </w:pPr>
            <w:r w:rsidRPr="00792FD3">
              <w:rPr>
                <w:i/>
                <w:iCs/>
                <w:sz w:val="22"/>
                <w:szCs w:val="22"/>
              </w:rPr>
              <w:t>Wales Sepsis Meeting</w:t>
            </w:r>
            <w:r w:rsidR="00D40648" w:rsidRPr="00792FD3">
              <w:rPr>
                <w:i/>
                <w:iCs/>
                <w:sz w:val="22"/>
                <w:szCs w:val="22"/>
              </w:rPr>
              <w:t xml:space="preserve"> – d</w:t>
            </w:r>
            <w:r w:rsidR="003969C4" w:rsidRPr="00792FD3">
              <w:rPr>
                <w:i/>
                <w:iCs/>
                <w:sz w:val="22"/>
                <w:szCs w:val="22"/>
              </w:rPr>
              <w:t>iscussing large scale sepsis quality improvement</w:t>
            </w:r>
            <w:r w:rsidRPr="00792FD3">
              <w:rPr>
                <w:i/>
                <w:iCs/>
                <w:sz w:val="22"/>
                <w:szCs w:val="22"/>
              </w:rPr>
              <w:t xml:space="preserve"> (2012)</w:t>
            </w:r>
          </w:p>
          <w:p w14:paraId="3A2D8221" w14:textId="2D87BD58" w:rsidR="00045652" w:rsidRPr="00792FD3" w:rsidRDefault="00045652" w:rsidP="008B5FB2">
            <w:pPr>
              <w:rPr>
                <w:i/>
                <w:iCs/>
                <w:sz w:val="22"/>
                <w:szCs w:val="22"/>
              </w:rPr>
            </w:pPr>
            <w:r w:rsidRPr="00792FD3">
              <w:rPr>
                <w:i/>
                <w:iCs/>
                <w:sz w:val="22"/>
                <w:szCs w:val="22"/>
              </w:rPr>
              <w:t>Scotland Sepsis Trust Meeting</w:t>
            </w:r>
            <w:r w:rsidR="00D40648" w:rsidRPr="00792FD3">
              <w:rPr>
                <w:i/>
                <w:iCs/>
                <w:sz w:val="22"/>
                <w:szCs w:val="22"/>
              </w:rPr>
              <w:t xml:space="preserve"> – d</w:t>
            </w:r>
            <w:r w:rsidR="003969C4" w:rsidRPr="00792FD3">
              <w:rPr>
                <w:i/>
                <w:iCs/>
                <w:sz w:val="22"/>
                <w:szCs w:val="22"/>
              </w:rPr>
              <w:t>iscussing large scale sepsis quality improvement</w:t>
            </w:r>
            <w:r w:rsidRPr="00792FD3">
              <w:rPr>
                <w:i/>
                <w:iCs/>
                <w:sz w:val="22"/>
                <w:szCs w:val="22"/>
              </w:rPr>
              <w:t xml:space="preserve"> (2012)</w:t>
            </w:r>
          </w:p>
          <w:p w14:paraId="74B8A52A" w14:textId="696227B9" w:rsidR="00045652" w:rsidRPr="00792FD3" w:rsidRDefault="00045652" w:rsidP="008B5FB2">
            <w:pPr>
              <w:rPr>
                <w:i/>
                <w:iCs/>
                <w:sz w:val="22"/>
                <w:szCs w:val="22"/>
              </w:rPr>
            </w:pPr>
            <w:r w:rsidRPr="00792FD3">
              <w:rPr>
                <w:i/>
                <w:iCs/>
                <w:sz w:val="22"/>
                <w:szCs w:val="22"/>
              </w:rPr>
              <w:t>International Sepsis Group Meetings</w:t>
            </w:r>
            <w:r w:rsidR="00D40648" w:rsidRPr="00792FD3">
              <w:rPr>
                <w:i/>
                <w:iCs/>
                <w:sz w:val="22"/>
                <w:szCs w:val="22"/>
              </w:rPr>
              <w:t xml:space="preserve"> – a</w:t>
            </w:r>
            <w:r w:rsidR="0054651D" w:rsidRPr="00792FD3">
              <w:rPr>
                <w:i/>
                <w:iCs/>
                <w:sz w:val="22"/>
                <w:szCs w:val="22"/>
              </w:rPr>
              <w:t xml:space="preserve">ttendance of above quality improvement teams </w:t>
            </w:r>
            <w:r w:rsidR="002E5402" w:rsidRPr="00792FD3">
              <w:rPr>
                <w:i/>
                <w:iCs/>
                <w:sz w:val="22"/>
                <w:szCs w:val="22"/>
              </w:rPr>
              <w:t>together</w:t>
            </w:r>
            <w:r w:rsidRPr="00792FD3">
              <w:rPr>
                <w:i/>
                <w:iCs/>
                <w:sz w:val="22"/>
                <w:szCs w:val="22"/>
              </w:rPr>
              <w:t xml:space="preserve"> (2014)</w:t>
            </w:r>
          </w:p>
          <w:p w14:paraId="7415814A" w14:textId="07BC7DC0" w:rsidR="00670ACA" w:rsidRPr="00792FD3" w:rsidRDefault="00670ACA" w:rsidP="008B5FB2">
            <w:pPr>
              <w:rPr>
                <w:i/>
                <w:iCs/>
                <w:sz w:val="22"/>
                <w:szCs w:val="22"/>
              </w:rPr>
            </w:pPr>
            <w:r w:rsidRPr="00792FD3">
              <w:rPr>
                <w:i/>
                <w:iCs/>
                <w:sz w:val="22"/>
                <w:szCs w:val="22"/>
              </w:rPr>
              <w:t xml:space="preserve">World Sepsis Day BC </w:t>
            </w:r>
            <w:proofErr w:type="spellStart"/>
            <w:r w:rsidRPr="00792FD3">
              <w:rPr>
                <w:i/>
                <w:iCs/>
                <w:sz w:val="22"/>
                <w:szCs w:val="22"/>
              </w:rPr>
              <w:t>MoH</w:t>
            </w:r>
            <w:proofErr w:type="spellEnd"/>
            <w:r w:rsidRPr="00792FD3">
              <w:rPr>
                <w:i/>
                <w:iCs/>
                <w:sz w:val="22"/>
                <w:szCs w:val="22"/>
              </w:rPr>
              <w:t xml:space="preserve"> Proclamation </w:t>
            </w:r>
            <w:r w:rsidR="0054651D" w:rsidRPr="00792FD3">
              <w:rPr>
                <w:i/>
                <w:iCs/>
                <w:sz w:val="22"/>
                <w:szCs w:val="22"/>
              </w:rPr>
              <w:t xml:space="preserve">at Global Sepsis Alliance meeting </w:t>
            </w:r>
            <w:r w:rsidRPr="00792FD3">
              <w:rPr>
                <w:i/>
                <w:iCs/>
                <w:sz w:val="22"/>
                <w:szCs w:val="22"/>
              </w:rPr>
              <w:t>(2018)</w:t>
            </w:r>
          </w:p>
        </w:tc>
      </w:tr>
      <w:tr w:rsidR="00251CB8" w:rsidRPr="00792FD3" w14:paraId="48DD8D56" w14:textId="77777777" w:rsidTr="00251CB8">
        <w:tc>
          <w:tcPr>
            <w:tcW w:w="788" w:type="pct"/>
            <w:shd w:val="clear" w:color="auto" w:fill="00B0F0"/>
          </w:tcPr>
          <w:p w14:paraId="62306E5A" w14:textId="4F4CF370" w:rsidR="00251CB8" w:rsidRPr="00792FD3" w:rsidRDefault="00251CB8" w:rsidP="008B5FB2">
            <w:pPr>
              <w:rPr>
                <w:sz w:val="22"/>
                <w:szCs w:val="22"/>
              </w:rPr>
            </w:pPr>
          </w:p>
        </w:tc>
        <w:tc>
          <w:tcPr>
            <w:tcW w:w="1580" w:type="pct"/>
          </w:tcPr>
          <w:p w14:paraId="770652D3" w14:textId="11CD5772" w:rsidR="00251CB8" w:rsidRPr="00792FD3" w:rsidRDefault="00251CB8" w:rsidP="008B5FB2">
            <w:pPr>
              <w:rPr>
                <w:sz w:val="22"/>
                <w:szCs w:val="22"/>
              </w:rPr>
            </w:pPr>
            <w:r w:rsidRPr="00792FD3">
              <w:rPr>
                <w:sz w:val="22"/>
                <w:szCs w:val="22"/>
              </w:rPr>
              <w:t>Sepsis Network Meetings</w:t>
            </w:r>
          </w:p>
        </w:tc>
        <w:tc>
          <w:tcPr>
            <w:tcW w:w="2633" w:type="pct"/>
          </w:tcPr>
          <w:p w14:paraId="2F3487DB" w14:textId="18B5C6B0" w:rsidR="00045652" w:rsidRPr="00792FD3" w:rsidRDefault="00045652" w:rsidP="008B5FB2">
            <w:pPr>
              <w:rPr>
                <w:i/>
                <w:iCs/>
                <w:sz w:val="22"/>
                <w:szCs w:val="22"/>
              </w:rPr>
            </w:pPr>
            <w:r w:rsidRPr="00792FD3">
              <w:rPr>
                <w:i/>
                <w:iCs/>
                <w:sz w:val="22"/>
                <w:szCs w:val="22"/>
              </w:rPr>
              <w:t>Sepsis Working Group Workshop (2012)</w:t>
            </w:r>
          </w:p>
          <w:p w14:paraId="490F1EE5" w14:textId="77777777" w:rsidR="00045652" w:rsidRPr="00792FD3" w:rsidRDefault="00045652" w:rsidP="008B5FB2">
            <w:pPr>
              <w:rPr>
                <w:i/>
                <w:iCs/>
                <w:sz w:val="22"/>
                <w:szCs w:val="22"/>
              </w:rPr>
            </w:pPr>
            <w:r w:rsidRPr="00792FD3">
              <w:rPr>
                <w:i/>
                <w:iCs/>
                <w:sz w:val="22"/>
                <w:szCs w:val="22"/>
              </w:rPr>
              <w:t>In-Patient Sepsis Meetings (2014)</w:t>
            </w:r>
          </w:p>
          <w:p w14:paraId="48A46A94" w14:textId="70F66AB0" w:rsidR="00670ACA" w:rsidRPr="00792FD3" w:rsidRDefault="00670ACA" w:rsidP="008B5FB2">
            <w:pPr>
              <w:rPr>
                <w:i/>
                <w:iCs/>
                <w:sz w:val="22"/>
                <w:szCs w:val="22"/>
              </w:rPr>
            </w:pPr>
            <w:r w:rsidRPr="00792FD3">
              <w:rPr>
                <w:i/>
                <w:iCs/>
                <w:sz w:val="22"/>
                <w:szCs w:val="22"/>
              </w:rPr>
              <w:t>World Sepsis Day (2018)</w:t>
            </w:r>
          </w:p>
        </w:tc>
      </w:tr>
      <w:tr w:rsidR="00251CB8" w:rsidRPr="00792FD3" w14:paraId="5FE37CE2" w14:textId="77777777" w:rsidTr="00251CB8">
        <w:tc>
          <w:tcPr>
            <w:tcW w:w="788" w:type="pct"/>
            <w:shd w:val="clear" w:color="auto" w:fill="0070C0"/>
          </w:tcPr>
          <w:p w14:paraId="7683FEFF" w14:textId="5623E6FA" w:rsidR="00251CB8" w:rsidRPr="00792FD3" w:rsidRDefault="00251CB8" w:rsidP="008B5FB2">
            <w:pPr>
              <w:rPr>
                <w:sz w:val="22"/>
                <w:szCs w:val="22"/>
              </w:rPr>
            </w:pPr>
          </w:p>
        </w:tc>
        <w:tc>
          <w:tcPr>
            <w:tcW w:w="1580" w:type="pct"/>
          </w:tcPr>
          <w:p w14:paraId="40DA65E9" w14:textId="0DA05A4D" w:rsidR="00251CB8" w:rsidRPr="00792FD3" w:rsidRDefault="00251CB8" w:rsidP="008B5FB2">
            <w:pPr>
              <w:rPr>
                <w:sz w:val="22"/>
                <w:szCs w:val="22"/>
              </w:rPr>
            </w:pPr>
            <w:r w:rsidRPr="00792FD3">
              <w:rPr>
                <w:sz w:val="22"/>
                <w:szCs w:val="22"/>
              </w:rPr>
              <w:t>Publications and Reports</w:t>
            </w:r>
          </w:p>
        </w:tc>
        <w:tc>
          <w:tcPr>
            <w:tcW w:w="2633" w:type="pct"/>
          </w:tcPr>
          <w:p w14:paraId="25EF25D1" w14:textId="77777777" w:rsidR="00251CB8" w:rsidRPr="00792FD3" w:rsidRDefault="00045652" w:rsidP="008B5FB2">
            <w:pPr>
              <w:rPr>
                <w:i/>
                <w:iCs/>
                <w:sz w:val="22"/>
                <w:szCs w:val="22"/>
              </w:rPr>
            </w:pPr>
            <w:r w:rsidRPr="00792FD3">
              <w:rPr>
                <w:i/>
                <w:iCs/>
                <w:sz w:val="22"/>
                <w:szCs w:val="22"/>
              </w:rPr>
              <w:t>Social Network Analysis Publication (2015)</w:t>
            </w:r>
          </w:p>
          <w:p w14:paraId="06FE194F" w14:textId="77777777" w:rsidR="00045652" w:rsidRPr="00792FD3" w:rsidRDefault="00045652" w:rsidP="008B5FB2">
            <w:pPr>
              <w:rPr>
                <w:i/>
                <w:iCs/>
                <w:sz w:val="22"/>
                <w:szCs w:val="22"/>
              </w:rPr>
            </w:pPr>
            <w:r w:rsidRPr="00792FD3">
              <w:rPr>
                <w:i/>
                <w:iCs/>
                <w:sz w:val="22"/>
                <w:szCs w:val="22"/>
              </w:rPr>
              <w:t>Definition Update BN (2016)</w:t>
            </w:r>
          </w:p>
          <w:p w14:paraId="15847D6E" w14:textId="0D1A2E59" w:rsidR="00045652" w:rsidRPr="00792FD3" w:rsidRDefault="00045652" w:rsidP="008B5FB2">
            <w:pPr>
              <w:rPr>
                <w:i/>
                <w:iCs/>
                <w:sz w:val="22"/>
                <w:szCs w:val="22"/>
              </w:rPr>
            </w:pPr>
            <w:r w:rsidRPr="00792FD3">
              <w:rPr>
                <w:i/>
                <w:iCs/>
                <w:sz w:val="22"/>
                <w:szCs w:val="22"/>
              </w:rPr>
              <w:t>In-Patient Sepsis Report (2016)</w:t>
            </w:r>
          </w:p>
        </w:tc>
      </w:tr>
      <w:tr w:rsidR="00251CB8" w:rsidRPr="00792FD3" w14:paraId="5317F103" w14:textId="77777777" w:rsidTr="00251CB8">
        <w:tc>
          <w:tcPr>
            <w:tcW w:w="788" w:type="pct"/>
            <w:shd w:val="clear" w:color="auto" w:fill="002060"/>
          </w:tcPr>
          <w:p w14:paraId="09D17932" w14:textId="3A60F61D" w:rsidR="00251CB8" w:rsidRPr="00792FD3" w:rsidRDefault="00251CB8" w:rsidP="008B5FB2">
            <w:pPr>
              <w:rPr>
                <w:sz w:val="22"/>
                <w:szCs w:val="22"/>
              </w:rPr>
            </w:pPr>
          </w:p>
        </w:tc>
        <w:tc>
          <w:tcPr>
            <w:tcW w:w="1580" w:type="pct"/>
          </w:tcPr>
          <w:p w14:paraId="44233780" w14:textId="5BB5040D" w:rsidR="00251CB8" w:rsidRPr="00792FD3" w:rsidRDefault="00251CB8" w:rsidP="008B5FB2">
            <w:pPr>
              <w:rPr>
                <w:sz w:val="22"/>
                <w:szCs w:val="22"/>
              </w:rPr>
            </w:pPr>
            <w:r w:rsidRPr="00792FD3">
              <w:rPr>
                <w:sz w:val="22"/>
                <w:szCs w:val="22"/>
              </w:rPr>
              <w:t>Public Launch of Guidelines and Pre-Printed Orders</w:t>
            </w:r>
          </w:p>
        </w:tc>
        <w:tc>
          <w:tcPr>
            <w:tcW w:w="2633" w:type="pct"/>
          </w:tcPr>
          <w:p w14:paraId="2A3EECD0" w14:textId="6F3A972C" w:rsidR="00251CB8" w:rsidRPr="00792FD3" w:rsidRDefault="00045652" w:rsidP="008B5FB2">
            <w:pPr>
              <w:rPr>
                <w:i/>
                <w:iCs/>
                <w:sz w:val="22"/>
                <w:szCs w:val="22"/>
              </w:rPr>
            </w:pPr>
            <w:r w:rsidRPr="00792FD3">
              <w:rPr>
                <w:i/>
                <w:iCs/>
                <w:sz w:val="22"/>
                <w:szCs w:val="22"/>
              </w:rPr>
              <w:t>Pre-Printed Order Set for Island Health (2013</w:t>
            </w:r>
            <w:r w:rsidR="00670ACA" w:rsidRPr="00792FD3">
              <w:rPr>
                <w:i/>
                <w:iCs/>
                <w:sz w:val="22"/>
                <w:szCs w:val="22"/>
              </w:rPr>
              <w:t>, 2017</w:t>
            </w:r>
            <w:r w:rsidRPr="00792FD3">
              <w:rPr>
                <w:i/>
                <w:iCs/>
                <w:sz w:val="22"/>
                <w:szCs w:val="22"/>
              </w:rPr>
              <w:t>)</w:t>
            </w:r>
          </w:p>
          <w:p w14:paraId="641D5014" w14:textId="77777777" w:rsidR="00045652" w:rsidRPr="00792FD3" w:rsidRDefault="00045652" w:rsidP="008B5FB2">
            <w:pPr>
              <w:rPr>
                <w:i/>
                <w:iCs/>
                <w:sz w:val="22"/>
                <w:szCs w:val="22"/>
              </w:rPr>
            </w:pPr>
            <w:r w:rsidRPr="00792FD3">
              <w:rPr>
                <w:i/>
                <w:iCs/>
                <w:sz w:val="22"/>
                <w:szCs w:val="22"/>
              </w:rPr>
              <w:t>Pre-Printed Order Set for Lions Gate Hospital (2014)</w:t>
            </w:r>
          </w:p>
          <w:p w14:paraId="66D2D2AD" w14:textId="77777777" w:rsidR="00045652" w:rsidRPr="00792FD3" w:rsidRDefault="00045652" w:rsidP="008B5FB2">
            <w:pPr>
              <w:rPr>
                <w:i/>
                <w:iCs/>
                <w:sz w:val="22"/>
                <w:szCs w:val="22"/>
              </w:rPr>
            </w:pPr>
            <w:r w:rsidRPr="00792FD3">
              <w:rPr>
                <w:i/>
                <w:iCs/>
                <w:sz w:val="22"/>
                <w:szCs w:val="22"/>
              </w:rPr>
              <w:t>Pre-Printed Order Set for Vancouver Coastal Health (2014)</w:t>
            </w:r>
          </w:p>
          <w:p w14:paraId="29C525D9" w14:textId="77777777" w:rsidR="00670ACA" w:rsidRPr="00792FD3" w:rsidRDefault="00670ACA" w:rsidP="008B5FB2">
            <w:pPr>
              <w:rPr>
                <w:i/>
                <w:iCs/>
                <w:sz w:val="22"/>
                <w:szCs w:val="22"/>
              </w:rPr>
            </w:pPr>
            <w:r w:rsidRPr="00792FD3">
              <w:rPr>
                <w:i/>
                <w:iCs/>
                <w:sz w:val="22"/>
                <w:szCs w:val="22"/>
              </w:rPr>
              <w:t>Pre-Printed Order Set for SGH (2015)</w:t>
            </w:r>
          </w:p>
          <w:p w14:paraId="3A77EC73" w14:textId="77777777" w:rsidR="00670ACA" w:rsidRPr="00792FD3" w:rsidRDefault="00670ACA" w:rsidP="008B5FB2">
            <w:pPr>
              <w:rPr>
                <w:i/>
                <w:iCs/>
                <w:sz w:val="22"/>
                <w:szCs w:val="22"/>
              </w:rPr>
            </w:pPr>
            <w:r w:rsidRPr="00792FD3">
              <w:rPr>
                <w:i/>
                <w:iCs/>
                <w:sz w:val="22"/>
                <w:szCs w:val="22"/>
              </w:rPr>
              <w:t>Pre-Printed Order Set for Fraser Health (2016)</w:t>
            </w:r>
          </w:p>
          <w:p w14:paraId="50C4B016" w14:textId="77777777" w:rsidR="00670ACA" w:rsidRPr="00792FD3" w:rsidRDefault="00670ACA" w:rsidP="008B5FB2">
            <w:pPr>
              <w:rPr>
                <w:i/>
                <w:iCs/>
                <w:sz w:val="22"/>
                <w:szCs w:val="22"/>
              </w:rPr>
            </w:pPr>
            <w:r w:rsidRPr="00792FD3">
              <w:rPr>
                <w:i/>
                <w:iCs/>
                <w:sz w:val="22"/>
                <w:szCs w:val="22"/>
              </w:rPr>
              <w:t>NRGH Sepsis Project (2017)</w:t>
            </w:r>
          </w:p>
          <w:p w14:paraId="75E2DF5C" w14:textId="77777777" w:rsidR="00670ACA" w:rsidRPr="00792FD3" w:rsidRDefault="00670ACA" w:rsidP="008B5FB2">
            <w:pPr>
              <w:rPr>
                <w:i/>
                <w:iCs/>
                <w:sz w:val="22"/>
                <w:szCs w:val="22"/>
              </w:rPr>
            </w:pPr>
            <w:r w:rsidRPr="00792FD3">
              <w:rPr>
                <w:i/>
                <w:iCs/>
                <w:sz w:val="22"/>
                <w:szCs w:val="22"/>
              </w:rPr>
              <w:t>ED Guidelines (2017)</w:t>
            </w:r>
          </w:p>
          <w:p w14:paraId="1614F628" w14:textId="74972824" w:rsidR="00670ACA" w:rsidRPr="00792FD3" w:rsidRDefault="00670ACA" w:rsidP="008B5FB2">
            <w:pPr>
              <w:rPr>
                <w:i/>
                <w:iCs/>
                <w:sz w:val="22"/>
                <w:szCs w:val="22"/>
              </w:rPr>
            </w:pPr>
            <w:r w:rsidRPr="00792FD3">
              <w:rPr>
                <w:i/>
                <w:iCs/>
                <w:sz w:val="22"/>
                <w:szCs w:val="22"/>
              </w:rPr>
              <w:t>Pre-Printed Order Set for Vancouver General Hospital (2017)</w:t>
            </w:r>
          </w:p>
        </w:tc>
      </w:tr>
      <w:tr w:rsidR="00251CB8" w:rsidRPr="00792FD3" w14:paraId="218EEBA4" w14:textId="77777777" w:rsidTr="00251CB8">
        <w:tc>
          <w:tcPr>
            <w:tcW w:w="788" w:type="pct"/>
            <w:shd w:val="clear" w:color="auto" w:fill="7030A0"/>
          </w:tcPr>
          <w:p w14:paraId="4B4F8097" w14:textId="34CE8297" w:rsidR="00251CB8" w:rsidRPr="00792FD3" w:rsidRDefault="00251CB8" w:rsidP="008B5FB2">
            <w:pPr>
              <w:rPr>
                <w:sz w:val="22"/>
                <w:szCs w:val="22"/>
              </w:rPr>
            </w:pPr>
          </w:p>
        </w:tc>
        <w:tc>
          <w:tcPr>
            <w:tcW w:w="1580" w:type="pct"/>
          </w:tcPr>
          <w:p w14:paraId="4405094E" w14:textId="4A695CE2" w:rsidR="00251CB8" w:rsidRPr="00792FD3" w:rsidRDefault="00251CB8" w:rsidP="008B5FB2">
            <w:pPr>
              <w:rPr>
                <w:sz w:val="22"/>
                <w:szCs w:val="22"/>
              </w:rPr>
            </w:pPr>
            <w:r w:rsidRPr="00792FD3">
              <w:rPr>
                <w:sz w:val="22"/>
                <w:szCs w:val="22"/>
              </w:rPr>
              <w:t>Print Production and Release of Materials</w:t>
            </w:r>
          </w:p>
        </w:tc>
        <w:tc>
          <w:tcPr>
            <w:tcW w:w="2633" w:type="pct"/>
          </w:tcPr>
          <w:p w14:paraId="1AD1559F" w14:textId="1AC00A4F" w:rsidR="00251CB8" w:rsidRPr="00792FD3" w:rsidRDefault="00045652" w:rsidP="008B5FB2">
            <w:pPr>
              <w:rPr>
                <w:i/>
                <w:iCs/>
                <w:sz w:val="22"/>
                <w:szCs w:val="22"/>
              </w:rPr>
            </w:pPr>
            <w:r w:rsidRPr="00792FD3">
              <w:rPr>
                <w:i/>
                <w:iCs/>
                <w:sz w:val="22"/>
                <w:szCs w:val="22"/>
              </w:rPr>
              <w:t>ED Lanyards (2012</w:t>
            </w:r>
            <w:r w:rsidR="00670ACA" w:rsidRPr="00792FD3">
              <w:rPr>
                <w:i/>
                <w:iCs/>
                <w:sz w:val="22"/>
                <w:szCs w:val="22"/>
              </w:rPr>
              <w:t>, 2017</w:t>
            </w:r>
            <w:r w:rsidRPr="00792FD3">
              <w:rPr>
                <w:i/>
                <w:iCs/>
                <w:sz w:val="22"/>
                <w:szCs w:val="22"/>
              </w:rPr>
              <w:t>)</w:t>
            </w:r>
          </w:p>
          <w:p w14:paraId="70D6F46B" w14:textId="4B638AF2" w:rsidR="00670ACA" w:rsidRPr="00792FD3" w:rsidRDefault="00F07CBC" w:rsidP="008B5FB2">
            <w:pPr>
              <w:rPr>
                <w:i/>
                <w:iCs/>
                <w:sz w:val="22"/>
                <w:szCs w:val="22"/>
              </w:rPr>
            </w:pPr>
            <w:r w:rsidRPr="00792FD3">
              <w:rPr>
                <w:i/>
                <w:iCs/>
                <w:sz w:val="22"/>
                <w:szCs w:val="22"/>
              </w:rPr>
              <w:t xml:space="preserve">ED </w:t>
            </w:r>
            <w:r w:rsidR="00045652" w:rsidRPr="00792FD3">
              <w:rPr>
                <w:i/>
                <w:iCs/>
                <w:sz w:val="22"/>
                <w:szCs w:val="22"/>
              </w:rPr>
              <w:t>Sepsis Guidelines (2012</w:t>
            </w:r>
            <w:r w:rsidR="00FF6993" w:rsidRPr="00792FD3">
              <w:rPr>
                <w:i/>
                <w:iCs/>
                <w:sz w:val="22"/>
                <w:szCs w:val="22"/>
              </w:rPr>
              <w:t>,</w:t>
            </w:r>
            <w:r w:rsidRPr="00792FD3">
              <w:rPr>
                <w:i/>
                <w:iCs/>
                <w:sz w:val="22"/>
                <w:szCs w:val="22"/>
              </w:rPr>
              <w:t>2017</w:t>
            </w:r>
            <w:r w:rsidR="00670ACA" w:rsidRPr="00792FD3">
              <w:rPr>
                <w:i/>
                <w:iCs/>
                <w:sz w:val="22"/>
                <w:szCs w:val="22"/>
              </w:rPr>
              <w:t>)</w:t>
            </w:r>
          </w:p>
          <w:p w14:paraId="7B6C809D" w14:textId="2A9FB4DA" w:rsidR="00F07CBC" w:rsidRPr="00792FD3" w:rsidRDefault="00F07CBC" w:rsidP="008B5FB2">
            <w:pPr>
              <w:rPr>
                <w:i/>
                <w:iCs/>
                <w:sz w:val="22"/>
                <w:szCs w:val="22"/>
              </w:rPr>
            </w:pPr>
            <w:r w:rsidRPr="00792FD3">
              <w:rPr>
                <w:i/>
                <w:iCs/>
                <w:sz w:val="22"/>
                <w:szCs w:val="22"/>
              </w:rPr>
              <w:t>In-patient Sepsis Guidelines</w:t>
            </w:r>
            <w:r w:rsidR="00B32942" w:rsidRPr="00792FD3">
              <w:rPr>
                <w:i/>
                <w:iCs/>
                <w:sz w:val="22"/>
                <w:szCs w:val="22"/>
              </w:rPr>
              <w:t xml:space="preserve"> (2016)</w:t>
            </w:r>
            <w:r w:rsidRPr="00792FD3">
              <w:rPr>
                <w:i/>
                <w:iCs/>
                <w:sz w:val="22"/>
                <w:szCs w:val="22"/>
              </w:rPr>
              <w:t xml:space="preserve"> </w:t>
            </w:r>
          </w:p>
          <w:p w14:paraId="73D83B04" w14:textId="4AFF5B34" w:rsidR="00670ACA" w:rsidRPr="00792FD3" w:rsidRDefault="00670ACA" w:rsidP="008B5FB2">
            <w:pPr>
              <w:rPr>
                <w:i/>
                <w:iCs/>
                <w:sz w:val="22"/>
                <w:szCs w:val="22"/>
              </w:rPr>
            </w:pPr>
            <w:r w:rsidRPr="00792FD3">
              <w:rPr>
                <w:i/>
                <w:iCs/>
                <w:sz w:val="22"/>
                <w:szCs w:val="22"/>
              </w:rPr>
              <w:t>In-Patient Lanyard Design and Print (</w:t>
            </w:r>
            <w:r w:rsidR="00B32942" w:rsidRPr="00792FD3">
              <w:rPr>
                <w:i/>
                <w:iCs/>
                <w:sz w:val="22"/>
                <w:szCs w:val="22"/>
              </w:rPr>
              <w:t xml:space="preserve">2012, </w:t>
            </w:r>
            <w:r w:rsidRPr="00792FD3">
              <w:rPr>
                <w:i/>
                <w:iCs/>
                <w:sz w:val="22"/>
                <w:szCs w:val="22"/>
              </w:rPr>
              <w:t>2017)</w:t>
            </w:r>
          </w:p>
          <w:p w14:paraId="1042D71F" w14:textId="2995DA66" w:rsidR="00670ACA" w:rsidRPr="00792FD3" w:rsidRDefault="00670ACA" w:rsidP="008B5FB2">
            <w:pPr>
              <w:rPr>
                <w:i/>
                <w:iCs/>
                <w:sz w:val="22"/>
                <w:szCs w:val="22"/>
              </w:rPr>
            </w:pPr>
            <w:r w:rsidRPr="00792FD3">
              <w:rPr>
                <w:i/>
                <w:iCs/>
                <w:sz w:val="22"/>
                <w:szCs w:val="22"/>
              </w:rPr>
              <w:t>Patient</w:t>
            </w:r>
            <w:r w:rsidR="00B32942" w:rsidRPr="00792FD3">
              <w:rPr>
                <w:i/>
                <w:iCs/>
                <w:sz w:val="22"/>
                <w:szCs w:val="22"/>
              </w:rPr>
              <w:t xml:space="preserve"> Education</w:t>
            </w:r>
            <w:r w:rsidRPr="00792FD3">
              <w:rPr>
                <w:i/>
                <w:iCs/>
                <w:sz w:val="22"/>
                <w:szCs w:val="22"/>
              </w:rPr>
              <w:t xml:space="preserve"> Brochure and Infographic (2019)</w:t>
            </w:r>
          </w:p>
        </w:tc>
      </w:tr>
      <w:tr w:rsidR="00251CB8" w:rsidRPr="00792FD3" w14:paraId="51D1000E" w14:textId="77777777" w:rsidTr="00251CB8">
        <w:tc>
          <w:tcPr>
            <w:tcW w:w="788" w:type="pct"/>
            <w:shd w:val="clear" w:color="auto" w:fill="C00000"/>
          </w:tcPr>
          <w:p w14:paraId="3A8B8A86" w14:textId="71749C57" w:rsidR="00251CB8" w:rsidRPr="00792FD3" w:rsidRDefault="00251CB8" w:rsidP="008B5FB2">
            <w:pPr>
              <w:rPr>
                <w:sz w:val="22"/>
                <w:szCs w:val="22"/>
              </w:rPr>
            </w:pPr>
          </w:p>
        </w:tc>
        <w:tc>
          <w:tcPr>
            <w:tcW w:w="1580" w:type="pct"/>
          </w:tcPr>
          <w:p w14:paraId="164E0C2D" w14:textId="471D3519" w:rsidR="00251CB8" w:rsidRPr="00792FD3" w:rsidRDefault="00251CB8" w:rsidP="008B5FB2">
            <w:pPr>
              <w:rPr>
                <w:sz w:val="22"/>
                <w:szCs w:val="22"/>
              </w:rPr>
            </w:pPr>
            <w:r w:rsidRPr="00792FD3">
              <w:rPr>
                <w:sz w:val="22"/>
                <w:szCs w:val="22"/>
              </w:rPr>
              <w:t>Network Webinars</w:t>
            </w:r>
          </w:p>
        </w:tc>
        <w:tc>
          <w:tcPr>
            <w:tcW w:w="2633" w:type="pct"/>
          </w:tcPr>
          <w:p w14:paraId="0E351115" w14:textId="3FD5B364" w:rsidR="00251CB8" w:rsidRPr="00792FD3" w:rsidRDefault="00045652" w:rsidP="008B5FB2">
            <w:pPr>
              <w:rPr>
                <w:i/>
                <w:iCs/>
                <w:sz w:val="22"/>
                <w:szCs w:val="22"/>
              </w:rPr>
            </w:pPr>
            <w:r w:rsidRPr="00792FD3">
              <w:rPr>
                <w:i/>
                <w:iCs/>
                <w:sz w:val="22"/>
                <w:szCs w:val="22"/>
              </w:rPr>
              <w:t>Virtual Learning Series Webinar</w:t>
            </w:r>
            <w:r w:rsidR="00D40648" w:rsidRPr="00792FD3">
              <w:rPr>
                <w:i/>
                <w:iCs/>
                <w:sz w:val="22"/>
                <w:szCs w:val="22"/>
              </w:rPr>
              <w:t xml:space="preserve"> – v</w:t>
            </w:r>
            <w:r w:rsidR="00B32942" w:rsidRPr="00792FD3">
              <w:rPr>
                <w:i/>
                <w:iCs/>
                <w:sz w:val="22"/>
                <w:szCs w:val="22"/>
              </w:rPr>
              <w:t>arious sepsis topics</w:t>
            </w:r>
            <w:r w:rsidRPr="00792FD3">
              <w:rPr>
                <w:i/>
                <w:iCs/>
                <w:sz w:val="22"/>
                <w:szCs w:val="22"/>
              </w:rPr>
              <w:t xml:space="preserve"> (2013, 2014, 2015)</w:t>
            </w:r>
          </w:p>
          <w:p w14:paraId="4B35D77D" w14:textId="460B9536" w:rsidR="00045652" w:rsidRPr="00792FD3" w:rsidRDefault="00045652" w:rsidP="008B5FB2">
            <w:pPr>
              <w:rPr>
                <w:i/>
                <w:iCs/>
                <w:sz w:val="22"/>
                <w:szCs w:val="22"/>
              </w:rPr>
            </w:pPr>
            <w:r w:rsidRPr="00792FD3">
              <w:rPr>
                <w:i/>
                <w:iCs/>
                <w:sz w:val="22"/>
                <w:szCs w:val="22"/>
              </w:rPr>
              <w:t>Driver Diagram Development</w:t>
            </w:r>
            <w:r w:rsidR="00B32942" w:rsidRPr="00792FD3">
              <w:rPr>
                <w:i/>
                <w:iCs/>
                <w:sz w:val="22"/>
                <w:szCs w:val="22"/>
              </w:rPr>
              <w:t xml:space="preserve"> Presentation</w:t>
            </w:r>
            <w:r w:rsidRPr="00792FD3">
              <w:rPr>
                <w:i/>
                <w:iCs/>
                <w:sz w:val="22"/>
                <w:szCs w:val="22"/>
              </w:rPr>
              <w:t xml:space="preserve"> (2013)</w:t>
            </w:r>
          </w:p>
        </w:tc>
      </w:tr>
      <w:tr w:rsidR="00251CB8" w:rsidRPr="00792FD3" w14:paraId="071D9691" w14:textId="77777777" w:rsidTr="00251CB8">
        <w:tc>
          <w:tcPr>
            <w:tcW w:w="788" w:type="pct"/>
            <w:shd w:val="clear" w:color="auto" w:fill="FFC0D6"/>
          </w:tcPr>
          <w:p w14:paraId="2BE03EED" w14:textId="219EAC5E" w:rsidR="00251CB8" w:rsidRPr="00792FD3" w:rsidRDefault="00251CB8" w:rsidP="008B5FB2">
            <w:pPr>
              <w:rPr>
                <w:sz w:val="22"/>
                <w:szCs w:val="22"/>
              </w:rPr>
            </w:pPr>
          </w:p>
        </w:tc>
        <w:tc>
          <w:tcPr>
            <w:tcW w:w="1580" w:type="pct"/>
          </w:tcPr>
          <w:p w14:paraId="54DAE1D6" w14:textId="468AE89B" w:rsidR="00251CB8" w:rsidRPr="00792FD3" w:rsidRDefault="00251CB8" w:rsidP="008B5FB2">
            <w:pPr>
              <w:rPr>
                <w:sz w:val="22"/>
                <w:szCs w:val="22"/>
              </w:rPr>
            </w:pPr>
            <w:r w:rsidRPr="00792FD3">
              <w:rPr>
                <w:sz w:val="22"/>
                <w:szCs w:val="22"/>
              </w:rPr>
              <w:t>Workshops, Module Development, and Development of Resources, Guidelines, and Toolkits</w:t>
            </w:r>
          </w:p>
        </w:tc>
        <w:tc>
          <w:tcPr>
            <w:tcW w:w="2633" w:type="pct"/>
          </w:tcPr>
          <w:p w14:paraId="653CB32F" w14:textId="77777777" w:rsidR="00251CB8" w:rsidRPr="00792FD3" w:rsidRDefault="00045652" w:rsidP="008B5FB2">
            <w:pPr>
              <w:rPr>
                <w:i/>
                <w:iCs/>
                <w:sz w:val="22"/>
                <w:szCs w:val="22"/>
              </w:rPr>
            </w:pPr>
            <w:r w:rsidRPr="00792FD3">
              <w:rPr>
                <w:i/>
                <w:iCs/>
                <w:sz w:val="22"/>
                <w:szCs w:val="22"/>
              </w:rPr>
              <w:t>Development of ED Guidelines (2012)</w:t>
            </w:r>
          </w:p>
          <w:p w14:paraId="19211508" w14:textId="77777777" w:rsidR="00045652" w:rsidRPr="00792FD3" w:rsidRDefault="00045652" w:rsidP="008B5FB2">
            <w:pPr>
              <w:rPr>
                <w:i/>
                <w:iCs/>
                <w:sz w:val="22"/>
                <w:szCs w:val="22"/>
              </w:rPr>
            </w:pPr>
            <w:r w:rsidRPr="00792FD3">
              <w:rPr>
                <w:i/>
                <w:iCs/>
                <w:sz w:val="22"/>
                <w:szCs w:val="22"/>
              </w:rPr>
              <w:t>Online Sepsis Module Development (2013)</w:t>
            </w:r>
          </w:p>
          <w:p w14:paraId="6D4B822B" w14:textId="77777777" w:rsidR="00045652" w:rsidRPr="00792FD3" w:rsidRDefault="00045652" w:rsidP="008B5FB2">
            <w:pPr>
              <w:rPr>
                <w:i/>
                <w:iCs/>
                <w:sz w:val="22"/>
                <w:szCs w:val="22"/>
              </w:rPr>
            </w:pPr>
            <w:r w:rsidRPr="00792FD3">
              <w:rPr>
                <w:i/>
                <w:iCs/>
                <w:sz w:val="22"/>
                <w:szCs w:val="22"/>
              </w:rPr>
              <w:t>In-Patient Sepsis Algorithm Development (2014)</w:t>
            </w:r>
          </w:p>
          <w:p w14:paraId="369F109B" w14:textId="77777777" w:rsidR="00045652" w:rsidRPr="00792FD3" w:rsidRDefault="00045652" w:rsidP="008B5FB2">
            <w:pPr>
              <w:rPr>
                <w:i/>
                <w:iCs/>
                <w:sz w:val="22"/>
                <w:szCs w:val="22"/>
              </w:rPr>
            </w:pPr>
            <w:r w:rsidRPr="00792FD3">
              <w:rPr>
                <w:i/>
                <w:iCs/>
                <w:sz w:val="22"/>
                <w:szCs w:val="22"/>
              </w:rPr>
              <w:t>In-Patient Sepsis Screening Tool Development (2014)</w:t>
            </w:r>
          </w:p>
          <w:p w14:paraId="31F9B5FC" w14:textId="77777777" w:rsidR="00670ACA" w:rsidRPr="00792FD3" w:rsidRDefault="00670ACA" w:rsidP="008B5FB2">
            <w:pPr>
              <w:rPr>
                <w:i/>
                <w:iCs/>
                <w:sz w:val="22"/>
                <w:szCs w:val="22"/>
              </w:rPr>
            </w:pPr>
            <w:r w:rsidRPr="00792FD3">
              <w:rPr>
                <w:i/>
                <w:iCs/>
                <w:sz w:val="22"/>
                <w:szCs w:val="22"/>
              </w:rPr>
              <w:t>In-Patient Sepsis Provincial Toolkit and Strategy Working Day (2015)</w:t>
            </w:r>
          </w:p>
          <w:p w14:paraId="7A1B1342" w14:textId="77777777" w:rsidR="00670ACA" w:rsidRPr="00792FD3" w:rsidRDefault="00670ACA" w:rsidP="008B5FB2">
            <w:pPr>
              <w:rPr>
                <w:i/>
                <w:iCs/>
                <w:sz w:val="22"/>
                <w:szCs w:val="22"/>
              </w:rPr>
            </w:pPr>
            <w:r w:rsidRPr="00792FD3">
              <w:rPr>
                <w:i/>
                <w:iCs/>
                <w:sz w:val="22"/>
                <w:szCs w:val="22"/>
              </w:rPr>
              <w:t>In-Patient Sepsis Toolkit, Specific Tools Development (2015)</w:t>
            </w:r>
          </w:p>
          <w:p w14:paraId="71B0C7F5" w14:textId="77777777" w:rsidR="00670ACA" w:rsidRPr="00792FD3" w:rsidRDefault="00670ACA" w:rsidP="008B5FB2">
            <w:pPr>
              <w:rPr>
                <w:i/>
                <w:iCs/>
                <w:sz w:val="22"/>
                <w:szCs w:val="22"/>
              </w:rPr>
            </w:pPr>
            <w:r w:rsidRPr="00792FD3">
              <w:rPr>
                <w:i/>
                <w:iCs/>
                <w:sz w:val="22"/>
                <w:szCs w:val="22"/>
              </w:rPr>
              <w:t>In-Patient Sepsis Driver Diagram Development (2015)</w:t>
            </w:r>
          </w:p>
          <w:p w14:paraId="22568FFA" w14:textId="77777777" w:rsidR="00670ACA" w:rsidRPr="00792FD3" w:rsidRDefault="00670ACA" w:rsidP="008B5FB2">
            <w:pPr>
              <w:rPr>
                <w:i/>
                <w:iCs/>
                <w:sz w:val="22"/>
                <w:szCs w:val="22"/>
              </w:rPr>
            </w:pPr>
            <w:r w:rsidRPr="00792FD3">
              <w:rPr>
                <w:i/>
                <w:iCs/>
                <w:sz w:val="22"/>
                <w:szCs w:val="22"/>
              </w:rPr>
              <w:t>In-Patient Toolkit Final Production (2016)</w:t>
            </w:r>
          </w:p>
          <w:p w14:paraId="63BCD788" w14:textId="77777777" w:rsidR="00670ACA" w:rsidRPr="00792FD3" w:rsidRDefault="00670ACA" w:rsidP="008B5FB2">
            <w:pPr>
              <w:rPr>
                <w:i/>
                <w:iCs/>
                <w:sz w:val="22"/>
                <w:szCs w:val="22"/>
              </w:rPr>
            </w:pPr>
            <w:r w:rsidRPr="00792FD3">
              <w:rPr>
                <w:i/>
                <w:iCs/>
                <w:sz w:val="22"/>
                <w:szCs w:val="22"/>
              </w:rPr>
              <w:t>Update For Driver Diagrams (2017)</w:t>
            </w:r>
          </w:p>
          <w:p w14:paraId="6C16C37A" w14:textId="3F50D5C0" w:rsidR="00670ACA" w:rsidRPr="00792FD3" w:rsidRDefault="00670ACA" w:rsidP="008B5FB2">
            <w:pPr>
              <w:rPr>
                <w:i/>
                <w:iCs/>
                <w:sz w:val="22"/>
                <w:szCs w:val="22"/>
              </w:rPr>
            </w:pPr>
            <w:r w:rsidRPr="00792FD3">
              <w:rPr>
                <w:i/>
                <w:iCs/>
                <w:sz w:val="22"/>
                <w:szCs w:val="22"/>
              </w:rPr>
              <w:t>Vitamin C Webinar (2018)</w:t>
            </w:r>
          </w:p>
        </w:tc>
      </w:tr>
      <w:tr w:rsidR="00251CB8" w:rsidRPr="00792FD3" w14:paraId="11BF099F" w14:textId="77777777" w:rsidTr="00251CB8">
        <w:tc>
          <w:tcPr>
            <w:tcW w:w="788" w:type="pct"/>
            <w:shd w:val="clear" w:color="auto" w:fill="FBE4D5" w:themeFill="accent2" w:themeFillTint="33"/>
          </w:tcPr>
          <w:p w14:paraId="2B790AA0" w14:textId="5F47683D" w:rsidR="00251CB8" w:rsidRPr="00792FD3" w:rsidRDefault="00251CB8" w:rsidP="008B5FB2">
            <w:pPr>
              <w:rPr>
                <w:sz w:val="22"/>
                <w:szCs w:val="22"/>
              </w:rPr>
            </w:pPr>
          </w:p>
        </w:tc>
        <w:tc>
          <w:tcPr>
            <w:tcW w:w="1580" w:type="pct"/>
          </w:tcPr>
          <w:p w14:paraId="5D995CC9" w14:textId="5A0A6B0F" w:rsidR="00251CB8" w:rsidRPr="00792FD3" w:rsidRDefault="00251CB8" w:rsidP="008B5FB2">
            <w:pPr>
              <w:rPr>
                <w:sz w:val="22"/>
                <w:szCs w:val="22"/>
              </w:rPr>
            </w:pPr>
            <w:r w:rsidRPr="00792FD3">
              <w:rPr>
                <w:sz w:val="22"/>
                <w:szCs w:val="22"/>
              </w:rPr>
              <w:t>Surveys</w:t>
            </w:r>
          </w:p>
        </w:tc>
        <w:tc>
          <w:tcPr>
            <w:tcW w:w="2633" w:type="pct"/>
          </w:tcPr>
          <w:p w14:paraId="0A96B6BC" w14:textId="56EE34B1" w:rsidR="000105FF" w:rsidRPr="00792FD3" w:rsidRDefault="00670ACA" w:rsidP="000105FF">
            <w:pPr>
              <w:rPr>
                <w:rStyle w:val="CommentReference"/>
                <w:sz w:val="22"/>
                <w:szCs w:val="22"/>
              </w:rPr>
            </w:pPr>
            <w:r w:rsidRPr="00792FD3">
              <w:rPr>
                <w:i/>
                <w:iCs/>
                <w:sz w:val="22"/>
                <w:szCs w:val="22"/>
              </w:rPr>
              <w:t>Exploring Distributed Leadership Survey (Dec 2013 – Oct 2014)</w:t>
            </w:r>
            <w:r w:rsidR="00792FD3">
              <w:rPr>
                <w:rStyle w:val="FootnoteReference"/>
                <w:i/>
                <w:iCs/>
                <w:sz w:val="22"/>
                <w:szCs w:val="22"/>
              </w:rPr>
              <w:footnoteReference w:id="2"/>
            </w:r>
            <w:r w:rsidRPr="00792FD3">
              <w:rPr>
                <w:i/>
                <w:iCs/>
                <w:sz w:val="22"/>
                <w:szCs w:val="22"/>
                <w:vertAlign w:val="superscript"/>
              </w:rPr>
              <w:t xml:space="preserve"> </w:t>
            </w:r>
          </w:p>
          <w:p w14:paraId="16130342" w14:textId="4AD71A3A" w:rsidR="00937F9C" w:rsidRPr="00792FD3" w:rsidRDefault="000105FF" w:rsidP="000105FF">
            <w:pPr>
              <w:pStyle w:val="ListParagraph"/>
              <w:numPr>
                <w:ilvl w:val="0"/>
                <w:numId w:val="5"/>
              </w:numPr>
              <w:rPr>
                <w:sz w:val="22"/>
                <w:szCs w:val="22"/>
              </w:rPr>
            </w:pPr>
            <w:r w:rsidRPr="00792FD3">
              <w:rPr>
                <w:sz w:val="22"/>
                <w:szCs w:val="22"/>
              </w:rPr>
              <w:t>O</w:t>
            </w:r>
            <w:r w:rsidR="00937F9C" w:rsidRPr="00792FD3">
              <w:rPr>
                <w:sz w:val="22"/>
                <w:szCs w:val="22"/>
              </w:rPr>
              <w:t xml:space="preserve">ptional survey to leadership within BCSN to gauge enablers and barriers within network, the importance </w:t>
            </w:r>
            <w:r w:rsidRPr="00792FD3">
              <w:rPr>
                <w:sz w:val="22"/>
                <w:szCs w:val="22"/>
              </w:rPr>
              <w:t>of relationships and trust, and the need for meaningful and timely data.</w:t>
            </w:r>
          </w:p>
          <w:p w14:paraId="1A3FB628" w14:textId="77777777" w:rsidR="00D3062D" w:rsidRDefault="000105FF" w:rsidP="008B5FB2">
            <w:pPr>
              <w:pStyle w:val="ListParagraph"/>
              <w:numPr>
                <w:ilvl w:val="0"/>
                <w:numId w:val="4"/>
              </w:numPr>
              <w:rPr>
                <w:sz w:val="22"/>
                <w:szCs w:val="22"/>
              </w:rPr>
            </w:pPr>
            <w:r w:rsidRPr="00792FD3">
              <w:rPr>
                <w:sz w:val="22"/>
                <w:szCs w:val="22"/>
              </w:rPr>
              <w:t xml:space="preserve">Findings discovered what members thought were most effective and least effective or harmful aspects of the BCSN, and suggested </w:t>
            </w:r>
            <w:r w:rsidRPr="00792FD3">
              <w:rPr>
                <w:sz w:val="22"/>
                <w:szCs w:val="22"/>
              </w:rPr>
              <w:lastRenderedPageBreak/>
              <w:t>strategies to improve network efficacy at achieving large-scale change.</w:t>
            </w:r>
          </w:p>
          <w:p w14:paraId="5F8981DB" w14:textId="6F7C9A7E" w:rsidR="00651570" w:rsidRPr="00D3062D" w:rsidRDefault="00251CB8" w:rsidP="008B5FB2">
            <w:pPr>
              <w:pStyle w:val="ListParagraph"/>
              <w:numPr>
                <w:ilvl w:val="0"/>
                <w:numId w:val="4"/>
              </w:numPr>
              <w:rPr>
                <w:sz w:val="22"/>
                <w:szCs w:val="22"/>
              </w:rPr>
            </w:pPr>
            <w:r w:rsidRPr="00D3062D">
              <w:rPr>
                <w:i/>
                <w:iCs/>
                <w:sz w:val="22"/>
                <w:szCs w:val="22"/>
              </w:rPr>
              <w:t>Lions Gate Hospital Sepsis Knowledge Survey</w:t>
            </w:r>
            <w:r w:rsidR="00670ACA" w:rsidRPr="00D3062D">
              <w:rPr>
                <w:i/>
                <w:iCs/>
                <w:sz w:val="22"/>
                <w:szCs w:val="22"/>
              </w:rPr>
              <w:t xml:space="preserve"> (2017)</w:t>
            </w:r>
          </w:p>
        </w:tc>
      </w:tr>
    </w:tbl>
    <w:p w14:paraId="0BCD16B4" w14:textId="1CD5C85A" w:rsidR="00375121" w:rsidRPr="00792FD3" w:rsidRDefault="00375121">
      <w:pPr>
        <w:rPr>
          <w:sz w:val="22"/>
          <w:szCs w:val="22"/>
        </w:rPr>
      </w:pPr>
    </w:p>
    <w:p w14:paraId="5B709C41" w14:textId="77777777" w:rsidR="00792FD3" w:rsidRDefault="00792FD3">
      <w:pPr>
        <w:rPr>
          <w:rFonts w:ascii="Arial" w:hAnsi="Arial" w:cs="Arial"/>
        </w:rPr>
      </w:pPr>
    </w:p>
    <w:p w14:paraId="5073F0BF" w14:textId="0A273D9D" w:rsidR="0085780B" w:rsidRPr="00792FD3" w:rsidRDefault="00792FD3" w:rsidP="00792FD3">
      <w:pPr>
        <w:jc w:val="both"/>
        <w:rPr>
          <w:u w:val="single"/>
        </w:rPr>
      </w:pPr>
      <w:r w:rsidRPr="00792FD3">
        <w:rPr>
          <w:u w:val="single"/>
        </w:rPr>
        <w:t xml:space="preserve">Description of activities: </w:t>
      </w:r>
    </w:p>
    <w:p w14:paraId="71950CB0" w14:textId="77777777" w:rsidR="00E97730" w:rsidRPr="00792FD3" w:rsidRDefault="0085780B" w:rsidP="00792FD3">
      <w:pPr>
        <w:jc w:val="both"/>
      </w:pPr>
      <w:r w:rsidRPr="00792FD3">
        <w:t xml:space="preserve">The BCSN </w:t>
      </w:r>
      <w:r w:rsidR="00E97730" w:rsidRPr="00792FD3">
        <w:t xml:space="preserve">is based upon a </w:t>
      </w:r>
      <w:r w:rsidRPr="00792FD3">
        <w:t>model of inclusive membership</w:t>
      </w:r>
      <w:r w:rsidR="00E97730" w:rsidRPr="00792FD3">
        <w:t xml:space="preserve">, reflecting the full team involved in improving sepsis care including administrative, clinical and quality leaders. The Network focused on a number of key activities and premises to accomplish its work: </w:t>
      </w:r>
    </w:p>
    <w:p w14:paraId="0F885F10" w14:textId="77777777" w:rsidR="00E97730" w:rsidRPr="00792FD3" w:rsidRDefault="00E97730" w:rsidP="00792FD3">
      <w:pPr>
        <w:pStyle w:val="ListParagraph"/>
        <w:numPr>
          <w:ilvl w:val="0"/>
          <w:numId w:val="6"/>
        </w:numPr>
        <w:jc w:val="both"/>
        <w:rPr>
          <w:vertAlign w:val="superscript"/>
        </w:rPr>
      </w:pPr>
      <w:r w:rsidRPr="00792FD3">
        <w:t xml:space="preserve">Distributed leadership – leaders at each participating hospital were identified early in the network formation. These leaders were not positional in nature, but rather those who self-identified as having an interest in sepsis. They ranged from physicians, nurses, pharmacists, quality leaders and administrative staff. The role of the network was to support these individuals to lead change at their local site, rather than the network trying to be the one reaching into each site themselves. </w:t>
      </w:r>
    </w:p>
    <w:p w14:paraId="642A4BB1" w14:textId="49CC0919" w:rsidR="00E97730" w:rsidRPr="00792FD3" w:rsidRDefault="00E97730" w:rsidP="00792FD3">
      <w:pPr>
        <w:pStyle w:val="ListParagraph"/>
        <w:numPr>
          <w:ilvl w:val="0"/>
          <w:numId w:val="6"/>
        </w:numPr>
        <w:jc w:val="both"/>
        <w:rPr>
          <w:vertAlign w:val="superscript"/>
        </w:rPr>
      </w:pPr>
      <w:r w:rsidRPr="00792FD3">
        <w:t xml:space="preserve">Development of resources – resources were developed </w:t>
      </w:r>
      <w:r w:rsidR="00E527D9">
        <w:t>and</w:t>
      </w:r>
      <w:r w:rsidRPr="00792FD3">
        <w:t xml:space="preserve"> provide</w:t>
      </w:r>
      <w:r w:rsidR="00BA4F9E">
        <w:t>d</w:t>
      </w:r>
      <w:r w:rsidRPr="00792FD3">
        <w:t xml:space="preserve"> to the distributed leaders to help facilitate the success of the work they were leading at their site. This included the development and publication of clinical guidelines, flow sheets, sample protocols, and education</w:t>
      </w:r>
      <w:r w:rsidR="00BA4F9E">
        <w:t>al</w:t>
      </w:r>
      <w:r w:rsidRPr="00792FD3">
        <w:t xml:space="preserve"> posters. </w:t>
      </w:r>
    </w:p>
    <w:p w14:paraId="04238350" w14:textId="77777777" w:rsidR="00E97730" w:rsidRPr="00792FD3" w:rsidRDefault="00E97730" w:rsidP="00792FD3">
      <w:pPr>
        <w:pStyle w:val="ListParagraph"/>
        <w:numPr>
          <w:ilvl w:val="0"/>
          <w:numId w:val="6"/>
        </w:numPr>
        <w:jc w:val="both"/>
        <w:rPr>
          <w:vertAlign w:val="superscript"/>
        </w:rPr>
      </w:pPr>
      <w:r w:rsidRPr="00792FD3">
        <w:t xml:space="preserve">Opportunities for shared learning and dialogue – in the initial formation of the network there were in person meetings to develop resources and create a shared purpose for the network itself. Following this the focus shifted to online connections through educational webinars on a monthly basis. </w:t>
      </w:r>
    </w:p>
    <w:p w14:paraId="26E41ACC" w14:textId="77777777" w:rsidR="00E97730" w:rsidRPr="00792FD3" w:rsidRDefault="00E97730" w:rsidP="00792FD3">
      <w:pPr>
        <w:pStyle w:val="ListParagraph"/>
        <w:numPr>
          <w:ilvl w:val="0"/>
          <w:numId w:val="6"/>
        </w:numPr>
        <w:jc w:val="both"/>
        <w:rPr>
          <w:vertAlign w:val="superscript"/>
        </w:rPr>
      </w:pPr>
      <w:r w:rsidRPr="00792FD3">
        <w:t xml:space="preserve">Engagement strategies – we used a number of strategies to engage individuals in the network and its goals including lanyards, lanyard cards with sepsis guidelines, posters and a campaign based upon gamification theory to engage staff in practice change. </w:t>
      </w:r>
    </w:p>
    <w:p w14:paraId="3DC27763" w14:textId="77777777" w:rsidR="00E97730" w:rsidRPr="00792FD3" w:rsidRDefault="00E97730" w:rsidP="00792FD3">
      <w:pPr>
        <w:pStyle w:val="ListParagraph"/>
        <w:jc w:val="both"/>
      </w:pPr>
    </w:p>
    <w:p w14:paraId="553C1695" w14:textId="664C583F" w:rsidR="00E97730" w:rsidRPr="00792FD3" w:rsidRDefault="00E97730" w:rsidP="00792FD3">
      <w:pPr>
        <w:pStyle w:val="ListParagraph"/>
        <w:jc w:val="both"/>
        <w:rPr>
          <w:vertAlign w:val="superscript"/>
        </w:rPr>
      </w:pPr>
      <w:r w:rsidRPr="00792FD3">
        <w:t xml:space="preserve">The BC Patient Safety &amp; Quality Council provided leadership to the network and its activities ensuring and planning effective change management, quality improvement and engagement strategies were in place in addition to support measurement across sites. The </w:t>
      </w:r>
      <w:r w:rsidR="0085780B" w:rsidRPr="00792FD3">
        <w:t>active engagement of members through diverse activities strengthens its efficacy and success in achieving the network’s overall goal of reducing BC sepsis-related mortality and associated costs. These models and activities illustrate characteristics of an evidence-based network as published by the IHI in their evaluation of characteristics that are ubiquitous throughout their most successful large-scale health networks.</w:t>
      </w:r>
      <w:r w:rsidR="0085780B" w:rsidRPr="00792FD3">
        <w:rPr>
          <w:vertAlign w:val="superscript"/>
        </w:rPr>
        <w:t xml:space="preserve"> </w:t>
      </w:r>
      <w:r w:rsidR="00792FD3">
        <w:rPr>
          <w:rStyle w:val="FootnoteReference"/>
        </w:rPr>
        <w:footnoteReference w:id="3"/>
      </w:r>
    </w:p>
    <w:sectPr w:rsidR="00E97730" w:rsidRPr="00792FD3" w:rsidSect="008B5FB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4E8D5" w14:textId="77777777" w:rsidR="004D4E4F" w:rsidRDefault="004D4E4F" w:rsidP="00792FD3">
      <w:r>
        <w:separator/>
      </w:r>
    </w:p>
  </w:endnote>
  <w:endnote w:type="continuationSeparator" w:id="0">
    <w:p w14:paraId="54613982" w14:textId="77777777" w:rsidR="004D4E4F" w:rsidRDefault="004D4E4F" w:rsidP="0079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63B29" w14:textId="77777777" w:rsidR="004D4E4F" w:rsidRDefault="004D4E4F" w:rsidP="00792FD3">
      <w:r>
        <w:separator/>
      </w:r>
    </w:p>
  </w:footnote>
  <w:footnote w:type="continuationSeparator" w:id="0">
    <w:p w14:paraId="02257D1C" w14:textId="77777777" w:rsidR="004D4E4F" w:rsidRDefault="004D4E4F" w:rsidP="00792FD3">
      <w:r>
        <w:continuationSeparator/>
      </w:r>
    </w:p>
  </w:footnote>
  <w:footnote w:id="1">
    <w:p w14:paraId="2B94FFFA" w14:textId="554E23A2" w:rsidR="00792FD3" w:rsidRDefault="00792FD3">
      <w:pPr>
        <w:pStyle w:val="FootnoteText"/>
      </w:pPr>
      <w:r>
        <w:rPr>
          <w:rStyle w:val="FootnoteReference"/>
        </w:rPr>
        <w:footnoteRef/>
      </w:r>
      <w:r>
        <w:t xml:space="preserve"> </w:t>
      </w:r>
      <w:r w:rsidRPr="00385B18">
        <w:rPr>
          <w:rFonts w:ascii="Arial" w:hAnsi="Arial" w:cs="Arial"/>
          <w:color w:val="000000"/>
          <w:lang w:val="en-US"/>
        </w:rPr>
        <w:t xml:space="preserve">McKeown s, Krause C, </w:t>
      </w:r>
      <w:proofErr w:type="spellStart"/>
      <w:r w:rsidRPr="00385B18">
        <w:rPr>
          <w:rFonts w:ascii="Arial" w:hAnsi="Arial" w:cs="Arial"/>
          <w:color w:val="000000"/>
          <w:lang w:val="en-US"/>
        </w:rPr>
        <w:t>Shergill</w:t>
      </w:r>
      <w:proofErr w:type="spellEnd"/>
      <w:r w:rsidRPr="00385B18">
        <w:rPr>
          <w:rFonts w:ascii="Arial" w:hAnsi="Arial" w:cs="Arial"/>
          <w:color w:val="000000"/>
          <w:lang w:val="en-US"/>
        </w:rPr>
        <w:t xml:space="preserve"> M, Siu A, Sweet D. Gamification as a strategy to engage and motivate clinicians to improve care. Healthcare Management Forum. 2016.</w:t>
      </w:r>
    </w:p>
  </w:footnote>
  <w:footnote w:id="2">
    <w:p w14:paraId="0B685288" w14:textId="575AD73C" w:rsidR="00792FD3" w:rsidRDefault="00792FD3">
      <w:pPr>
        <w:pStyle w:val="FootnoteText"/>
      </w:pPr>
      <w:r>
        <w:rPr>
          <w:rStyle w:val="FootnoteReference"/>
        </w:rPr>
        <w:footnoteRef/>
      </w:r>
      <w:r>
        <w:t xml:space="preserve"> </w:t>
      </w:r>
      <w:proofErr w:type="spellStart"/>
      <w:r w:rsidRPr="00D40648">
        <w:rPr>
          <w:rFonts w:ascii="Arial" w:hAnsi="Arial" w:cs="Arial"/>
          <w:color w:val="212121"/>
          <w:shd w:val="clear" w:color="auto" w:fill="FFFFFF"/>
        </w:rPr>
        <w:t>Gorley</w:t>
      </w:r>
      <w:proofErr w:type="spellEnd"/>
      <w:r w:rsidRPr="00D40648">
        <w:rPr>
          <w:rFonts w:ascii="Arial" w:hAnsi="Arial" w:cs="Arial"/>
          <w:color w:val="212121"/>
          <w:shd w:val="clear" w:color="auto" w:fill="FFFFFF"/>
        </w:rPr>
        <w:t xml:space="preserve"> C, Lindstrom RR, McKeown S, Krause C, Pamplin C, </w:t>
      </w:r>
      <w:proofErr w:type="spellStart"/>
      <w:r w:rsidRPr="00D40648">
        <w:rPr>
          <w:rFonts w:ascii="Arial" w:hAnsi="Arial" w:cs="Arial"/>
          <w:color w:val="212121"/>
          <w:shd w:val="clear" w:color="auto" w:fill="FFFFFF"/>
        </w:rPr>
        <w:t>Sweet</w:t>
      </w:r>
      <w:proofErr w:type="spellEnd"/>
      <w:r w:rsidRPr="00D40648">
        <w:rPr>
          <w:rFonts w:ascii="Arial" w:hAnsi="Arial" w:cs="Arial"/>
          <w:color w:val="212121"/>
          <w:shd w:val="clear" w:color="auto" w:fill="FFFFFF"/>
        </w:rPr>
        <w:t xml:space="preserve"> D, Marsden J, Kennedy C. Exploring distributed leadership in the BC Sepsis Network. </w:t>
      </w:r>
      <w:proofErr w:type="spellStart"/>
      <w:r w:rsidRPr="00D40648">
        <w:rPr>
          <w:rFonts w:ascii="Arial" w:hAnsi="Arial" w:cs="Arial"/>
          <w:color w:val="212121"/>
          <w:shd w:val="clear" w:color="auto" w:fill="FFFFFF"/>
        </w:rPr>
        <w:t>Healthc</w:t>
      </w:r>
      <w:proofErr w:type="spellEnd"/>
      <w:r w:rsidRPr="00D40648">
        <w:rPr>
          <w:rFonts w:ascii="Arial" w:hAnsi="Arial" w:cs="Arial"/>
          <w:color w:val="212121"/>
          <w:shd w:val="clear" w:color="auto" w:fill="FFFFFF"/>
        </w:rPr>
        <w:t xml:space="preserve"> Manage Forum. 2016 Mar;29(2):63-6. </w:t>
      </w:r>
      <w:proofErr w:type="spellStart"/>
      <w:r w:rsidRPr="00D40648">
        <w:rPr>
          <w:rFonts w:ascii="Arial" w:hAnsi="Arial" w:cs="Arial"/>
          <w:color w:val="212121"/>
          <w:shd w:val="clear" w:color="auto" w:fill="FFFFFF"/>
        </w:rPr>
        <w:t>doi</w:t>
      </w:r>
      <w:proofErr w:type="spellEnd"/>
      <w:r w:rsidRPr="00D40648">
        <w:rPr>
          <w:rFonts w:ascii="Arial" w:hAnsi="Arial" w:cs="Arial"/>
          <w:color w:val="212121"/>
          <w:shd w:val="clear" w:color="auto" w:fill="FFFFFF"/>
        </w:rPr>
        <w:t xml:space="preserve">: 10.1177/0840470415606451. </w:t>
      </w:r>
      <w:proofErr w:type="spellStart"/>
      <w:r w:rsidRPr="00D40648">
        <w:rPr>
          <w:rFonts w:ascii="Arial" w:hAnsi="Arial" w:cs="Arial"/>
          <w:color w:val="212121"/>
          <w:shd w:val="clear" w:color="auto" w:fill="FFFFFF"/>
        </w:rPr>
        <w:t>Epub</w:t>
      </w:r>
      <w:proofErr w:type="spellEnd"/>
      <w:r w:rsidRPr="00D40648">
        <w:rPr>
          <w:rFonts w:ascii="Arial" w:hAnsi="Arial" w:cs="Arial"/>
          <w:color w:val="212121"/>
          <w:shd w:val="clear" w:color="auto" w:fill="FFFFFF"/>
        </w:rPr>
        <w:t xml:space="preserve"> 2016 Feb 12. PMID: 26872797.</w:t>
      </w:r>
    </w:p>
  </w:footnote>
  <w:footnote w:id="3">
    <w:p w14:paraId="19E25589" w14:textId="0EDA7C21" w:rsidR="00792FD3" w:rsidRDefault="00792FD3">
      <w:pPr>
        <w:pStyle w:val="FootnoteText"/>
      </w:pPr>
      <w:r>
        <w:rPr>
          <w:rStyle w:val="FootnoteReference"/>
        </w:rPr>
        <w:footnoteRef/>
      </w:r>
      <w:r>
        <w:t xml:space="preserve"> </w:t>
      </w:r>
      <w:proofErr w:type="spellStart"/>
      <w:r w:rsidRPr="00385B18">
        <w:rPr>
          <w:rFonts w:ascii="Arial" w:hAnsi="Arial" w:cs="Arial"/>
          <w:color w:val="000000" w:themeColor="text1"/>
          <w:shd w:val="clear" w:color="auto" w:fill="FFFFFF"/>
        </w:rPr>
        <w:t>McCannon</w:t>
      </w:r>
      <w:proofErr w:type="spellEnd"/>
      <w:r w:rsidRPr="00385B18">
        <w:rPr>
          <w:rFonts w:ascii="Arial" w:hAnsi="Arial" w:cs="Arial"/>
          <w:color w:val="000000" w:themeColor="text1"/>
          <w:shd w:val="clear" w:color="auto" w:fill="FFFFFF"/>
        </w:rPr>
        <w:t xml:space="preserve"> CJ, Perla RJ. Learning networks for sustainable, large-scale improvement. </w:t>
      </w:r>
      <w:proofErr w:type="spellStart"/>
      <w:r w:rsidRPr="00385B18">
        <w:rPr>
          <w:rFonts w:ascii="Arial" w:hAnsi="Arial" w:cs="Arial"/>
          <w:color w:val="000000" w:themeColor="text1"/>
          <w:shd w:val="clear" w:color="auto" w:fill="FFFFFF"/>
        </w:rPr>
        <w:t>Jt</w:t>
      </w:r>
      <w:proofErr w:type="spellEnd"/>
      <w:r w:rsidRPr="00385B18">
        <w:rPr>
          <w:rFonts w:ascii="Arial" w:hAnsi="Arial" w:cs="Arial"/>
          <w:color w:val="000000" w:themeColor="text1"/>
          <w:shd w:val="clear" w:color="auto" w:fill="FFFFFF"/>
        </w:rPr>
        <w:t xml:space="preserve"> Comm J Qual Patient </w:t>
      </w:r>
      <w:proofErr w:type="spellStart"/>
      <w:r w:rsidRPr="00385B18">
        <w:rPr>
          <w:rFonts w:ascii="Arial" w:hAnsi="Arial" w:cs="Arial"/>
          <w:color w:val="000000" w:themeColor="text1"/>
          <w:shd w:val="clear" w:color="auto" w:fill="FFFFFF"/>
        </w:rPr>
        <w:t>Saf</w:t>
      </w:r>
      <w:proofErr w:type="spellEnd"/>
      <w:r w:rsidRPr="00385B18">
        <w:rPr>
          <w:rFonts w:ascii="Arial" w:hAnsi="Arial" w:cs="Arial"/>
          <w:color w:val="000000" w:themeColor="text1"/>
          <w:shd w:val="clear" w:color="auto" w:fill="FFFFFF"/>
        </w:rPr>
        <w:t xml:space="preserve">. 2009 May;35(5):286-91. </w:t>
      </w:r>
      <w:proofErr w:type="spellStart"/>
      <w:r w:rsidRPr="00385B18">
        <w:rPr>
          <w:rFonts w:ascii="Arial" w:hAnsi="Arial" w:cs="Arial"/>
          <w:color w:val="000000" w:themeColor="text1"/>
          <w:shd w:val="clear" w:color="auto" w:fill="FFFFFF"/>
        </w:rPr>
        <w:t>doi</w:t>
      </w:r>
      <w:proofErr w:type="spellEnd"/>
      <w:r w:rsidRPr="00385B18">
        <w:rPr>
          <w:rFonts w:ascii="Arial" w:hAnsi="Arial" w:cs="Arial"/>
          <w:color w:val="000000" w:themeColor="text1"/>
          <w:shd w:val="clear" w:color="auto" w:fill="FFFFFF"/>
        </w:rPr>
        <w:t>: 10.1016/s1553-7250(09)35041-2. PMID: 19480384.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2103D"/>
    <w:multiLevelType w:val="hybridMultilevel"/>
    <w:tmpl w:val="72BC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33EEC"/>
    <w:multiLevelType w:val="hybridMultilevel"/>
    <w:tmpl w:val="EFCE61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77C0790"/>
    <w:multiLevelType w:val="hybridMultilevel"/>
    <w:tmpl w:val="B04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B0CD0"/>
    <w:multiLevelType w:val="hybridMultilevel"/>
    <w:tmpl w:val="89F02E4E"/>
    <w:lvl w:ilvl="0" w:tplc="49F8331E">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345AB"/>
    <w:multiLevelType w:val="hybridMultilevel"/>
    <w:tmpl w:val="F8FA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00ECC"/>
    <w:multiLevelType w:val="hybridMultilevel"/>
    <w:tmpl w:val="CE10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4F"/>
    <w:rsid w:val="000105FF"/>
    <w:rsid w:val="00045652"/>
    <w:rsid w:val="00066B0C"/>
    <w:rsid w:val="00092D2F"/>
    <w:rsid w:val="00093895"/>
    <w:rsid w:val="000E0880"/>
    <w:rsid w:val="00146F8C"/>
    <w:rsid w:val="00151654"/>
    <w:rsid w:val="001854F2"/>
    <w:rsid w:val="001F6A08"/>
    <w:rsid w:val="00200BE7"/>
    <w:rsid w:val="00203624"/>
    <w:rsid w:val="0021644B"/>
    <w:rsid w:val="0022661A"/>
    <w:rsid w:val="002311D2"/>
    <w:rsid w:val="00251CB8"/>
    <w:rsid w:val="0029022C"/>
    <w:rsid w:val="00297623"/>
    <w:rsid w:val="002D4B72"/>
    <w:rsid w:val="002E5402"/>
    <w:rsid w:val="003111EE"/>
    <w:rsid w:val="00354930"/>
    <w:rsid w:val="00375121"/>
    <w:rsid w:val="003969C4"/>
    <w:rsid w:val="003F10B0"/>
    <w:rsid w:val="00417741"/>
    <w:rsid w:val="00433F43"/>
    <w:rsid w:val="00435FD9"/>
    <w:rsid w:val="00457751"/>
    <w:rsid w:val="004D4E4F"/>
    <w:rsid w:val="0054651D"/>
    <w:rsid w:val="00565253"/>
    <w:rsid w:val="005807F4"/>
    <w:rsid w:val="005815A3"/>
    <w:rsid w:val="00651570"/>
    <w:rsid w:val="00670ACA"/>
    <w:rsid w:val="00792FD3"/>
    <w:rsid w:val="007C65BF"/>
    <w:rsid w:val="007D2DDA"/>
    <w:rsid w:val="0085780B"/>
    <w:rsid w:val="008739B8"/>
    <w:rsid w:val="008977CB"/>
    <w:rsid w:val="008B5FB2"/>
    <w:rsid w:val="00937F9C"/>
    <w:rsid w:val="00947A56"/>
    <w:rsid w:val="00960064"/>
    <w:rsid w:val="00A84A3C"/>
    <w:rsid w:val="00AC304F"/>
    <w:rsid w:val="00AF5F54"/>
    <w:rsid w:val="00B32942"/>
    <w:rsid w:val="00B5149D"/>
    <w:rsid w:val="00B73DB3"/>
    <w:rsid w:val="00B747FA"/>
    <w:rsid w:val="00BA4F9E"/>
    <w:rsid w:val="00BB56B5"/>
    <w:rsid w:val="00BC15B4"/>
    <w:rsid w:val="00C3587D"/>
    <w:rsid w:val="00C41E6A"/>
    <w:rsid w:val="00C710B8"/>
    <w:rsid w:val="00D3062D"/>
    <w:rsid w:val="00D40648"/>
    <w:rsid w:val="00D80317"/>
    <w:rsid w:val="00DB09BF"/>
    <w:rsid w:val="00DC21F8"/>
    <w:rsid w:val="00DC4B22"/>
    <w:rsid w:val="00DD56CD"/>
    <w:rsid w:val="00E24FEF"/>
    <w:rsid w:val="00E414BD"/>
    <w:rsid w:val="00E527D9"/>
    <w:rsid w:val="00E93931"/>
    <w:rsid w:val="00E97730"/>
    <w:rsid w:val="00EC3656"/>
    <w:rsid w:val="00ED48A9"/>
    <w:rsid w:val="00ED6190"/>
    <w:rsid w:val="00F06F98"/>
    <w:rsid w:val="00F07CBC"/>
    <w:rsid w:val="00F14874"/>
    <w:rsid w:val="00F53744"/>
    <w:rsid w:val="00F72B87"/>
    <w:rsid w:val="00FB6097"/>
    <w:rsid w:val="00FC2F40"/>
    <w:rsid w:val="00FF69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75EB"/>
  <w15:chartTrackingRefBased/>
  <w15:docId w15:val="{F23C0C60-BF29-D244-9A4D-F7ACCA3D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0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DB3"/>
    <w:pPr>
      <w:ind w:left="720"/>
      <w:contextualSpacing/>
    </w:pPr>
  </w:style>
  <w:style w:type="character" w:styleId="CommentReference">
    <w:name w:val="annotation reference"/>
    <w:basedOn w:val="DefaultParagraphFont"/>
    <w:uiPriority w:val="99"/>
    <w:semiHidden/>
    <w:unhideWhenUsed/>
    <w:rsid w:val="0085780B"/>
    <w:rPr>
      <w:sz w:val="16"/>
      <w:szCs w:val="16"/>
    </w:rPr>
  </w:style>
  <w:style w:type="paragraph" w:styleId="CommentText">
    <w:name w:val="annotation text"/>
    <w:basedOn w:val="Normal"/>
    <w:link w:val="CommentTextChar"/>
    <w:uiPriority w:val="99"/>
    <w:semiHidden/>
    <w:unhideWhenUsed/>
    <w:rsid w:val="0085780B"/>
    <w:rPr>
      <w:sz w:val="20"/>
      <w:szCs w:val="20"/>
    </w:rPr>
  </w:style>
  <w:style w:type="character" w:customStyle="1" w:styleId="CommentTextChar">
    <w:name w:val="Comment Text Char"/>
    <w:basedOn w:val="DefaultParagraphFont"/>
    <w:link w:val="CommentText"/>
    <w:uiPriority w:val="99"/>
    <w:semiHidden/>
    <w:rsid w:val="008578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80B"/>
    <w:rPr>
      <w:b/>
      <w:bCs/>
    </w:rPr>
  </w:style>
  <w:style w:type="character" w:customStyle="1" w:styleId="CommentSubjectChar">
    <w:name w:val="Comment Subject Char"/>
    <w:basedOn w:val="CommentTextChar"/>
    <w:link w:val="CommentSubject"/>
    <w:uiPriority w:val="99"/>
    <w:semiHidden/>
    <w:rsid w:val="0085780B"/>
    <w:rPr>
      <w:rFonts w:ascii="Times New Roman" w:eastAsia="Times New Roman" w:hAnsi="Times New Roman" w:cs="Times New Roman"/>
      <w:b/>
      <w:bCs/>
      <w:sz w:val="20"/>
      <w:szCs w:val="20"/>
    </w:rPr>
  </w:style>
  <w:style w:type="paragraph" w:styleId="NormalWeb">
    <w:name w:val="Normal (Web)"/>
    <w:basedOn w:val="Normal"/>
    <w:uiPriority w:val="99"/>
    <w:unhideWhenUsed/>
    <w:rsid w:val="00937F9C"/>
    <w:pPr>
      <w:spacing w:before="100" w:beforeAutospacing="1" w:after="100" w:afterAutospacing="1"/>
    </w:pPr>
  </w:style>
  <w:style w:type="paragraph" w:styleId="BalloonText">
    <w:name w:val="Balloon Text"/>
    <w:basedOn w:val="Normal"/>
    <w:link w:val="BalloonTextChar"/>
    <w:uiPriority w:val="99"/>
    <w:semiHidden/>
    <w:unhideWhenUsed/>
    <w:rsid w:val="005815A3"/>
    <w:rPr>
      <w:sz w:val="18"/>
      <w:szCs w:val="18"/>
    </w:rPr>
  </w:style>
  <w:style w:type="character" w:customStyle="1" w:styleId="BalloonTextChar">
    <w:name w:val="Balloon Text Char"/>
    <w:basedOn w:val="DefaultParagraphFont"/>
    <w:link w:val="BalloonText"/>
    <w:uiPriority w:val="99"/>
    <w:semiHidden/>
    <w:rsid w:val="005815A3"/>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unhideWhenUsed/>
    <w:rsid w:val="00792FD3"/>
    <w:rPr>
      <w:sz w:val="20"/>
      <w:szCs w:val="20"/>
    </w:rPr>
  </w:style>
  <w:style w:type="character" w:customStyle="1" w:styleId="FootnoteTextChar">
    <w:name w:val="Footnote Text Char"/>
    <w:basedOn w:val="DefaultParagraphFont"/>
    <w:link w:val="FootnoteText"/>
    <w:uiPriority w:val="99"/>
    <w:semiHidden/>
    <w:rsid w:val="00792FD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2F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406555">
      <w:bodyDiv w:val="1"/>
      <w:marLeft w:val="0"/>
      <w:marRight w:val="0"/>
      <w:marTop w:val="0"/>
      <w:marBottom w:val="0"/>
      <w:divBdr>
        <w:top w:val="none" w:sz="0" w:space="0" w:color="auto"/>
        <w:left w:val="none" w:sz="0" w:space="0" w:color="auto"/>
        <w:bottom w:val="none" w:sz="0" w:space="0" w:color="auto"/>
        <w:right w:val="none" w:sz="0" w:space="0" w:color="auto"/>
      </w:divBdr>
      <w:divsChild>
        <w:div w:id="1570530526">
          <w:marLeft w:val="0"/>
          <w:marRight w:val="0"/>
          <w:marTop w:val="0"/>
          <w:marBottom w:val="0"/>
          <w:divBdr>
            <w:top w:val="none" w:sz="0" w:space="0" w:color="auto"/>
            <w:left w:val="none" w:sz="0" w:space="0" w:color="auto"/>
            <w:bottom w:val="none" w:sz="0" w:space="0" w:color="auto"/>
            <w:right w:val="none" w:sz="0" w:space="0" w:color="auto"/>
          </w:divBdr>
          <w:divsChild>
            <w:div w:id="634330707">
              <w:marLeft w:val="0"/>
              <w:marRight w:val="0"/>
              <w:marTop w:val="0"/>
              <w:marBottom w:val="0"/>
              <w:divBdr>
                <w:top w:val="none" w:sz="0" w:space="0" w:color="auto"/>
                <w:left w:val="none" w:sz="0" w:space="0" w:color="auto"/>
                <w:bottom w:val="none" w:sz="0" w:space="0" w:color="auto"/>
                <w:right w:val="none" w:sz="0" w:space="0" w:color="auto"/>
              </w:divBdr>
              <w:divsChild>
                <w:div w:id="15589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2159C-AB15-9B48-9881-BADCECC7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 Khowaja</dc:creator>
  <cp:keywords/>
  <dc:description/>
  <cp:lastModifiedBy>Asif Khowaja</cp:lastModifiedBy>
  <cp:revision>9</cp:revision>
  <dcterms:created xsi:type="dcterms:W3CDTF">2021-06-03T21:34:00Z</dcterms:created>
  <dcterms:modified xsi:type="dcterms:W3CDTF">2021-07-20T20:25:00Z</dcterms:modified>
</cp:coreProperties>
</file>