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49" w:rsidRPr="00CA441C" w:rsidRDefault="00A61E49" w:rsidP="0017221C">
      <w:pPr>
        <w:pStyle w:val="Titre"/>
        <w:jc w:val="center"/>
        <w:rPr>
          <w:lang w:val="en-US"/>
        </w:rPr>
      </w:pPr>
      <w:proofErr w:type="gramStart"/>
      <w:r w:rsidRPr="00CA441C">
        <w:rPr>
          <w:lang w:val="en-US"/>
        </w:rPr>
        <w:t>Effects of prone position on lung recruitment and ventilation-perfusion matching in patients with COVID-19 acute respiratory distress syndrome.</w:t>
      </w:r>
      <w:proofErr w:type="gramEnd"/>
    </w:p>
    <w:p w:rsidR="00A61E49" w:rsidRPr="00CA441C" w:rsidRDefault="00A61E49" w:rsidP="0017221C">
      <w:pPr>
        <w:pStyle w:val="Titre"/>
        <w:jc w:val="center"/>
        <w:rPr>
          <w:sz w:val="24"/>
          <w:szCs w:val="24"/>
          <w:lang w:val="en-US"/>
        </w:rPr>
      </w:pPr>
      <w:r w:rsidRPr="00CA441C">
        <w:rPr>
          <w:sz w:val="24"/>
          <w:szCs w:val="24"/>
          <w:lang w:val="en-US"/>
        </w:rPr>
        <w:t>A combined CT-scan/Electrical Impedance Tomography study</w:t>
      </w:r>
    </w:p>
    <w:p w:rsidR="00265ABA" w:rsidRPr="00CA441C" w:rsidRDefault="00DC4596" w:rsidP="001722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hAnsi="Arial Unicode MS" w:cs="Arial Unicode MS"/>
          <w:spacing w:val="-10"/>
          <w:kern w:val="2"/>
          <w:szCs w:val="24"/>
          <w:u w:color="000000"/>
          <w:bdr w:val="nil"/>
          <w:lang w:val="fr-FR" w:eastAsia="en-GB"/>
        </w:rPr>
      </w:pPr>
      <w:proofErr w:type="spellStart"/>
      <w:r w:rsidRPr="00CA441C">
        <w:rPr>
          <w:rFonts w:eastAsia="Arial Unicode MS" w:hAnsi="Arial Unicode MS" w:cs="Arial Unicode MS"/>
          <w:spacing w:val="-10"/>
          <w:kern w:val="2"/>
          <w:szCs w:val="24"/>
          <w:u w:color="000000"/>
          <w:bdr w:val="nil"/>
          <w:lang w:val="fr-FR" w:eastAsia="en-GB"/>
        </w:rPr>
        <w:t>Fossali</w:t>
      </w:r>
      <w:proofErr w:type="spellEnd"/>
      <w:r w:rsidRPr="00CA441C">
        <w:rPr>
          <w:rFonts w:eastAsia="Arial Unicode MS" w:hAnsi="Arial Unicode MS" w:cs="Arial Unicode MS"/>
          <w:spacing w:val="-10"/>
          <w:kern w:val="2"/>
          <w:szCs w:val="24"/>
          <w:u w:color="000000"/>
          <w:bdr w:val="nil"/>
          <w:lang w:val="fr-FR" w:eastAsia="en-GB"/>
        </w:rPr>
        <w:t xml:space="preserve"> et al.</w:t>
      </w:r>
    </w:p>
    <w:p w:rsidR="00A61E49" w:rsidRPr="00CA441C" w:rsidRDefault="00A61E49" w:rsidP="001722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hAnsi="Arial Unicode MS" w:cs="Arial Unicode MS"/>
          <w:spacing w:val="-10"/>
          <w:kern w:val="2"/>
          <w:szCs w:val="24"/>
          <w:u w:color="000000"/>
          <w:bdr w:val="nil"/>
          <w:lang w:val="fr-FR" w:eastAsia="en-GB"/>
        </w:rPr>
      </w:pPr>
    </w:p>
    <w:p w:rsidR="005951BD" w:rsidRPr="00CA441C" w:rsidRDefault="00273B92" w:rsidP="0017221C">
      <w:pPr>
        <w:pStyle w:val="Titre"/>
        <w:jc w:val="center"/>
        <w:rPr>
          <w:lang w:val="fr-FR"/>
        </w:rPr>
      </w:pPr>
      <w:r w:rsidRPr="00CA441C">
        <w:rPr>
          <w:lang w:val="fr-FR"/>
        </w:rPr>
        <w:t xml:space="preserve">Online </w:t>
      </w:r>
      <w:proofErr w:type="spellStart"/>
      <w:r w:rsidRPr="00CA441C">
        <w:rPr>
          <w:lang w:val="fr-FR"/>
        </w:rPr>
        <w:t>supplement</w:t>
      </w:r>
      <w:proofErr w:type="spellEnd"/>
    </w:p>
    <w:p w:rsidR="00273B92" w:rsidRPr="00CA441C" w:rsidRDefault="00273B92" w:rsidP="00273B92">
      <w:pPr>
        <w:rPr>
          <w:lang w:val="fr-FR"/>
        </w:rPr>
      </w:pPr>
    </w:p>
    <w:p w:rsidR="00314FC8" w:rsidRPr="00CA441C" w:rsidRDefault="0043609E" w:rsidP="00273B92">
      <w:pPr>
        <w:rPr>
          <w:b/>
          <w:bCs/>
          <w:lang w:val="fr-FR"/>
        </w:rPr>
      </w:pPr>
      <w:proofErr w:type="spellStart"/>
      <w:r w:rsidRPr="00CA441C">
        <w:rPr>
          <w:b/>
          <w:bCs/>
          <w:lang w:val="fr-FR"/>
        </w:rPr>
        <w:t>Methods</w:t>
      </w:r>
      <w:proofErr w:type="spellEnd"/>
    </w:p>
    <w:p w:rsidR="000F0B36" w:rsidRPr="00CA441C" w:rsidRDefault="000F0B36" w:rsidP="000F0B3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 w:after="0"/>
        <w:outlineLvl w:val="1"/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 xml:space="preserve">Gas </w:t>
      </w:r>
      <w:r w:rsidR="0043609E"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exc</w:t>
      </w:r>
      <w:r w:rsidR="00A16789"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hange data computation</w:t>
      </w:r>
    </w:p>
    <w:p w:rsidR="000F0B36" w:rsidRPr="00CA441C" w:rsidRDefault="000F0B36" w:rsidP="000F0B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Partial alveolar pressure of 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(P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A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 was calculated by the simplified Riley and Cournand equation: [FiO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* (PB-PH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O)] </w:t>
      </w:r>
      <w:r w:rsidRPr="00CA441C">
        <w:rPr>
          <w:rFonts w:ascii="Arial Unicode MS" w:eastAsia="Arial Unicode MS" w:cs="Arial Unicode MS"/>
          <w:szCs w:val="24"/>
          <w:u w:color="000000"/>
          <w:bdr w:val="nil"/>
          <w:lang w:val="en-US" w:eastAsia="en-GB"/>
        </w:rPr>
        <w:t>–</w:t>
      </w:r>
      <w:r w:rsidRPr="00CA441C">
        <w:rPr>
          <w:rFonts w:ascii="Arial Unicode MS" w:eastAsia="Arial Unicode MS" w:cs="Arial Unicode MS"/>
          <w:szCs w:val="24"/>
          <w:u w:color="000000"/>
          <w:bdr w:val="nil"/>
          <w:lang w:val="en-US" w:eastAsia="en-GB"/>
        </w:rPr>
        <w:t xml:space="preserve">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(PaCO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/RER) [</w:t>
      </w:r>
      <w:r w:rsidR="0018597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E1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 We assumed standard values for barometric pressure (PB) and partial pressure of H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O (PH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O) and respiratory exchange ratio (RER) of 760 </w:t>
      </w:r>
      <w:proofErr w:type="spellStart"/>
      <w:r w:rsidR="006942FF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torr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, 47 </w:t>
      </w:r>
      <w:proofErr w:type="spellStart"/>
      <w:r w:rsidR="006942FF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torr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and 0.8, respectively. PaCO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is the measured arterial partial pressure of CO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.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Alveolo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-arterial difference in 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(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D(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A-a)O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 was obtained as P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A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O2 minus arterial pressure in 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(PaO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). Venous admixture (Q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VA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/Q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T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 was calculated as previously described by using central venous and arterial blood gas analyses [</w:t>
      </w:r>
      <w:r w:rsidR="0018597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 Corrected minute ventilation (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VMcorr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 was computed as (minute ventilation * PaCO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)/40</w:t>
      </w:r>
      <w:r w:rsidR="006B75A1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,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and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Ventilatory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Ratio (VR) as (minute ventilation * PaCO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2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/(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PBW*37.5*100) [</w:t>
      </w:r>
      <w:r w:rsidR="006B75A1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E3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</w:t>
      </w:r>
    </w:p>
    <w:p w:rsidR="005F695C" w:rsidRPr="00CA441C" w:rsidRDefault="005F695C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2E1A15" w:rsidRPr="00CA441C" w:rsidRDefault="005F695C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Respiratory mechanics data computation</w:t>
      </w:r>
    </w:p>
    <w:p w:rsidR="005F695C" w:rsidRPr="00CA441C" w:rsidRDefault="005F695C" w:rsidP="005F69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Respiratory mechanics were measured by tele-inspiratory and tele-expiratory occlusions of 2-3 seconds. Driving pressure was measured as plateau pressure (Pplat) minus total PEEP (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PEEPtot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). Respiratory system compliance (C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RS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) was calculated as the ratio between tidal volume and driving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lastRenderedPageBreak/>
        <w:t xml:space="preserve">pressure and standardized respiratory system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elastance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(E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vertAlign w:val="subscript"/>
          <w:lang w:val="en-US" w:eastAsia="en-GB"/>
        </w:rPr>
        <w:t>RS</w:t>
      </w:r>
      <w:r w:rsidR="00A6650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) as the ratio between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driving pressure and tidal volume per kilograms of PBW [</w:t>
      </w:r>
      <w:r w:rsidR="00CD0823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E4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</w:t>
      </w:r>
    </w:p>
    <w:p w:rsidR="005F695C" w:rsidRPr="00CA441C" w:rsidRDefault="005F695C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A16789" w:rsidRPr="00CA441C" w:rsidRDefault="002E1A15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CT-scan analysis</w:t>
      </w:r>
    </w:p>
    <w:p w:rsidR="00496B01" w:rsidRPr="00CA441C" w:rsidRDefault="002E1A15" w:rsidP="002E1A1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CT-scans were performed by an experienced team, using a 64-MDCT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Lightspeed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system (GE Medical Systems, Milwaukee, WI, USA). All CT-scan acquisitions were centralized, manually contoured by 2 independent researchers and analyzed offline, using standard software (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M</w:t>
      </w:r>
      <w:r w:rsidR="00496B01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aluna</w:t>
      </w:r>
      <w:proofErr w:type="spellEnd"/>
      <w:r w:rsidR="00496B01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v3.7, Mannheim, Germany).</w:t>
      </w:r>
    </w:p>
    <w:p w:rsidR="00496B01" w:rsidRPr="00CA441C" w:rsidRDefault="002E1A15" w:rsidP="002E1A1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Quantitative analysis allowed computation of global lung weight, and the proportions of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hyperinflated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, normally-, poorly- and non-aerated lung weight, as previously described [</w:t>
      </w:r>
      <w:r w:rsidR="00892AF8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E5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 This analysis was performed also at the regional level for ventral and dorsal lung, by splitting each CT slices in two equal regions of interest</w:t>
      </w:r>
      <w:r w:rsidR="00496B01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.</w:t>
      </w:r>
    </w:p>
    <w:p w:rsidR="002E1A15" w:rsidRPr="00CA441C" w:rsidRDefault="002E1A15" w:rsidP="002E1A1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Recruitment (or de-recruitment) between supine and prone position at global and regional level was computed as the decrease (or increase, respectively) in non-aerated weight, divided by the global lung weight in the supine position [</w:t>
      </w:r>
      <w:r w:rsidR="00892AF8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E5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</w:t>
      </w:r>
    </w:p>
    <w:p w:rsidR="00E05C4D" w:rsidRPr="00CA441C" w:rsidRDefault="001206F8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Lung gas volume was measured at the global and regional levels, as previously described [E5]. We also computed the mean Hounsfield Units (HU) intensity, defined by the sum of HU*density (for each HU range), divided by the total density. This mean number was calculated both for ventral and dorsal regions, and for each CT compartment (total,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hyperinflated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, normally, poorly and non-aerated) [E6].</w:t>
      </w:r>
    </w:p>
    <w:p w:rsidR="00DE1D4E" w:rsidRPr="00CA441C" w:rsidRDefault="00DE1D4E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E05C4D" w:rsidRPr="00CA441C" w:rsidRDefault="00595E1B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EIT data management and computation</w:t>
      </w:r>
    </w:p>
    <w:p w:rsidR="00595E1B" w:rsidRPr="00CA441C" w:rsidRDefault="00595E1B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lastRenderedPageBreak/>
        <w:t>EIT data were stored for offline analysis performed at the global and regional level, by splitting the EIT functional image in 2 same-size ventral and dorsal regions of interest [</w:t>
      </w:r>
      <w:r w:rsidR="00313390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E7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 Regional distribution of ventilation was measured as previously described.</w:t>
      </w:r>
    </w:p>
    <w:p w:rsidR="00E05C4D" w:rsidRPr="00CA441C" w:rsidRDefault="00595E1B" w:rsidP="00E05C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To assess ventilation-perfusion matching,</w:t>
      </w:r>
      <w:r w:rsidR="00E05C4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the pulmonary perfusion map was obtained from the slope of the impedance deflection following a 10 ml bolus of a NaCl 5% solution injected during a tele-inspiratory occlusion, after the removal of the heart and large vessels components [</w:t>
      </w:r>
      <w:r w:rsidR="00313390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E8</w:t>
      </w:r>
      <w:r w:rsidR="00E05C4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 A filter of 10% of the maximal impedance variation was then applied for recognition of ventilated and/or perfused pixels. Overlap of these two images allowed the detection of ventilated and non-perfused units (only ventilated, indicating dead space) and vice versa (only perfused, indicating shunt). The ratio between these two measures was computed as the dead-space/shunt ratio [</w:t>
      </w:r>
      <w:r w:rsidR="00313390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E9</w:t>
      </w:r>
      <w:r w:rsidR="00E05C4D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].</w:t>
      </w:r>
    </w:p>
    <w:p w:rsidR="00595E1B" w:rsidRPr="00CA441C" w:rsidRDefault="00595E1B" w:rsidP="00E05C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595E1B" w:rsidRPr="00CA441C" w:rsidRDefault="009B6050" w:rsidP="008763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>Time-impedance curve concavity</w:t>
      </w:r>
      <w:r w:rsidR="00595E1B" w:rsidRPr="00CA441C">
        <w:rPr>
          <w:rFonts w:eastAsia="Arial Unicode MS" w:hAnsi="Arial Unicode MS" w:cs="Arial Unicode MS"/>
          <w:i/>
          <w:iCs/>
          <w:szCs w:val="24"/>
          <w:u w:color="000000"/>
          <w:bdr w:val="nil"/>
          <w:lang w:val="en-US" w:eastAsia="en-GB"/>
        </w:rPr>
        <w:t xml:space="preserve"> index</w:t>
      </w:r>
    </w:p>
    <w:p w:rsidR="00595E1B" w:rsidRPr="00CA441C" w:rsidRDefault="00595E1B" w:rsidP="008763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The authors </w:t>
      </w:r>
      <w:r w:rsidR="009B6050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measured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a </w:t>
      </w:r>
      <w:r w:rsidR="009B6050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time-impedance curve concavity index</w:t>
      </w:r>
      <w:r w:rsidR="002529C8"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,</w:t>
      </w:r>
      <w:r w:rsidR="002529C8" w:rsidRPr="00CA441C">
        <w:rPr>
          <w:lang w:val="en-US"/>
        </w:rPr>
        <w:t xml:space="preserve"> based on a similar concept than the stress index [</w:t>
      </w:r>
      <w:r w:rsidR="00025A7B" w:rsidRPr="00CA441C">
        <w:rPr>
          <w:lang w:val="en-US"/>
        </w:rPr>
        <w:t>E9</w:t>
      </w:r>
      <w:r w:rsidR="002529C8" w:rsidRPr="00CA441C">
        <w:rPr>
          <w:lang w:val="en-US"/>
        </w:rPr>
        <w:t xml:space="preserve">]. </w:t>
      </w:r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The slope of the global and regional time-impedance curves was fitted with a power equation y = a*</w:t>
      </w:r>
      <w:proofErr w:type="spellStart"/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Δt</w:t>
      </w:r>
      <w:r w:rsidRPr="00CA441C">
        <w:rPr>
          <w:rFonts w:eastAsia="Arial Unicode MS" w:cs="Times New Roman"/>
          <w:szCs w:val="24"/>
          <w:u w:color="000000"/>
          <w:bdr w:val="nil"/>
          <w:vertAlign w:val="superscript"/>
          <w:lang w:val="en-US" w:eastAsia="en-GB"/>
        </w:rPr>
        <w:t>b</w:t>
      </w:r>
      <w:proofErr w:type="spellEnd"/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+ c, as previously described [</w:t>
      </w:r>
      <w:r w:rsidR="00D32098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E</w:t>
      </w:r>
      <w:r w:rsidR="00025A7B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10</w:t>
      </w:r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].</w:t>
      </w:r>
      <w:r w:rsidR="00496B01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</w:t>
      </w:r>
      <w:r w:rsidR="00496B01" w:rsidRPr="00CA441C">
        <w:rPr>
          <w:lang w:val="en-US"/>
        </w:rPr>
        <w:t xml:space="preserve">We assumed that, everything being equal in a mode with constant pressure, this curve was an acceptable </w:t>
      </w:r>
      <w:r w:rsidR="00496B01" w:rsidRPr="00CA441C">
        <w:rPr>
          <w:rFonts w:cs="Times New Roman"/>
          <w:lang w:val="en-US"/>
        </w:rPr>
        <w:t>surrogate for the pressure-volume curve</w:t>
      </w:r>
      <w:r w:rsidR="00496B01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(Figure E1), and</w:t>
      </w:r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we hypothesized that higher </w:t>
      </w:r>
      <w:r w:rsidR="002529C8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“</w:t>
      </w:r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b coefficient</w:t>
      </w:r>
      <w:r w:rsidR="002529C8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”</w:t>
      </w:r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(i.e., more pronounced concavity of the time-impedance curve during insufflation) may indicate larger amount of units opening during inspiration leading to higher risk of </w:t>
      </w:r>
      <w:proofErr w:type="spellStart"/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atelectrauma</w:t>
      </w:r>
      <w:proofErr w:type="spellEnd"/>
      <w:r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 xml:space="preserve"> (</w:t>
      </w:r>
      <w:r w:rsidR="00C8127E" w:rsidRPr="00CA441C">
        <w:rPr>
          <w:rFonts w:eastAsia="Arial Unicode MS" w:cs="Times New Roman"/>
          <w:szCs w:val="24"/>
          <w:u w:color="000000"/>
          <w:bdr w:val="nil"/>
          <w:lang w:val="en-US" w:eastAsia="en-GB"/>
        </w:rPr>
        <w:t>Figure E1).</w:t>
      </w:r>
    </w:p>
    <w:p w:rsidR="00595E1B" w:rsidRPr="00CA441C" w:rsidRDefault="00595E1B" w:rsidP="00E05C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E05C4D" w:rsidRPr="00CA441C" w:rsidRDefault="00E05C4D" w:rsidP="004360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</w:p>
    <w:p w:rsidR="00584E65" w:rsidRPr="00CA441C" w:rsidRDefault="00584E65" w:rsidP="00273B92">
      <w:pPr>
        <w:rPr>
          <w:b/>
          <w:bCs/>
          <w:lang w:val="en-US"/>
        </w:rPr>
      </w:pPr>
      <w:r w:rsidRPr="00CA441C">
        <w:rPr>
          <w:b/>
          <w:bCs/>
          <w:lang w:val="en-US"/>
        </w:rPr>
        <w:br w:type="page"/>
      </w:r>
    </w:p>
    <w:p w:rsidR="00273B92" w:rsidRPr="00CA441C" w:rsidRDefault="00664BCB" w:rsidP="00273B92">
      <w:pPr>
        <w:rPr>
          <w:b/>
          <w:bCs/>
          <w:lang w:val="en-US"/>
        </w:rPr>
      </w:pPr>
      <w:r w:rsidRPr="00CA441C">
        <w:rPr>
          <w:b/>
          <w:bCs/>
          <w:lang w:val="en-US"/>
        </w:rPr>
        <w:lastRenderedPageBreak/>
        <w:t>References</w:t>
      </w:r>
    </w:p>
    <w:p w:rsidR="00664BCB" w:rsidRPr="00CA441C" w:rsidRDefault="00664BCB" w:rsidP="008763F0">
      <w:pPr>
        <w:pStyle w:val="Paragraphedeliste"/>
        <w:numPr>
          <w:ilvl w:val="0"/>
          <w:numId w:val="1"/>
        </w:numPr>
        <w:tabs>
          <w:tab w:val="num" w:pos="6480"/>
        </w:tabs>
        <w:ind w:left="284" w:hanging="285"/>
        <w:rPr>
          <w:color w:val="auto"/>
          <w:lang w:val="en-US"/>
        </w:rPr>
      </w:pPr>
      <w:r w:rsidRPr="00CA441C">
        <w:rPr>
          <w:color w:val="auto"/>
          <w:lang w:val="en-US"/>
        </w:rPr>
        <w:t xml:space="preserve">RILEY RL, COURNAND A. Ideal alveolar air and the analysis of ventilation-perfusion relationships in the lungs. J </w:t>
      </w:r>
      <w:proofErr w:type="spellStart"/>
      <w:r w:rsidRPr="00CA441C">
        <w:rPr>
          <w:color w:val="auto"/>
          <w:lang w:val="en-US"/>
        </w:rPr>
        <w:t>Appl</w:t>
      </w:r>
      <w:proofErr w:type="spellEnd"/>
      <w:r w:rsidRPr="00CA441C">
        <w:rPr>
          <w:color w:val="auto"/>
          <w:lang w:val="en-US"/>
        </w:rPr>
        <w:t xml:space="preserve"> Physiol. 1949 Jun</w:t>
      </w:r>
      <w:proofErr w:type="gramStart"/>
      <w:r w:rsidRPr="00CA441C">
        <w:rPr>
          <w:color w:val="auto"/>
          <w:lang w:val="en-US"/>
        </w:rPr>
        <w:t>;1</w:t>
      </w:r>
      <w:proofErr w:type="gramEnd"/>
      <w:r w:rsidRPr="00CA441C">
        <w:rPr>
          <w:color w:val="auto"/>
          <w:lang w:val="en-US"/>
        </w:rPr>
        <w:t xml:space="preserve">(12):825-47. </w:t>
      </w:r>
    </w:p>
    <w:p w:rsidR="00664BCB" w:rsidRPr="00CA441C" w:rsidRDefault="00664BCB" w:rsidP="008763F0">
      <w:pPr>
        <w:pStyle w:val="Paragraphedeliste"/>
        <w:numPr>
          <w:ilvl w:val="0"/>
          <w:numId w:val="1"/>
        </w:numPr>
        <w:tabs>
          <w:tab w:val="num" w:pos="6480"/>
        </w:tabs>
        <w:ind w:left="284" w:hanging="285"/>
        <w:rPr>
          <w:color w:val="auto"/>
          <w:lang w:val="en-US"/>
        </w:rPr>
      </w:pPr>
      <w:proofErr w:type="spellStart"/>
      <w:r w:rsidRPr="00CA441C">
        <w:rPr>
          <w:color w:val="auto"/>
          <w:lang w:val="en-US"/>
        </w:rPr>
        <w:t>Tahvanainen</w:t>
      </w:r>
      <w:proofErr w:type="spellEnd"/>
      <w:r w:rsidRPr="00CA441C">
        <w:rPr>
          <w:color w:val="auto"/>
          <w:lang w:val="en-US"/>
        </w:rPr>
        <w:t xml:space="preserve"> J, </w:t>
      </w:r>
      <w:proofErr w:type="spellStart"/>
      <w:r w:rsidRPr="00CA441C">
        <w:rPr>
          <w:color w:val="auto"/>
          <w:lang w:val="en-US"/>
        </w:rPr>
        <w:t>Meretoja</w:t>
      </w:r>
      <w:proofErr w:type="spellEnd"/>
      <w:r w:rsidRPr="00CA441C">
        <w:rPr>
          <w:color w:val="auto"/>
          <w:lang w:val="en-US"/>
        </w:rPr>
        <w:t xml:space="preserve"> O, Nikki P. Can central venous blood replace mixed venous blood samples? Crit Care Med. 1982 Nov</w:t>
      </w:r>
      <w:proofErr w:type="gramStart"/>
      <w:r w:rsidRPr="00CA441C">
        <w:rPr>
          <w:color w:val="auto"/>
          <w:lang w:val="en-US"/>
        </w:rPr>
        <w:t>;10</w:t>
      </w:r>
      <w:proofErr w:type="gramEnd"/>
      <w:r w:rsidRPr="00CA441C">
        <w:rPr>
          <w:color w:val="auto"/>
          <w:lang w:val="en-US"/>
        </w:rPr>
        <w:t xml:space="preserve">(11):758-61. </w:t>
      </w:r>
    </w:p>
    <w:p w:rsidR="00664BCB" w:rsidRPr="00CA441C" w:rsidRDefault="00664BCB" w:rsidP="008763F0">
      <w:pPr>
        <w:pStyle w:val="Paragraphedeliste"/>
        <w:numPr>
          <w:ilvl w:val="0"/>
          <w:numId w:val="1"/>
        </w:numPr>
        <w:tabs>
          <w:tab w:val="num" w:pos="6480"/>
        </w:tabs>
        <w:ind w:left="284" w:hanging="285"/>
        <w:rPr>
          <w:color w:val="auto"/>
          <w:lang w:val="en-US"/>
        </w:rPr>
      </w:pPr>
      <w:r w:rsidRPr="00CA441C">
        <w:rPr>
          <w:color w:val="auto"/>
          <w:lang w:val="en-US"/>
        </w:rPr>
        <w:t xml:space="preserve">Sinha P, Calfee CS, </w:t>
      </w:r>
      <w:proofErr w:type="spellStart"/>
      <w:r w:rsidRPr="00CA441C">
        <w:rPr>
          <w:color w:val="auto"/>
          <w:lang w:val="en-US"/>
        </w:rPr>
        <w:t>Beitler</w:t>
      </w:r>
      <w:proofErr w:type="spellEnd"/>
      <w:r w:rsidRPr="00CA441C">
        <w:rPr>
          <w:color w:val="auto"/>
          <w:lang w:val="en-US"/>
        </w:rPr>
        <w:t xml:space="preserve"> JR, </w:t>
      </w:r>
      <w:proofErr w:type="spellStart"/>
      <w:r w:rsidRPr="00CA441C">
        <w:rPr>
          <w:color w:val="auto"/>
          <w:lang w:val="en-US"/>
        </w:rPr>
        <w:t>Soni</w:t>
      </w:r>
      <w:proofErr w:type="spellEnd"/>
      <w:r w:rsidRPr="00CA441C">
        <w:rPr>
          <w:color w:val="auto"/>
          <w:lang w:val="en-US"/>
        </w:rPr>
        <w:t xml:space="preserve"> N, Ho K, </w:t>
      </w:r>
      <w:proofErr w:type="spellStart"/>
      <w:r w:rsidRPr="00CA441C">
        <w:rPr>
          <w:color w:val="auto"/>
          <w:lang w:val="en-US"/>
        </w:rPr>
        <w:t>Matthay</w:t>
      </w:r>
      <w:proofErr w:type="spellEnd"/>
      <w:r w:rsidRPr="00CA441C">
        <w:rPr>
          <w:color w:val="auto"/>
          <w:lang w:val="en-US"/>
        </w:rPr>
        <w:t xml:space="preserve"> MA, </w:t>
      </w:r>
      <w:proofErr w:type="spellStart"/>
      <w:r w:rsidRPr="00CA441C">
        <w:rPr>
          <w:color w:val="auto"/>
          <w:lang w:val="en-US"/>
        </w:rPr>
        <w:t>Kallet</w:t>
      </w:r>
      <w:proofErr w:type="spellEnd"/>
      <w:r w:rsidRPr="00CA441C">
        <w:rPr>
          <w:color w:val="auto"/>
          <w:lang w:val="en-US"/>
        </w:rPr>
        <w:t xml:space="preserve"> RH. Physiologic Analysis and Clinical Performance of the </w:t>
      </w:r>
      <w:proofErr w:type="spellStart"/>
      <w:r w:rsidRPr="00CA441C">
        <w:rPr>
          <w:color w:val="auto"/>
          <w:lang w:val="en-US"/>
        </w:rPr>
        <w:t>Ventilatory</w:t>
      </w:r>
      <w:proofErr w:type="spellEnd"/>
      <w:r w:rsidRPr="00CA441C">
        <w:rPr>
          <w:color w:val="auto"/>
          <w:lang w:val="en-US"/>
        </w:rPr>
        <w:t xml:space="preserve"> Ratio in Acute Respiratory Distress Syndrome. Am J </w:t>
      </w:r>
      <w:proofErr w:type="spellStart"/>
      <w:r w:rsidRPr="00CA441C">
        <w:rPr>
          <w:color w:val="auto"/>
          <w:lang w:val="en-US"/>
        </w:rPr>
        <w:t>Respir</w:t>
      </w:r>
      <w:proofErr w:type="spellEnd"/>
      <w:r w:rsidRPr="00CA441C">
        <w:rPr>
          <w:color w:val="auto"/>
          <w:lang w:val="en-US"/>
        </w:rPr>
        <w:t xml:space="preserve"> Crit Care Med. 2019 Feb 1</w:t>
      </w:r>
      <w:proofErr w:type="gramStart"/>
      <w:r w:rsidRPr="00CA441C">
        <w:rPr>
          <w:color w:val="auto"/>
          <w:lang w:val="en-US"/>
        </w:rPr>
        <w:t>;199</w:t>
      </w:r>
      <w:proofErr w:type="gramEnd"/>
      <w:r w:rsidRPr="00CA441C">
        <w:rPr>
          <w:color w:val="auto"/>
          <w:lang w:val="en-US"/>
        </w:rPr>
        <w:t xml:space="preserve">(3):333-341. </w:t>
      </w:r>
    </w:p>
    <w:p w:rsidR="00664BCB" w:rsidRPr="00CA441C" w:rsidRDefault="00664BCB" w:rsidP="008763F0">
      <w:pPr>
        <w:pStyle w:val="Paragraphedeliste"/>
        <w:numPr>
          <w:ilvl w:val="0"/>
          <w:numId w:val="1"/>
        </w:numPr>
        <w:tabs>
          <w:tab w:val="num" w:pos="6480"/>
        </w:tabs>
        <w:ind w:left="284" w:hanging="285"/>
        <w:rPr>
          <w:color w:val="auto"/>
          <w:lang w:val="en-US"/>
        </w:rPr>
      </w:pPr>
      <w:proofErr w:type="spellStart"/>
      <w:r w:rsidRPr="00CA441C">
        <w:rPr>
          <w:color w:val="auto"/>
          <w:lang w:val="en-US"/>
        </w:rPr>
        <w:t>Goligher</w:t>
      </w:r>
      <w:proofErr w:type="spellEnd"/>
      <w:r w:rsidRPr="00CA441C">
        <w:rPr>
          <w:color w:val="auto"/>
          <w:lang w:val="en-US"/>
        </w:rPr>
        <w:t xml:space="preserve"> EC, Costa ELV, </w:t>
      </w:r>
      <w:proofErr w:type="spellStart"/>
      <w:r w:rsidRPr="00CA441C">
        <w:rPr>
          <w:color w:val="auto"/>
          <w:lang w:val="en-US"/>
        </w:rPr>
        <w:t>Yarnell</w:t>
      </w:r>
      <w:proofErr w:type="spellEnd"/>
      <w:r w:rsidRPr="00CA441C">
        <w:rPr>
          <w:color w:val="auto"/>
          <w:lang w:val="en-US"/>
        </w:rPr>
        <w:t xml:space="preserve"> CJ, et al. Effect of Lowering Tidal Volume on Mortality in ARDS Varies with Respiratory System </w:t>
      </w:r>
      <w:proofErr w:type="spellStart"/>
      <w:r w:rsidRPr="00CA441C">
        <w:rPr>
          <w:color w:val="auto"/>
          <w:lang w:val="en-US"/>
        </w:rPr>
        <w:t>Elastance</w:t>
      </w:r>
      <w:proofErr w:type="spellEnd"/>
      <w:r w:rsidRPr="00CA441C">
        <w:rPr>
          <w:color w:val="auto"/>
          <w:lang w:val="en-US"/>
        </w:rPr>
        <w:t xml:space="preserve">. Am J </w:t>
      </w:r>
      <w:proofErr w:type="spellStart"/>
      <w:r w:rsidRPr="00CA441C">
        <w:rPr>
          <w:color w:val="auto"/>
          <w:lang w:val="en-US"/>
        </w:rPr>
        <w:t>Respir</w:t>
      </w:r>
      <w:proofErr w:type="spellEnd"/>
      <w:r w:rsidRPr="00CA441C">
        <w:rPr>
          <w:color w:val="auto"/>
          <w:lang w:val="en-US"/>
        </w:rPr>
        <w:t xml:space="preserve"> Crit Care Med. 2021 Jan 13. </w:t>
      </w:r>
    </w:p>
    <w:p w:rsidR="000425C3" w:rsidRPr="00CA441C" w:rsidRDefault="000425C3" w:rsidP="00042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eastAsia="en-GB"/>
        </w:rPr>
        <w:t xml:space="preserve">Gattinoni L, Caironi P, Cressoni M, et al.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Lung recruitment in patients with the acute respiratory distress syndrome. N Engl J Med. 2006 Apr 27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;354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(17):1775-86.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eastAsia="en-GB"/>
        </w:rPr>
        <w:t xml:space="preserve"> </w:t>
      </w:r>
    </w:p>
    <w:p w:rsidR="00313390" w:rsidRPr="00CA441C" w:rsidRDefault="00313390" w:rsidP="00042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Vieira SR,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>Puybasset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 L,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>Richecoeur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 J, </w:t>
      </w:r>
      <w:r w:rsidR="00025A7B"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>et al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A lung computed tomographic assessment of positive end-expiratory pressure-induced lung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overdistension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. Am J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Respir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Crit Care Med. 1998 Nov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;158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(5 Pt 1):1571-7.</w:t>
      </w:r>
    </w:p>
    <w:p w:rsidR="000425C3" w:rsidRPr="00CA441C" w:rsidRDefault="00344A3D" w:rsidP="00042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Mauri T,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Eronia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N,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Turrini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C,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Battistini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M,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Grasselli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G, Rona R, Volta CA,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Bellani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G,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Pesenti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A. Bedside assessment of the effects of positive end-expiratory pressure on lung inflation and recruitment by the helium dilution technique and electrical impedance tomography. Intensive Care Med. 2016 Oct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;42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(10):1576-1587.</w:t>
      </w:r>
    </w:p>
    <w:p w:rsidR="008A1442" w:rsidRPr="00CA441C" w:rsidRDefault="008A1442" w:rsidP="008A1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>Bluth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 T,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>Kiss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fr-FR" w:eastAsia="en-GB"/>
        </w:rPr>
        <w:t xml:space="preserve"> T, Kircher M, et al.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Measurement of relative lung perfusion with electrical impedance and positron emission tomography: an experimental comparative study in pigs. Br J Anaesth. 2019 Aug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;123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(2):246-254. </w:t>
      </w:r>
    </w:p>
    <w:p w:rsidR="00025A7B" w:rsidRPr="00CA441C" w:rsidRDefault="00025A7B" w:rsidP="00025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eastAsia="en-GB"/>
        </w:rPr>
        <w:lastRenderedPageBreak/>
        <w:t xml:space="preserve">Grasso S, Terragni P, Mascia L, et al.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Airway pressure-time curve profile (stress index) detects tidal recruitment/hyperinflation in experimental acute lung injury. Crit Care Med. 2004 Apr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;32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(4):1018-27.</w:t>
      </w:r>
    </w:p>
    <w:p w:rsidR="00584E65" w:rsidRPr="00CA441C" w:rsidRDefault="008A1442" w:rsidP="00584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r w:rsidRPr="00CA441C">
        <w:rPr>
          <w:rFonts w:eastAsia="Arial Unicode MS" w:hAnsi="Arial Unicode MS" w:cs="Arial Unicode MS"/>
          <w:szCs w:val="24"/>
          <w:u w:color="000000"/>
          <w:bdr w:val="nil"/>
          <w:lang w:eastAsia="en-GB"/>
        </w:rPr>
        <w:t xml:space="preserve">Mauri T, Spinelli E, Scotti E, et al. </w:t>
      </w:r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Potential for Lung Recruitment and Ventilation-Perfusion Mismatch in Patients 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With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the Acute Respiratory Distress Syndrome From Coronavirus Disease 2019. Crit Care Med. 2020 Aug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;48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(8):1129-1134.</w:t>
      </w:r>
    </w:p>
    <w:p w:rsidR="008A1442" w:rsidRPr="00CA441C" w:rsidRDefault="008A1442" w:rsidP="00584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480"/>
        </w:tabs>
        <w:ind w:left="284" w:hanging="285"/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</w:pP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Wrigge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H,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Zinserling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J, </w:t>
      </w:r>
      <w:proofErr w:type="spell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Muders</w:t>
      </w:r>
      <w:proofErr w:type="spell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 T, et al. Electrical impedance tomography compared with thoracic computed tomography during a slow inflation maneuver in experimental models of lung injury. Crit Care Med. 2008 Mar</w:t>
      </w:r>
      <w:proofErr w:type="gramStart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>;36</w:t>
      </w:r>
      <w:proofErr w:type="gramEnd"/>
      <w:r w:rsidRPr="00CA441C">
        <w:rPr>
          <w:rFonts w:eastAsia="Arial Unicode MS" w:hAnsi="Arial Unicode MS" w:cs="Arial Unicode MS"/>
          <w:szCs w:val="24"/>
          <w:u w:color="000000"/>
          <w:bdr w:val="nil"/>
          <w:lang w:val="en-US" w:eastAsia="en-GB"/>
        </w:rPr>
        <w:t xml:space="preserve">(3):903-9. </w:t>
      </w:r>
    </w:p>
    <w:p w:rsidR="00D32098" w:rsidRPr="00CA441C" w:rsidRDefault="00D32098" w:rsidP="00584E65">
      <w:pPr>
        <w:rPr>
          <w:lang w:val="en-US"/>
        </w:rPr>
      </w:pPr>
    </w:p>
    <w:p w:rsidR="00FC57D5" w:rsidRPr="00CA441C" w:rsidRDefault="00FC57D5">
      <w:pPr>
        <w:spacing w:line="259" w:lineRule="auto"/>
        <w:jc w:val="left"/>
        <w:rPr>
          <w:lang w:val="en-US"/>
        </w:rPr>
      </w:pPr>
      <w:r w:rsidRPr="00CA441C">
        <w:rPr>
          <w:lang w:val="en-US"/>
        </w:rPr>
        <w:br w:type="page"/>
      </w:r>
    </w:p>
    <w:p w:rsidR="00C67D10" w:rsidRPr="00CA441C" w:rsidRDefault="00C67D10" w:rsidP="00C67D10">
      <w:pPr>
        <w:pStyle w:val="Titre1"/>
        <w:rPr>
          <w:lang w:val="en-US"/>
        </w:rPr>
      </w:pPr>
      <w:r w:rsidRPr="00CA441C">
        <w:rPr>
          <w:lang w:val="en-US"/>
        </w:rPr>
        <w:lastRenderedPageBreak/>
        <w:t>Additional Table</w:t>
      </w:r>
    </w:p>
    <w:p w:rsidR="00C67D10" w:rsidRPr="00CA441C" w:rsidRDefault="00C67D10">
      <w:pPr>
        <w:spacing w:line="259" w:lineRule="auto"/>
        <w:jc w:val="left"/>
        <w:rPr>
          <w:lang w:val="en-US"/>
        </w:rPr>
      </w:pPr>
    </w:p>
    <w:tbl>
      <w:tblPr>
        <w:tblW w:w="9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055"/>
        <w:gridCol w:w="2055"/>
        <w:gridCol w:w="1010"/>
      </w:tblGrid>
      <w:tr w:rsidR="00CA441C" w:rsidRPr="00CA441C" w:rsidTr="00AA0004">
        <w:trPr>
          <w:trHeight w:val="600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b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szCs w:val="24"/>
                <w:u w:color="000000"/>
                <w:bdr w:val="nil"/>
                <w:lang w:val="en-US" w:eastAsia="en-GB"/>
              </w:rPr>
              <w:t>Variable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Supine</w:t>
            </w:r>
          </w:p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n = 21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Prone</w:t>
            </w:r>
          </w:p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n = 21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p value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CT-scan global analysis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Total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1466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378)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1394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381)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.007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proofErr w:type="spellStart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Hyperinflated</w:t>
            </w:r>
            <w:proofErr w:type="spellEnd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.008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Normally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356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132)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400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164)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.004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Poorly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525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192)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505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173)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.335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Non-aerated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571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294)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477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249)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D10" w:rsidRPr="00CA441C" w:rsidRDefault="00C67D10" w:rsidP="00AA00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Lung volume, mL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1402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599)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1462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612)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Cs/>
                <w:szCs w:val="24"/>
                <w:u w:color="000000"/>
                <w:bdr w:val="nil"/>
                <w:lang w:val="en-US" w:eastAsia="en-GB"/>
              </w:rPr>
              <w:t>.117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 xml:space="preserve">CT-scan ventral regions analysis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Total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531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133)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632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189)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proofErr w:type="spellStart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Hyperinflated</w:t>
            </w:r>
            <w:proofErr w:type="spellEnd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10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Normally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187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69)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148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66)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Poorly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183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74)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222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93)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.019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Non-aerated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152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84)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257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Lung volume, mL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785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351)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541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265)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CT-scan dorsal regions analysis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left"/>
              <w:rPr>
                <w:rFonts w:eastAsia="Arial Unicode MS" w:cs="Times New Roman"/>
                <w:szCs w:val="24"/>
                <w:bdr w:val="nil"/>
                <w:lang w:val="en-US"/>
              </w:rPr>
            </w:pP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Total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965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264)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803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252)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proofErr w:type="spellStart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Hyperinflated</w:t>
            </w:r>
            <w:proofErr w:type="spellEnd"/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 xml:space="preserve">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8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AA0004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Normally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177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75)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260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115)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C67D10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Poorly 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353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295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118)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.015</w:t>
            </w:r>
          </w:p>
        </w:tc>
      </w:tr>
      <w:tr w:rsidR="00CA441C" w:rsidRPr="00CA441C" w:rsidTr="00C67D10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Non-aerated lung weight, 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431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238)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239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149)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CA441C" w:rsidRPr="00CA441C" w:rsidTr="00C67D10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Lung volume, mL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641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271)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930 (</w:t>
            </w:r>
            <w:r w:rsidRPr="00CA441C">
              <w:rPr>
                <w:rFonts w:eastAsia="Arial Unicode MS" w:cs="Arial Unicode MS"/>
                <w:szCs w:val="24"/>
                <w:u w:color="000000"/>
                <w:bdr w:val="nil"/>
                <w:lang w:val="en-US" w:eastAsia="en-GB"/>
              </w:rPr>
              <w:t>±</w:t>
            </w:r>
            <w:r w:rsidRPr="00CA441C"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  <w:t>350)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eastAsia="en-GB"/>
              </w:rPr>
            </w:pPr>
            <w:r w:rsidRPr="00CA441C"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  <w:t>&lt;.001</w:t>
            </w:r>
          </w:p>
        </w:tc>
      </w:tr>
      <w:tr w:rsidR="001F6270" w:rsidRPr="00CA441C" w:rsidTr="00C67D10">
        <w:trPr>
          <w:trHeight w:val="29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szCs w:val="24"/>
                <w:u w:color="000000"/>
                <w:bdr w:val="nil"/>
                <w:lang w:val="en-US"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270" w:rsidRPr="00CA441C" w:rsidRDefault="001F6270" w:rsidP="001F62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hAnsi="Arial Unicode MS" w:cs="Arial Unicode MS"/>
                <w:b/>
                <w:bCs/>
                <w:szCs w:val="24"/>
                <w:u w:color="000000"/>
                <w:bdr w:val="nil"/>
                <w:lang w:val="en-US" w:eastAsia="en-GB"/>
              </w:rPr>
            </w:pPr>
          </w:p>
        </w:tc>
      </w:tr>
    </w:tbl>
    <w:p w:rsidR="00C67D10" w:rsidRPr="00CA441C" w:rsidRDefault="00C67D10">
      <w:pPr>
        <w:spacing w:line="259" w:lineRule="auto"/>
        <w:jc w:val="left"/>
        <w:rPr>
          <w:lang w:val="en-US"/>
        </w:rPr>
      </w:pPr>
    </w:p>
    <w:p w:rsidR="007C791C" w:rsidRPr="00CA441C" w:rsidRDefault="00C67D10" w:rsidP="007C791C">
      <w:pPr>
        <w:rPr>
          <w:lang w:val="en-US"/>
        </w:rPr>
      </w:pPr>
      <w:r w:rsidRPr="00CA441C">
        <w:rPr>
          <w:b/>
          <w:lang w:val="en-US"/>
        </w:rPr>
        <w:t>Table E1.</w:t>
      </w:r>
      <w:r w:rsidRPr="00CA441C">
        <w:rPr>
          <w:lang w:val="en-US"/>
        </w:rPr>
        <w:t xml:space="preserve"> </w:t>
      </w:r>
      <w:proofErr w:type="gramStart"/>
      <w:r w:rsidRPr="00CA441C">
        <w:rPr>
          <w:b/>
          <w:bCs/>
          <w:lang w:val="en-US"/>
        </w:rPr>
        <w:t>Regional quantitative CT-scan analysis between the supine and prone positions.</w:t>
      </w:r>
      <w:proofErr w:type="gramEnd"/>
      <w:r w:rsidR="007C791C" w:rsidRPr="00CA441C">
        <w:rPr>
          <w:lang w:val="en-US"/>
        </w:rPr>
        <w:br w:type="page"/>
      </w:r>
    </w:p>
    <w:p w:rsidR="007C791C" w:rsidRPr="00CA441C" w:rsidRDefault="007C791C" w:rsidP="007C791C">
      <w:pPr>
        <w:rPr>
          <w:rFonts w:cs="Times New Roman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2693"/>
        <w:gridCol w:w="1128"/>
      </w:tblGrid>
      <w:tr w:rsidR="00CA441C" w:rsidRPr="00CA441C" w:rsidTr="003C69D1">
        <w:trPr>
          <w:trHeight w:val="8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C69D1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 w:cs="Times New Roman"/>
                <w:b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szCs w:val="24"/>
                <w:u w:color="000000"/>
                <w:bdr w:val="nil"/>
                <w:lang w:val="en-US" w:eastAsia="en-GB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1C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  <w:t>Supine</w:t>
            </w:r>
          </w:p>
          <w:p w:rsidR="007C791C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="Times New Roman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  <w:t>n = 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1C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  <w:t>Prone</w:t>
            </w:r>
          </w:p>
          <w:p w:rsidR="007C791C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="Times New Roman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  <w:t>n = 21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1C" w:rsidRPr="00CA441C" w:rsidRDefault="007C791C" w:rsidP="002C3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="Times New Roman"/>
                <w:szCs w:val="24"/>
                <w:u w:color="000000"/>
                <w:bdr w:val="nil"/>
                <w:lang w:val="en-US" w:eastAsia="en-GB"/>
              </w:rPr>
            </w:pPr>
            <w:r w:rsidRPr="00CA441C">
              <w:rPr>
                <w:rFonts w:eastAsia="Arial Unicode MS" w:cs="Times New Roman"/>
                <w:b/>
                <w:bCs/>
                <w:szCs w:val="24"/>
                <w:u w:color="000000"/>
                <w:bdr w:val="nil"/>
                <w:lang w:val="en-US" w:eastAsia="en-GB"/>
              </w:rPr>
              <w:t>p value</w:t>
            </w:r>
          </w:p>
        </w:tc>
      </w:tr>
      <w:tr w:rsidR="00CA441C" w:rsidRPr="00CA441C" w:rsidTr="003C69D1">
        <w:tc>
          <w:tcPr>
            <w:tcW w:w="3114" w:type="dxa"/>
            <w:tcBorders>
              <w:top w:val="single" w:sz="4" w:space="0" w:color="auto"/>
            </w:tcBorders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b/>
                <w:lang w:val="en-US"/>
              </w:rPr>
            </w:pPr>
            <w:r w:rsidRPr="00CA441C">
              <w:rPr>
                <w:rFonts w:cs="Times New Roman"/>
                <w:b/>
                <w:lang w:val="en-US"/>
              </w:rPr>
              <w:t>Ventral regions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global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-623 [-662 - -444]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-458 [-562 - -333]</w:t>
            </w: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 xml:space="preserve">Mean HU </w:t>
            </w:r>
            <w:proofErr w:type="spellStart"/>
            <w:r w:rsidRPr="00CA441C">
              <w:rPr>
                <w:rFonts w:cs="Times New Roman"/>
                <w:lang w:val="en-US"/>
              </w:rPr>
              <w:t>hyperinflated</w:t>
            </w:r>
            <w:proofErr w:type="spellEnd"/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-939 [-941 - -939]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- 939 [-941 – 938]</w:t>
            </w: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.224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normally aerated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-729 [-770 - -705]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-707 [-735 - -685]</w:t>
            </w: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poorly aerated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-328 [-340 - -310]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-309 [-320 - -285]</w:t>
            </w: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non-aerated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18 [11-27]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11 [4-16]</w:t>
            </w: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b/>
                <w:lang w:val="en-US"/>
              </w:rPr>
            </w:pPr>
            <w:r w:rsidRPr="00CA441C">
              <w:rPr>
                <w:rFonts w:cs="Times New Roman"/>
                <w:b/>
                <w:lang w:val="en-US"/>
              </w:rPr>
              <w:t>Dorsal regions</w:t>
            </w: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global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-421 [-493 - -296]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-540 [-603 - -481]</w:t>
            </w:r>
          </w:p>
        </w:tc>
        <w:tc>
          <w:tcPr>
            <w:tcW w:w="1128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 xml:space="preserve">Mean HU </w:t>
            </w:r>
            <w:proofErr w:type="spellStart"/>
            <w:r w:rsidRPr="00CA441C">
              <w:rPr>
                <w:rFonts w:cs="Times New Roman"/>
                <w:lang w:val="en-US"/>
              </w:rPr>
              <w:t>hyperinflated</w:t>
            </w:r>
            <w:proofErr w:type="spellEnd"/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-940 [-941 - -939]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-940 [-941 - -938]</w:t>
            </w:r>
          </w:p>
        </w:tc>
        <w:tc>
          <w:tcPr>
            <w:tcW w:w="1128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.426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normally aerated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-696 [-723 - -670]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-707 [-746 - -697]</w:t>
            </w:r>
          </w:p>
        </w:tc>
        <w:tc>
          <w:tcPr>
            <w:tcW w:w="1128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poorly aerated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-304 [-319 - -282]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-332 [-347 - -317]</w:t>
            </w:r>
          </w:p>
        </w:tc>
        <w:tc>
          <w:tcPr>
            <w:tcW w:w="1128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CA441C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Mean HU non-aerated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16 [7-21]</w:t>
            </w:r>
          </w:p>
        </w:tc>
        <w:tc>
          <w:tcPr>
            <w:tcW w:w="2693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24 [17-31]</w:t>
            </w:r>
          </w:p>
        </w:tc>
        <w:tc>
          <w:tcPr>
            <w:tcW w:w="1128" w:type="dxa"/>
          </w:tcPr>
          <w:p w:rsidR="007C791C" w:rsidRPr="00CA441C" w:rsidRDefault="003C69D1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CA441C">
              <w:rPr>
                <w:rFonts w:cs="Times New Roman"/>
                <w:lang w:val="en-US"/>
              </w:rPr>
              <w:t>&lt;.001</w:t>
            </w:r>
          </w:p>
        </w:tc>
      </w:tr>
      <w:tr w:rsidR="002C3606" w:rsidRPr="00CA441C" w:rsidTr="003C69D1">
        <w:tc>
          <w:tcPr>
            <w:tcW w:w="3114" w:type="dxa"/>
          </w:tcPr>
          <w:p w:rsidR="007C791C" w:rsidRPr="00CA441C" w:rsidRDefault="007C791C" w:rsidP="002C360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</w:tcPr>
          <w:p w:rsidR="007C791C" w:rsidRPr="00CA441C" w:rsidRDefault="007C791C" w:rsidP="002C360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:rsidR="007C791C" w:rsidRPr="00CA441C" w:rsidRDefault="007C791C" w:rsidP="007C791C">
      <w:pPr>
        <w:rPr>
          <w:rFonts w:cs="Times New Roman"/>
          <w:lang w:val="en-US"/>
        </w:rPr>
      </w:pPr>
    </w:p>
    <w:p w:rsidR="003C69D1" w:rsidRPr="00CA441C" w:rsidRDefault="003C69D1" w:rsidP="007C791C">
      <w:pPr>
        <w:rPr>
          <w:rFonts w:cs="Times New Roman"/>
          <w:b/>
          <w:lang w:val="en-US"/>
        </w:rPr>
      </w:pPr>
      <w:r w:rsidRPr="00CA441C">
        <w:rPr>
          <w:rFonts w:cs="Times New Roman"/>
          <w:b/>
          <w:lang w:val="en-US"/>
        </w:rPr>
        <w:t>Table E2. Mean</w:t>
      </w:r>
      <w:r w:rsidR="0023537D" w:rsidRPr="00CA441C">
        <w:rPr>
          <w:rFonts w:cs="Times New Roman"/>
          <w:b/>
          <w:lang w:val="en-US"/>
        </w:rPr>
        <w:t xml:space="preserve"> CT numbers</w:t>
      </w:r>
      <w:r w:rsidRPr="00CA441C">
        <w:rPr>
          <w:rFonts w:cs="Times New Roman"/>
          <w:b/>
          <w:lang w:val="en-US"/>
        </w:rPr>
        <w:t xml:space="preserve"> distribution</w:t>
      </w:r>
      <w:r w:rsidR="0023537D" w:rsidRPr="00CA441C">
        <w:rPr>
          <w:rFonts w:cs="Times New Roman"/>
          <w:b/>
          <w:lang w:val="en-US"/>
        </w:rPr>
        <w:t>, expressed in</w:t>
      </w:r>
      <w:r w:rsidRPr="00CA441C">
        <w:rPr>
          <w:rFonts w:cs="Times New Roman"/>
          <w:b/>
          <w:lang w:val="en-US"/>
        </w:rPr>
        <w:t xml:space="preserve"> Hounsfield Units (HU)</w:t>
      </w:r>
      <w:r w:rsidR="0023537D" w:rsidRPr="00CA441C">
        <w:rPr>
          <w:rFonts w:cs="Times New Roman"/>
          <w:b/>
          <w:lang w:val="en-US"/>
        </w:rPr>
        <w:t>,</w:t>
      </w:r>
      <w:r w:rsidRPr="00CA441C">
        <w:rPr>
          <w:rFonts w:cs="Times New Roman"/>
          <w:b/>
          <w:lang w:val="en-US"/>
        </w:rPr>
        <w:t xml:space="preserve"> according to each CT-scan based lung compartment.</w:t>
      </w:r>
    </w:p>
    <w:p w:rsidR="00C67D10" w:rsidRPr="00CA441C" w:rsidRDefault="00C67D10" w:rsidP="0037459C">
      <w:pPr>
        <w:rPr>
          <w:rFonts w:eastAsiaTheme="majorEastAsia" w:cstheme="majorBidi"/>
          <w:b/>
          <w:szCs w:val="32"/>
          <w:lang w:val="en-US"/>
        </w:rPr>
      </w:pPr>
      <w:r w:rsidRPr="00CA441C">
        <w:rPr>
          <w:lang w:val="en-US"/>
        </w:rPr>
        <w:br w:type="page"/>
      </w:r>
    </w:p>
    <w:p w:rsidR="00606301" w:rsidRPr="00CA441C" w:rsidRDefault="00314FC8" w:rsidP="00606301">
      <w:pPr>
        <w:pStyle w:val="Titre1"/>
        <w:rPr>
          <w:lang w:val="en-US"/>
        </w:rPr>
      </w:pPr>
      <w:r w:rsidRPr="00CA441C">
        <w:rPr>
          <w:lang w:val="en-US"/>
        </w:rPr>
        <w:lastRenderedPageBreak/>
        <w:t xml:space="preserve">Additional </w:t>
      </w:r>
      <w:r w:rsidR="00606301" w:rsidRPr="00CA441C">
        <w:rPr>
          <w:lang w:val="en-US"/>
        </w:rPr>
        <w:t>Figures</w:t>
      </w:r>
    </w:p>
    <w:p w:rsidR="002E1636" w:rsidRPr="00CA441C" w:rsidRDefault="002E1636" w:rsidP="002E1636">
      <w:pPr>
        <w:rPr>
          <w:lang w:val="en-US"/>
        </w:rPr>
      </w:pPr>
    </w:p>
    <w:p w:rsidR="0095103D" w:rsidRPr="00CA441C" w:rsidRDefault="0095103D" w:rsidP="002E1636">
      <w:pPr>
        <w:rPr>
          <w:lang w:val="en-US"/>
        </w:rPr>
      </w:pPr>
      <w:r w:rsidRPr="00CA441C">
        <w:rPr>
          <w:noProof/>
          <w:lang w:val="fr-FR" w:eastAsia="fr-FR"/>
        </w:rPr>
        <w:drawing>
          <wp:inline distT="0" distB="0" distL="0" distR="0">
            <wp:extent cx="6115050" cy="3105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36" w:rsidRPr="00CA441C" w:rsidRDefault="00C8127E" w:rsidP="002E1636">
      <w:pPr>
        <w:rPr>
          <w:lang w:val="en-US"/>
        </w:rPr>
      </w:pPr>
      <w:r w:rsidRPr="00CA441C">
        <w:rPr>
          <w:b/>
          <w:lang w:val="en-US"/>
        </w:rPr>
        <w:t>Figure E1</w:t>
      </w:r>
      <w:r w:rsidR="002E1636" w:rsidRPr="00CA441C">
        <w:rPr>
          <w:b/>
          <w:lang w:val="en-US"/>
        </w:rPr>
        <w:t xml:space="preserve">. </w:t>
      </w:r>
      <w:r w:rsidR="0095103D" w:rsidRPr="00CA441C">
        <w:rPr>
          <w:b/>
          <w:lang w:val="en-US"/>
        </w:rPr>
        <w:t xml:space="preserve">Determinants of the power equation to compute the </w:t>
      </w:r>
      <w:r w:rsidR="0037459C" w:rsidRPr="00CA441C">
        <w:rPr>
          <w:b/>
          <w:lang w:val="en-US"/>
        </w:rPr>
        <w:t xml:space="preserve">time-impedance curve index </w:t>
      </w:r>
      <w:r w:rsidR="0095103D" w:rsidRPr="00CA441C">
        <w:rPr>
          <w:b/>
          <w:lang w:val="en-US"/>
        </w:rPr>
        <w:t>for a given tidal breathe.</w:t>
      </w:r>
      <w:r w:rsidR="0095103D" w:rsidRPr="00CA441C">
        <w:rPr>
          <w:lang w:val="en-US"/>
        </w:rPr>
        <w:t xml:space="preserve"> The inspiratory part of the curve is fitted with</w:t>
      </w:r>
      <w:r w:rsidR="00FC57D5" w:rsidRPr="00CA441C">
        <w:rPr>
          <w:lang w:val="en-US"/>
        </w:rPr>
        <w:t xml:space="preserve"> the following equation: z = a*</w:t>
      </w:r>
      <w:proofErr w:type="spellStart"/>
      <w:r w:rsidR="0095103D" w:rsidRPr="00CA441C">
        <w:rPr>
          <w:rFonts w:cs="Times New Roman"/>
          <w:lang w:val="en-US"/>
        </w:rPr>
        <w:t>Δ</w:t>
      </w:r>
      <w:r w:rsidR="0095103D" w:rsidRPr="00CA441C">
        <w:rPr>
          <w:lang w:val="en-US"/>
        </w:rPr>
        <w:t>t</w:t>
      </w:r>
      <w:r w:rsidR="00FC57D5" w:rsidRPr="00CA441C">
        <w:rPr>
          <w:vertAlign w:val="superscript"/>
          <w:lang w:val="en-US"/>
        </w:rPr>
        <w:t>b</w:t>
      </w:r>
      <w:proofErr w:type="spellEnd"/>
      <w:r w:rsidR="0095103D" w:rsidRPr="00CA441C">
        <w:rPr>
          <w:lang w:val="en-US"/>
        </w:rPr>
        <w:t xml:space="preserve"> + c. a represents the slope of the curve, b its concavity (this is, </w:t>
      </w:r>
      <w:r w:rsidR="0037459C" w:rsidRPr="00CA441C">
        <w:rPr>
          <w:lang w:val="en-US"/>
        </w:rPr>
        <w:t>the measured</w:t>
      </w:r>
      <w:r w:rsidR="0095103D" w:rsidRPr="00CA441C">
        <w:rPr>
          <w:lang w:val="en-US"/>
        </w:rPr>
        <w:t xml:space="preserve"> index), and c the baseline value at the beginning of the cycle. The higher b </w:t>
      </w:r>
      <w:proofErr w:type="gramStart"/>
      <w:r w:rsidR="0095103D" w:rsidRPr="00CA441C">
        <w:rPr>
          <w:lang w:val="en-US"/>
        </w:rPr>
        <w:t>is,</w:t>
      </w:r>
      <w:proofErr w:type="gramEnd"/>
      <w:r w:rsidR="0095103D" w:rsidRPr="00CA441C">
        <w:rPr>
          <w:lang w:val="en-US"/>
        </w:rPr>
        <w:t xml:space="preserve"> the more concave the curve is, which could be related to </w:t>
      </w:r>
      <w:proofErr w:type="spellStart"/>
      <w:r w:rsidR="0095103D" w:rsidRPr="00CA441C">
        <w:rPr>
          <w:lang w:val="en-US"/>
        </w:rPr>
        <w:t>atelectrauma</w:t>
      </w:r>
      <w:proofErr w:type="spellEnd"/>
      <w:r w:rsidR="0095103D" w:rsidRPr="00CA441C">
        <w:rPr>
          <w:lang w:val="en-US"/>
        </w:rPr>
        <w:t>.</w:t>
      </w:r>
    </w:p>
    <w:p w:rsidR="0095103D" w:rsidRPr="00CA441C" w:rsidRDefault="0095103D">
      <w:pPr>
        <w:spacing w:line="259" w:lineRule="auto"/>
        <w:jc w:val="left"/>
        <w:rPr>
          <w:lang w:val="en-US"/>
        </w:rPr>
      </w:pPr>
      <w:r w:rsidRPr="00CA441C">
        <w:rPr>
          <w:lang w:val="en-US"/>
        </w:rPr>
        <w:br w:type="page"/>
      </w:r>
    </w:p>
    <w:p w:rsidR="00AC3EF4" w:rsidRPr="00CA441C" w:rsidRDefault="00AC3EF4" w:rsidP="00AC3EF4">
      <w:pPr>
        <w:rPr>
          <w:lang w:val="en-US"/>
        </w:rPr>
      </w:pPr>
    </w:p>
    <w:p w:rsidR="00AC3EF4" w:rsidRPr="00CA441C" w:rsidRDefault="00AC3EF4" w:rsidP="00AC3EF4">
      <w:pPr>
        <w:rPr>
          <w:b/>
          <w:lang w:val="en-US"/>
        </w:rPr>
      </w:pPr>
      <w:r w:rsidRPr="00CA441C">
        <w:rPr>
          <w:b/>
          <w:noProof/>
          <w:lang w:val="fr-FR" w:eastAsia="fr-FR"/>
        </w:rPr>
        <w:drawing>
          <wp:inline distT="0" distB="0" distL="0" distR="0" wp14:anchorId="6F45F120" wp14:editId="69404186">
            <wp:extent cx="6115050" cy="5172075"/>
            <wp:effectExtent l="0" t="0" r="0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F4" w:rsidRDefault="00C8127E" w:rsidP="00AC3EF4">
      <w:pPr>
        <w:rPr>
          <w:lang w:val="en-US"/>
        </w:rPr>
      </w:pPr>
      <w:r w:rsidRPr="00CA441C">
        <w:rPr>
          <w:b/>
          <w:lang w:val="en-US"/>
        </w:rPr>
        <w:t xml:space="preserve">Figure E2. </w:t>
      </w:r>
      <w:proofErr w:type="gramStart"/>
      <w:r w:rsidR="00AC3EF4" w:rsidRPr="00CA441C">
        <w:rPr>
          <w:b/>
          <w:lang w:val="en-US"/>
        </w:rPr>
        <w:t>Distribution of the global weight among lung components between supine (orange bars) and prone (blue bars) position.</w:t>
      </w:r>
      <w:proofErr w:type="gramEnd"/>
      <w:r w:rsidR="00AC3EF4" w:rsidRPr="00CA441C">
        <w:rPr>
          <w:b/>
          <w:lang w:val="en-US"/>
        </w:rPr>
        <w:t xml:space="preserve"> </w:t>
      </w:r>
      <w:r w:rsidR="00AC3EF4" w:rsidRPr="00CA441C">
        <w:rPr>
          <w:lang w:val="en-US"/>
        </w:rPr>
        <w:t>*p&lt;0.05</w:t>
      </w:r>
    </w:p>
    <w:p w:rsidR="00173CFD" w:rsidRDefault="00173CFD" w:rsidP="00AC3EF4">
      <w:pPr>
        <w:rPr>
          <w:lang w:val="en-US"/>
        </w:rPr>
        <w:sectPr w:rsidR="00173CFD" w:rsidSect="00930E87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73CFD" w:rsidRDefault="00173CFD" w:rsidP="00CE3C75">
      <w:pPr>
        <w:jc w:val="center"/>
        <w:rPr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029200" cy="6583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6049" b="21354"/>
                    <a:stretch/>
                  </pic:blipFill>
                  <pic:spPr bwMode="auto">
                    <a:xfrm>
                      <a:off x="0" y="0"/>
                      <a:ext cx="5031063" cy="658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CFD" w:rsidRPr="00CA441C" w:rsidRDefault="00173CFD" w:rsidP="00173CFD">
      <w:pPr>
        <w:pStyle w:val="Corpo"/>
        <w:rPr>
          <w:lang w:val="en-US"/>
        </w:rPr>
      </w:pPr>
      <w:r w:rsidRPr="00301616">
        <w:rPr>
          <w:b/>
          <w:bCs/>
          <w:color w:val="auto"/>
          <w:lang w:val="en-US"/>
        </w:rPr>
        <w:t xml:space="preserve">Figure </w:t>
      </w:r>
      <w:r>
        <w:rPr>
          <w:b/>
          <w:bCs/>
          <w:color w:val="auto"/>
          <w:lang w:val="en-US"/>
        </w:rPr>
        <w:t>E</w:t>
      </w:r>
      <w:r w:rsidRPr="00301616">
        <w:rPr>
          <w:b/>
          <w:bCs/>
          <w:color w:val="auto"/>
          <w:lang w:val="en-US"/>
        </w:rPr>
        <w:t>3. Variation of the amount of only ventilated (blue boxes) and only perfused (red boxes) lung units between the supine and prone positions.</w:t>
      </w:r>
      <w:r w:rsidRPr="00301616">
        <w:rPr>
          <w:color w:val="auto"/>
          <w:lang w:val="en-US"/>
        </w:rPr>
        <w:t xml:space="preserve"> </w:t>
      </w:r>
      <w:proofErr w:type="gramStart"/>
      <w:r w:rsidRPr="00301616">
        <w:rPr>
          <w:color w:val="auto"/>
          <w:lang w:val="en-US"/>
        </w:rPr>
        <w:t>*p&lt;0.05, box</w:t>
      </w:r>
      <w:r>
        <w:rPr>
          <w:color w:val="auto"/>
          <w:lang w:val="en-US"/>
        </w:rPr>
        <w:t xml:space="preserve"> plots in Tukey representation.</w:t>
      </w:r>
      <w:proofErr w:type="gramEnd"/>
    </w:p>
    <w:p w:rsidR="00AC3EF4" w:rsidRPr="00CA441C" w:rsidRDefault="00AC3EF4" w:rsidP="00AC3EF4">
      <w:pPr>
        <w:spacing w:line="259" w:lineRule="auto"/>
        <w:jc w:val="left"/>
        <w:rPr>
          <w:b/>
          <w:lang w:val="en-US"/>
        </w:rPr>
      </w:pPr>
      <w:r w:rsidRPr="00CA441C">
        <w:rPr>
          <w:b/>
          <w:lang w:val="en-US"/>
        </w:rPr>
        <w:br w:type="page"/>
      </w:r>
    </w:p>
    <w:p w:rsidR="00AC3EF4" w:rsidRPr="00CA441C" w:rsidRDefault="00AC3EF4">
      <w:pPr>
        <w:spacing w:line="259" w:lineRule="auto"/>
        <w:jc w:val="left"/>
        <w:rPr>
          <w:lang w:val="en-US"/>
        </w:rPr>
      </w:pPr>
    </w:p>
    <w:p w:rsidR="00273B92" w:rsidRPr="00CA441C" w:rsidRDefault="00884824" w:rsidP="002E1636">
      <w:pPr>
        <w:rPr>
          <w:lang w:val="en-US"/>
        </w:rPr>
      </w:pPr>
      <w:r w:rsidRPr="00CA441C">
        <w:rPr>
          <w:noProof/>
          <w:lang w:val="fr-FR" w:eastAsia="fr-FR"/>
        </w:rPr>
        <w:drawing>
          <wp:inline distT="0" distB="0" distL="0" distR="0" wp14:anchorId="711A5F8C" wp14:editId="1BD05FCB">
            <wp:extent cx="6120130" cy="27146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ERCARDS_FigureE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36" w:rsidRPr="00CA441C" w:rsidRDefault="00173CFD" w:rsidP="002E1636">
      <w:pPr>
        <w:rPr>
          <w:lang w:val="en-US"/>
        </w:rPr>
      </w:pPr>
      <w:r>
        <w:rPr>
          <w:b/>
          <w:lang w:val="en-US"/>
        </w:rPr>
        <w:t>Figure E4</w:t>
      </w:r>
      <w:r w:rsidR="002E1636" w:rsidRPr="00CA441C">
        <w:rPr>
          <w:b/>
          <w:lang w:val="en-US"/>
        </w:rPr>
        <w:t>.</w:t>
      </w:r>
      <w:r w:rsidR="00AD7625" w:rsidRPr="00CA441C">
        <w:rPr>
          <w:b/>
          <w:lang w:val="en-US"/>
        </w:rPr>
        <w:t xml:space="preserve"> </w:t>
      </w:r>
      <w:r w:rsidR="00381BCA" w:rsidRPr="00CA441C">
        <w:rPr>
          <w:b/>
          <w:lang w:val="en-US"/>
        </w:rPr>
        <w:t>Individual values and box plots (mean with Tukey representation) of respiratory system compliance (A, C</w:t>
      </w:r>
      <w:r w:rsidR="00381BCA" w:rsidRPr="00CA441C">
        <w:rPr>
          <w:b/>
          <w:vertAlign w:val="subscript"/>
          <w:lang w:val="en-US"/>
        </w:rPr>
        <w:t>RS</w:t>
      </w:r>
      <w:r w:rsidR="00381BCA" w:rsidRPr="00CA441C">
        <w:rPr>
          <w:b/>
          <w:lang w:val="en-US"/>
        </w:rPr>
        <w:t>), PaO</w:t>
      </w:r>
      <w:r w:rsidR="00381BCA" w:rsidRPr="00CA441C">
        <w:rPr>
          <w:b/>
          <w:vertAlign w:val="subscript"/>
          <w:lang w:val="en-US"/>
        </w:rPr>
        <w:t>2</w:t>
      </w:r>
      <w:r w:rsidR="00381BCA" w:rsidRPr="00CA441C">
        <w:rPr>
          <w:b/>
          <w:lang w:val="en-US"/>
        </w:rPr>
        <w:t>/FiO</w:t>
      </w:r>
      <w:r w:rsidR="00381BCA" w:rsidRPr="00CA441C">
        <w:rPr>
          <w:b/>
          <w:vertAlign w:val="subscript"/>
          <w:lang w:val="en-US"/>
        </w:rPr>
        <w:t>2</w:t>
      </w:r>
      <w:r w:rsidR="00381BCA" w:rsidRPr="00CA441C">
        <w:rPr>
          <w:b/>
          <w:lang w:val="en-US"/>
        </w:rPr>
        <w:t xml:space="preserve"> ratio (B) and PaCO</w:t>
      </w:r>
      <w:r w:rsidR="00381BCA" w:rsidRPr="00CA441C">
        <w:rPr>
          <w:b/>
          <w:vertAlign w:val="subscript"/>
          <w:lang w:val="en-US"/>
        </w:rPr>
        <w:t>2</w:t>
      </w:r>
      <w:r w:rsidR="00381BCA" w:rsidRPr="00CA441C">
        <w:rPr>
          <w:b/>
          <w:lang w:val="en-US"/>
        </w:rPr>
        <w:t xml:space="preserve"> (C). </w:t>
      </w:r>
      <w:r w:rsidR="00884824" w:rsidRPr="00CA441C">
        <w:rPr>
          <w:lang w:val="en-US"/>
        </w:rPr>
        <w:t>*p&lt;0.05</w:t>
      </w:r>
    </w:p>
    <w:p w:rsidR="00313390" w:rsidRPr="00CA441C" w:rsidRDefault="00313390">
      <w:pPr>
        <w:spacing w:line="259" w:lineRule="auto"/>
        <w:jc w:val="left"/>
        <w:rPr>
          <w:lang w:val="en-US"/>
        </w:rPr>
        <w:sectPr w:rsidR="00313390" w:rsidRPr="00CA441C" w:rsidSect="00930E87">
          <w:footerReference w:type="defaul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81BCA" w:rsidRPr="00CA441C" w:rsidRDefault="00381BCA">
      <w:pPr>
        <w:spacing w:line="259" w:lineRule="auto"/>
        <w:jc w:val="left"/>
        <w:rPr>
          <w:lang w:val="en-US"/>
        </w:rPr>
      </w:pPr>
    </w:p>
    <w:p w:rsidR="00313390" w:rsidRPr="00CA441C" w:rsidRDefault="00313390" w:rsidP="00313390">
      <w:pPr>
        <w:rPr>
          <w:lang w:val="en-US"/>
        </w:rPr>
      </w:pPr>
      <w:r w:rsidRPr="00CA441C">
        <w:rPr>
          <w:noProof/>
          <w:lang w:val="fr-FR" w:eastAsia="fr-FR"/>
        </w:rPr>
        <w:drawing>
          <wp:inline distT="0" distB="0" distL="0" distR="0" wp14:anchorId="3F5CDDBC" wp14:editId="68B33C8D">
            <wp:extent cx="9460747" cy="2505075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1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648" cy="25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390" w:rsidRPr="00CA441C" w:rsidRDefault="00313390" w:rsidP="00313390">
      <w:pPr>
        <w:rPr>
          <w:lang w:val="en-US"/>
        </w:rPr>
      </w:pPr>
      <w:r w:rsidRPr="00CA441C">
        <w:rPr>
          <w:b/>
          <w:lang w:val="en-US"/>
        </w:rPr>
        <w:t xml:space="preserve">Figure </w:t>
      </w:r>
      <w:r w:rsidR="00173CFD">
        <w:rPr>
          <w:b/>
          <w:lang w:val="en-US"/>
        </w:rPr>
        <w:t>E5</w:t>
      </w:r>
      <w:r w:rsidRPr="00CA441C">
        <w:rPr>
          <w:b/>
          <w:lang w:val="en-US"/>
        </w:rPr>
        <w:t>. Association between global and regional (de)recruitment, and change in PaO</w:t>
      </w:r>
      <w:r w:rsidRPr="00CA441C">
        <w:rPr>
          <w:b/>
          <w:vertAlign w:val="subscript"/>
          <w:lang w:val="en-US"/>
        </w:rPr>
        <w:t>2</w:t>
      </w:r>
      <w:r w:rsidRPr="00CA441C">
        <w:rPr>
          <w:b/>
          <w:lang w:val="en-US"/>
        </w:rPr>
        <w:t>/FiO</w:t>
      </w:r>
      <w:r w:rsidRPr="00CA441C">
        <w:rPr>
          <w:b/>
          <w:vertAlign w:val="subscript"/>
          <w:lang w:val="en-US"/>
        </w:rPr>
        <w:t>2</w:t>
      </w:r>
      <w:r w:rsidRPr="00CA441C">
        <w:rPr>
          <w:b/>
          <w:lang w:val="en-US"/>
        </w:rPr>
        <w:t xml:space="preserve"> ratio.</w:t>
      </w:r>
      <w:r w:rsidRPr="00CA441C">
        <w:rPr>
          <w:lang w:val="en-US"/>
        </w:rPr>
        <w:t xml:space="preserve"> Note the absence of correlation (rho=0.091, p=0.703 for the global lungs; rho=0.317, p=0.173 for the ventral regions, and rho=0.184, p=0.436 for the dorsal ones).</w:t>
      </w:r>
    </w:p>
    <w:p w:rsidR="00313390" w:rsidRPr="00CA441C" w:rsidRDefault="00313390">
      <w:pPr>
        <w:spacing w:line="259" w:lineRule="auto"/>
        <w:jc w:val="left"/>
        <w:rPr>
          <w:lang w:val="en-US"/>
        </w:rPr>
        <w:sectPr w:rsidR="00313390" w:rsidRPr="00CA441C" w:rsidSect="0031339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313390" w:rsidRPr="00CA441C" w:rsidRDefault="00313390">
      <w:pPr>
        <w:spacing w:line="259" w:lineRule="auto"/>
        <w:jc w:val="left"/>
        <w:rPr>
          <w:lang w:val="en-US"/>
        </w:rPr>
      </w:pPr>
    </w:p>
    <w:p w:rsidR="00746477" w:rsidRPr="00CA441C" w:rsidRDefault="0078194E" w:rsidP="00273B92">
      <w:pPr>
        <w:rPr>
          <w:lang w:val="en-US"/>
        </w:rPr>
      </w:pPr>
      <w:r w:rsidRPr="00CA441C">
        <w:rPr>
          <w:noProof/>
          <w:lang w:val="fr-FR" w:eastAsia="fr-FR"/>
        </w:rPr>
        <w:drawing>
          <wp:inline distT="0" distB="0" distL="0" distR="0">
            <wp:extent cx="6115050" cy="5724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4E" w:rsidRPr="00CA441C" w:rsidRDefault="00C8127E" w:rsidP="00313390">
      <w:pPr>
        <w:rPr>
          <w:lang w:val="en-US"/>
        </w:rPr>
      </w:pPr>
      <w:r w:rsidRPr="00CA441C">
        <w:rPr>
          <w:b/>
          <w:lang w:val="en-US"/>
        </w:rPr>
        <w:t>Figure E</w:t>
      </w:r>
      <w:r w:rsidR="00173CFD">
        <w:rPr>
          <w:b/>
          <w:lang w:val="en-US"/>
        </w:rPr>
        <w:t>6</w:t>
      </w:r>
      <w:r w:rsidRPr="00CA441C">
        <w:rPr>
          <w:b/>
          <w:lang w:val="en-US"/>
        </w:rPr>
        <w:t>.</w:t>
      </w:r>
      <w:r w:rsidR="0078194E" w:rsidRPr="00CA441C">
        <w:rPr>
          <w:b/>
          <w:lang w:val="en-US"/>
        </w:rPr>
        <w:t xml:space="preserve"> </w:t>
      </w:r>
      <w:proofErr w:type="gramStart"/>
      <w:r w:rsidR="0078194E" w:rsidRPr="00CA441C">
        <w:rPr>
          <w:b/>
          <w:lang w:val="en-US"/>
        </w:rPr>
        <w:t>Effect of prone positioning on recruitment among subgroups, in global and regional lung regions</w:t>
      </w:r>
      <w:r w:rsidR="0078194E" w:rsidRPr="00CA441C">
        <w:rPr>
          <w:lang w:val="en-US"/>
        </w:rPr>
        <w:t>.</w:t>
      </w:r>
      <w:proofErr w:type="gramEnd"/>
      <w:r w:rsidR="0078194E" w:rsidRPr="00CA441C">
        <w:rPr>
          <w:lang w:val="en-US"/>
        </w:rPr>
        <w:t xml:space="preserve"> E</w:t>
      </w:r>
      <w:r w:rsidR="0078194E" w:rsidRPr="00CA441C">
        <w:rPr>
          <w:vertAlign w:val="subscript"/>
          <w:lang w:val="en-US"/>
        </w:rPr>
        <w:t>RS</w:t>
      </w:r>
      <w:r w:rsidR="0078194E" w:rsidRPr="00CA441C">
        <w:rPr>
          <w:lang w:val="en-US"/>
        </w:rPr>
        <w:t xml:space="preserve">: respiratory system </w:t>
      </w:r>
      <w:proofErr w:type="spellStart"/>
      <w:r w:rsidR="0078194E" w:rsidRPr="00CA441C">
        <w:rPr>
          <w:lang w:val="en-US"/>
        </w:rPr>
        <w:t>elastance</w:t>
      </w:r>
      <w:proofErr w:type="spellEnd"/>
      <w:r w:rsidR="0078194E" w:rsidRPr="00CA441C">
        <w:rPr>
          <w:lang w:val="en-US"/>
        </w:rPr>
        <w:t>.</w:t>
      </w:r>
    </w:p>
    <w:sectPr w:rsidR="0078194E" w:rsidRPr="00CA441C" w:rsidSect="00313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E1" w:rsidRDefault="005A01E1" w:rsidP="0037459C">
      <w:pPr>
        <w:spacing w:after="0" w:line="240" w:lineRule="auto"/>
      </w:pPr>
      <w:r>
        <w:separator/>
      </w:r>
    </w:p>
  </w:endnote>
  <w:endnote w:type="continuationSeparator" w:id="0">
    <w:p w:rsidR="005A01E1" w:rsidRDefault="005A01E1" w:rsidP="0037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69916"/>
      <w:docPartObj>
        <w:docPartGallery w:val="Page Numbers (Bottom of Page)"/>
        <w:docPartUnique/>
      </w:docPartObj>
    </w:sdtPr>
    <w:sdtEndPr/>
    <w:sdtContent>
      <w:p w:rsidR="0037459C" w:rsidRDefault="003745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75">
          <w:rPr>
            <w:noProof/>
          </w:rPr>
          <w:t>9</w:t>
        </w:r>
        <w:r>
          <w:fldChar w:fldCharType="end"/>
        </w:r>
      </w:p>
    </w:sdtContent>
  </w:sdt>
  <w:p w:rsidR="0037459C" w:rsidRDefault="003745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FD" w:rsidRDefault="00173CFD">
    <w:pPr>
      <w:pStyle w:val="Pieddepage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3C7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E1" w:rsidRDefault="005A01E1" w:rsidP="0037459C">
      <w:pPr>
        <w:spacing w:after="0" w:line="240" w:lineRule="auto"/>
      </w:pPr>
      <w:r>
        <w:separator/>
      </w:r>
    </w:p>
  </w:footnote>
  <w:footnote w:type="continuationSeparator" w:id="0">
    <w:p w:rsidR="005A01E1" w:rsidRDefault="005A01E1" w:rsidP="0037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73A"/>
    <w:multiLevelType w:val="multilevel"/>
    <w:tmpl w:val="3154EFD2"/>
    <w:styleLink w:val="List0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Roman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lowerRoman"/>
      <w:lvlText w:val="%4."/>
      <w:lvlJc w:val="left"/>
      <w:rPr>
        <w:position w:val="0"/>
        <w:rtl w:val="0"/>
        <w:lang w:val="en-US"/>
      </w:rPr>
    </w:lvl>
    <w:lvl w:ilvl="4">
      <w:start w:val="1"/>
      <w:numFmt w:val="lowerRoman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lowerRoman"/>
      <w:lvlText w:val="%7."/>
      <w:lvlJc w:val="left"/>
      <w:rPr>
        <w:position w:val="0"/>
        <w:rtl w:val="0"/>
        <w:lang w:val="en-US"/>
      </w:rPr>
    </w:lvl>
    <w:lvl w:ilvl="7">
      <w:start w:val="1"/>
      <w:numFmt w:val="lowerRoman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0176C3"/>
    <w:rsid w:val="00025A7B"/>
    <w:rsid w:val="000425C3"/>
    <w:rsid w:val="000F0B36"/>
    <w:rsid w:val="001206F8"/>
    <w:rsid w:val="0017221C"/>
    <w:rsid w:val="00173CFD"/>
    <w:rsid w:val="0018597D"/>
    <w:rsid w:val="001B6C4F"/>
    <w:rsid w:val="001F6270"/>
    <w:rsid w:val="0023537D"/>
    <w:rsid w:val="002529C8"/>
    <w:rsid w:val="00265ABA"/>
    <w:rsid w:val="00273B92"/>
    <w:rsid w:val="002B124E"/>
    <w:rsid w:val="002C3606"/>
    <w:rsid w:val="002C5E59"/>
    <w:rsid w:val="002E1636"/>
    <w:rsid w:val="002E1A15"/>
    <w:rsid w:val="00313390"/>
    <w:rsid w:val="00314FC8"/>
    <w:rsid w:val="00344A3D"/>
    <w:rsid w:val="0037459C"/>
    <w:rsid w:val="00381BCA"/>
    <w:rsid w:val="003A3C32"/>
    <w:rsid w:val="003A691B"/>
    <w:rsid w:val="003C2273"/>
    <w:rsid w:val="003C4A2D"/>
    <w:rsid w:val="003C69D1"/>
    <w:rsid w:val="003E49B1"/>
    <w:rsid w:val="0043609E"/>
    <w:rsid w:val="00496B01"/>
    <w:rsid w:val="004B31DC"/>
    <w:rsid w:val="00584E65"/>
    <w:rsid w:val="00593B70"/>
    <w:rsid w:val="005951BD"/>
    <w:rsid w:val="00595E1B"/>
    <w:rsid w:val="005A01E1"/>
    <w:rsid w:val="005D354F"/>
    <w:rsid w:val="005D3F60"/>
    <w:rsid w:val="005F695C"/>
    <w:rsid w:val="00606301"/>
    <w:rsid w:val="00633871"/>
    <w:rsid w:val="00664BCB"/>
    <w:rsid w:val="006942FF"/>
    <w:rsid w:val="006B75A1"/>
    <w:rsid w:val="006F4A36"/>
    <w:rsid w:val="006F666F"/>
    <w:rsid w:val="00703835"/>
    <w:rsid w:val="00746477"/>
    <w:rsid w:val="0076705B"/>
    <w:rsid w:val="0078194E"/>
    <w:rsid w:val="007C791C"/>
    <w:rsid w:val="0080487A"/>
    <w:rsid w:val="00821BEF"/>
    <w:rsid w:val="0082744B"/>
    <w:rsid w:val="008726DB"/>
    <w:rsid w:val="00884824"/>
    <w:rsid w:val="00892AF8"/>
    <w:rsid w:val="008A1442"/>
    <w:rsid w:val="008C026C"/>
    <w:rsid w:val="008E2D88"/>
    <w:rsid w:val="008F415D"/>
    <w:rsid w:val="00907537"/>
    <w:rsid w:val="00930E87"/>
    <w:rsid w:val="0095103D"/>
    <w:rsid w:val="0096614C"/>
    <w:rsid w:val="0097121C"/>
    <w:rsid w:val="009729AE"/>
    <w:rsid w:val="009A0C24"/>
    <w:rsid w:val="009B10B3"/>
    <w:rsid w:val="009B6050"/>
    <w:rsid w:val="009C05B5"/>
    <w:rsid w:val="009E6B89"/>
    <w:rsid w:val="00A16789"/>
    <w:rsid w:val="00A42B00"/>
    <w:rsid w:val="00A61E49"/>
    <w:rsid w:val="00A6650D"/>
    <w:rsid w:val="00AC3EF4"/>
    <w:rsid w:val="00AD6A98"/>
    <w:rsid w:val="00AD7625"/>
    <w:rsid w:val="00B27EA4"/>
    <w:rsid w:val="00BC4D72"/>
    <w:rsid w:val="00BF05C0"/>
    <w:rsid w:val="00C67D10"/>
    <w:rsid w:val="00C8127E"/>
    <w:rsid w:val="00C85D1B"/>
    <w:rsid w:val="00CA441C"/>
    <w:rsid w:val="00CD0823"/>
    <w:rsid w:val="00CE3C75"/>
    <w:rsid w:val="00CE4F23"/>
    <w:rsid w:val="00D32098"/>
    <w:rsid w:val="00D63D4C"/>
    <w:rsid w:val="00DC4596"/>
    <w:rsid w:val="00DE1D4E"/>
    <w:rsid w:val="00E05C4D"/>
    <w:rsid w:val="00E94E9A"/>
    <w:rsid w:val="00EA33E0"/>
    <w:rsid w:val="00EB6FAB"/>
    <w:rsid w:val="00ED48C7"/>
    <w:rsid w:val="00FC57D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1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630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01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06301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630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063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6301"/>
    <w:rPr>
      <w:rFonts w:ascii="Times New Roman" w:eastAsiaTheme="majorEastAsia" w:hAnsi="Times New Roman" w:cstheme="majorBidi"/>
      <w:i/>
      <w:sz w:val="24"/>
      <w:szCs w:val="26"/>
    </w:rPr>
  </w:style>
  <w:style w:type="table" w:styleId="Grilledutableau">
    <w:name w:val="Table Grid"/>
    <w:basedOn w:val="TableauNormal"/>
    <w:uiPriority w:val="39"/>
    <w:rsid w:val="0063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F0B3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Paragraphedeliste">
    <w:name w:val="List Paragraph"/>
    <w:rsid w:val="00664BC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72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List0">
    <w:name w:val="List 0"/>
    <w:basedOn w:val="Aucuneliste"/>
    <w:rsid w:val="00664BCB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7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59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37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59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1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630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301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06301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630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063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6301"/>
    <w:rPr>
      <w:rFonts w:ascii="Times New Roman" w:eastAsiaTheme="majorEastAsia" w:hAnsi="Times New Roman" w:cstheme="majorBidi"/>
      <w:i/>
      <w:sz w:val="24"/>
      <w:szCs w:val="26"/>
    </w:rPr>
  </w:style>
  <w:style w:type="table" w:styleId="Grilledutableau">
    <w:name w:val="Table Grid"/>
    <w:basedOn w:val="TableauNormal"/>
    <w:uiPriority w:val="39"/>
    <w:rsid w:val="0063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F0B3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Paragraphedeliste">
    <w:name w:val="List Paragraph"/>
    <w:rsid w:val="00664BC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72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numbering" w:customStyle="1" w:styleId="List0">
    <w:name w:val="List 0"/>
    <w:basedOn w:val="Aucuneliste"/>
    <w:rsid w:val="00664BCB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7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59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37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59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FF11-6727-4C8C-A9F1-B5C49893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remplacant rea</cp:lastModifiedBy>
  <cp:revision>5</cp:revision>
  <dcterms:created xsi:type="dcterms:W3CDTF">2021-09-08T09:29:00Z</dcterms:created>
  <dcterms:modified xsi:type="dcterms:W3CDTF">2021-09-09T18:30:00Z</dcterms:modified>
</cp:coreProperties>
</file>