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460BF" w14:textId="77777777" w:rsidR="006E087E" w:rsidRDefault="006E087E" w:rsidP="006E087E">
      <w:pP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SUPPLEMENTAL DIGITAL CONTENTS</w:t>
      </w:r>
    </w:p>
    <w:p w14:paraId="1280490B" w14:textId="77777777" w:rsidR="006E087E" w:rsidRDefault="006E087E" w:rsidP="006E087E">
      <w:pPr>
        <w:spacing w:line="240" w:lineRule="auto"/>
        <w:rPr>
          <w:rFonts w:ascii="Times New Roman" w:eastAsia="Times New Roman" w:hAnsi="Times New Roman" w:cs="Times New Roman"/>
          <w:b/>
          <w:sz w:val="24"/>
          <w:szCs w:val="24"/>
          <w:highlight w:val="white"/>
        </w:rPr>
      </w:pPr>
    </w:p>
    <w:p w14:paraId="5E7EF3AD" w14:textId="77777777" w:rsidR="006E087E" w:rsidRDefault="006E087E" w:rsidP="006E087E">
      <w:pPr>
        <w:spacing w:line="240" w:lineRule="auto"/>
        <w:rPr>
          <w:rFonts w:ascii="Times New Roman" w:eastAsia="Times New Roman" w:hAnsi="Times New Roman" w:cs="Times New Roman"/>
          <w:b/>
          <w:sz w:val="24"/>
          <w:szCs w:val="24"/>
          <w:highlight w:val="white"/>
        </w:rPr>
      </w:pPr>
      <w:bookmarkStart w:id="0" w:name="bookmark=kix.x7cwukim21n3" w:colFirst="0" w:colLast="0"/>
      <w:bookmarkEnd w:id="0"/>
      <w:r>
        <w:rPr>
          <w:rFonts w:ascii="Times New Roman" w:eastAsia="Times New Roman" w:hAnsi="Times New Roman" w:cs="Times New Roman"/>
          <w:b/>
          <w:sz w:val="24"/>
          <w:szCs w:val="24"/>
          <w:highlight w:val="white"/>
        </w:rPr>
        <w:t>Table of Contents</w:t>
      </w:r>
    </w:p>
    <w:p w14:paraId="47571508" w14:textId="77777777" w:rsidR="006E087E" w:rsidRDefault="006E087E" w:rsidP="006E087E">
      <w:pPr>
        <w:spacing w:line="240" w:lineRule="auto"/>
        <w:rPr>
          <w:rFonts w:ascii="Times New Roman" w:eastAsia="Times New Roman" w:hAnsi="Times New Roman" w:cs="Times New Roman"/>
          <w:b/>
          <w:sz w:val="24"/>
          <w:szCs w:val="24"/>
          <w:highlight w:val="white"/>
        </w:rPr>
      </w:pPr>
    </w:p>
    <w:p w14:paraId="72CE9DEF" w14:textId="77777777" w:rsidR="006E087E" w:rsidRDefault="008E2347" w:rsidP="006E087E">
      <w:pPr>
        <w:spacing w:line="240" w:lineRule="auto"/>
        <w:rPr>
          <w:rFonts w:ascii="Times New Roman" w:eastAsia="Times New Roman" w:hAnsi="Times New Roman" w:cs="Times New Roman"/>
          <w:sz w:val="24"/>
          <w:szCs w:val="24"/>
          <w:highlight w:val="white"/>
        </w:rPr>
      </w:pPr>
      <w:hyperlink w:anchor="bookmark=id.8aww77489xgh">
        <w:r w:rsidR="006E087E">
          <w:rPr>
            <w:rFonts w:ascii="Times New Roman" w:eastAsia="Times New Roman" w:hAnsi="Times New Roman" w:cs="Times New Roman"/>
            <w:color w:val="1155CC"/>
            <w:sz w:val="24"/>
            <w:szCs w:val="24"/>
            <w:highlight w:val="white"/>
            <w:u w:val="single"/>
          </w:rPr>
          <w:t>1. Panel Membership and Communications</w:t>
        </w:r>
      </w:hyperlink>
    </w:p>
    <w:p w14:paraId="7B8DC558" w14:textId="77777777" w:rsidR="006E087E" w:rsidRDefault="008E2347" w:rsidP="006E087E">
      <w:pPr>
        <w:spacing w:line="240" w:lineRule="auto"/>
        <w:rPr>
          <w:rFonts w:ascii="Times New Roman" w:eastAsia="Times New Roman" w:hAnsi="Times New Roman" w:cs="Times New Roman"/>
          <w:sz w:val="24"/>
          <w:szCs w:val="24"/>
          <w:highlight w:val="white"/>
        </w:rPr>
      </w:pPr>
      <w:hyperlink w:anchor="bookmark=kix.1eur4wivc75">
        <w:r w:rsidR="006E087E">
          <w:rPr>
            <w:rFonts w:ascii="Times New Roman" w:eastAsia="Times New Roman" w:hAnsi="Times New Roman" w:cs="Times New Roman"/>
            <w:color w:val="0000FF"/>
            <w:sz w:val="24"/>
            <w:szCs w:val="24"/>
            <w:highlight w:val="white"/>
            <w:u w:val="single"/>
          </w:rPr>
          <w:t>2. Conflict of Interest Management</w:t>
        </w:r>
      </w:hyperlink>
    </w:p>
    <w:p w14:paraId="08D8B3FD" w14:textId="77777777" w:rsidR="006E087E" w:rsidRDefault="008E2347" w:rsidP="006E087E">
      <w:pPr>
        <w:spacing w:line="240" w:lineRule="auto"/>
        <w:rPr>
          <w:rFonts w:ascii="Times New Roman" w:eastAsia="Times New Roman" w:hAnsi="Times New Roman" w:cs="Times New Roman"/>
          <w:sz w:val="24"/>
          <w:szCs w:val="24"/>
          <w:highlight w:val="white"/>
        </w:rPr>
      </w:pPr>
      <w:hyperlink w:anchor="bookmark=kix.o75urtvefmwl">
        <w:r w:rsidR="006E087E">
          <w:rPr>
            <w:rFonts w:ascii="Times New Roman" w:eastAsia="Times New Roman" w:hAnsi="Times New Roman" w:cs="Times New Roman"/>
            <w:color w:val="0000FF"/>
            <w:sz w:val="24"/>
            <w:szCs w:val="24"/>
            <w:highlight w:val="white"/>
            <w:u w:val="single"/>
          </w:rPr>
          <w:t>3. Scope and PICO Questions</w:t>
        </w:r>
      </w:hyperlink>
    </w:p>
    <w:p w14:paraId="7C7D9D7D" w14:textId="77777777" w:rsidR="006E087E" w:rsidRDefault="008E2347" w:rsidP="006E087E">
      <w:pPr>
        <w:spacing w:line="240" w:lineRule="auto"/>
        <w:rPr>
          <w:rFonts w:ascii="Times New Roman" w:eastAsia="Times New Roman" w:hAnsi="Times New Roman" w:cs="Times New Roman"/>
          <w:sz w:val="24"/>
          <w:szCs w:val="24"/>
        </w:rPr>
      </w:pPr>
      <w:hyperlink w:anchor="bookmark=kix.777r4tuvdpj">
        <w:r w:rsidR="006E087E">
          <w:rPr>
            <w:rFonts w:ascii="Times New Roman" w:eastAsia="Times New Roman" w:hAnsi="Times New Roman" w:cs="Times New Roman"/>
            <w:color w:val="0000FF"/>
            <w:sz w:val="24"/>
            <w:szCs w:val="24"/>
            <w:u w:val="single"/>
          </w:rPr>
          <w:t>4. Outcome Prioritization</w:t>
        </w:r>
      </w:hyperlink>
    </w:p>
    <w:p w14:paraId="7A0FC788" w14:textId="77777777" w:rsidR="006E087E" w:rsidRDefault="008E2347" w:rsidP="006E087E">
      <w:pPr>
        <w:spacing w:line="240" w:lineRule="auto"/>
        <w:rPr>
          <w:rFonts w:ascii="Times New Roman" w:eastAsia="Times New Roman" w:hAnsi="Times New Roman" w:cs="Times New Roman"/>
          <w:sz w:val="24"/>
          <w:szCs w:val="24"/>
        </w:rPr>
      </w:pPr>
      <w:hyperlink w:anchor="bookmark=kix.uszkfupk1tg7">
        <w:r w:rsidR="006E087E">
          <w:rPr>
            <w:rFonts w:ascii="Times New Roman" w:eastAsia="Times New Roman" w:hAnsi="Times New Roman" w:cs="Times New Roman"/>
            <w:color w:val="0000FF"/>
            <w:sz w:val="24"/>
            <w:szCs w:val="24"/>
            <w:u w:val="single"/>
          </w:rPr>
          <w:t>5. Literature Search Strategy</w:t>
        </w:r>
      </w:hyperlink>
    </w:p>
    <w:p w14:paraId="4A66A7D0" w14:textId="77777777" w:rsidR="006E087E" w:rsidRDefault="008E2347" w:rsidP="006E087E">
      <w:pPr>
        <w:spacing w:line="240" w:lineRule="auto"/>
        <w:rPr>
          <w:rFonts w:ascii="Times New Roman" w:eastAsia="Times New Roman" w:hAnsi="Times New Roman" w:cs="Times New Roman"/>
          <w:sz w:val="24"/>
          <w:szCs w:val="24"/>
        </w:rPr>
      </w:pPr>
      <w:hyperlink w:anchor="bookmark=kix.eqmzzc15cv7v">
        <w:r w:rsidR="006E087E">
          <w:rPr>
            <w:rFonts w:ascii="Times New Roman" w:eastAsia="Times New Roman" w:hAnsi="Times New Roman" w:cs="Times New Roman"/>
            <w:color w:val="0000FF"/>
            <w:sz w:val="24"/>
            <w:szCs w:val="24"/>
            <w:u w:val="single"/>
          </w:rPr>
          <w:t>6. Systematic Review and Data Synthesis</w:t>
        </w:r>
      </w:hyperlink>
    </w:p>
    <w:p w14:paraId="5F40B6B2" w14:textId="77777777" w:rsidR="006E087E" w:rsidRDefault="008E2347" w:rsidP="006E087E">
      <w:pPr>
        <w:spacing w:line="240" w:lineRule="auto"/>
        <w:rPr>
          <w:rFonts w:ascii="Times New Roman" w:eastAsia="Times New Roman" w:hAnsi="Times New Roman" w:cs="Times New Roman"/>
          <w:sz w:val="24"/>
          <w:szCs w:val="24"/>
        </w:rPr>
      </w:pPr>
      <w:hyperlink w:anchor="bookmark=kix.8lqyhd4twljb">
        <w:r w:rsidR="006E087E">
          <w:rPr>
            <w:rFonts w:ascii="Times New Roman" w:eastAsia="Times New Roman" w:hAnsi="Times New Roman" w:cs="Times New Roman"/>
            <w:color w:val="0000FF"/>
            <w:sz w:val="24"/>
            <w:szCs w:val="24"/>
            <w:u w:val="single"/>
          </w:rPr>
          <w:t>7. GRADE Methodology</w:t>
        </w:r>
      </w:hyperlink>
    </w:p>
    <w:p w14:paraId="50ADA63A" w14:textId="77777777" w:rsidR="006E087E" w:rsidRDefault="008E2347" w:rsidP="006E087E">
      <w:pPr>
        <w:spacing w:line="240" w:lineRule="auto"/>
        <w:rPr>
          <w:rFonts w:ascii="Times New Roman" w:eastAsia="Times New Roman" w:hAnsi="Times New Roman" w:cs="Times New Roman"/>
          <w:sz w:val="24"/>
          <w:szCs w:val="24"/>
        </w:rPr>
      </w:pPr>
      <w:hyperlink w:anchor="bookmark=id.pl3xvq27ujen">
        <w:r w:rsidR="006E087E">
          <w:rPr>
            <w:rFonts w:ascii="Times New Roman" w:eastAsia="Times New Roman" w:hAnsi="Times New Roman" w:cs="Times New Roman"/>
            <w:color w:val="1155CC"/>
            <w:sz w:val="24"/>
            <w:szCs w:val="24"/>
            <w:u w:val="single"/>
          </w:rPr>
          <w:t>8. Good Practice Statements</w:t>
        </w:r>
      </w:hyperlink>
    </w:p>
    <w:p w14:paraId="30CED790" w14:textId="77777777" w:rsidR="006E087E" w:rsidRDefault="008E2347" w:rsidP="006E087E">
      <w:pPr>
        <w:spacing w:line="240" w:lineRule="auto"/>
        <w:rPr>
          <w:rFonts w:ascii="Times New Roman" w:eastAsia="Times New Roman" w:hAnsi="Times New Roman" w:cs="Times New Roman"/>
          <w:sz w:val="24"/>
          <w:szCs w:val="24"/>
        </w:rPr>
      </w:pPr>
      <w:hyperlink w:anchor="bookmark=kix.fub0l6obt9wr">
        <w:r w:rsidR="006E087E">
          <w:rPr>
            <w:rFonts w:ascii="Times New Roman" w:eastAsia="Times New Roman" w:hAnsi="Times New Roman" w:cs="Times New Roman"/>
            <w:color w:val="0000FF"/>
            <w:sz w:val="24"/>
            <w:szCs w:val="24"/>
            <w:u w:val="single"/>
          </w:rPr>
          <w:t>9. Final Voting Process</w:t>
        </w:r>
      </w:hyperlink>
    </w:p>
    <w:p w14:paraId="0A3076A6" w14:textId="77777777" w:rsidR="006E087E" w:rsidRDefault="008E2347" w:rsidP="006E087E">
      <w:pPr>
        <w:spacing w:line="240" w:lineRule="auto"/>
        <w:rPr>
          <w:rFonts w:ascii="Times New Roman" w:eastAsia="Times New Roman" w:hAnsi="Times New Roman" w:cs="Times New Roman"/>
          <w:sz w:val="24"/>
          <w:szCs w:val="24"/>
        </w:rPr>
      </w:pPr>
      <w:hyperlink w:anchor="bookmark=id.el50uiibwe62">
        <w:r w:rsidR="006E087E">
          <w:rPr>
            <w:rFonts w:ascii="Times New Roman" w:eastAsia="Times New Roman" w:hAnsi="Times New Roman" w:cs="Times New Roman"/>
            <w:color w:val="1155CC"/>
            <w:sz w:val="24"/>
            <w:szCs w:val="24"/>
            <w:u w:val="single"/>
          </w:rPr>
          <w:t>10. Evidence profiles and forest plots</w:t>
        </w:r>
      </w:hyperlink>
    </w:p>
    <w:p w14:paraId="00446ECA" w14:textId="77777777" w:rsidR="006E087E" w:rsidRDefault="006E087E" w:rsidP="006E087E">
      <w:pPr>
        <w:spacing w:line="240" w:lineRule="auto"/>
        <w:rPr>
          <w:rFonts w:ascii="Times New Roman" w:eastAsia="Times New Roman" w:hAnsi="Times New Roman" w:cs="Times New Roman"/>
          <w:sz w:val="24"/>
          <w:szCs w:val="24"/>
        </w:rPr>
      </w:pPr>
    </w:p>
    <w:p w14:paraId="5C5ADC80" w14:textId="77777777" w:rsidR="006E087E" w:rsidRDefault="006E087E" w:rsidP="006E087E">
      <w:pPr>
        <w:spacing w:line="240" w:lineRule="auto"/>
        <w:rPr>
          <w:rFonts w:ascii="Times New Roman" w:eastAsia="Times New Roman" w:hAnsi="Times New Roman" w:cs="Times New Roman"/>
          <w:sz w:val="24"/>
          <w:szCs w:val="24"/>
        </w:rPr>
      </w:pPr>
    </w:p>
    <w:p w14:paraId="24C9FF48" w14:textId="77777777" w:rsidR="006E087E" w:rsidRDefault="006E087E" w:rsidP="006E087E">
      <w:pPr>
        <w:spacing w:line="240" w:lineRule="auto"/>
        <w:rPr>
          <w:rFonts w:ascii="Times New Roman" w:eastAsia="Times New Roman" w:hAnsi="Times New Roman" w:cs="Times New Roman"/>
          <w:sz w:val="24"/>
          <w:szCs w:val="24"/>
        </w:rPr>
      </w:pPr>
    </w:p>
    <w:p w14:paraId="74533AC7" w14:textId="77777777" w:rsidR="006E087E" w:rsidRDefault="006E087E" w:rsidP="006E087E">
      <w:pPr>
        <w:spacing w:line="240" w:lineRule="auto"/>
        <w:rPr>
          <w:rFonts w:ascii="Times New Roman" w:eastAsia="Times New Roman" w:hAnsi="Times New Roman" w:cs="Times New Roman"/>
          <w:sz w:val="24"/>
          <w:szCs w:val="24"/>
        </w:rPr>
      </w:pPr>
    </w:p>
    <w:p w14:paraId="3802EB64" w14:textId="77777777" w:rsidR="006E087E" w:rsidRDefault="006E087E" w:rsidP="006E087E">
      <w:pPr>
        <w:spacing w:line="240" w:lineRule="auto"/>
        <w:rPr>
          <w:rFonts w:ascii="Times New Roman" w:eastAsia="Times New Roman" w:hAnsi="Times New Roman" w:cs="Times New Roman"/>
          <w:sz w:val="24"/>
          <w:szCs w:val="24"/>
        </w:rPr>
      </w:pPr>
    </w:p>
    <w:p w14:paraId="630D21FC" w14:textId="77777777" w:rsidR="006E087E" w:rsidRDefault="006E087E" w:rsidP="006E087E">
      <w:pPr>
        <w:spacing w:line="240" w:lineRule="auto"/>
        <w:rPr>
          <w:rFonts w:ascii="Times New Roman" w:eastAsia="Times New Roman" w:hAnsi="Times New Roman" w:cs="Times New Roman"/>
          <w:sz w:val="24"/>
          <w:szCs w:val="24"/>
        </w:rPr>
      </w:pPr>
    </w:p>
    <w:p w14:paraId="09DDA567" w14:textId="77777777" w:rsidR="006E087E" w:rsidRDefault="006E087E" w:rsidP="006E087E">
      <w:pPr>
        <w:spacing w:line="240" w:lineRule="auto"/>
        <w:rPr>
          <w:rFonts w:ascii="Times New Roman" w:eastAsia="Times New Roman" w:hAnsi="Times New Roman" w:cs="Times New Roman"/>
          <w:sz w:val="24"/>
          <w:szCs w:val="24"/>
        </w:rPr>
      </w:pPr>
    </w:p>
    <w:p w14:paraId="171F26A1" w14:textId="77777777" w:rsidR="006E087E" w:rsidRDefault="006E087E" w:rsidP="006E087E">
      <w:pPr>
        <w:spacing w:line="240" w:lineRule="auto"/>
        <w:rPr>
          <w:rFonts w:ascii="Times New Roman" w:eastAsia="Times New Roman" w:hAnsi="Times New Roman" w:cs="Times New Roman"/>
          <w:sz w:val="24"/>
          <w:szCs w:val="24"/>
        </w:rPr>
      </w:pPr>
    </w:p>
    <w:p w14:paraId="2119A989" w14:textId="77777777" w:rsidR="006E087E" w:rsidRDefault="006E087E" w:rsidP="006E087E">
      <w:pPr>
        <w:spacing w:line="240" w:lineRule="auto"/>
        <w:rPr>
          <w:rFonts w:ascii="Times New Roman" w:eastAsia="Times New Roman" w:hAnsi="Times New Roman" w:cs="Times New Roman"/>
          <w:sz w:val="24"/>
          <w:szCs w:val="24"/>
        </w:rPr>
      </w:pPr>
    </w:p>
    <w:p w14:paraId="7089A556" w14:textId="77777777" w:rsidR="006E087E" w:rsidRDefault="006E087E" w:rsidP="006E087E">
      <w:pPr>
        <w:spacing w:line="240" w:lineRule="auto"/>
        <w:rPr>
          <w:rFonts w:ascii="Times New Roman" w:eastAsia="Times New Roman" w:hAnsi="Times New Roman" w:cs="Times New Roman"/>
          <w:sz w:val="24"/>
          <w:szCs w:val="24"/>
        </w:rPr>
      </w:pPr>
    </w:p>
    <w:p w14:paraId="6B98D9C3" w14:textId="77777777" w:rsidR="006E087E" w:rsidRDefault="006E087E" w:rsidP="006E087E">
      <w:pPr>
        <w:spacing w:line="240" w:lineRule="auto"/>
        <w:rPr>
          <w:rFonts w:ascii="Times New Roman" w:eastAsia="Times New Roman" w:hAnsi="Times New Roman" w:cs="Times New Roman"/>
          <w:sz w:val="24"/>
          <w:szCs w:val="24"/>
        </w:rPr>
      </w:pPr>
    </w:p>
    <w:p w14:paraId="61E7020D" w14:textId="77777777" w:rsidR="006E087E" w:rsidRDefault="006E087E" w:rsidP="006E087E">
      <w:pPr>
        <w:spacing w:line="240" w:lineRule="auto"/>
        <w:rPr>
          <w:rFonts w:ascii="Times New Roman" w:eastAsia="Times New Roman" w:hAnsi="Times New Roman" w:cs="Times New Roman"/>
          <w:sz w:val="24"/>
          <w:szCs w:val="24"/>
        </w:rPr>
      </w:pPr>
    </w:p>
    <w:p w14:paraId="7646A26F" w14:textId="77777777" w:rsidR="006E087E" w:rsidRDefault="006E087E" w:rsidP="006E087E">
      <w:pPr>
        <w:spacing w:line="240" w:lineRule="auto"/>
        <w:rPr>
          <w:rFonts w:ascii="Times New Roman" w:eastAsia="Times New Roman" w:hAnsi="Times New Roman" w:cs="Times New Roman"/>
          <w:sz w:val="24"/>
          <w:szCs w:val="24"/>
        </w:rPr>
      </w:pPr>
    </w:p>
    <w:p w14:paraId="0ED263E1" w14:textId="77777777" w:rsidR="006E087E" w:rsidRDefault="006E087E" w:rsidP="006E087E">
      <w:pPr>
        <w:spacing w:line="240" w:lineRule="auto"/>
        <w:rPr>
          <w:rFonts w:ascii="Times New Roman" w:eastAsia="Times New Roman" w:hAnsi="Times New Roman" w:cs="Times New Roman"/>
          <w:sz w:val="24"/>
          <w:szCs w:val="24"/>
        </w:rPr>
      </w:pPr>
    </w:p>
    <w:p w14:paraId="384E636A" w14:textId="77777777" w:rsidR="006E087E" w:rsidRDefault="006E087E" w:rsidP="006E087E">
      <w:pPr>
        <w:spacing w:line="240" w:lineRule="auto"/>
        <w:rPr>
          <w:rFonts w:ascii="Times New Roman" w:eastAsia="Times New Roman" w:hAnsi="Times New Roman" w:cs="Times New Roman"/>
          <w:sz w:val="24"/>
          <w:szCs w:val="24"/>
        </w:rPr>
      </w:pPr>
    </w:p>
    <w:p w14:paraId="3248A796" w14:textId="77777777" w:rsidR="006E087E" w:rsidRDefault="006E087E" w:rsidP="006E087E">
      <w:pPr>
        <w:spacing w:line="240" w:lineRule="auto"/>
        <w:rPr>
          <w:rFonts w:ascii="Times New Roman" w:eastAsia="Times New Roman" w:hAnsi="Times New Roman" w:cs="Times New Roman"/>
          <w:sz w:val="24"/>
          <w:szCs w:val="24"/>
        </w:rPr>
      </w:pPr>
    </w:p>
    <w:p w14:paraId="2851E34F" w14:textId="77777777" w:rsidR="006E087E" w:rsidRDefault="006E087E" w:rsidP="006E087E">
      <w:pPr>
        <w:spacing w:line="240" w:lineRule="auto"/>
        <w:rPr>
          <w:rFonts w:ascii="Times New Roman" w:eastAsia="Times New Roman" w:hAnsi="Times New Roman" w:cs="Times New Roman"/>
          <w:sz w:val="24"/>
          <w:szCs w:val="24"/>
        </w:rPr>
      </w:pPr>
    </w:p>
    <w:p w14:paraId="688A21EB" w14:textId="77777777" w:rsidR="006E087E" w:rsidRDefault="006E087E" w:rsidP="006E087E">
      <w:pPr>
        <w:spacing w:line="240" w:lineRule="auto"/>
        <w:rPr>
          <w:rFonts w:ascii="Times New Roman" w:eastAsia="Times New Roman" w:hAnsi="Times New Roman" w:cs="Times New Roman"/>
          <w:sz w:val="24"/>
          <w:szCs w:val="24"/>
        </w:rPr>
      </w:pPr>
    </w:p>
    <w:p w14:paraId="16441482" w14:textId="77777777" w:rsidR="006E087E" w:rsidRDefault="006E087E" w:rsidP="006E087E">
      <w:pPr>
        <w:spacing w:line="240" w:lineRule="auto"/>
        <w:rPr>
          <w:rFonts w:ascii="Times New Roman" w:eastAsia="Times New Roman" w:hAnsi="Times New Roman" w:cs="Times New Roman"/>
          <w:sz w:val="24"/>
          <w:szCs w:val="24"/>
        </w:rPr>
      </w:pPr>
    </w:p>
    <w:p w14:paraId="4CD3746D" w14:textId="77777777" w:rsidR="006E087E" w:rsidRDefault="006E087E" w:rsidP="006E087E">
      <w:pPr>
        <w:spacing w:line="240" w:lineRule="auto"/>
        <w:rPr>
          <w:rFonts w:ascii="Times New Roman" w:eastAsia="Times New Roman" w:hAnsi="Times New Roman" w:cs="Times New Roman"/>
          <w:sz w:val="24"/>
          <w:szCs w:val="24"/>
        </w:rPr>
      </w:pPr>
    </w:p>
    <w:p w14:paraId="67265216" w14:textId="77777777" w:rsidR="006E087E" w:rsidRDefault="006E087E" w:rsidP="006E087E">
      <w:pPr>
        <w:spacing w:line="240" w:lineRule="auto"/>
        <w:rPr>
          <w:rFonts w:ascii="Times New Roman" w:eastAsia="Times New Roman" w:hAnsi="Times New Roman" w:cs="Times New Roman"/>
          <w:sz w:val="24"/>
          <w:szCs w:val="24"/>
        </w:rPr>
      </w:pPr>
    </w:p>
    <w:p w14:paraId="442803B0" w14:textId="77777777" w:rsidR="006E087E" w:rsidRDefault="006E087E" w:rsidP="006E087E">
      <w:pPr>
        <w:spacing w:line="240" w:lineRule="auto"/>
        <w:rPr>
          <w:rFonts w:ascii="Times New Roman" w:eastAsia="Times New Roman" w:hAnsi="Times New Roman" w:cs="Times New Roman"/>
          <w:sz w:val="24"/>
          <w:szCs w:val="24"/>
        </w:rPr>
      </w:pPr>
    </w:p>
    <w:p w14:paraId="4E224DC7" w14:textId="77777777" w:rsidR="006E087E" w:rsidRDefault="006E087E" w:rsidP="006E087E">
      <w:pPr>
        <w:spacing w:line="240" w:lineRule="auto"/>
        <w:rPr>
          <w:rFonts w:ascii="Times New Roman" w:eastAsia="Times New Roman" w:hAnsi="Times New Roman" w:cs="Times New Roman"/>
          <w:sz w:val="24"/>
          <w:szCs w:val="24"/>
        </w:rPr>
      </w:pPr>
    </w:p>
    <w:p w14:paraId="150EB924" w14:textId="77777777" w:rsidR="006E087E" w:rsidRDefault="006E087E" w:rsidP="006E087E">
      <w:pPr>
        <w:spacing w:line="240" w:lineRule="auto"/>
        <w:rPr>
          <w:rFonts w:ascii="Times New Roman" w:eastAsia="Times New Roman" w:hAnsi="Times New Roman" w:cs="Times New Roman"/>
          <w:sz w:val="24"/>
          <w:szCs w:val="24"/>
        </w:rPr>
      </w:pPr>
    </w:p>
    <w:p w14:paraId="70E1587E" w14:textId="77777777" w:rsidR="006E087E" w:rsidRDefault="006E087E" w:rsidP="006E087E">
      <w:pPr>
        <w:spacing w:line="240" w:lineRule="auto"/>
        <w:rPr>
          <w:rFonts w:ascii="Times New Roman" w:eastAsia="Times New Roman" w:hAnsi="Times New Roman" w:cs="Times New Roman"/>
          <w:b/>
          <w:sz w:val="24"/>
          <w:szCs w:val="24"/>
        </w:rPr>
      </w:pPr>
      <w:r>
        <w:br w:type="page"/>
      </w:r>
    </w:p>
    <w:p w14:paraId="100CBF61" w14:textId="77777777" w:rsidR="006E087E" w:rsidRDefault="006E087E" w:rsidP="006E087E">
      <w:pPr>
        <w:spacing w:line="240" w:lineRule="auto"/>
        <w:rPr>
          <w:rFonts w:ascii="Times New Roman" w:eastAsia="Times New Roman" w:hAnsi="Times New Roman" w:cs="Times New Roman"/>
          <w:b/>
          <w:sz w:val="24"/>
          <w:szCs w:val="24"/>
        </w:rPr>
      </w:pPr>
      <w:bookmarkStart w:id="1" w:name="bookmark=id.8aww77489xgh" w:colFirst="0" w:colLast="0"/>
      <w:bookmarkEnd w:id="1"/>
      <w:r>
        <w:rPr>
          <w:rFonts w:ascii="Times New Roman" w:eastAsia="Times New Roman" w:hAnsi="Times New Roman" w:cs="Times New Roman"/>
          <w:b/>
          <w:sz w:val="24"/>
          <w:szCs w:val="24"/>
        </w:rPr>
        <w:lastRenderedPageBreak/>
        <w:t>Supplemental Digital Content 1. Panel Membership and Communications</w:t>
      </w:r>
    </w:p>
    <w:p w14:paraId="5416AB67" w14:textId="77777777" w:rsidR="006E087E" w:rsidRDefault="006E087E" w:rsidP="006E087E">
      <w:pPr>
        <w:spacing w:line="240" w:lineRule="auto"/>
        <w:rPr>
          <w:rFonts w:ascii="Times New Roman" w:eastAsia="Times New Roman" w:hAnsi="Times New Roman" w:cs="Times New Roman"/>
          <w:b/>
          <w:sz w:val="24"/>
          <w:szCs w:val="24"/>
        </w:rPr>
      </w:pPr>
    </w:p>
    <w:p w14:paraId="04BA6CFB" w14:textId="77777777" w:rsidR="006E087E" w:rsidRDefault="006E087E" w:rsidP="006E087E">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Selection of guideline leadership</w:t>
      </w:r>
    </w:p>
    <w:p w14:paraId="7EF3957F"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 leadership consisted of co-chairs (FS, RW) and co-vice-chairs (DP, GL), supported by two clinician-methodologists from the GUIDE group at McMaster University (KH, BR). Selection of the leadership for this guideline and all others is the responsibility of the Society of Critical Care Medicine (SCCM) Board of Regents (BOR). The BOR follows the rules provided in the SCCM guidelines Standard Operating Procedures Manual (SOP) which is that the BOR identifies two chairs and two co-vice chair subject matter experts for each SCCM-approved guideline. There was a due consideration for diversity, equity and inclusion in the process and particular attention is paid to assuring that expertise is evaluated via submission of the Curriculum Vitae of each candidate. The BOR reviewed declared conflicts of interest (COI) for adjudication prior to appointment using the SCCM COI system.</w:t>
      </w:r>
    </w:p>
    <w:p w14:paraId="61BB31CE" w14:textId="77777777" w:rsidR="006E087E" w:rsidRDefault="006E087E" w:rsidP="006E087E">
      <w:pPr>
        <w:spacing w:line="240" w:lineRule="auto"/>
        <w:rPr>
          <w:rFonts w:ascii="Times New Roman" w:eastAsia="Times New Roman" w:hAnsi="Times New Roman" w:cs="Times New Roman"/>
          <w:sz w:val="24"/>
          <w:szCs w:val="24"/>
        </w:rPr>
      </w:pPr>
    </w:p>
    <w:p w14:paraId="657291A9" w14:textId="77777777" w:rsidR="006E087E" w:rsidRDefault="006E087E" w:rsidP="006E087E">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Selection of panelists</w:t>
      </w:r>
    </w:p>
    <w:p w14:paraId="774AFAD3"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interdisciplinary panel o</w:t>
      </w:r>
      <w:r>
        <w:rPr>
          <w:rFonts w:ascii="Times New Roman" w:eastAsia="Times New Roman" w:hAnsi="Times New Roman" w:cs="Times New Roman"/>
          <w:sz w:val="24"/>
          <w:szCs w:val="24"/>
          <w:highlight w:val="white"/>
        </w:rPr>
        <w:t xml:space="preserve">f 23 </w:t>
      </w:r>
      <w:r>
        <w:rPr>
          <w:rFonts w:ascii="Times New Roman" w:eastAsia="Times New Roman" w:hAnsi="Times New Roman" w:cs="Times New Roman"/>
          <w:sz w:val="24"/>
          <w:szCs w:val="24"/>
        </w:rPr>
        <w:t>members was then identified by the appointed guidelines leadership, again following the SOP requirements followed by BOR review. The choice of panel members was based on clinical expertise in early recognition and response to critical illness outside the ICU and Rapid Response Systems (RRS) with attention to diversity, equity, and inclusion in the process of panel selection. Patient representatives were selected similarly to serve as advisors regarding the patient experience and participated as full panel members throughout the process. Each member of the panel completed the required COI forms before they were officially appointed to the panel. Panelists served at the discretion of the BOR with ongoing monitoring of COI and performance.</w:t>
      </w:r>
    </w:p>
    <w:p w14:paraId="12856937" w14:textId="77777777" w:rsidR="006E087E" w:rsidRDefault="006E087E" w:rsidP="006E087E">
      <w:pPr>
        <w:spacing w:line="240" w:lineRule="auto"/>
        <w:rPr>
          <w:rFonts w:ascii="Times New Roman" w:eastAsia="Times New Roman" w:hAnsi="Times New Roman" w:cs="Times New Roman"/>
          <w:sz w:val="24"/>
          <w:szCs w:val="24"/>
        </w:rPr>
      </w:pPr>
    </w:p>
    <w:p w14:paraId="23222080" w14:textId="77777777" w:rsidR="006E087E" w:rsidRDefault="006E087E" w:rsidP="006E087E">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Panel communications</w:t>
      </w:r>
    </w:p>
    <w:p w14:paraId="6F4586D8"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full panel held regular meetings to establish the scope of the guidelines, generate a series of clinical questions of interest (PICO questions), and generate recommendations using the GRADE Methodology. Meetings were facilitated by Zoom </w:t>
      </w:r>
      <w:proofErr w:type="gramStart"/>
      <w:r>
        <w:rPr>
          <w:rFonts w:ascii="Times New Roman" w:eastAsia="Times New Roman" w:hAnsi="Times New Roman" w:cs="Times New Roman"/>
          <w:sz w:val="24"/>
          <w:szCs w:val="24"/>
        </w:rPr>
        <w:t>video-conferencing</w:t>
      </w:r>
      <w:proofErr w:type="gramEnd"/>
      <w:r>
        <w:rPr>
          <w:rFonts w:ascii="Times New Roman" w:eastAsia="Times New Roman" w:hAnsi="Times New Roman" w:cs="Times New Roman"/>
          <w:sz w:val="24"/>
          <w:szCs w:val="24"/>
        </w:rPr>
        <w:t xml:space="preserve"> hosted by SCCM with one in-person meeting held at the annual SCCM Congress in Orlando, Florida (February 2020). Guidelines leadership (co-chairs, co-vice-chairs, and clinician-methodologists) held regular video conference calls via Zoom to refine processes and address barriers. Voting activities (i.e., outcome prioritization ratings and voting on recommendations) were facilitated by Survey Monkey.</w:t>
      </w:r>
    </w:p>
    <w:p w14:paraId="5952FD16" w14:textId="77777777" w:rsidR="006E087E" w:rsidRDefault="006E087E" w:rsidP="006E087E">
      <w:pPr>
        <w:spacing w:line="240" w:lineRule="auto"/>
        <w:rPr>
          <w:rFonts w:ascii="Times New Roman" w:eastAsia="Times New Roman" w:hAnsi="Times New Roman" w:cs="Times New Roman"/>
          <w:sz w:val="24"/>
          <w:szCs w:val="24"/>
        </w:rPr>
      </w:pPr>
    </w:p>
    <w:p w14:paraId="5FC40F21" w14:textId="77777777" w:rsidR="006E087E" w:rsidRDefault="006E087E" w:rsidP="006E087E">
      <w:pPr>
        <w:shd w:val="clear" w:color="auto" w:fill="FFFFFF"/>
        <w:spacing w:line="240" w:lineRule="auto"/>
        <w:rPr>
          <w:rFonts w:ascii="Times New Roman" w:eastAsia="Times New Roman" w:hAnsi="Times New Roman" w:cs="Times New Roman"/>
          <w:color w:val="222222"/>
          <w:sz w:val="24"/>
          <w:szCs w:val="24"/>
        </w:rPr>
      </w:pPr>
    </w:p>
    <w:p w14:paraId="38BC1AAD" w14:textId="55B92EC7" w:rsidR="006E087E" w:rsidRDefault="006E087E" w:rsidP="006E087E">
      <w:pPr>
        <w:spacing w:line="240" w:lineRule="auto"/>
        <w:rPr>
          <w:rFonts w:ascii="Times New Roman" w:eastAsia="Times New Roman" w:hAnsi="Times New Roman" w:cs="Times New Roman"/>
          <w:b/>
          <w:sz w:val="24"/>
          <w:szCs w:val="24"/>
        </w:rPr>
      </w:pPr>
    </w:p>
    <w:p w14:paraId="23582EA6" w14:textId="77777777" w:rsidR="006E087E" w:rsidRDefault="006E087E" w:rsidP="006E087E">
      <w:pPr>
        <w:spacing w:line="240" w:lineRule="auto"/>
        <w:rPr>
          <w:rFonts w:ascii="Times New Roman" w:eastAsia="Times New Roman" w:hAnsi="Times New Roman" w:cs="Times New Roman"/>
          <w:b/>
          <w:sz w:val="24"/>
          <w:szCs w:val="24"/>
          <w:highlight w:val="yellow"/>
        </w:rPr>
      </w:pPr>
      <w:r>
        <w:br w:type="page"/>
      </w:r>
    </w:p>
    <w:p w14:paraId="09025AF1" w14:textId="77777777" w:rsidR="006E087E" w:rsidRDefault="006E087E" w:rsidP="006E087E">
      <w:pPr>
        <w:spacing w:after="100" w:line="240" w:lineRule="auto"/>
        <w:rPr>
          <w:rFonts w:ascii="Times New Roman" w:eastAsia="Times New Roman" w:hAnsi="Times New Roman" w:cs="Times New Roman"/>
          <w:b/>
          <w:sz w:val="24"/>
          <w:szCs w:val="24"/>
        </w:rPr>
      </w:pPr>
      <w:bookmarkStart w:id="2" w:name="bookmark=kix.1eur4wivc75" w:colFirst="0" w:colLast="0"/>
      <w:bookmarkEnd w:id="2"/>
      <w:r>
        <w:rPr>
          <w:rFonts w:ascii="Times New Roman" w:eastAsia="Times New Roman" w:hAnsi="Times New Roman" w:cs="Times New Roman"/>
          <w:b/>
          <w:sz w:val="24"/>
          <w:szCs w:val="24"/>
        </w:rPr>
        <w:lastRenderedPageBreak/>
        <w:t>Supplemental Digital Content 2. Conflict of Interest Management</w:t>
      </w:r>
    </w:p>
    <w:p w14:paraId="3A6791B7" w14:textId="77777777" w:rsidR="006E087E" w:rsidRDefault="006E087E" w:rsidP="006E087E">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SCCM maintains a commitment to trustworthy guidelines through a strict</w:t>
      </w:r>
      <w:r>
        <w:rPr>
          <w:rFonts w:ascii="Times New Roman" w:eastAsia="Times New Roman" w:hAnsi="Times New Roman" w:cs="Times New Roman"/>
          <w:color w:val="242424"/>
          <w:sz w:val="24"/>
          <w:szCs w:val="24"/>
          <w:highlight w:val="white"/>
        </w:rPr>
        <w:t> </w:t>
      </w:r>
      <w:hyperlink r:id="rId7">
        <w:r>
          <w:rPr>
            <w:rFonts w:ascii="Times New Roman" w:eastAsia="Times New Roman" w:hAnsi="Times New Roman" w:cs="Times New Roman"/>
            <w:color w:val="1155CC"/>
            <w:sz w:val="24"/>
            <w:szCs w:val="24"/>
            <w:highlight w:val="white"/>
            <w:u w:val="single"/>
          </w:rPr>
          <w:t>conflict of interest disclosure and management process</w:t>
        </w:r>
      </w:hyperlink>
      <w:r>
        <w:rPr>
          <w:rFonts w:ascii="Times New Roman" w:eastAsia="Times New Roman" w:hAnsi="Times New Roman" w:cs="Times New Roman"/>
          <w:color w:val="242424"/>
          <w:sz w:val="24"/>
          <w:szCs w:val="24"/>
          <w:highlight w:val="white"/>
        </w:rPr>
        <w:t>. </w:t>
      </w:r>
      <w:r>
        <w:rPr>
          <w:rFonts w:ascii="Times New Roman" w:eastAsia="Times New Roman" w:hAnsi="Times New Roman" w:cs="Times New Roman"/>
          <w:color w:val="222222"/>
          <w:sz w:val="24"/>
          <w:szCs w:val="24"/>
        </w:rPr>
        <w:t xml:space="preserve">There were no disclosures directly related to the PICO questions within this guideline that required individual authors to abstain from voting on any recommendations. Disclosures are collected prior to voting by SCCM through a </w:t>
      </w:r>
      <w:proofErr w:type="gramStart"/>
      <w:r>
        <w:rPr>
          <w:rFonts w:ascii="Times New Roman" w:eastAsia="Times New Roman" w:hAnsi="Times New Roman" w:cs="Times New Roman"/>
          <w:color w:val="222222"/>
          <w:sz w:val="24"/>
          <w:szCs w:val="24"/>
        </w:rPr>
        <w:t>conflict of interest</w:t>
      </w:r>
      <w:proofErr w:type="gramEnd"/>
      <w:r>
        <w:rPr>
          <w:rFonts w:ascii="Times New Roman" w:eastAsia="Times New Roman" w:hAnsi="Times New Roman" w:cs="Times New Roman"/>
          <w:color w:val="222222"/>
          <w:sz w:val="24"/>
          <w:szCs w:val="24"/>
        </w:rPr>
        <w:t xml:space="preserve"> platform and voting is accomplished using Survey Monkey</w:t>
      </w:r>
      <w:r>
        <w:rPr>
          <w:rFonts w:ascii="Times New Roman" w:eastAsia="Times New Roman" w:hAnsi="Times New Roman" w:cs="Times New Roman"/>
          <w:color w:val="242424"/>
          <w:sz w:val="24"/>
          <w:szCs w:val="24"/>
          <w:highlight w:val="white"/>
        </w:rPr>
        <w:t xml:space="preserve"> (</w:t>
      </w:r>
      <w:hyperlink r:id="rId8">
        <w:r>
          <w:rPr>
            <w:rFonts w:ascii="Times New Roman" w:eastAsia="Times New Roman" w:hAnsi="Times New Roman" w:cs="Times New Roman"/>
            <w:color w:val="1155CC"/>
            <w:sz w:val="24"/>
            <w:szCs w:val="24"/>
            <w:highlight w:val="white"/>
            <w:u w:val="single"/>
          </w:rPr>
          <w:t>http://www.surveymonkey.com</w:t>
        </w:r>
      </w:hyperlink>
      <w:r>
        <w:rPr>
          <w:rFonts w:ascii="Times New Roman" w:eastAsia="Times New Roman" w:hAnsi="Times New Roman" w:cs="Times New Roman"/>
          <w:color w:val="242424"/>
          <w:sz w:val="24"/>
          <w:szCs w:val="24"/>
          <w:highlight w:val="white"/>
        </w:rPr>
        <w:t>).</w:t>
      </w:r>
    </w:p>
    <w:p w14:paraId="324DDBDE" w14:textId="77777777" w:rsidR="006E087E" w:rsidRDefault="006E087E" w:rsidP="006E087E">
      <w:pPr>
        <w:spacing w:line="240" w:lineRule="auto"/>
        <w:rPr>
          <w:rFonts w:ascii="Times New Roman" w:eastAsia="Times New Roman" w:hAnsi="Times New Roman" w:cs="Times New Roman"/>
          <w:b/>
          <w:color w:val="C00000"/>
          <w:sz w:val="24"/>
          <w:szCs w:val="24"/>
        </w:rPr>
      </w:pPr>
    </w:p>
    <w:p w14:paraId="6FF8AAF0" w14:textId="6F73F787" w:rsidR="006E087E" w:rsidRDefault="006E087E" w:rsidP="006E087E">
      <w:pPr>
        <w:spacing w:line="240" w:lineRule="auto"/>
        <w:jc w:val="right"/>
        <w:rPr>
          <w:rFonts w:ascii="Times New Roman" w:eastAsia="Times New Roman" w:hAnsi="Times New Roman" w:cs="Times New Roman"/>
          <w:b/>
          <w:color w:val="C00000"/>
          <w:sz w:val="24"/>
          <w:szCs w:val="24"/>
          <w:highlight w:val="yellow"/>
        </w:rPr>
      </w:pPr>
      <w:r>
        <w:br w:type="page"/>
      </w:r>
    </w:p>
    <w:p w14:paraId="31C2AA7B" w14:textId="77777777" w:rsidR="006E087E" w:rsidRDefault="006E087E" w:rsidP="006E087E">
      <w:pPr>
        <w:spacing w:line="240" w:lineRule="auto"/>
        <w:rPr>
          <w:rFonts w:ascii="Times New Roman" w:eastAsia="Times New Roman" w:hAnsi="Times New Roman" w:cs="Times New Roman"/>
          <w:b/>
          <w:color w:val="C00000"/>
          <w:sz w:val="24"/>
          <w:szCs w:val="24"/>
          <w:highlight w:val="yellow"/>
        </w:rPr>
      </w:pPr>
      <w:bookmarkStart w:id="3" w:name="bookmark=kix.o75urtvefmwl" w:colFirst="0" w:colLast="0"/>
      <w:bookmarkEnd w:id="3"/>
      <w:r>
        <w:rPr>
          <w:rFonts w:ascii="Times New Roman" w:eastAsia="Times New Roman" w:hAnsi="Times New Roman" w:cs="Times New Roman"/>
          <w:b/>
          <w:sz w:val="24"/>
          <w:szCs w:val="24"/>
          <w:highlight w:val="white"/>
        </w:rPr>
        <w:lastRenderedPageBreak/>
        <w:t>Supplemental Digital Content 3. Scope and PICO Questions</w:t>
      </w:r>
    </w:p>
    <w:p w14:paraId="1412FCBD" w14:textId="77777777" w:rsidR="006E087E" w:rsidRDefault="006E087E" w:rsidP="006E087E">
      <w:pPr>
        <w:spacing w:line="240" w:lineRule="auto"/>
        <w:rPr>
          <w:rFonts w:ascii="Times New Roman" w:eastAsia="Times New Roman" w:hAnsi="Times New Roman" w:cs="Times New Roman"/>
          <w:b/>
          <w:color w:val="C00000"/>
          <w:sz w:val="24"/>
          <w:szCs w:val="24"/>
        </w:rPr>
      </w:pPr>
    </w:p>
    <w:p w14:paraId="3776A026"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Scope of the guideline</w:t>
      </w:r>
    </w:p>
    <w:p w14:paraId="5CEAA234"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scope of the guideline was determined by the co-chairs and co-vice-chairs in consultation with the full panel. The full panel generated a list of topics pertinent to the recognition of clinical deterioration among patients hospitalized outside the intensive care unit (ICU). These included monitoring practices and trigger systems that may aid in the recognition of clinical deterioration and the response to these triggers, with a focus on Rapid Response Systems (RRS) components that may be employed in response to clinical deterioration.</w:t>
      </w:r>
    </w:p>
    <w:p w14:paraId="305D7AE9" w14:textId="77777777" w:rsidR="006E087E" w:rsidRDefault="006E087E" w:rsidP="006E087E">
      <w:pPr>
        <w:spacing w:line="240" w:lineRule="auto"/>
        <w:rPr>
          <w:rFonts w:ascii="Times New Roman" w:eastAsia="Times New Roman" w:hAnsi="Times New Roman" w:cs="Times New Roman"/>
          <w:b/>
          <w:sz w:val="24"/>
          <w:szCs w:val="24"/>
        </w:rPr>
      </w:pPr>
    </w:p>
    <w:p w14:paraId="0D410434"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Development</w:t>
      </w:r>
    </w:p>
    <w:p w14:paraId="124B0447" w14:textId="77777777" w:rsidR="006E087E" w:rsidRDefault="006E087E" w:rsidP="006E087E">
      <w:pPr>
        <w:spacing w:line="240" w:lineRule="auto"/>
        <w:sectPr w:rsidR="006E087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0"/>
          <w:cols w:space="720"/>
          <w:titlePg/>
        </w:sectPr>
      </w:pPr>
      <w:r>
        <w:rPr>
          <w:rFonts w:ascii="Times New Roman" w:eastAsia="Times New Roman" w:hAnsi="Times New Roman" w:cs="Times New Roman"/>
          <w:sz w:val="24"/>
          <w:szCs w:val="24"/>
        </w:rPr>
        <w:t>Subsequently, the panel formulated a series of actionable questions relevant to the scope of the guideline, following the PICO (Population, Intervention, Comparison, Outcomes) format that could potentially lead to an actionable recommendation statement. For each PICO, the panel identified potential subgroup analyses of interest to be considered, subject to the availability of data during the literature review process. All PICO questions are listed in the table below.</w:t>
      </w:r>
    </w:p>
    <w:p w14:paraId="62EFD2E9" w14:textId="77777777" w:rsidR="006E087E" w:rsidRDefault="006E087E" w:rsidP="006E087E">
      <w:pPr>
        <w:spacing w:line="240" w:lineRule="auto"/>
        <w:rPr>
          <w:rFonts w:ascii="Times New Roman" w:eastAsia="Times New Roman" w:hAnsi="Times New Roman" w:cs="Times New Roman"/>
          <w:sz w:val="24"/>
          <w:szCs w:val="24"/>
        </w:rPr>
      </w:pPr>
    </w:p>
    <w:tbl>
      <w:tblPr>
        <w:tblW w:w="14319" w:type="dxa"/>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5205"/>
        <w:gridCol w:w="3402"/>
        <w:gridCol w:w="1842"/>
      </w:tblGrid>
      <w:tr w:rsidR="006E087E" w14:paraId="154C3816" w14:textId="77777777" w:rsidTr="00A207C4">
        <w:trPr>
          <w:trHeight w:val="677"/>
        </w:trPr>
        <w:tc>
          <w:tcPr>
            <w:tcW w:w="3870" w:type="dxa"/>
          </w:tcPr>
          <w:p w14:paraId="257B1A8D" w14:textId="77777777" w:rsidR="006E087E" w:rsidRDefault="006E087E" w:rsidP="00A207C4">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Population</w:t>
            </w:r>
          </w:p>
        </w:tc>
        <w:tc>
          <w:tcPr>
            <w:tcW w:w="5205" w:type="dxa"/>
          </w:tcPr>
          <w:p w14:paraId="7EB647E5" w14:textId="77777777" w:rsidR="006E087E" w:rsidRDefault="006E087E" w:rsidP="00A207C4">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Intervention</w:t>
            </w:r>
          </w:p>
        </w:tc>
        <w:tc>
          <w:tcPr>
            <w:tcW w:w="3402" w:type="dxa"/>
          </w:tcPr>
          <w:p w14:paraId="31F110A2" w14:textId="77777777" w:rsidR="006E087E" w:rsidRDefault="006E087E" w:rsidP="00A207C4">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Comparison</w:t>
            </w:r>
          </w:p>
        </w:tc>
        <w:tc>
          <w:tcPr>
            <w:tcW w:w="1842" w:type="dxa"/>
          </w:tcPr>
          <w:p w14:paraId="0817D4D2" w14:textId="77777777" w:rsidR="006E087E" w:rsidRDefault="006E087E" w:rsidP="00A207C4">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Outcomes</w:t>
            </w:r>
          </w:p>
        </w:tc>
      </w:tr>
      <w:tr w:rsidR="006E087E" w14:paraId="429E10EF" w14:textId="77777777" w:rsidTr="00A207C4">
        <w:tc>
          <w:tcPr>
            <w:tcW w:w="14319" w:type="dxa"/>
            <w:gridSpan w:val="4"/>
          </w:tcPr>
          <w:p w14:paraId="28105586" w14:textId="77777777" w:rsidR="006E087E" w:rsidRDefault="006E087E" w:rsidP="00A207C4">
            <w:pPr>
              <w:jc w:val="center"/>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t>Recognizing clinical deterioration outside the ICU</w:t>
            </w:r>
          </w:p>
          <w:p w14:paraId="15ADABA2" w14:textId="77777777" w:rsidR="006E087E" w:rsidRDefault="006E087E" w:rsidP="00A207C4">
            <w:pPr>
              <w:rPr>
                <w:rFonts w:ascii="Times New Roman" w:eastAsia="Times New Roman" w:hAnsi="Times New Roman" w:cs="Times New Roman"/>
                <w:b/>
                <w:smallCaps/>
              </w:rPr>
            </w:pPr>
          </w:p>
        </w:tc>
      </w:tr>
      <w:tr w:rsidR="006E087E" w14:paraId="27872013" w14:textId="77777777" w:rsidTr="00A207C4">
        <w:tc>
          <w:tcPr>
            <w:tcW w:w="14319" w:type="dxa"/>
            <w:gridSpan w:val="4"/>
          </w:tcPr>
          <w:p w14:paraId="44FC8BAC" w14:textId="77777777" w:rsidR="006E087E" w:rsidRDefault="006E087E" w:rsidP="00A207C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Should continuous vital sign monitoring compared to no continuous vital sign monitoring be used in all (unselected) patients hospitalized outside the ICU?</w:t>
            </w:r>
          </w:p>
        </w:tc>
      </w:tr>
      <w:tr w:rsidR="006E087E" w14:paraId="35202D9C" w14:textId="77777777" w:rsidTr="00A207C4">
        <w:tc>
          <w:tcPr>
            <w:tcW w:w="3870" w:type="dxa"/>
          </w:tcPr>
          <w:p w14:paraId="05E64389"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All adult general non-ICU patients [including those in the ED] excluding patients on a palliative or non-escalation pathway</w:t>
            </w:r>
          </w:p>
          <w:p w14:paraId="6DB98EF2" w14:textId="77777777" w:rsidR="006E087E" w:rsidRDefault="006E087E" w:rsidP="00A207C4">
            <w:pPr>
              <w:rPr>
                <w:rFonts w:ascii="Times New Roman" w:eastAsia="Times New Roman" w:hAnsi="Times New Roman" w:cs="Times New Roman"/>
              </w:rPr>
            </w:pPr>
          </w:p>
        </w:tc>
        <w:tc>
          <w:tcPr>
            <w:tcW w:w="5205" w:type="dxa"/>
          </w:tcPr>
          <w:p w14:paraId="02ADD241"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 xml:space="preserve">Implementation of automated continuous or high frequency (i.e., &lt; 1-hour intervals) physiologic monitoring </w:t>
            </w:r>
            <w:r>
              <w:rPr>
                <w:rFonts w:ascii="Times New Roman" w:eastAsia="Times New Roman" w:hAnsi="Times New Roman" w:cs="Times New Roman"/>
                <w:i/>
              </w:rPr>
              <w:t>(broadly defined pending literature search)</w:t>
            </w:r>
          </w:p>
          <w:p w14:paraId="6167B04C"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b/>
              </w:rPr>
              <w:t>Subgroups to consider (depending on data availability):</w:t>
            </w:r>
            <w:r>
              <w:rPr>
                <w:rFonts w:ascii="Times New Roman" w:eastAsia="Times New Roman" w:hAnsi="Times New Roman" w:cs="Times New Roman"/>
              </w:rPr>
              <w:t xml:space="preserve"> Possible automated EMR driven continuous monitoring (with automatic flags), certain patient subgroups, look at subgroups related to how the data is monitored &amp; handled</w:t>
            </w:r>
          </w:p>
          <w:p w14:paraId="61E345A7" w14:textId="77777777" w:rsidR="006E087E" w:rsidRDefault="006E087E" w:rsidP="00A207C4">
            <w:pPr>
              <w:rPr>
                <w:rFonts w:ascii="Times New Roman" w:eastAsia="Times New Roman" w:hAnsi="Times New Roman" w:cs="Times New Roman"/>
              </w:rPr>
            </w:pPr>
          </w:p>
        </w:tc>
        <w:tc>
          <w:tcPr>
            <w:tcW w:w="3402" w:type="dxa"/>
          </w:tcPr>
          <w:p w14:paraId="66F3F3AE"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Usual care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intermittent vital sign checks)</w:t>
            </w:r>
          </w:p>
          <w:p w14:paraId="37D83626" w14:textId="77777777" w:rsidR="006E087E" w:rsidRDefault="006E087E" w:rsidP="00A207C4">
            <w:pPr>
              <w:jc w:val="center"/>
              <w:rPr>
                <w:rFonts w:ascii="Times New Roman" w:eastAsia="Times New Roman" w:hAnsi="Times New Roman" w:cs="Times New Roman"/>
              </w:rPr>
            </w:pPr>
          </w:p>
        </w:tc>
        <w:tc>
          <w:tcPr>
            <w:tcW w:w="1842" w:type="dxa"/>
          </w:tcPr>
          <w:p w14:paraId="7CA224C5"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SDC 4</w:t>
            </w:r>
          </w:p>
          <w:p w14:paraId="73699904" w14:textId="77777777" w:rsidR="006E087E" w:rsidRDefault="006E087E" w:rsidP="00A207C4">
            <w:pPr>
              <w:rPr>
                <w:rFonts w:ascii="Times New Roman" w:eastAsia="Times New Roman" w:hAnsi="Times New Roman" w:cs="Times New Roman"/>
              </w:rPr>
            </w:pPr>
          </w:p>
        </w:tc>
      </w:tr>
      <w:tr w:rsidR="006E087E" w14:paraId="5E0C4C2E" w14:textId="77777777" w:rsidTr="00A207C4">
        <w:tc>
          <w:tcPr>
            <w:tcW w:w="14319" w:type="dxa"/>
            <w:gridSpan w:val="4"/>
          </w:tcPr>
          <w:p w14:paraId="2E827697" w14:textId="77777777" w:rsidR="006E087E" w:rsidRDefault="006E087E" w:rsidP="00A207C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Should hospitals provide focused education for non-ICU staff on early recognition of clinical deterioration compared with no focused education?</w:t>
            </w:r>
          </w:p>
        </w:tc>
      </w:tr>
      <w:tr w:rsidR="006E087E" w14:paraId="7475367A" w14:textId="77777777" w:rsidTr="00A207C4">
        <w:tc>
          <w:tcPr>
            <w:tcW w:w="3870" w:type="dxa"/>
          </w:tcPr>
          <w:p w14:paraId="18D36BF0"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Staff in non-ICU inpatient hospital settings [including the ED]</w:t>
            </w:r>
          </w:p>
          <w:p w14:paraId="01E086E5" w14:textId="77777777" w:rsidR="006E087E" w:rsidRDefault="006E087E" w:rsidP="00A207C4">
            <w:pPr>
              <w:rPr>
                <w:rFonts w:ascii="Times New Roman" w:eastAsia="Times New Roman" w:hAnsi="Times New Roman" w:cs="Times New Roman"/>
              </w:rPr>
            </w:pPr>
          </w:p>
        </w:tc>
        <w:tc>
          <w:tcPr>
            <w:tcW w:w="5205" w:type="dxa"/>
          </w:tcPr>
          <w:p w14:paraId="1DA3B538"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Focused education on early clinical deterioration</w:t>
            </w:r>
          </w:p>
          <w:p w14:paraId="2C6BD766"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b/>
              </w:rPr>
              <w:t>Subgroups to consider (depending on data availability):</w:t>
            </w:r>
            <w:r>
              <w:rPr>
                <w:rFonts w:ascii="Times New Roman" w:eastAsia="Times New Roman" w:hAnsi="Times New Roman" w:cs="Times New Roman"/>
              </w:rPr>
              <w:t xml:space="preserve"> EWS-focused education vs. RRT/MET-focused education</w:t>
            </w:r>
          </w:p>
        </w:tc>
        <w:tc>
          <w:tcPr>
            <w:tcW w:w="3402" w:type="dxa"/>
          </w:tcPr>
          <w:p w14:paraId="40333B6C"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Usual care [no focused education]</w:t>
            </w:r>
          </w:p>
          <w:p w14:paraId="087B7022" w14:textId="77777777" w:rsidR="006E087E" w:rsidRDefault="006E087E" w:rsidP="00A207C4">
            <w:pPr>
              <w:rPr>
                <w:rFonts w:ascii="Times New Roman" w:eastAsia="Times New Roman" w:hAnsi="Times New Roman" w:cs="Times New Roman"/>
              </w:rPr>
            </w:pPr>
          </w:p>
        </w:tc>
        <w:tc>
          <w:tcPr>
            <w:tcW w:w="1842" w:type="dxa"/>
          </w:tcPr>
          <w:p w14:paraId="02899049"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SDC 4</w:t>
            </w:r>
          </w:p>
          <w:p w14:paraId="72710261" w14:textId="77777777" w:rsidR="006E087E" w:rsidRDefault="006E087E" w:rsidP="00A207C4">
            <w:pPr>
              <w:rPr>
                <w:rFonts w:ascii="Times New Roman" w:eastAsia="Times New Roman" w:hAnsi="Times New Roman" w:cs="Times New Roman"/>
              </w:rPr>
            </w:pPr>
          </w:p>
        </w:tc>
      </w:tr>
      <w:tr w:rsidR="006E087E" w14:paraId="5CDFB6C1" w14:textId="77777777" w:rsidTr="00A207C4">
        <w:tc>
          <w:tcPr>
            <w:tcW w:w="14319" w:type="dxa"/>
            <w:gridSpan w:val="4"/>
          </w:tcPr>
          <w:p w14:paraId="4FB7E52C" w14:textId="77777777" w:rsidR="006E087E" w:rsidRDefault="006E087E" w:rsidP="00A207C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Should patient/ family member/ care partner activation of RRT/MET be included as a formal part of an early warning system as compared to no formal inclusion?</w:t>
            </w:r>
          </w:p>
        </w:tc>
      </w:tr>
      <w:tr w:rsidR="006E087E" w14:paraId="2E515343" w14:textId="77777777" w:rsidTr="00A207C4">
        <w:tc>
          <w:tcPr>
            <w:tcW w:w="3870" w:type="dxa"/>
          </w:tcPr>
          <w:p w14:paraId="0D72E7ED"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All adult general non-ICU patients [including those in the ED] excluding patients on a palliative or non-escalation pathway</w:t>
            </w:r>
          </w:p>
        </w:tc>
        <w:tc>
          <w:tcPr>
            <w:tcW w:w="5205" w:type="dxa"/>
          </w:tcPr>
          <w:p w14:paraId="0C383276"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Incorporating patient/family reports of illness/wellness into EWS (e.g., on Likert scale)</w:t>
            </w:r>
            <w:r>
              <w:rPr>
                <w:rFonts w:ascii="Times New Roman" w:eastAsia="Times New Roman" w:hAnsi="Times New Roman" w:cs="Times New Roman"/>
              </w:rPr>
              <w:br/>
            </w:r>
            <w:r>
              <w:rPr>
                <w:rFonts w:ascii="Times New Roman" w:eastAsia="Times New Roman" w:hAnsi="Times New Roman" w:cs="Times New Roman"/>
                <w:b/>
              </w:rPr>
              <w:t>Subgroups to consider (depending on data availability):</w:t>
            </w:r>
            <w:r>
              <w:rPr>
                <w:rFonts w:ascii="Times New Roman" w:eastAsia="Times New Roman" w:hAnsi="Times New Roman" w:cs="Times New Roman"/>
              </w:rPr>
              <w:t xml:space="preserve"> family activation of rapid response system</w:t>
            </w:r>
          </w:p>
          <w:p w14:paraId="62F497A8" w14:textId="77777777" w:rsidR="006E087E" w:rsidRDefault="006E087E" w:rsidP="00A207C4">
            <w:pPr>
              <w:rPr>
                <w:rFonts w:ascii="Times New Roman" w:eastAsia="Times New Roman" w:hAnsi="Times New Roman" w:cs="Times New Roman"/>
              </w:rPr>
            </w:pPr>
          </w:p>
        </w:tc>
        <w:tc>
          <w:tcPr>
            <w:tcW w:w="3402" w:type="dxa"/>
          </w:tcPr>
          <w:p w14:paraId="5C6AEA1C"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No formal incorporation of patient/family report systems</w:t>
            </w:r>
          </w:p>
          <w:p w14:paraId="0CA42B76" w14:textId="77777777" w:rsidR="006E087E" w:rsidRDefault="006E087E" w:rsidP="00A207C4">
            <w:pPr>
              <w:jc w:val="center"/>
              <w:rPr>
                <w:rFonts w:ascii="Times New Roman" w:eastAsia="Times New Roman" w:hAnsi="Times New Roman" w:cs="Times New Roman"/>
              </w:rPr>
            </w:pPr>
          </w:p>
        </w:tc>
        <w:tc>
          <w:tcPr>
            <w:tcW w:w="1842" w:type="dxa"/>
          </w:tcPr>
          <w:p w14:paraId="112407F1"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SDC 4</w:t>
            </w:r>
          </w:p>
        </w:tc>
      </w:tr>
      <w:tr w:rsidR="006E087E" w14:paraId="798DD803" w14:textId="77777777" w:rsidTr="00A207C4">
        <w:tc>
          <w:tcPr>
            <w:tcW w:w="14319" w:type="dxa"/>
            <w:gridSpan w:val="4"/>
          </w:tcPr>
          <w:p w14:paraId="00F3F95A" w14:textId="77777777" w:rsidR="006E087E" w:rsidRDefault="006E087E" w:rsidP="00A207C4">
            <w:pPr>
              <w:jc w:val="center"/>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Responding to clinical deterioration outside the ICU</w:t>
            </w:r>
          </w:p>
          <w:p w14:paraId="2AB1942A" w14:textId="77777777" w:rsidR="006E087E" w:rsidRDefault="006E087E" w:rsidP="00A207C4">
            <w:pPr>
              <w:rPr>
                <w:rFonts w:ascii="Times New Roman" w:eastAsia="Times New Roman" w:hAnsi="Times New Roman" w:cs="Times New Roman"/>
                <w:sz w:val="30"/>
                <w:szCs w:val="30"/>
              </w:rPr>
            </w:pPr>
          </w:p>
        </w:tc>
      </w:tr>
      <w:tr w:rsidR="006E087E" w14:paraId="0EEBD103" w14:textId="77777777" w:rsidTr="00A207C4">
        <w:tc>
          <w:tcPr>
            <w:tcW w:w="14319" w:type="dxa"/>
            <w:gridSpan w:val="4"/>
          </w:tcPr>
          <w:p w14:paraId="51A4DEBE" w14:textId="77777777" w:rsidR="006E087E" w:rsidRDefault="006E087E" w:rsidP="00A207C4">
            <w:pPr>
              <w:rPr>
                <w:rFonts w:ascii="Times New Roman" w:eastAsia="Times New Roman" w:hAnsi="Times New Roman" w:cs="Times New Roman"/>
                <w:b/>
                <w:sz w:val="26"/>
                <w:szCs w:val="26"/>
              </w:rPr>
            </w:pPr>
            <w:r>
              <w:rPr>
                <w:rFonts w:ascii="Times New Roman" w:eastAsia="Times New Roman" w:hAnsi="Times New Roman" w:cs="Times New Roman"/>
                <w:b/>
                <w:sz w:val="26"/>
                <w:szCs w:val="26"/>
                <w:highlight w:val="white"/>
              </w:rPr>
              <w:t>A. Should hospitals implement</w:t>
            </w:r>
            <w:r>
              <w:rPr>
                <w:rFonts w:ascii="Times New Roman" w:eastAsia="Times New Roman" w:hAnsi="Times New Roman" w:cs="Times New Roman"/>
                <w:b/>
                <w:sz w:val="26"/>
                <w:szCs w:val="26"/>
              </w:rPr>
              <w:t xml:space="preserve"> hospital-wide explicit activation criteria to help recognize deteriorating non-ICU patients as compared with no such criteria?</w:t>
            </w:r>
          </w:p>
          <w:p w14:paraId="3D01F39E" w14:textId="77777777" w:rsidR="006E087E" w:rsidRDefault="006E087E" w:rsidP="00A207C4">
            <w:pPr>
              <w:rPr>
                <w:rFonts w:ascii="Times New Roman" w:eastAsia="Times New Roman" w:hAnsi="Times New Roman" w:cs="Times New Roman"/>
                <w:b/>
                <w:sz w:val="26"/>
                <w:szCs w:val="26"/>
              </w:rPr>
            </w:pPr>
            <w:r>
              <w:rPr>
                <w:rFonts w:ascii="Times New Roman" w:eastAsia="Times New Roman" w:hAnsi="Times New Roman" w:cs="Times New Roman"/>
                <w:b/>
                <w:sz w:val="26"/>
                <w:szCs w:val="26"/>
                <w:highlight w:val="white"/>
              </w:rPr>
              <w:t>B. Should hospitals deploy</w:t>
            </w:r>
            <w:r>
              <w:rPr>
                <w:rFonts w:ascii="Times New Roman" w:eastAsia="Times New Roman" w:hAnsi="Times New Roman" w:cs="Times New Roman"/>
                <w:b/>
                <w:sz w:val="26"/>
                <w:szCs w:val="26"/>
              </w:rPr>
              <w:t xml:space="preserve"> a designated RRT/MET as compared to the absence of an RRT/MET?</w:t>
            </w:r>
          </w:p>
        </w:tc>
      </w:tr>
      <w:tr w:rsidR="006E087E" w14:paraId="2466A1D6" w14:textId="77777777" w:rsidTr="00A207C4">
        <w:tc>
          <w:tcPr>
            <w:tcW w:w="3870" w:type="dxa"/>
          </w:tcPr>
          <w:p w14:paraId="07BE270D"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All adult general non-ICU patients [including those in the ED] excluding patients on a palliative or non-escalation pathway</w:t>
            </w:r>
          </w:p>
          <w:p w14:paraId="24ECD1BA" w14:textId="77777777" w:rsidR="006E087E" w:rsidRDefault="006E087E" w:rsidP="00A207C4">
            <w:pPr>
              <w:rPr>
                <w:rFonts w:ascii="Times New Roman" w:eastAsia="Times New Roman" w:hAnsi="Times New Roman" w:cs="Times New Roman"/>
              </w:rPr>
            </w:pPr>
          </w:p>
        </w:tc>
        <w:tc>
          <w:tcPr>
            <w:tcW w:w="5205" w:type="dxa"/>
          </w:tcPr>
          <w:p w14:paraId="2C36824C"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Hospital-wide deployment of explicit criteria</w:t>
            </w:r>
          </w:p>
          <w:p w14:paraId="42315A27"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b/>
              </w:rPr>
              <w:t>Subgroups to consider (if possible):</w:t>
            </w:r>
            <w:r>
              <w:rPr>
                <w:rFonts w:ascii="Times New Roman" w:eastAsia="Times New Roman" w:hAnsi="Times New Roman" w:cs="Times New Roman"/>
              </w:rPr>
              <w:t xml:space="preserve"> Use of various triggers, i.e., vital signs alone vs. composite scores such as early warning scores, single vs. multiple components, subjective vs. objective</w:t>
            </w:r>
          </w:p>
        </w:tc>
        <w:tc>
          <w:tcPr>
            <w:tcW w:w="3402" w:type="dxa"/>
          </w:tcPr>
          <w:p w14:paraId="7A5C5B03"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No explicit criteria</w:t>
            </w:r>
          </w:p>
          <w:p w14:paraId="441C81EB" w14:textId="77777777" w:rsidR="006E087E" w:rsidRDefault="006E087E" w:rsidP="00A207C4">
            <w:pPr>
              <w:rPr>
                <w:rFonts w:ascii="Times New Roman" w:eastAsia="Times New Roman" w:hAnsi="Times New Roman" w:cs="Times New Roman"/>
              </w:rPr>
            </w:pPr>
          </w:p>
        </w:tc>
        <w:tc>
          <w:tcPr>
            <w:tcW w:w="1842" w:type="dxa"/>
          </w:tcPr>
          <w:p w14:paraId="14B0E9B8"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SDC 4</w:t>
            </w:r>
          </w:p>
          <w:p w14:paraId="6202E70C" w14:textId="77777777" w:rsidR="006E087E" w:rsidRDefault="006E087E" w:rsidP="00A207C4">
            <w:pPr>
              <w:jc w:val="center"/>
              <w:rPr>
                <w:rFonts w:ascii="Times New Roman" w:eastAsia="Times New Roman" w:hAnsi="Times New Roman" w:cs="Times New Roman"/>
              </w:rPr>
            </w:pPr>
          </w:p>
        </w:tc>
      </w:tr>
      <w:tr w:rsidR="006E087E" w14:paraId="7175D41E" w14:textId="77777777" w:rsidTr="00A207C4">
        <w:trPr>
          <w:trHeight w:val="558"/>
        </w:trPr>
        <w:tc>
          <w:tcPr>
            <w:tcW w:w="3870" w:type="dxa"/>
          </w:tcPr>
          <w:p w14:paraId="105B467E"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Hospitals</w:t>
            </w:r>
          </w:p>
          <w:p w14:paraId="18AC08A6" w14:textId="77777777" w:rsidR="006E087E" w:rsidRDefault="006E087E" w:rsidP="00A207C4">
            <w:pPr>
              <w:spacing w:before="280"/>
              <w:rPr>
                <w:rFonts w:ascii="Times New Roman" w:eastAsia="Times New Roman" w:hAnsi="Times New Roman" w:cs="Times New Roman"/>
              </w:rPr>
            </w:pPr>
            <w:r>
              <w:rPr>
                <w:rFonts w:ascii="Times New Roman" w:eastAsia="Times New Roman" w:hAnsi="Times New Roman" w:cs="Times New Roman"/>
              </w:rPr>
              <w:t>Potential subgroups of interest: academic vs community, tertiary, geographical, by type of unit (surgical vs medical)</w:t>
            </w:r>
          </w:p>
        </w:tc>
        <w:tc>
          <w:tcPr>
            <w:tcW w:w="5205" w:type="dxa"/>
          </w:tcPr>
          <w:p w14:paraId="1AD4769D"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Presence of rapid response team</w:t>
            </w:r>
          </w:p>
          <w:p w14:paraId="63D72240"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b/>
              </w:rPr>
              <w:t>Subgroups to consider (depending on data availability):</w:t>
            </w:r>
            <w:r>
              <w:rPr>
                <w:rFonts w:ascii="Times New Roman" w:eastAsia="Times New Roman" w:hAnsi="Times New Roman" w:cs="Times New Roman"/>
              </w:rPr>
              <w:t xml:space="preserve"> compare RRS with and without significant afferent arm education on earlier recognition (i.e., EWS vs no EWS, 24-hour vs daytime hours only), proactive vs. reactive</w:t>
            </w:r>
          </w:p>
        </w:tc>
        <w:tc>
          <w:tcPr>
            <w:tcW w:w="3402" w:type="dxa"/>
          </w:tcPr>
          <w:p w14:paraId="4F49DA73"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Lack of a designated rapid response team</w:t>
            </w:r>
          </w:p>
          <w:p w14:paraId="5F4E4884" w14:textId="77777777" w:rsidR="006E087E" w:rsidRDefault="006E087E" w:rsidP="00A207C4">
            <w:pPr>
              <w:rPr>
                <w:rFonts w:ascii="Times New Roman" w:eastAsia="Times New Roman" w:hAnsi="Times New Roman" w:cs="Times New Roman"/>
              </w:rPr>
            </w:pPr>
          </w:p>
        </w:tc>
        <w:tc>
          <w:tcPr>
            <w:tcW w:w="1842" w:type="dxa"/>
          </w:tcPr>
          <w:p w14:paraId="5940C884"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SDC 4</w:t>
            </w:r>
          </w:p>
          <w:p w14:paraId="2559649E" w14:textId="77777777" w:rsidR="006E087E" w:rsidRDefault="006E087E" w:rsidP="00A207C4">
            <w:pPr>
              <w:rPr>
                <w:rFonts w:ascii="Times New Roman" w:eastAsia="Times New Roman" w:hAnsi="Times New Roman" w:cs="Times New Roman"/>
              </w:rPr>
            </w:pPr>
          </w:p>
        </w:tc>
      </w:tr>
      <w:tr w:rsidR="006E087E" w14:paraId="76BA4865" w14:textId="77777777" w:rsidTr="00A207C4">
        <w:tc>
          <w:tcPr>
            <w:tcW w:w="14319" w:type="dxa"/>
            <w:gridSpan w:val="4"/>
          </w:tcPr>
          <w:p w14:paraId="5057711E" w14:textId="77777777" w:rsidR="006E087E" w:rsidRDefault="006E087E" w:rsidP="00A207C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A. Should an RRT/MET be led by a ‘prescribing’ as compared to a ‘non-prescribing’ clinician?</w:t>
            </w:r>
          </w:p>
          <w:p w14:paraId="459B6D3B" w14:textId="77777777" w:rsidR="006E087E" w:rsidRDefault="006E087E" w:rsidP="00A207C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Should an RRT/MET be led by a physician as compared to a non-physician?</w:t>
            </w:r>
          </w:p>
        </w:tc>
      </w:tr>
      <w:tr w:rsidR="006E087E" w14:paraId="61023EFA" w14:textId="77777777" w:rsidTr="00A207C4">
        <w:tc>
          <w:tcPr>
            <w:tcW w:w="3870" w:type="dxa"/>
          </w:tcPr>
          <w:p w14:paraId="63785455"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Hospitals</w:t>
            </w:r>
          </w:p>
          <w:p w14:paraId="1A4834A5" w14:textId="77777777" w:rsidR="006E087E" w:rsidRDefault="006E087E" w:rsidP="00A207C4">
            <w:pPr>
              <w:spacing w:before="280"/>
              <w:rPr>
                <w:rFonts w:ascii="Times New Roman" w:eastAsia="Times New Roman" w:hAnsi="Times New Roman" w:cs="Times New Roman"/>
              </w:rPr>
            </w:pPr>
            <w:r>
              <w:rPr>
                <w:rFonts w:ascii="Times New Roman" w:eastAsia="Times New Roman" w:hAnsi="Times New Roman" w:cs="Times New Roman"/>
              </w:rPr>
              <w:t>Potential subgroups of interest: academic vs community, geographical, by type of unit (surgical vs medical)</w:t>
            </w:r>
          </w:p>
        </w:tc>
        <w:tc>
          <w:tcPr>
            <w:tcW w:w="5205" w:type="dxa"/>
          </w:tcPr>
          <w:p w14:paraId="5F1869C4"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RRT/MET led by a ‘ordering/ prescribing’ clinician</w:t>
            </w:r>
          </w:p>
          <w:p w14:paraId="469E7D83"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b/>
              </w:rPr>
              <w:t>Subgroups to consider (depending on data availability):</w:t>
            </w:r>
            <w:r>
              <w:rPr>
                <w:rFonts w:ascii="Times New Roman" w:eastAsia="Times New Roman" w:hAnsi="Times New Roman" w:cs="Times New Roman"/>
              </w:rPr>
              <w:t xml:space="preserve"> MD-led versus non-physician-led, advanced practice clinician led vs. not, critical care trained clinician vs. not</w:t>
            </w:r>
          </w:p>
        </w:tc>
        <w:tc>
          <w:tcPr>
            <w:tcW w:w="3402" w:type="dxa"/>
          </w:tcPr>
          <w:p w14:paraId="4941E75A"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RRT/MET not led by ordering clinician</w:t>
            </w:r>
          </w:p>
        </w:tc>
        <w:tc>
          <w:tcPr>
            <w:tcW w:w="1842" w:type="dxa"/>
          </w:tcPr>
          <w:p w14:paraId="00553C98"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SDC 4</w:t>
            </w:r>
          </w:p>
        </w:tc>
      </w:tr>
      <w:tr w:rsidR="006E087E" w14:paraId="0948EC49" w14:textId="77777777" w:rsidTr="00A207C4">
        <w:tc>
          <w:tcPr>
            <w:tcW w:w="14319" w:type="dxa"/>
            <w:gridSpan w:val="4"/>
          </w:tcPr>
          <w:p w14:paraId="2E36D9A9" w14:textId="77777777" w:rsidR="006E087E" w:rsidRDefault="006E087E" w:rsidP="00A207C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Should an RRT/MET include palliative care trained personnel and/or focused education/guidance regarding goals of care discussions for clinicians?</w:t>
            </w:r>
          </w:p>
        </w:tc>
      </w:tr>
      <w:tr w:rsidR="006E087E" w14:paraId="10E99596" w14:textId="77777777" w:rsidTr="00A207C4">
        <w:tc>
          <w:tcPr>
            <w:tcW w:w="3870" w:type="dxa"/>
          </w:tcPr>
          <w:p w14:paraId="4D9D4F5C"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All adult general non-ICU patients [including those in the ED] excluding patients on a palliative or non-escalation pathway</w:t>
            </w:r>
          </w:p>
        </w:tc>
        <w:tc>
          <w:tcPr>
            <w:tcW w:w="5205" w:type="dxa"/>
          </w:tcPr>
          <w:p w14:paraId="26FA6805"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Deployment of RRS incorporating palliative care education or personnel</w:t>
            </w:r>
          </w:p>
          <w:p w14:paraId="6F755B5C"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b/>
              </w:rPr>
              <w:lastRenderedPageBreak/>
              <w:t>Subgroups to consider (depending on data availability):</w:t>
            </w:r>
            <w:r>
              <w:rPr>
                <w:rFonts w:ascii="Times New Roman" w:eastAsia="Times New Roman" w:hAnsi="Times New Roman" w:cs="Times New Roman"/>
              </w:rPr>
              <w:t xml:space="preserve"> Elderly patients, patients with multiple comorbidities</w:t>
            </w:r>
          </w:p>
          <w:p w14:paraId="043EC692" w14:textId="77777777" w:rsidR="006E087E" w:rsidRDefault="006E087E" w:rsidP="00A207C4">
            <w:pPr>
              <w:rPr>
                <w:rFonts w:ascii="Times New Roman" w:eastAsia="Times New Roman" w:hAnsi="Times New Roman" w:cs="Times New Roman"/>
              </w:rPr>
            </w:pPr>
          </w:p>
        </w:tc>
        <w:tc>
          <w:tcPr>
            <w:tcW w:w="3402" w:type="dxa"/>
          </w:tcPr>
          <w:p w14:paraId="7754831C"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lastRenderedPageBreak/>
              <w:t>RRS not incorporating formal palliative care education or personnel</w:t>
            </w:r>
          </w:p>
          <w:p w14:paraId="0036D298" w14:textId="77777777" w:rsidR="006E087E" w:rsidRDefault="006E087E" w:rsidP="00A207C4">
            <w:pPr>
              <w:rPr>
                <w:rFonts w:ascii="Times New Roman" w:eastAsia="Times New Roman" w:hAnsi="Times New Roman" w:cs="Times New Roman"/>
              </w:rPr>
            </w:pPr>
          </w:p>
          <w:p w14:paraId="5239C9CA" w14:textId="77777777" w:rsidR="006E087E" w:rsidRDefault="006E087E" w:rsidP="00A207C4">
            <w:pPr>
              <w:rPr>
                <w:rFonts w:ascii="Times New Roman" w:eastAsia="Times New Roman" w:hAnsi="Times New Roman" w:cs="Times New Roman"/>
              </w:rPr>
            </w:pPr>
          </w:p>
        </w:tc>
        <w:tc>
          <w:tcPr>
            <w:tcW w:w="1842" w:type="dxa"/>
          </w:tcPr>
          <w:p w14:paraId="0DFF298C"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lastRenderedPageBreak/>
              <w:t>SDC 4</w:t>
            </w:r>
          </w:p>
        </w:tc>
      </w:tr>
      <w:tr w:rsidR="006E087E" w14:paraId="166A221F" w14:textId="77777777" w:rsidTr="00A207C4">
        <w:tc>
          <w:tcPr>
            <w:tcW w:w="14319" w:type="dxa"/>
            <w:gridSpan w:val="4"/>
          </w:tcPr>
          <w:p w14:paraId="6C1C5808" w14:textId="77777777" w:rsidR="006E087E" w:rsidRDefault="006E087E" w:rsidP="00A207C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Should there be a quality improvement (QI) component such as debriefing and recording/ reporting of metrics as part of </w:t>
            </w:r>
            <w:proofErr w:type="gramStart"/>
            <w:r>
              <w:rPr>
                <w:rFonts w:ascii="Times New Roman" w:eastAsia="Times New Roman" w:hAnsi="Times New Roman" w:cs="Times New Roman"/>
                <w:b/>
                <w:sz w:val="26"/>
                <w:szCs w:val="26"/>
              </w:rPr>
              <w:t>a</w:t>
            </w:r>
            <w:proofErr w:type="gramEnd"/>
            <w:r>
              <w:rPr>
                <w:rFonts w:ascii="Times New Roman" w:eastAsia="Times New Roman" w:hAnsi="Times New Roman" w:cs="Times New Roman"/>
                <w:b/>
                <w:sz w:val="26"/>
                <w:szCs w:val="26"/>
              </w:rPr>
              <w:t xml:space="preserve"> RRS? </w:t>
            </w:r>
          </w:p>
        </w:tc>
      </w:tr>
      <w:tr w:rsidR="006E087E" w14:paraId="0D51BB9A" w14:textId="77777777" w:rsidTr="00A207C4">
        <w:tc>
          <w:tcPr>
            <w:tcW w:w="3870" w:type="dxa"/>
          </w:tcPr>
          <w:p w14:paraId="00ABB271"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Hospitals</w:t>
            </w:r>
          </w:p>
          <w:p w14:paraId="55E94ED9" w14:textId="77777777" w:rsidR="006E087E" w:rsidRDefault="006E087E" w:rsidP="00A207C4">
            <w:pPr>
              <w:spacing w:before="280"/>
              <w:rPr>
                <w:rFonts w:ascii="Times New Roman" w:eastAsia="Times New Roman" w:hAnsi="Times New Roman" w:cs="Times New Roman"/>
              </w:rPr>
            </w:pPr>
            <w:r>
              <w:rPr>
                <w:rFonts w:ascii="Times New Roman" w:eastAsia="Times New Roman" w:hAnsi="Times New Roman" w:cs="Times New Roman"/>
              </w:rPr>
              <w:t>Potential subgroups of interest: academic vs community, geographical, by type of unit (surgical vs medical)</w:t>
            </w:r>
          </w:p>
        </w:tc>
        <w:tc>
          <w:tcPr>
            <w:tcW w:w="5205" w:type="dxa"/>
          </w:tcPr>
          <w:p w14:paraId="7282C4B4"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RRS with a quality improvement component such as debriefing and recording/ reporting of metrics</w:t>
            </w:r>
          </w:p>
          <w:p w14:paraId="1DC12BF2"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b/>
              </w:rPr>
              <w:t>Subgroups to consider (depending on data availability):</w:t>
            </w:r>
            <w:r>
              <w:rPr>
                <w:rFonts w:ascii="Times New Roman" w:eastAsia="Times New Roman" w:hAnsi="Times New Roman" w:cs="Times New Roman"/>
              </w:rPr>
              <w:t xml:space="preserve"> Family inclusion in debriefing</w:t>
            </w:r>
          </w:p>
          <w:p w14:paraId="16BFB4D0" w14:textId="77777777" w:rsidR="006E087E" w:rsidRDefault="006E087E" w:rsidP="00A207C4">
            <w:pPr>
              <w:rPr>
                <w:rFonts w:ascii="Times New Roman" w:eastAsia="Times New Roman" w:hAnsi="Times New Roman" w:cs="Times New Roman"/>
              </w:rPr>
            </w:pPr>
          </w:p>
        </w:tc>
        <w:tc>
          <w:tcPr>
            <w:tcW w:w="3402" w:type="dxa"/>
          </w:tcPr>
          <w:p w14:paraId="5388577E"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RRS without a quality improvement component</w:t>
            </w:r>
          </w:p>
          <w:p w14:paraId="30916500" w14:textId="77777777" w:rsidR="006E087E" w:rsidRDefault="006E087E" w:rsidP="00A207C4">
            <w:pPr>
              <w:rPr>
                <w:rFonts w:ascii="Times New Roman" w:eastAsia="Times New Roman" w:hAnsi="Times New Roman" w:cs="Times New Roman"/>
              </w:rPr>
            </w:pPr>
          </w:p>
        </w:tc>
        <w:tc>
          <w:tcPr>
            <w:tcW w:w="1842" w:type="dxa"/>
          </w:tcPr>
          <w:p w14:paraId="54DC7DE0" w14:textId="77777777" w:rsidR="006E087E" w:rsidRDefault="006E087E" w:rsidP="00A207C4">
            <w:pPr>
              <w:rPr>
                <w:rFonts w:ascii="Times New Roman" w:eastAsia="Times New Roman" w:hAnsi="Times New Roman" w:cs="Times New Roman"/>
              </w:rPr>
            </w:pPr>
            <w:r>
              <w:rPr>
                <w:rFonts w:ascii="Times New Roman" w:eastAsia="Times New Roman" w:hAnsi="Times New Roman" w:cs="Times New Roman"/>
              </w:rPr>
              <w:t>SDC 4</w:t>
            </w:r>
          </w:p>
          <w:p w14:paraId="29D5E227" w14:textId="77777777" w:rsidR="006E087E" w:rsidRDefault="006E087E" w:rsidP="00A207C4">
            <w:pPr>
              <w:rPr>
                <w:rFonts w:ascii="Times New Roman" w:eastAsia="Times New Roman" w:hAnsi="Times New Roman" w:cs="Times New Roman"/>
              </w:rPr>
            </w:pPr>
          </w:p>
        </w:tc>
      </w:tr>
    </w:tbl>
    <w:p w14:paraId="1396B6B9" w14:textId="14B3DA33" w:rsidR="006E087E" w:rsidRDefault="006E087E" w:rsidP="006E087E">
      <w:pPr>
        <w:spacing w:line="240" w:lineRule="auto"/>
        <w:jc w:val="center"/>
        <w:sectPr w:rsidR="006E087E">
          <w:pgSz w:w="15840" w:h="12240" w:orient="landscape"/>
          <w:pgMar w:top="1440" w:right="1440" w:bottom="1440" w:left="1440" w:header="720" w:footer="720" w:gutter="0"/>
          <w:cols w:space="720"/>
        </w:sectPr>
      </w:pPr>
      <w:bookmarkStart w:id="4" w:name="bookmark=kix.777r4tuvdpj" w:colFirst="0" w:colLast="0"/>
      <w:bookmarkStart w:id="5" w:name="bookmark=kix.jb1q8g4rmu7h" w:colFirst="0" w:colLast="0"/>
      <w:bookmarkEnd w:id="4"/>
      <w:bookmarkEnd w:id="5"/>
    </w:p>
    <w:p w14:paraId="17EC9E64"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Supplemental Digital Content 4. Outcome Prioritization</w:t>
      </w:r>
    </w:p>
    <w:p w14:paraId="6B852B3B" w14:textId="77777777" w:rsidR="006E087E" w:rsidRDefault="006E087E" w:rsidP="006E087E">
      <w:pPr>
        <w:spacing w:line="240" w:lineRule="auto"/>
        <w:rPr>
          <w:rFonts w:ascii="Cambria" w:eastAsia="Cambria" w:hAnsi="Cambria" w:cs="Cambria"/>
          <w:b/>
          <w:i/>
          <w:sz w:val="24"/>
          <w:szCs w:val="24"/>
        </w:rPr>
      </w:pPr>
      <w:r>
        <w:rPr>
          <w:rFonts w:ascii="Times New Roman" w:eastAsia="Times New Roman" w:hAnsi="Times New Roman" w:cs="Times New Roman"/>
          <w:sz w:val="24"/>
          <w:szCs w:val="24"/>
        </w:rPr>
        <w:t>The panel identified a list of outcomes they deemed to be pertinent of the actionable PICO statements. Using the GRADE approach to outcome prioritization, each panel member independently rated each outcome on a scale of 1 to 9 (1= least important; 9 = critical to decision making). Panel members were asked to rate the importance of each of the listed outcomes</w:t>
      </w:r>
      <w:r>
        <w:rPr>
          <w:rFonts w:ascii="Times New Roman" w:eastAsia="Times New Roman" w:hAnsi="Times New Roman" w:cs="Times New Roman"/>
          <w:b/>
          <w:sz w:val="24"/>
          <w:szCs w:val="24"/>
        </w:rPr>
        <w:t xml:space="preserve"> from the perspectives of patients.</w:t>
      </w:r>
      <w:r>
        <w:rPr>
          <w:rFonts w:ascii="Cambria" w:eastAsia="Cambria" w:hAnsi="Cambria" w:cs="Cambria"/>
          <w:b/>
          <w:i/>
          <w:sz w:val="24"/>
          <w:szCs w:val="24"/>
        </w:rPr>
        <w:t xml:space="preserve"> </w:t>
      </w:r>
      <w:r>
        <w:rPr>
          <w:rFonts w:ascii="Times New Roman" w:eastAsia="Times New Roman" w:hAnsi="Times New Roman" w:cs="Times New Roman"/>
          <w:sz w:val="24"/>
          <w:szCs w:val="24"/>
        </w:rPr>
        <w:t xml:space="preserve">Mean scores were then calculated for each outcome and categorized them based on the below ‘Scoring Guide’. The </w:t>
      </w:r>
      <w:proofErr w:type="gramStart"/>
      <w:r>
        <w:rPr>
          <w:rFonts w:ascii="Times New Roman" w:eastAsia="Times New Roman" w:hAnsi="Times New Roman" w:cs="Times New Roman"/>
          <w:sz w:val="24"/>
          <w:szCs w:val="24"/>
        </w:rPr>
        <w:t>final outcome</w:t>
      </w:r>
      <w:proofErr w:type="gramEnd"/>
      <w:r>
        <w:rPr>
          <w:rFonts w:ascii="Times New Roman" w:eastAsia="Times New Roman" w:hAnsi="Times New Roman" w:cs="Times New Roman"/>
          <w:sz w:val="24"/>
          <w:szCs w:val="24"/>
        </w:rPr>
        <w:t xml:space="preserve"> ratings are displayed in the table below.</w:t>
      </w:r>
    </w:p>
    <w:p w14:paraId="6ED86C85" w14:textId="77777777" w:rsidR="006E087E" w:rsidRDefault="006E087E" w:rsidP="006E087E">
      <w:pPr>
        <w:spacing w:line="240" w:lineRule="auto"/>
      </w:pPr>
    </w:p>
    <w:p w14:paraId="7FC80E58"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Scoring Guide</w:t>
      </w:r>
    </w:p>
    <w:p w14:paraId="38DB32B1" w14:textId="77777777" w:rsidR="006E087E" w:rsidRDefault="006E087E" w:rsidP="006E087E">
      <w:pPr>
        <w:spacing w:line="240" w:lineRule="auto"/>
        <w:rPr>
          <w:rFonts w:ascii="Times New Roman" w:eastAsia="Times New Roman" w:hAnsi="Times New Roman" w:cs="Times New Roman"/>
          <w:b/>
          <w:sz w:val="24"/>
          <w:szCs w:val="24"/>
        </w:rPr>
      </w:pPr>
    </w:p>
    <w:tbl>
      <w:tblPr>
        <w:tblW w:w="535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50"/>
        <w:gridCol w:w="3803"/>
      </w:tblGrid>
      <w:tr w:rsidR="006E087E" w14:paraId="3C50EFA2" w14:textId="77777777" w:rsidTr="00A207C4">
        <w:trPr>
          <w:trHeight w:val="26"/>
        </w:trPr>
        <w:tc>
          <w:tcPr>
            <w:tcW w:w="1550" w:type="dxa"/>
            <w:tcBorders>
              <w:top w:val="single" w:sz="8" w:space="0" w:color="000000"/>
              <w:left w:val="single" w:sz="8" w:space="0" w:color="000000"/>
              <w:bottom w:val="nil"/>
              <w:right w:val="nil"/>
            </w:tcBorders>
            <w:shd w:val="clear" w:color="auto" w:fill="000000"/>
            <w:tcMar>
              <w:top w:w="100" w:type="dxa"/>
              <w:left w:w="100" w:type="dxa"/>
              <w:bottom w:w="100" w:type="dxa"/>
              <w:right w:w="100" w:type="dxa"/>
            </w:tcMar>
          </w:tcPr>
          <w:p w14:paraId="4C34795B" w14:textId="77777777" w:rsidR="006E087E" w:rsidRDefault="006E087E" w:rsidP="00A207C4">
            <w:pPr>
              <w:ind w:left="140" w:right="140"/>
              <w:rPr>
                <w:rFonts w:ascii="Times New Roman" w:eastAsia="Times New Roman" w:hAnsi="Times New Roman" w:cs="Times New Roman"/>
                <w:b/>
                <w:color w:val="FFFFFF"/>
              </w:rPr>
            </w:pPr>
            <w:r>
              <w:rPr>
                <w:rFonts w:ascii="Times New Roman" w:eastAsia="Times New Roman" w:hAnsi="Times New Roman" w:cs="Times New Roman"/>
                <w:b/>
                <w:color w:val="FFFFFF"/>
              </w:rPr>
              <w:t>SCORES</w:t>
            </w:r>
          </w:p>
        </w:tc>
        <w:tc>
          <w:tcPr>
            <w:tcW w:w="3803" w:type="dxa"/>
            <w:tcBorders>
              <w:top w:val="single" w:sz="8" w:space="0" w:color="000000"/>
              <w:left w:val="nil"/>
              <w:bottom w:val="nil"/>
              <w:right w:val="single" w:sz="8" w:space="0" w:color="000000"/>
            </w:tcBorders>
            <w:shd w:val="clear" w:color="auto" w:fill="000000"/>
            <w:tcMar>
              <w:top w:w="100" w:type="dxa"/>
              <w:left w:w="100" w:type="dxa"/>
              <w:bottom w:w="100" w:type="dxa"/>
              <w:right w:w="100" w:type="dxa"/>
            </w:tcMar>
          </w:tcPr>
          <w:p w14:paraId="142075B9" w14:textId="77777777" w:rsidR="006E087E" w:rsidRDefault="006E087E" w:rsidP="00A207C4">
            <w:pPr>
              <w:ind w:left="140" w:right="140"/>
              <w:rPr>
                <w:rFonts w:ascii="Times New Roman" w:eastAsia="Times New Roman" w:hAnsi="Times New Roman" w:cs="Times New Roman"/>
                <w:b/>
                <w:color w:val="FFFFFF"/>
              </w:rPr>
            </w:pPr>
            <w:r>
              <w:rPr>
                <w:rFonts w:ascii="Times New Roman" w:eastAsia="Times New Roman" w:hAnsi="Times New Roman" w:cs="Times New Roman"/>
                <w:b/>
                <w:color w:val="FFFFFF"/>
              </w:rPr>
              <w:t>IMPORTANCE</w:t>
            </w:r>
          </w:p>
        </w:tc>
      </w:tr>
      <w:tr w:rsidR="006E087E" w14:paraId="2E6FBD4B" w14:textId="77777777" w:rsidTr="00A207C4">
        <w:trPr>
          <w:trHeight w:val="26"/>
        </w:trPr>
        <w:tc>
          <w:tcPr>
            <w:tcW w:w="155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805E0E3" w14:textId="77777777" w:rsidR="006E087E" w:rsidRDefault="006E087E" w:rsidP="00A207C4">
            <w:pPr>
              <w:ind w:left="140" w:right="140"/>
              <w:rPr>
                <w:rFonts w:ascii="Times New Roman" w:eastAsia="Times New Roman" w:hAnsi="Times New Roman" w:cs="Times New Roman"/>
                <w:b/>
              </w:rPr>
            </w:pPr>
            <w:r>
              <w:rPr>
                <w:rFonts w:ascii="Times New Roman" w:eastAsia="Times New Roman" w:hAnsi="Times New Roman" w:cs="Times New Roman"/>
                <w:b/>
              </w:rPr>
              <w:t>1-3</w:t>
            </w:r>
          </w:p>
        </w:tc>
        <w:tc>
          <w:tcPr>
            <w:tcW w:w="38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911F6E" w14:textId="77777777" w:rsidR="006E087E" w:rsidRDefault="006E087E" w:rsidP="00A207C4">
            <w:pPr>
              <w:ind w:left="140" w:right="140"/>
              <w:rPr>
                <w:rFonts w:ascii="Times New Roman" w:eastAsia="Times New Roman" w:hAnsi="Times New Roman" w:cs="Times New Roman"/>
                <w:b/>
              </w:rPr>
            </w:pPr>
            <w:r>
              <w:rPr>
                <w:rFonts w:ascii="Times New Roman" w:eastAsia="Times New Roman" w:hAnsi="Times New Roman" w:cs="Times New Roman"/>
                <w:b/>
              </w:rPr>
              <w:t>Limited Importance</w:t>
            </w:r>
          </w:p>
        </w:tc>
      </w:tr>
      <w:tr w:rsidR="006E087E" w14:paraId="40DEF25A" w14:textId="77777777" w:rsidTr="00A207C4">
        <w:trPr>
          <w:trHeight w:val="18"/>
        </w:trPr>
        <w:tc>
          <w:tcPr>
            <w:tcW w:w="1550" w:type="dxa"/>
            <w:tcBorders>
              <w:top w:val="nil"/>
              <w:left w:val="single" w:sz="8" w:space="0" w:color="000000"/>
              <w:bottom w:val="nil"/>
              <w:right w:val="nil"/>
            </w:tcBorders>
            <w:tcMar>
              <w:top w:w="100" w:type="dxa"/>
              <w:left w:w="100" w:type="dxa"/>
              <w:bottom w:w="100" w:type="dxa"/>
              <w:right w:w="100" w:type="dxa"/>
            </w:tcMar>
          </w:tcPr>
          <w:p w14:paraId="0FBDA32B" w14:textId="77777777" w:rsidR="006E087E" w:rsidRDefault="006E087E" w:rsidP="00A207C4">
            <w:pPr>
              <w:ind w:left="140" w:right="140"/>
              <w:rPr>
                <w:rFonts w:ascii="Times New Roman" w:eastAsia="Times New Roman" w:hAnsi="Times New Roman" w:cs="Times New Roman"/>
                <w:b/>
              </w:rPr>
            </w:pPr>
            <w:r>
              <w:rPr>
                <w:rFonts w:ascii="Times New Roman" w:eastAsia="Times New Roman" w:hAnsi="Times New Roman" w:cs="Times New Roman"/>
                <w:b/>
              </w:rPr>
              <w:t>4-6</w:t>
            </w:r>
          </w:p>
        </w:tc>
        <w:tc>
          <w:tcPr>
            <w:tcW w:w="3803" w:type="dxa"/>
            <w:tcBorders>
              <w:top w:val="nil"/>
              <w:left w:val="nil"/>
              <w:bottom w:val="nil"/>
              <w:right w:val="single" w:sz="8" w:space="0" w:color="000000"/>
            </w:tcBorders>
            <w:tcMar>
              <w:top w:w="100" w:type="dxa"/>
              <w:left w:w="100" w:type="dxa"/>
              <w:bottom w:w="100" w:type="dxa"/>
              <w:right w:w="100" w:type="dxa"/>
            </w:tcMar>
          </w:tcPr>
          <w:p w14:paraId="79294F95" w14:textId="77777777" w:rsidR="006E087E" w:rsidRDefault="006E087E" w:rsidP="00A207C4">
            <w:pPr>
              <w:ind w:left="140" w:right="140"/>
              <w:rPr>
                <w:rFonts w:ascii="Times New Roman" w:eastAsia="Times New Roman" w:hAnsi="Times New Roman" w:cs="Times New Roman"/>
                <w:b/>
              </w:rPr>
            </w:pPr>
            <w:r>
              <w:rPr>
                <w:rFonts w:ascii="Times New Roman" w:eastAsia="Times New Roman" w:hAnsi="Times New Roman" w:cs="Times New Roman"/>
                <w:b/>
              </w:rPr>
              <w:t>Important</w:t>
            </w:r>
          </w:p>
        </w:tc>
      </w:tr>
      <w:tr w:rsidR="006E087E" w14:paraId="32207961" w14:textId="77777777" w:rsidTr="00A207C4">
        <w:trPr>
          <w:trHeight w:val="185"/>
        </w:trPr>
        <w:tc>
          <w:tcPr>
            <w:tcW w:w="155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44043DD6" w14:textId="77777777" w:rsidR="006E087E" w:rsidRDefault="006E087E" w:rsidP="00A207C4">
            <w:pPr>
              <w:ind w:left="140" w:right="140"/>
              <w:rPr>
                <w:rFonts w:ascii="Times New Roman" w:eastAsia="Times New Roman" w:hAnsi="Times New Roman" w:cs="Times New Roman"/>
                <w:b/>
              </w:rPr>
            </w:pPr>
            <w:r>
              <w:rPr>
                <w:rFonts w:ascii="Times New Roman" w:eastAsia="Times New Roman" w:hAnsi="Times New Roman" w:cs="Times New Roman"/>
                <w:b/>
              </w:rPr>
              <w:t>7-9</w:t>
            </w:r>
          </w:p>
        </w:tc>
        <w:tc>
          <w:tcPr>
            <w:tcW w:w="38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C51E18" w14:textId="77777777" w:rsidR="006E087E" w:rsidRDefault="006E087E" w:rsidP="00A207C4">
            <w:pPr>
              <w:ind w:left="140" w:right="140"/>
              <w:rPr>
                <w:rFonts w:ascii="Times New Roman" w:eastAsia="Times New Roman" w:hAnsi="Times New Roman" w:cs="Times New Roman"/>
                <w:b/>
              </w:rPr>
            </w:pPr>
            <w:r>
              <w:rPr>
                <w:rFonts w:ascii="Times New Roman" w:eastAsia="Times New Roman" w:hAnsi="Times New Roman" w:cs="Times New Roman"/>
                <w:b/>
              </w:rPr>
              <w:t>Critically important</w:t>
            </w:r>
          </w:p>
        </w:tc>
      </w:tr>
    </w:tbl>
    <w:p w14:paraId="22DD3F0E" w14:textId="77777777" w:rsidR="006E087E" w:rsidRDefault="006E087E" w:rsidP="006E087E">
      <w:pPr>
        <w:spacing w:line="240" w:lineRule="auto"/>
        <w:rPr>
          <w:rFonts w:ascii="Times New Roman" w:eastAsia="Times New Roman" w:hAnsi="Times New Roman" w:cs="Times New Roman"/>
          <w:color w:val="0070C0"/>
          <w:sz w:val="24"/>
          <w:szCs w:val="24"/>
        </w:rPr>
      </w:pPr>
    </w:p>
    <w:p w14:paraId="1CC8B423"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Outcome Prioritization</w:t>
      </w:r>
    </w:p>
    <w:p w14:paraId="5AB35118" w14:textId="77777777" w:rsidR="006E087E" w:rsidRDefault="006E087E" w:rsidP="006E087E">
      <w:pPr>
        <w:spacing w:line="240" w:lineRule="auto"/>
        <w:rPr>
          <w:rFonts w:ascii="Times New Roman" w:eastAsia="Times New Roman" w:hAnsi="Times New Roman" w:cs="Times New Roman"/>
          <w:b/>
          <w:sz w:val="24"/>
          <w:szCs w:val="24"/>
        </w:rPr>
      </w:pPr>
    </w:p>
    <w:p w14:paraId="2C3AF045" w14:textId="77777777" w:rsidR="006E087E" w:rsidRDefault="006E087E" w:rsidP="006E087E">
      <w:pPr>
        <w:spacing w:line="240" w:lineRule="auto"/>
        <w:rPr>
          <w:rFonts w:ascii="Times New Roman" w:eastAsia="Times New Roman" w:hAnsi="Times New Roman" w:cs="Times New Roman"/>
          <w:b/>
          <w:color w:val="0070C0"/>
          <w:sz w:val="24"/>
          <w:szCs w:val="24"/>
        </w:rPr>
      </w:pPr>
      <w:r>
        <w:rPr>
          <w:rFonts w:ascii="Times New Roman" w:eastAsia="Times New Roman" w:hAnsi="Times New Roman" w:cs="Times New Roman"/>
          <w:b/>
          <w:noProof/>
          <w:color w:val="0070C0"/>
          <w:sz w:val="24"/>
          <w:szCs w:val="24"/>
        </w:rPr>
        <w:drawing>
          <wp:inline distT="114300" distB="114300" distL="114300" distR="114300" wp14:anchorId="32EE27CE" wp14:editId="7579C733">
            <wp:extent cx="5591547" cy="3954744"/>
            <wp:effectExtent l="0" t="0" r="0" b="0"/>
            <wp:docPr id="46" name="image5.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46" name="image5.png" descr="A picture containing table&#10;&#10;Description automatically generated"/>
                    <pic:cNvPicPr preferRelativeResize="0"/>
                  </pic:nvPicPr>
                  <pic:blipFill>
                    <a:blip r:embed="rId15"/>
                    <a:srcRect/>
                    <a:stretch>
                      <a:fillRect/>
                    </a:stretch>
                  </pic:blipFill>
                  <pic:spPr>
                    <a:xfrm>
                      <a:off x="0" y="0"/>
                      <a:ext cx="5591547" cy="3954744"/>
                    </a:xfrm>
                    <a:prstGeom prst="rect">
                      <a:avLst/>
                    </a:prstGeom>
                    <a:ln/>
                  </pic:spPr>
                </pic:pic>
              </a:graphicData>
            </a:graphic>
          </wp:inline>
        </w:drawing>
      </w:r>
    </w:p>
    <w:p w14:paraId="6C2045C7" w14:textId="77777777" w:rsidR="006E087E" w:rsidRDefault="006E087E" w:rsidP="006E087E">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 = 22 panelists</w:t>
      </w:r>
    </w:p>
    <w:p w14:paraId="2D21E4C5" w14:textId="214CF6E5" w:rsidR="006E087E" w:rsidRDefault="006E087E" w:rsidP="006E087E">
      <w:pPr>
        <w:spacing w:line="240" w:lineRule="auto"/>
        <w:jc w:val="right"/>
        <w:rPr>
          <w:rFonts w:ascii="Times New Roman" w:eastAsia="Times New Roman" w:hAnsi="Times New Roman" w:cs="Times New Roman"/>
          <w:b/>
          <w:color w:val="C00000"/>
          <w:sz w:val="24"/>
          <w:szCs w:val="24"/>
          <w:highlight w:val="yellow"/>
        </w:rPr>
      </w:pPr>
      <w:r>
        <w:br w:type="page"/>
      </w:r>
    </w:p>
    <w:p w14:paraId="08522E9D" w14:textId="77777777" w:rsidR="006E087E" w:rsidRDefault="006E087E" w:rsidP="006E087E">
      <w:pPr>
        <w:spacing w:line="240" w:lineRule="auto"/>
        <w:rPr>
          <w:rFonts w:ascii="Times New Roman" w:eastAsia="Times New Roman" w:hAnsi="Times New Roman" w:cs="Times New Roman"/>
          <w:b/>
          <w:sz w:val="24"/>
          <w:szCs w:val="24"/>
          <w:highlight w:val="white"/>
        </w:rPr>
      </w:pPr>
      <w:bookmarkStart w:id="6" w:name="bookmark=kix.uszkfupk1tg7" w:colFirst="0" w:colLast="0"/>
      <w:bookmarkEnd w:id="6"/>
      <w:r>
        <w:rPr>
          <w:rFonts w:ascii="Times New Roman" w:eastAsia="Times New Roman" w:hAnsi="Times New Roman" w:cs="Times New Roman"/>
          <w:b/>
          <w:sz w:val="24"/>
          <w:szCs w:val="24"/>
        </w:rPr>
        <w:lastRenderedPageBreak/>
        <w:t>Supplemental Digital Content 5. Literature search strategy</w:t>
      </w:r>
    </w:p>
    <w:p w14:paraId="53D2F6BB"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Working with a GUIDE group medical librarian at St. Joseph’s Healthcare Hamilton, the two clinician-methodologists performed a literature search to identify potentially relevant English language articles. The following electronic databases were searched: MEDLINE (1946 to, January 22, 2020), EMBASE (1974 to January 22, 2020), CENTRAL (</w:t>
      </w:r>
      <w:r>
        <w:rPr>
          <w:rFonts w:ascii="Times New Roman" w:eastAsia="Times New Roman" w:hAnsi="Times New Roman" w:cs="Times New Roman"/>
          <w:i/>
          <w:sz w:val="24"/>
          <w:szCs w:val="24"/>
        </w:rPr>
        <w:t>The Cochrane Library</w:t>
      </w:r>
      <w:r>
        <w:rPr>
          <w:rFonts w:ascii="Times New Roman" w:eastAsia="Times New Roman" w:hAnsi="Times New Roman" w:cs="Times New Roman"/>
          <w:sz w:val="24"/>
          <w:szCs w:val="24"/>
        </w:rPr>
        <w:t xml:space="preserve"> Issue 12, 2019), ClinicalTrials.gov (January 23, 2020), WHO International Clinical Trials Registry Platform (ICTRP) (January 24, 2020).</w:t>
      </w:r>
    </w:p>
    <w:p w14:paraId="5F503887" w14:textId="77777777" w:rsidR="006E087E" w:rsidRDefault="006E087E" w:rsidP="006E087E">
      <w:pPr>
        <w:tabs>
          <w:tab w:val="left" w:pos="1276"/>
        </w:tabs>
        <w:spacing w:line="240" w:lineRule="auto"/>
        <w:rPr>
          <w:rFonts w:ascii="Times New Roman" w:eastAsia="Times New Roman" w:hAnsi="Times New Roman" w:cs="Times New Roman"/>
          <w:b/>
          <w:sz w:val="24"/>
          <w:szCs w:val="24"/>
        </w:rPr>
      </w:pPr>
    </w:p>
    <w:p w14:paraId="23956FA8" w14:textId="77777777" w:rsidR="006E087E" w:rsidRDefault="006E087E" w:rsidP="006E087E">
      <w:pPr>
        <w:tabs>
          <w:tab w:val="left" w:pos="1276"/>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Search Strategy</w:t>
      </w:r>
    </w:p>
    <w:p w14:paraId="36E946FD" w14:textId="77777777" w:rsidR="006E087E" w:rsidRDefault="006E087E" w:rsidP="006E087E">
      <w:pPr>
        <w:tabs>
          <w:tab w:val="left" w:pos="1276"/>
        </w:tabs>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Embase &lt;1974 to 2020 January 22&gt;, and OVID Medline </w:t>
      </w:r>
      <w:proofErr w:type="spellStart"/>
      <w:r>
        <w:rPr>
          <w:rFonts w:ascii="Times New Roman" w:eastAsia="Times New Roman" w:hAnsi="Times New Roman" w:cs="Times New Roman"/>
          <w:sz w:val="24"/>
          <w:szCs w:val="24"/>
        </w:rPr>
        <w:t>Epub</w:t>
      </w:r>
      <w:proofErr w:type="spellEnd"/>
      <w:r>
        <w:rPr>
          <w:rFonts w:ascii="Times New Roman" w:eastAsia="Times New Roman" w:hAnsi="Times New Roman" w:cs="Times New Roman"/>
          <w:sz w:val="24"/>
          <w:szCs w:val="24"/>
        </w:rPr>
        <w:t xml:space="preserve"> Ahead of Print, In-Process &amp; Other Non-Indexed Citations, Ovid MEDLINE(R) Daily and Ovid MEDLINE(R) 1946 to Present</w:t>
      </w:r>
    </w:p>
    <w:p w14:paraId="2E55324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p>
    <w:p w14:paraId="1576838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exp animals/</w:t>
      </w:r>
      <w:r>
        <w:rPr>
          <w:rFonts w:ascii="Times New Roman" w:eastAsia="Times New Roman" w:hAnsi="Times New Roman" w:cs="Times New Roman"/>
          <w:sz w:val="24"/>
          <w:szCs w:val="24"/>
        </w:rPr>
        <w:tab/>
      </w:r>
    </w:p>
    <w:p w14:paraId="7EA041D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exp animal experimentation/ or exp animal experiment/</w:t>
      </w:r>
      <w:r>
        <w:rPr>
          <w:rFonts w:ascii="Times New Roman" w:eastAsia="Times New Roman" w:hAnsi="Times New Roman" w:cs="Times New Roman"/>
          <w:sz w:val="24"/>
          <w:szCs w:val="24"/>
        </w:rPr>
        <w:tab/>
      </w:r>
    </w:p>
    <w:p w14:paraId="650B65C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exp </w:t>
      </w:r>
      <w:proofErr w:type="gramStart"/>
      <w:r>
        <w:rPr>
          <w:rFonts w:ascii="Times New Roman" w:eastAsia="Times New Roman" w:hAnsi="Times New Roman" w:cs="Times New Roman"/>
          <w:sz w:val="24"/>
          <w:szCs w:val="24"/>
        </w:rPr>
        <w:t>models</w:t>
      </w:r>
      <w:proofErr w:type="gramEnd"/>
      <w:r>
        <w:rPr>
          <w:rFonts w:ascii="Times New Roman" w:eastAsia="Times New Roman" w:hAnsi="Times New Roman" w:cs="Times New Roman"/>
          <w:sz w:val="24"/>
          <w:szCs w:val="24"/>
        </w:rPr>
        <w:t xml:space="preserve"> animal/</w:t>
      </w:r>
      <w:r>
        <w:rPr>
          <w:rFonts w:ascii="Times New Roman" w:eastAsia="Times New Roman" w:hAnsi="Times New Roman" w:cs="Times New Roman"/>
          <w:sz w:val="24"/>
          <w:szCs w:val="24"/>
        </w:rPr>
        <w:tab/>
      </w:r>
    </w:p>
    <w:p w14:paraId="014C101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nonhuman/</w:t>
      </w:r>
      <w:r>
        <w:rPr>
          <w:rFonts w:ascii="Times New Roman" w:eastAsia="Times New Roman" w:hAnsi="Times New Roman" w:cs="Times New Roman"/>
          <w:sz w:val="24"/>
          <w:szCs w:val="24"/>
        </w:rPr>
        <w:tab/>
      </w:r>
    </w:p>
    <w:p w14:paraId="5E12B7F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exp vertebrate/ or exp vertebrates/</w:t>
      </w:r>
      <w:r>
        <w:rPr>
          <w:rFonts w:ascii="Times New Roman" w:eastAsia="Times New Roman" w:hAnsi="Times New Roman" w:cs="Times New Roman"/>
          <w:sz w:val="24"/>
          <w:szCs w:val="24"/>
        </w:rPr>
        <w:tab/>
      </w:r>
    </w:p>
    <w:p w14:paraId="0F288EF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1 or 2 or 3 or 4 or 5</w:t>
      </w:r>
      <w:r>
        <w:rPr>
          <w:rFonts w:ascii="Times New Roman" w:eastAsia="Times New Roman" w:hAnsi="Times New Roman" w:cs="Times New Roman"/>
          <w:sz w:val="24"/>
          <w:szCs w:val="24"/>
        </w:rPr>
        <w:tab/>
      </w:r>
    </w:p>
    <w:p w14:paraId="2201984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exp humans/</w:t>
      </w:r>
      <w:r>
        <w:rPr>
          <w:rFonts w:ascii="Times New Roman" w:eastAsia="Times New Roman" w:hAnsi="Times New Roman" w:cs="Times New Roman"/>
          <w:sz w:val="24"/>
          <w:szCs w:val="24"/>
        </w:rPr>
        <w:tab/>
      </w:r>
    </w:p>
    <w:p w14:paraId="323BFA5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exp human experimentation/ or exp human experiment/</w:t>
      </w:r>
      <w:r>
        <w:rPr>
          <w:rFonts w:ascii="Times New Roman" w:eastAsia="Times New Roman" w:hAnsi="Times New Roman" w:cs="Times New Roman"/>
          <w:sz w:val="24"/>
          <w:szCs w:val="24"/>
        </w:rPr>
        <w:tab/>
      </w:r>
    </w:p>
    <w:p w14:paraId="41FFC2E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7 or 8</w:t>
      </w:r>
      <w:r>
        <w:rPr>
          <w:rFonts w:ascii="Times New Roman" w:eastAsia="Times New Roman" w:hAnsi="Times New Roman" w:cs="Times New Roman"/>
          <w:sz w:val="24"/>
          <w:szCs w:val="24"/>
        </w:rPr>
        <w:tab/>
      </w:r>
    </w:p>
    <w:p w14:paraId="0BE610D0"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6 not 9</w:t>
      </w:r>
      <w:r>
        <w:rPr>
          <w:rFonts w:ascii="Times New Roman" w:eastAsia="Times New Roman" w:hAnsi="Times New Roman" w:cs="Times New Roman"/>
          <w:sz w:val="24"/>
          <w:szCs w:val="24"/>
        </w:rPr>
        <w:tab/>
      </w:r>
    </w:p>
    <w:p w14:paraId="141FA1B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(Randomized Controlled Trial or Controlled Clinical Trial or Pragmatic Clinical Trial or Equivalence Trial or Clinical Trial, Phase III</w:t>
      </w:r>
      <w:proofErr w:type="gramStart"/>
      <w:r>
        <w:rPr>
          <w:rFonts w:ascii="Times New Roman" w:eastAsia="Times New Roman" w:hAnsi="Times New Roman" w:cs="Times New Roman"/>
          <w:sz w:val="24"/>
          <w:szCs w:val="24"/>
        </w:rPr>
        <w:t>).pt.</w:t>
      </w:r>
      <w:proofErr w:type="gramEnd"/>
      <w:r>
        <w:rPr>
          <w:rFonts w:ascii="Times New Roman" w:eastAsia="Times New Roman" w:hAnsi="Times New Roman" w:cs="Times New Roman"/>
          <w:sz w:val="24"/>
          <w:szCs w:val="24"/>
        </w:rPr>
        <w:tab/>
      </w:r>
    </w:p>
    <w:p w14:paraId="1C8B3B5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Randomized Controlled Trial/</w:t>
      </w:r>
      <w:r>
        <w:rPr>
          <w:rFonts w:ascii="Times New Roman" w:eastAsia="Times New Roman" w:hAnsi="Times New Roman" w:cs="Times New Roman"/>
          <w:sz w:val="24"/>
          <w:szCs w:val="24"/>
        </w:rPr>
        <w:tab/>
      </w:r>
    </w:p>
    <w:p w14:paraId="246FBD30"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exp Randomized Controlled Trials as Topic/</w:t>
      </w:r>
      <w:r>
        <w:rPr>
          <w:rFonts w:ascii="Times New Roman" w:eastAsia="Times New Roman" w:hAnsi="Times New Roman" w:cs="Times New Roman"/>
          <w:sz w:val="24"/>
          <w:szCs w:val="24"/>
        </w:rPr>
        <w:tab/>
      </w:r>
    </w:p>
    <w:p w14:paraId="6DB9B2B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"Randomized Controlled Trial (topic)"/</w:t>
      </w:r>
      <w:r>
        <w:rPr>
          <w:rFonts w:ascii="Times New Roman" w:eastAsia="Times New Roman" w:hAnsi="Times New Roman" w:cs="Times New Roman"/>
          <w:sz w:val="24"/>
          <w:szCs w:val="24"/>
        </w:rPr>
        <w:tab/>
      </w:r>
    </w:p>
    <w:p w14:paraId="08097C2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Controlled Clinical Trial/</w:t>
      </w:r>
      <w:r>
        <w:rPr>
          <w:rFonts w:ascii="Times New Roman" w:eastAsia="Times New Roman" w:hAnsi="Times New Roman" w:cs="Times New Roman"/>
          <w:sz w:val="24"/>
          <w:szCs w:val="24"/>
        </w:rPr>
        <w:tab/>
      </w:r>
    </w:p>
    <w:p w14:paraId="6EEDD3F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exp Controlled Clinical Trials as Topic/</w:t>
      </w:r>
      <w:r>
        <w:rPr>
          <w:rFonts w:ascii="Times New Roman" w:eastAsia="Times New Roman" w:hAnsi="Times New Roman" w:cs="Times New Roman"/>
          <w:sz w:val="24"/>
          <w:szCs w:val="24"/>
        </w:rPr>
        <w:tab/>
      </w:r>
    </w:p>
    <w:p w14:paraId="34EA849A"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"Controlled Clinical Trial (topic)"/</w:t>
      </w:r>
      <w:r>
        <w:rPr>
          <w:rFonts w:ascii="Times New Roman" w:eastAsia="Times New Roman" w:hAnsi="Times New Roman" w:cs="Times New Roman"/>
          <w:sz w:val="24"/>
          <w:szCs w:val="24"/>
        </w:rPr>
        <w:tab/>
      </w:r>
    </w:p>
    <w:p w14:paraId="23EDCCC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Randomization/</w:t>
      </w:r>
      <w:r>
        <w:rPr>
          <w:rFonts w:ascii="Times New Roman" w:eastAsia="Times New Roman" w:hAnsi="Times New Roman" w:cs="Times New Roman"/>
          <w:sz w:val="24"/>
          <w:szCs w:val="24"/>
        </w:rPr>
        <w:tab/>
      </w:r>
    </w:p>
    <w:p w14:paraId="74D6D1E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Random Allocation/</w:t>
      </w:r>
      <w:r>
        <w:rPr>
          <w:rFonts w:ascii="Times New Roman" w:eastAsia="Times New Roman" w:hAnsi="Times New Roman" w:cs="Times New Roman"/>
          <w:sz w:val="24"/>
          <w:szCs w:val="24"/>
        </w:rPr>
        <w:tab/>
      </w:r>
    </w:p>
    <w:p w14:paraId="703F674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Double-Blind Method/</w:t>
      </w:r>
      <w:r>
        <w:rPr>
          <w:rFonts w:ascii="Times New Roman" w:eastAsia="Times New Roman" w:hAnsi="Times New Roman" w:cs="Times New Roman"/>
          <w:sz w:val="24"/>
          <w:szCs w:val="24"/>
        </w:rPr>
        <w:tab/>
      </w:r>
    </w:p>
    <w:p w14:paraId="4B6AF3D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Double Blind Procedure/</w:t>
      </w:r>
      <w:r>
        <w:rPr>
          <w:rFonts w:ascii="Times New Roman" w:eastAsia="Times New Roman" w:hAnsi="Times New Roman" w:cs="Times New Roman"/>
          <w:sz w:val="24"/>
          <w:szCs w:val="24"/>
        </w:rPr>
        <w:tab/>
      </w:r>
    </w:p>
    <w:p w14:paraId="6118D36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Double-Blind Studies/</w:t>
      </w:r>
      <w:r>
        <w:rPr>
          <w:rFonts w:ascii="Times New Roman" w:eastAsia="Times New Roman" w:hAnsi="Times New Roman" w:cs="Times New Roman"/>
          <w:sz w:val="24"/>
          <w:szCs w:val="24"/>
        </w:rPr>
        <w:tab/>
      </w:r>
    </w:p>
    <w:p w14:paraId="1073B40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Single-Blind Method/</w:t>
      </w:r>
      <w:r>
        <w:rPr>
          <w:rFonts w:ascii="Times New Roman" w:eastAsia="Times New Roman" w:hAnsi="Times New Roman" w:cs="Times New Roman"/>
          <w:sz w:val="24"/>
          <w:szCs w:val="24"/>
        </w:rPr>
        <w:tab/>
      </w:r>
    </w:p>
    <w:p w14:paraId="41CEF3B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Single Blind Procedure/</w:t>
      </w:r>
      <w:r>
        <w:rPr>
          <w:rFonts w:ascii="Times New Roman" w:eastAsia="Times New Roman" w:hAnsi="Times New Roman" w:cs="Times New Roman"/>
          <w:sz w:val="24"/>
          <w:szCs w:val="24"/>
        </w:rPr>
        <w:tab/>
      </w:r>
    </w:p>
    <w:p w14:paraId="3B68BEF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Single-Blind Studies/</w:t>
      </w:r>
      <w:r>
        <w:rPr>
          <w:rFonts w:ascii="Times New Roman" w:eastAsia="Times New Roman" w:hAnsi="Times New Roman" w:cs="Times New Roman"/>
          <w:sz w:val="24"/>
          <w:szCs w:val="24"/>
        </w:rPr>
        <w:tab/>
      </w:r>
    </w:p>
    <w:p w14:paraId="3C741EB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Placebos/</w:t>
      </w:r>
      <w:r>
        <w:rPr>
          <w:rFonts w:ascii="Times New Roman" w:eastAsia="Times New Roman" w:hAnsi="Times New Roman" w:cs="Times New Roman"/>
          <w:sz w:val="24"/>
          <w:szCs w:val="24"/>
        </w:rPr>
        <w:tab/>
      </w:r>
    </w:p>
    <w:p w14:paraId="4DCB49C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Placebo/</w:t>
      </w:r>
      <w:r>
        <w:rPr>
          <w:rFonts w:ascii="Times New Roman" w:eastAsia="Times New Roman" w:hAnsi="Times New Roman" w:cs="Times New Roman"/>
          <w:sz w:val="24"/>
          <w:szCs w:val="24"/>
        </w:rPr>
        <w:tab/>
      </w:r>
    </w:p>
    <w:p w14:paraId="0AD9C4A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Control Groups/</w:t>
      </w:r>
      <w:r>
        <w:rPr>
          <w:rFonts w:ascii="Times New Roman" w:eastAsia="Times New Roman" w:hAnsi="Times New Roman" w:cs="Times New Roman"/>
          <w:sz w:val="24"/>
          <w:szCs w:val="24"/>
        </w:rPr>
        <w:tab/>
      </w:r>
    </w:p>
    <w:p w14:paraId="5F59724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 Control Group/</w:t>
      </w:r>
      <w:r>
        <w:rPr>
          <w:rFonts w:ascii="Times New Roman" w:eastAsia="Times New Roman" w:hAnsi="Times New Roman" w:cs="Times New Roman"/>
          <w:sz w:val="24"/>
          <w:szCs w:val="24"/>
        </w:rPr>
        <w:tab/>
      </w:r>
    </w:p>
    <w:p w14:paraId="058248E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(random* or sham or placebo*</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72331BA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w:t>
      </w:r>
      <w:proofErr w:type="spellStart"/>
      <w:r>
        <w:rPr>
          <w:rFonts w:ascii="Times New Roman" w:eastAsia="Times New Roman" w:hAnsi="Times New Roman" w:cs="Times New Roman"/>
          <w:sz w:val="24"/>
          <w:szCs w:val="24"/>
        </w:rPr>
        <w:t>singl</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doubl</w:t>
      </w:r>
      <w:proofErr w:type="spellEnd"/>
      <w:r>
        <w:rPr>
          <w:rFonts w:ascii="Times New Roman" w:eastAsia="Times New Roman" w:hAnsi="Times New Roman" w:cs="Times New Roman"/>
          <w:sz w:val="24"/>
          <w:szCs w:val="24"/>
        </w:rPr>
        <w:t xml:space="preserve">*) adj (blind* or </w:t>
      </w:r>
      <w:proofErr w:type="spellStart"/>
      <w:r>
        <w:rPr>
          <w:rFonts w:ascii="Times New Roman" w:eastAsia="Times New Roman" w:hAnsi="Times New Roman" w:cs="Times New Roman"/>
          <w:sz w:val="24"/>
          <w:szCs w:val="24"/>
        </w:rPr>
        <w:t>dumm</w:t>
      </w:r>
      <w:proofErr w:type="spellEnd"/>
      <w:r>
        <w:rPr>
          <w:rFonts w:ascii="Times New Roman" w:eastAsia="Times New Roman" w:hAnsi="Times New Roman" w:cs="Times New Roman"/>
          <w:sz w:val="24"/>
          <w:szCs w:val="24"/>
        </w:rPr>
        <w:t>* or mask*)</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DB8EB27"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 ((</w:t>
      </w:r>
      <w:proofErr w:type="spellStart"/>
      <w:r>
        <w:rPr>
          <w:rFonts w:ascii="Times New Roman" w:eastAsia="Times New Roman" w:hAnsi="Times New Roman" w:cs="Times New Roman"/>
          <w:sz w:val="24"/>
          <w:szCs w:val="24"/>
        </w:rPr>
        <w:t>tripl</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trebl</w:t>
      </w:r>
      <w:proofErr w:type="spellEnd"/>
      <w:r>
        <w:rPr>
          <w:rFonts w:ascii="Times New Roman" w:eastAsia="Times New Roman" w:hAnsi="Times New Roman" w:cs="Times New Roman"/>
          <w:sz w:val="24"/>
          <w:szCs w:val="24"/>
        </w:rPr>
        <w:t xml:space="preserve">*) adj (blind* or </w:t>
      </w:r>
      <w:proofErr w:type="spellStart"/>
      <w:r>
        <w:rPr>
          <w:rFonts w:ascii="Times New Roman" w:eastAsia="Times New Roman" w:hAnsi="Times New Roman" w:cs="Times New Roman"/>
          <w:sz w:val="24"/>
          <w:szCs w:val="24"/>
        </w:rPr>
        <w:t>dumm</w:t>
      </w:r>
      <w:proofErr w:type="spellEnd"/>
      <w:r>
        <w:rPr>
          <w:rFonts w:ascii="Times New Roman" w:eastAsia="Times New Roman" w:hAnsi="Times New Roman" w:cs="Times New Roman"/>
          <w:sz w:val="24"/>
          <w:szCs w:val="24"/>
        </w:rPr>
        <w:t>* or mask*)</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A21F90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(control* adj3 (study or studies or trial* or group*)</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745B74C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(Nonrandom* or </w:t>
      </w:r>
      <w:proofErr w:type="spellStart"/>
      <w:r>
        <w:rPr>
          <w:rFonts w:ascii="Times New Roman" w:eastAsia="Times New Roman" w:hAnsi="Times New Roman" w:cs="Times New Roman"/>
          <w:sz w:val="24"/>
          <w:szCs w:val="24"/>
        </w:rPr>
        <w:t>non random</w:t>
      </w:r>
      <w:proofErr w:type="spellEnd"/>
      <w:r>
        <w:rPr>
          <w:rFonts w:ascii="Times New Roman" w:eastAsia="Times New Roman" w:hAnsi="Times New Roman" w:cs="Times New Roman"/>
          <w:sz w:val="24"/>
          <w:szCs w:val="24"/>
        </w:rPr>
        <w:t xml:space="preserve">* or non-random* or quasi-random* or </w:t>
      </w:r>
      <w:proofErr w:type="spellStart"/>
      <w:r>
        <w:rPr>
          <w:rFonts w:ascii="Times New Roman" w:eastAsia="Times New Roman" w:hAnsi="Times New Roman" w:cs="Times New Roman"/>
          <w:sz w:val="24"/>
          <w:szCs w:val="24"/>
        </w:rPr>
        <w:t>quasirandom</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739C046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t>
      </w:r>
      <w:proofErr w:type="spellStart"/>
      <w:proofErr w:type="gramStart"/>
      <w:r>
        <w:rPr>
          <w:rFonts w:ascii="Times New Roman" w:eastAsia="Times New Roman" w:hAnsi="Times New Roman" w:cs="Times New Roman"/>
          <w:sz w:val="24"/>
          <w:szCs w:val="24"/>
        </w:rPr>
        <w:t>allocated.ti</w:t>
      </w:r>
      <w:proofErr w:type="gramEnd"/>
      <w:r>
        <w:rPr>
          <w:rFonts w:ascii="Times New Roman" w:eastAsia="Times New Roman" w:hAnsi="Times New Roman" w:cs="Times New Roman"/>
          <w:sz w:val="24"/>
          <w:szCs w:val="24"/>
        </w:rPr>
        <w:t>,ab,hw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362DFD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 ((open label or open-label) adj5 (study or studies or trial*)</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331A93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((equivalence or superiority or non-inferiority or noninferiority) adj3 (study or studies or trial*)</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334D38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 (pragmatic study or pragmatic studies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7CA4DA1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 ((pragmatic or practical) adj3 trial*</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5B5030B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w:t>
      </w:r>
      <w:proofErr w:type="spellStart"/>
      <w:r>
        <w:rPr>
          <w:rFonts w:ascii="Times New Roman" w:eastAsia="Times New Roman" w:hAnsi="Times New Roman" w:cs="Times New Roman"/>
          <w:sz w:val="24"/>
          <w:szCs w:val="24"/>
        </w:rPr>
        <w:t>quasiexperimental</w:t>
      </w:r>
      <w:proofErr w:type="spellEnd"/>
      <w:r>
        <w:rPr>
          <w:rFonts w:ascii="Times New Roman" w:eastAsia="Times New Roman" w:hAnsi="Times New Roman" w:cs="Times New Roman"/>
          <w:sz w:val="24"/>
          <w:szCs w:val="24"/>
        </w:rPr>
        <w:t xml:space="preserve"> or quasi-experimental) adj3 (study or studies or trial*)</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E6B01C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(phase adj3 (III or "3") adj3 (study or studies or trial*)</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,hw,kf,kw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5A30FD5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or/11-41</w:t>
      </w:r>
      <w:r>
        <w:rPr>
          <w:rFonts w:ascii="Times New Roman" w:eastAsia="Times New Roman" w:hAnsi="Times New Roman" w:cs="Times New Roman"/>
          <w:sz w:val="24"/>
          <w:szCs w:val="24"/>
        </w:rPr>
        <w:tab/>
      </w:r>
    </w:p>
    <w:p w14:paraId="2473298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epidemiologic methods/</w:t>
      </w:r>
      <w:r>
        <w:rPr>
          <w:rFonts w:ascii="Times New Roman" w:eastAsia="Times New Roman" w:hAnsi="Times New Roman" w:cs="Times New Roman"/>
          <w:sz w:val="24"/>
          <w:szCs w:val="24"/>
        </w:rPr>
        <w:tab/>
      </w:r>
    </w:p>
    <w:p w14:paraId="710DDC3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epidemiologic studies/</w:t>
      </w:r>
      <w:r>
        <w:rPr>
          <w:rFonts w:ascii="Times New Roman" w:eastAsia="Times New Roman" w:hAnsi="Times New Roman" w:cs="Times New Roman"/>
          <w:sz w:val="24"/>
          <w:szCs w:val="24"/>
        </w:rPr>
        <w:tab/>
      </w:r>
    </w:p>
    <w:p w14:paraId="3BC6FE1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observational study/</w:t>
      </w:r>
      <w:r>
        <w:rPr>
          <w:rFonts w:ascii="Times New Roman" w:eastAsia="Times New Roman" w:hAnsi="Times New Roman" w:cs="Times New Roman"/>
          <w:sz w:val="24"/>
          <w:szCs w:val="24"/>
        </w:rPr>
        <w:tab/>
      </w:r>
    </w:p>
    <w:p w14:paraId="5C0E311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 observational studies as topic/</w:t>
      </w:r>
      <w:r>
        <w:rPr>
          <w:rFonts w:ascii="Times New Roman" w:eastAsia="Times New Roman" w:hAnsi="Times New Roman" w:cs="Times New Roman"/>
          <w:sz w:val="24"/>
          <w:szCs w:val="24"/>
        </w:rPr>
        <w:tab/>
      </w:r>
    </w:p>
    <w:p w14:paraId="277E017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 clinical studies as topic/</w:t>
      </w:r>
      <w:r>
        <w:rPr>
          <w:rFonts w:ascii="Times New Roman" w:eastAsia="Times New Roman" w:hAnsi="Times New Roman" w:cs="Times New Roman"/>
          <w:sz w:val="24"/>
          <w:szCs w:val="24"/>
        </w:rPr>
        <w:tab/>
      </w:r>
    </w:p>
    <w:p w14:paraId="280A2DD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controlled before-after studies/</w:t>
      </w:r>
      <w:r>
        <w:rPr>
          <w:rFonts w:ascii="Times New Roman" w:eastAsia="Times New Roman" w:hAnsi="Times New Roman" w:cs="Times New Roman"/>
          <w:sz w:val="24"/>
          <w:szCs w:val="24"/>
        </w:rPr>
        <w:tab/>
      </w:r>
    </w:p>
    <w:p w14:paraId="298D1FC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 cross-sectional studies/</w:t>
      </w:r>
      <w:r>
        <w:rPr>
          <w:rFonts w:ascii="Times New Roman" w:eastAsia="Times New Roman" w:hAnsi="Times New Roman" w:cs="Times New Roman"/>
          <w:sz w:val="24"/>
          <w:szCs w:val="24"/>
        </w:rPr>
        <w:tab/>
      </w:r>
    </w:p>
    <w:p w14:paraId="2609794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historically controlled study/</w:t>
      </w:r>
      <w:r>
        <w:rPr>
          <w:rFonts w:ascii="Times New Roman" w:eastAsia="Times New Roman" w:hAnsi="Times New Roman" w:cs="Times New Roman"/>
          <w:sz w:val="24"/>
          <w:szCs w:val="24"/>
        </w:rPr>
        <w:tab/>
      </w:r>
    </w:p>
    <w:p w14:paraId="547F4E8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interrupted time series analysis/</w:t>
      </w:r>
      <w:r>
        <w:rPr>
          <w:rFonts w:ascii="Times New Roman" w:eastAsia="Times New Roman" w:hAnsi="Times New Roman" w:cs="Times New Roman"/>
          <w:sz w:val="24"/>
          <w:szCs w:val="24"/>
        </w:rPr>
        <w:tab/>
      </w:r>
    </w:p>
    <w:p w14:paraId="32F526F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exp </w:t>
      </w:r>
      <w:proofErr w:type="spellStart"/>
      <w:r>
        <w:rPr>
          <w:rFonts w:ascii="Times New Roman" w:eastAsia="Times New Roman" w:hAnsi="Times New Roman" w:cs="Times New Roman"/>
          <w:sz w:val="24"/>
          <w:szCs w:val="24"/>
        </w:rPr>
        <w:t>seroepidemiologic</w:t>
      </w:r>
      <w:proofErr w:type="spellEnd"/>
      <w:r>
        <w:rPr>
          <w:rFonts w:ascii="Times New Roman" w:eastAsia="Times New Roman" w:hAnsi="Times New Roman" w:cs="Times New Roman"/>
          <w:sz w:val="24"/>
          <w:szCs w:val="24"/>
        </w:rPr>
        <w:t xml:space="preserve"> studies/</w:t>
      </w:r>
      <w:r>
        <w:rPr>
          <w:rFonts w:ascii="Times New Roman" w:eastAsia="Times New Roman" w:hAnsi="Times New Roman" w:cs="Times New Roman"/>
          <w:sz w:val="24"/>
          <w:szCs w:val="24"/>
        </w:rPr>
        <w:tab/>
      </w:r>
    </w:p>
    <w:p w14:paraId="01E42D2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 national longitudinal study of adolescent health/</w:t>
      </w:r>
      <w:r>
        <w:rPr>
          <w:rFonts w:ascii="Times New Roman" w:eastAsia="Times New Roman" w:hAnsi="Times New Roman" w:cs="Times New Roman"/>
          <w:sz w:val="24"/>
          <w:szCs w:val="24"/>
        </w:rPr>
        <w:tab/>
      </w:r>
    </w:p>
    <w:p w14:paraId="29A58BE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 cohort studies/</w:t>
      </w:r>
      <w:r>
        <w:rPr>
          <w:rFonts w:ascii="Times New Roman" w:eastAsia="Times New Roman" w:hAnsi="Times New Roman" w:cs="Times New Roman"/>
          <w:sz w:val="24"/>
          <w:szCs w:val="24"/>
        </w:rPr>
        <w:tab/>
      </w:r>
    </w:p>
    <w:p w14:paraId="4EF43EF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 cohort analysis/</w:t>
      </w:r>
      <w:r>
        <w:rPr>
          <w:rFonts w:ascii="Times New Roman" w:eastAsia="Times New Roman" w:hAnsi="Times New Roman" w:cs="Times New Roman"/>
          <w:sz w:val="24"/>
          <w:szCs w:val="24"/>
        </w:rPr>
        <w:tab/>
      </w:r>
    </w:p>
    <w:p w14:paraId="0B20366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 longitudinal studies/</w:t>
      </w:r>
      <w:r>
        <w:rPr>
          <w:rFonts w:ascii="Times New Roman" w:eastAsia="Times New Roman" w:hAnsi="Times New Roman" w:cs="Times New Roman"/>
          <w:sz w:val="24"/>
          <w:szCs w:val="24"/>
        </w:rPr>
        <w:tab/>
      </w:r>
    </w:p>
    <w:p w14:paraId="6DD357B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 longitudinal study/</w:t>
      </w:r>
      <w:r>
        <w:rPr>
          <w:rFonts w:ascii="Times New Roman" w:eastAsia="Times New Roman" w:hAnsi="Times New Roman" w:cs="Times New Roman"/>
          <w:sz w:val="24"/>
          <w:szCs w:val="24"/>
        </w:rPr>
        <w:tab/>
      </w:r>
    </w:p>
    <w:p w14:paraId="5FD8186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 prospective studies/</w:t>
      </w:r>
      <w:r>
        <w:rPr>
          <w:rFonts w:ascii="Times New Roman" w:eastAsia="Times New Roman" w:hAnsi="Times New Roman" w:cs="Times New Roman"/>
          <w:sz w:val="24"/>
          <w:szCs w:val="24"/>
        </w:rPr>
        <w:tab/>
      </w:r>
    </w:p>
    <w:p w14:paraId="002E535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 prospective study/</w:t>
      </w:r>
      <w:r>
        <w:rPr>
          <w:rFonts w:ascii="Times New Roman" w:eastAsia="Times New Roman" w:hAnsi="Times New Roman" w:cs="Times New Roman"/>
          <w:sz w:val="24"/>
          <w:szCs w:val="24"/>
        </w:rPr>
        <w:tab/>
      </w:r>
    </w:p>
    <w:p w14:paraId="0C3FCB2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follow-up studies/</w:t>
      </w:r>
      <w:r>
        <w:rPr>
          <w:rFonts w:ascii="Times New Roman" w:eastAsia="Times New Roman" w:hAnsi="Times New Roman" w:cs="Times New Roman"/>
          <w:sz w:val="24"/>
          <w:szCs w:val="24"/>
        </w:rPr>
        <w:tab/>
      </w:r>
    </w:p>
    <w:p w14:paraId="0660965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 follow up/</w:t>
      </w:r>
      <w:r>
        <w:rPr>
          <w:rFonts w:ascii="Times New Roman" w:eastAsia="Times New Roman" w:hAnsi="Times New Roman" w:cs="Times New Roman"/>
          <w:sz w:val="24"/>
          <w:szCs w:val="24"/>
        </w:rPr>
        <w:tab/>
      </w:r>
    </w:p>
    <w:p w14:paraId="4275732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w:t>
      </w:r>
      <w:proofErr w:type="spellStart"/>
      <w:r>
        <w:rPr>
          <w:rFonts w:ascii="Times New Roman" w:eastAsia="Times New Roman" w:hAnsi="Times New Roman" w:cs="Times New Roman"/>
          <w:sz w:val="24"/>
          <w:szCs w:val="24"/>
        </w:rPr>
        <w:t>followup</w:t>
      </w:r>
      <w:proofErr w:type="spellEnd"/>
      <w:r>
        <w:rPr>
          <w:rFonts w:ascii="Times New Roman" w:eastAsia="Times New Roman" w:hAnsi="Times New Roman" w:cs="Times New Roman"/>
          <w:sz w:val="24"/>
          <w:szCs w:val="24"/>
        </w:rPr>
        <w:t xml:space="preserve"> studies/</w:t>
      </w:r>
      <w:r>
        <w:rPr>
          <w:rFonts w:ascii="Times New Roman" w:eastAsia="Times New Roman" w:hAnsi="Times New Roman" w:cs="Times New Roman"/>
          <w:sz w:val="24"/>
          <w:szCs w:val="24"/>
        </w:rPr>
        <w:tab/>
      </w:r>
    </w:p>
    <w:p w14:paraId="2ECF4FA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retrospective studies/</w:t>
      </w:r>
      <w:r>
        <w:rPr>
          <w:rFonts w:ascii="Times New Roman" w:eastAsia="Times New Roman" w:hAnsi="Times New Roman" w:cs="Times New Roman"/>
          <w:sz w:val="24"/>
          <w:szCs w:val="24"/>
        </w:rPr>
        <w:tab/>
      </w:r>
    </w:p>
    <w:p w14:paraId="62306EB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 retrospective study/</w:t>
      </w:r>
      <w:r>
        <w:rPr>
          <w:rFonts w:ascii="Times New Roman" w:eastAsia="Times New Roman" w:hAnsi="Times New Roman" w:cs="Times New Roman"/>
          <w:sz w:val="24"/>
          <w:szCs w:val="24"/>
        </w:rPr>
        <w:tab/>
      </w:r>
    </w:p>
    <w:p w14:paraId="7715797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 case-control studies/</w:t>
      </w:r>
      <w:r>
        <w:rPr>
          <w:rFonts w:ascii="Times New Roman" w:eastAsia="Times New Roman" w:hAnsi="Times New Roman" w:cs="Times New Roman"/>
          <w:sz w:val="24"/>
          <w:szCs w:val="24"/>
        </w:rPr>
        <w:tab/>
      </w:r>
    </w:p>
    <w:p w14:paraId="0DE2A407"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 exp case control study/</w:t>
      </w:r>
      <w:r>
        <w:rPr>
          <w:rFonts w:ascii="Times New Roman" w:eastAsia="Times New Roman" w:hAnsi="Times New Roman" w:cs="Times New Roman"/>
          <w:sz w:val="24"/>
          <w:szCs w:val="24"/>
        </w:rPr>
        <w:tab/>
      </w:r>
    </w:p>
    <w:p w14:paraId="4ABB5E8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 cross-sectional study/</w:t>
      </w:r>
      <w:r>
        <w:rPr>
          <w:rFonts w:ascii="Times New Roman" w:eastAsia="Times New Roman" w:hAnsi="Times New Roman" w:cs="Times New Roman"/>
          <w:sz w:val="24"/>
          <w:szCs w:val="24"/>
        </w:rPr>
        <w:tab/>
      </w:r>
    </w:p>
    <w:p w14:paraId="1125836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 observational study/</w:t>
      </w:r>
      <w:r>
        <w:rPr>
          <w:rFonts w:ascii="Times New Roman" w:eastAsia="Times New Roman" w:hAnsi="Times New Roman" w:cs="Times New Roman"/>
          <w:sz w:val="24"/>
          <w:szCs w:val="24"/>
        </w:rPr>
        <w:tab/>
      </w:r>
    </w:p>
    <w:p w14:paraId="672E1E7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 quasi experimental methods/</w:t>
      </w:r>
      <w:r>
        <w:rPr>
          <w:rFonts w:ascii="Times New Roman" w:eastAsia="Times New Roman" w:hAnsi="Times New Roman" w:cs="Times New Roman"/>
          <w:sz w:val="24"/>
          <w:szCs w:val="24"/>
        </w:rPr>
        <w:tab/>
      </w:r>
    </w:p>
    <w:p w14:paraId="6F54A41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 quasi experimental study/</w:t>
      </w:r>
      <w:r>
        <w:rPr>
          <w:rFonts w:ascii="Times New Roman" w:eastAsia="Times New Roman" w:hAnsi="Times New Roman" w:cs="Times New Roman"/>
          <w:sz w:val="24"/>
          <w:szCs w:val="24"/>
        </w:rPr>
        <w:tab/>
      </w:r>
    </w:p>
    <w:p w14:paraId="1D27B17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 (observational study or validation studies or clinical study</w:t>
      </w:r>
      <w:proofErr w:type="gramStart"/>
      <w:r>
        <w:rPr>
          <w:rFonts w:ascii="Times New Roman" w:eastAsia="Times New Roman" w:hAnsi="Times New Roman" w:cs="Times New Roman"/>
          <w:sz w:val="24"/>
          <w:szCs w:val="24"/>
        </w:rPr>
        <w:t>).pt.</w:t>
      </w:r>
      <w:proofErr w:type="gramEnd"/>
      <w:r>
        <w:rPr>
          <w:rFonts w:ascii="Times New Roman" w:eastAsia="Times New Roman" w:hAnsi="Times New Roman" w:cs="Times New Roman"/>
          <w:sz w:val="24"/>
          <w:szCs w:val="24"/>
        </w:rPr>
        <w:tab/>
      </w:r>
    </w:p>
    <w:p w14:paraId="16CF009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 (observational adj3 (study or studies or design or analysis or analyses)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E57423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cohort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49497F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 (prospective adj7 (study or studies or design or analysis or analyses)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395CF7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 ((follow up or </w:t>
      </w:r>
      <w:proofErr w:type="spellStart"/>
      <w:r>
        <w:rPr>
          <w:rFonts w:ascii="Times New Roman" w:eastAsia="Times New Roman" w:hAnsi="Times New Roman" w:cs="Times New Roman"/>
          <w:sz w:val="24"/>
          <w:szCs w:val="24"/>
        </w:rPr>
        <w:t>followup</w:t>
      </w:r>
      <w:proofErr w:type="spellEnd"/>
      <w:r>
        <w:rPr>
          <w:rFonts w:ascii="Times New Roman" w:eastAsia="Times New Roman" w:hAnsi="Times New Roman" w:cs="Times New Roman"/>
          <w:sz w:val="24"/>
          <w:szCs w:val="24"/>
        </w:rPr>
        <w:t>) adj7 (study or studies or design or analysis or analyses)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544FD0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76. ((longitudinal or </w:t>
      </w:r>
      <w:proofErr w:type="spellStart"/>
      <w:r>
        <w:rPr>
          <w:rFonts w:ascii="Times New Roman" w:eastAsia="Times New Roman" w:hAnsi="Times New Roman" w:cs="Times New Roman"/>
          <w:sz w:val="24"/>
          <w:szCs w:val="24"/>
        </w:rPr>
        <w:t>longterm</w:t>
      </w:r>
      <w:proofErr w:type="spellEnd"/>
      <w:r>
        <w:rPr>
          <w:rFonts w:ascii="Times New Roman" w:eastAsia="Times New Roman" w:hAnsi="Times New Roman" w:cs="Times New Roman"/>
          <w:sz w:val="24"/>
          <w:szCs w:val="24"/>
        </w:rPr>
        <w:t xml:space="preserve"> or (long adj term)) adj7 (study or studies or design or analysis or analyses or data)</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2AC6FA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 (retrospective adj7 (study or studies or design or analysis or analyses or data or review)</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C443FA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((case adj control) or (case adj comparison) or (case adj controlled)</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514A7EF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 (case-referent adj3 (study or studies or design or analysis or analyses)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1F5113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(population adj3 (study or studies or analysis or analyses)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1A3064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(descriptive adj3 (study or studies or design or analysis or analyses)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634F00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 ((multidimensional or (multi adj dimensional)) adj3 (study or studies or design or analysis or analyses)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7E9A17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 (cross adj sectional adj7 (study or studies or design or research or analysis or analyses or survey or findings)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8E38F3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 ((natural adj experiment) or (natural adj experiments)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CFB2EE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 (quasi adj (experiment or experiments or experimental)</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7B42B3D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 ((</w:t>
      </w:r>
      <w:proofErr w:type="spellStart"/>
      <w:r>
        <w:rPr>
          <w:rFonts w:ascii="Times New Roman" w:eastAsia="Times New Roman" w:hAnsi="Times New Roman" w:cs="Times New Roman"/>
          <w:sz w:val="24"/>
          <w:szCs w:val="24"/>
        </w:rPr>
        <w:t>non experiment</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nonexperiment</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non experimental</w:t>
      </w:r>
      <w:proofErr w:type="spellEnd"/>
      <w:r>
        <w:rPr>
          <w:rFonts w:ascii="Times New Roman" w:eastAsia="Times New Roman" w:hAnsi="Times New Roman" w:cs="Times New Roman"/>
          <w:sz w:val="24"/>
          <w:szCs w:val="24"/>
        </w:rPr>
        <w:t xml:space="preserve"> or nonexperimental) adj3 (study or studies or design or analysis or analyses)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8FA6F90"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 (prevalence adj3 (study or studies or analysis or analyses)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A96B82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 or/43-87</w:t>
      </w:r>
      <w:r>
        <w:rPr>
          <w:rFonts w:ascii="Times New Roman" w:eastAsia="Times New Roman" w:hAnsi="Times New Roman" w:cs="Times New Roman"/>
          <w:sz w:val="24"/>
          <w:szCs w:val="24"/>
        </w:rPr>
        <w:tab/>
      </w:r>
    </w:p>
    <w:p w14:paraId="1323D65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 meta-analysis.pt.</w:t>
      </w:r>
      <w:r>
        <w:rPr>
          <w:rFonts w:ascii="Times New Roman" w:eastAsia="Times New Roman" w:hAnsi="Times New Roman" w:cs="Times New Roman"/>
          <w:sz w:val="24"/>
          <w:szCs w:val="24"/>
        </w:rPr>
        <w:tab/>
      </w:r>
    </w:p>
    <w:p w14:paraId="60E35C9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 meta-analysis/ or systematic review/ or meta-analysis as topic/ or "</w:t>
      </w:r>
      <w:proofErr w:type="spellStart"/>
      <w:proofErr w:type="gramStart"/>
      <w:r>
        <w:rPr>
          <w:rFonts w:ascii="Times New Roman" w:eastAsia="Times New Roman" w:hAnsi="Times New Roman" w:cs="Times New Roman"/>
          <w:sz w:val="24"/>
          <w:szCs w:val="24"/>
        </w:rPr>
        <w:t>meta analysis</w:t>
      </w:r>
      <w:proofErr w:type="spellEnd"/>
      <w:proofErr w:type="gramEnd"/>
      <w:r>
        <w:rPr>
          <w:rFonts w:ascii="Times New Roman" w:eastAsia="Times New Roman" w:hAnsi="Times New Roman" w:cs="Times New Roman"/>
          <w:sz w:val="24"/>
          <w:szCs w:val="24"/>
        </w:rPr>
        <w:t xml:space="preserve"> (topic)"/ or "systematic review (topic)"/ or exp technology assessment, biomedical/</w:t>
      </w:r>
      <w:r>
        <w:rPr>
          <w:rFonts w:ascii="Times New Roman" w:eastAsia="Times New Roman" w:hAnsi="Times New Roman" w:cs="Times New Roman"/>
          <w:sz w:val="24"/>
          <w:szCs w:val="24"/>
        </w:rPr>
        <w:tab/>
      </w:r>
    </w:p>
    <w:p w14:paraId="0D64E10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 ((systematic* adj3 (review* or overview*)) or (methodologic* adj3 (review* or overview*))</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7219BC4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((quantitative adj3 (review* or overview* or </w:t>
      </w:r>
      <w:proofErr w:type="spellStart"/>
      <w:r>
        <w:rPr>
          <w:rFonts w:ascii="Times New Roman" w:eastAsia="Times New Roman" w:hAnsi="Times New Roman" w:cs="Times New Roman"/>
          <w:sz w:val="24"/>
          <w:szCs w:val="24"/>
        </w:rPr>
        <w:t>synthes</w:t>
      </w:r>
      <w:proofErr w:type="spellEnd"/>
      <w:r>
        <w:rPr>
          <w:rFonts w:ascii="Times New Roman" w:eastAsia="Times New Roman" w:hAnsi="Times New Roman" w:cs="Times New Roman"/>
          <w:sz w:val="24"/>
          <w:szCs w:val="24"/>
        </w:rPr>
        <w:t>*)) or (research adj3 (</w:t>
      </w:r>
      <w:proofErr w:type="spellStart"/>
      <w:r>
        <w:rPr>
          <w:rFonts w:ascii="Times New Roman" w:eastAsia="Times New Roman" w:hAnsi="Times New Roman" w:cs="Times New Roman"/>
          <w:sz w:val="24"/>
          <w:szCs w:val="24"/>
        </w:rPr>
        <w:t>integrati</w:t>
      </w:r>
      <w:proofErr w:type="spellEnd"/>
      <w:r>
        <w:rPr>
          <w:rFonts w:ascii="Times New Roman" w:eastAsia="Times New Roman" w:hAnsi="Times New Roman" w:cs="Times New Roman"/>
          <w:sz w:val="24"/>
          <w:szCs w:val="24"/>
        </w:rPr>
        <w:t>* or overview*))</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0580D5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 ((integrative adj3 (review* or overview*)) or (collaborative adj3 (review* or overview*)) or (pool* adj3 </w:t>
      </w:r>
      <w:proofErr w:type="spellStart"/>
      <w:r>
        <w:rPr>
          <w:rFonts w:ascii="Times New Roman" w:eastAsia="Times New Roman" w:hAnsi="Times New Roman" w:cs="Times New Roman"/>
          <w:sz w:val="24"/>
          <w:szCs w:val="24"/>
        </w:rPr>
        <w:t>analy</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D0482A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94. (data </w:t>
      </w:r>
      <w:proofErr w:type="spellStart"/>
      <w:r>
        <w:rPr>
          <w:rFonts w:ascii="Times New Roman" w:eastAsia="Times New Roman" w:hAnsi="Times New Roman" w:cs="Times New Roman"/>
          <w:sz w:val="24"/>
          <w:szCs w:val="24"/>
        </w:rPr>
        <w:t>synthes</w:t>
      </w:r>
      <w:proofErr w:type="spellEnd"/>
      <w:r>
        <w:rPr>
          <w:rFonts w:ascii="Times New Roman" w:eastAsia="Times New Roman" w:hAnsi="Times New Roman" w:cs="Times New Roman"/>
          <w:sz w:val="24"/>
          <w:szCs w:val="24"/>
        </w:rPr>
        <w:t>* or data extraction* or data abstraction*</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115BF9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w:t>
      </w:r>
      <w:proofErr w:type="spellStart"/>
      <w:r>
        <w:rPr>
          <w:rFonts w:ascii="Times New Roman" w:eastAsia="Times New Roman" w:hAnsi="Times New Roman" w:cs="Times New Roman"/>
          <w:sz w:val="24"/>
          <w:szCs w:val="24"/>
        </w:rPr>
        <w:t>handsearch</w:t>
      </w:r>
      <w:proofErr w:type="spellEnd"/>
      <w:r>
        <w:rPr>
          <w:rFonts w:ascii="Times New Roman" w:eastAsia="Times New Roman" w:hAnsi="Times New Roman" w:cs="Times New Roman"/>
          <w:sz w:val="24"/>
          <w:szCs w:val="24"/>
        </w:rPr>
        <w:t>* or hand search*</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5A6341F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96. (mantel </w:t>
      </w:r>
      <w:proofErr w:type="spellStart"/>
      <w:r>
        <w:rPr>
          <w:rFonts w:ascii="Times New Roman" w:eastAsia="Times New Roman" w:hAnsi="Times New Roman" w:cs="Times New Roman"/>
          <w:sz w:val="24"/>
          <w:szCs w:val="24"/>
        </w:rPr>
        <w:t>haenszel</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peto</w:t>
      </w:r>
      <w:proofErr w:type="spellEnd"/>
      <w:r>
        <w:rPr>
          <w:rFonts w:ascii="Times New Roman" w:eastAsia="Times New Roman" w:hAnsi="Times New Roman" w:cs="Times New Roman"/>
          <w:sz w:val="24"/>
          <w:szCs w:val="24"/>
        </w:rPr>
        <w:t xml:space="preserve"> or der </w:t>
      </w:r>
      <w:proofErr w:type="spellStart"/>
      <w:r>
        <w:rPr>
          <w:rFonts w:ascii="Times New Roman" w:eastAsia="Times New Roman" w:hAnsi="Times New Roman" w:cs="Times New Roman"/>
          <w:sz w:val="24"/>
          <w:szCs w:val="24"/>
        </w:rPr>
        <w:t>simonian</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dersimonian</w:t>
      </w:r>
      <w:proofErr w:type="spellEnd"/>
      <w:r>
        <w:rPr>
          <w:rFonts w:ascii="Times New Roman" w:eastAsia="Times New Roman" w:hAnsi="Times New Roman" w:cs="Times New Roman"/>
          <w:sz w:val="24"/>
          <w:szCs w:val="24"/>
        </w:rPr>
        <w:t xml:space="preserve"> or fixed effect* or </w:t>
      </w:r>
      <w:proofErr w:type="spellStart"/>
      <w:r>
        <w:rPr>
          <w:rFonts w:ascii="Times New Roman" w:eastAsia="Times New Roman" w:hAnsi="Times New Roman" w:cs="Times New Roman"/>
          <w:sz w:val="24"/>
          <w:szCs w:val="24"/>
        </w:rPr>
        <w:t>latin</w:t>
      </w:r>
      <w:proofErr w:type="spellEnd"/>
      <w:r>
        <w:rPr>
          <w:rFonts w:ascii="Times New Roman" w:eastAsia="Times New Roman" w:hAnsi="Times New Roman" w:cs="Times New Roman"/>
          <w:sz w:val="24"/>
          <w:szCs w:val="24"/>
        </w:rPr>
        <w:t xml:space="preserve"> square*</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CE7941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97. (met </w:t>
      </w:r>
      <w:proofErr w:type="spellStart"/>
      <w:r>
        <w:rPr>
          <w:rFonts w:ascii="Times New Roman" w:eastAsia="Times New Roman" w:hAnsi="Times New Roman" w:cs="Times New Roman"/>
          <w:sz w:val="24"/>
          <w:szCs w:val="24"/>
        </w:rPr>
        <w:t>analy</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metanaly</w:t>
      </w:r>
      <w:proofErr w:type="spellEnd"/>
      <w:r>
        <w:rPr>
          <w:rFonts w:ascii="Times New Roman" w:eastAsia="Times New Roman" w:hAnsi="Times New Roman" w:cs="Times New Roman"/>
          <w:sz w:val="24"/>
          <w:szCs w:val="24"/>
        </w:rPr>
        <w:t>* or technology assessment* or HTA or HTAs or technology overview* or technology appraisal*</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B287ED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 (meta regression* or </w:t>
      </w:r>
      <w:proofErr w:type="spellStart"/>
      <w:r>
        <w:rPr>
          <w:rFonts w:ascii="Times New Roman" w:eastAsia="Times New Roman" w:hAnsi="Times New Roman" w:cs="Times New Roman"/>
          <w:sz w:val="24"/>
          <w:szCs w:val="24"/>
        </w:rPr>
        <w:t>metaregression</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B969ABA"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 (meta-</w:t>
      </w:r>
      <w:proofErr w:type="spellStart"/>
      <w:r>
        <w:rPr>
          <w:rFonts w:ascii="Times New Roman" w:eastAsia="Times New Roman" w:hAnsi="Times New Roman" w:cs="Times New Roman"/>
          <w:sz w:val="24"/>
          <w:szCs w:val="24"/>
        </w:rPr>
        <w:t>analy</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metaanaly</w:t>
      </w:r>
      <w:proofErr w:type="spellEnd"/>
      <w:r>
        <w:rPr>
          <w:rFonts w:ascii="Times New Roman" w:eastAsia="Times New Roman" w:hAnsi="Times New Roman" w:cs="Times New Roman"/>
          <w:sz w:val="24"/>
          <w:szCs w:val="24"/>
        </w:rPr>
        <w:t>* or systematic review* or biomedical technology assessment* or bio-medical technology assessment*).</w:t>
      </w:r>
      <w:proofErr w:type="spellStart"/>
      <w:proofErr w:type="gramStart"/>
      <w:r>
        <w:rPr>
          <w:rFonts w:ascii="Times New Roman" w:eastAsia="Times New Roman" w:hAnsi="Times New Roman" w:cs="Times New Roman"/>
          <w:sz w:val="24"/>
          <w:szCs w:val="24"/>
        </w:rPr>
        <w:t>mp,hw</w:t>
      </w:r>
      <w:proofErr w:type="spellEnd"/>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BBABA40"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roofErr w:type="spellStart"/>
      <w:r>
        <w:rPr>
          <w:rFonts w:ascii="Times New Roman" w:eastAsia="Times New Roman" w:hAnsi="Times New Roman" w:cs="Times New Roman"/>
          <w:sz w:val="24"/>
          <w:szCs w:val="24"/>
        </w:rPr>
        <w:t>medline</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cochrane</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pubmed</w:t>
      </w:r>
      <w:proofErr w:type="spellEnd"/>
      <w:r>
        <w:rPr>
          <w:rFonts w:ascii="Times New Roman" w:eastAsia="Times New Roman" w:hAnsi="Times New Roman" w:cs="Times New Roman"/>
          <w:sz w:val="24"/>
          <w:szCs w:val="24"/>
        </w:rPr>
        <w:t xml:space="preserve"> or medlars or </w:t>
      </w:r>
      <w:proofErr w:type="spellStart"/>
      <w:r>
        <w:rPr>
          <w:rFonts w:ascii="Times New Roman" w:eastAsia="Times New Roman" w:hAnsi="Times New Roman" w:cs="Times New Roman"/>
          <w:sz w:val="24"/>
          <w:szCs w:val="24"/>
        </w:rPr>
        <w:t>embase</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cinahl</w:t>
      </w:r>
      <w:proofErr w:type="spellEnd"/>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,ab,hw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587D34A"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 (</w:t>
      </w:r>
      <w:proofErr w:type="spellStart"/>
      <w:r>
        <w:rPr>
          <w:rFonts w:ascii="Times New Roman" w:eastAsia="Times New Roman" w:hAnsi="Times New Roman" w:cs="Times New Roman"/>
          <w:sz w:val="24"/>
          <w:szCs w:val="24"/>
        </w:rPr>
        <w:t>cochrane</w:t>
      </w:r>
      <w:proofErr w:type="spellEnd"/>
      <w:r>
        <w:rPr>
          <w:rFonts w:ascii="Times New Roman" w:eastAsia="Times New Roman" w:hAnsi="Times New Roman" w:cs="Times New Roman"/>
          <w:sz w:val="24"/>
          <w:szCs w:val="24"/>
        </w:rPr>
        <w:t xml:space="preserve"> or (health adj2 technology assessment) or evidence report).</w:t>
      </w:r>
      <w:proofErr w:type="spellStart"/>
      <w:r>
        <w:rPr>
          <w:rFonts w:ascii="Times New Roman" w:eastAsia="Times New Roman" w:hAnsi="Times New Roman" w:cs="Times New Roman"/>
          <w:sz w:val="24"/>
          <w:szCs w:val="24"/>
        </w:rPr>
        <w:t>jw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6C16D8A"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 (meta-analysis or systematic review).</w:t>
      </w:r>
      <w:proofErr w:type="spellStart"/>
      <w:r>
        <w:rPr>
          <w:rFonts w:ascii="Times New Roman" w:eastAsia="Times New Roman" w:hAnsi="Times New Roman" w:cs="Times New Roman"/>
          <w:sz w:val="24"/>
          <w:szCs w:val="24"/>
        </w:rPr>
        <w:t>mp</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5940EB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 (comparative adj3 (efficacy or effectiveness)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C0461A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 (outcomes research or relative effectiveness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7F24580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 ((indirect or indirect treatment or mixed-treatment) adj comparison*</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,ab,kf,kw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052F71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 or/89-105</w:t>
      </w:r>
      <w:r>
        <w:rPr>
          <w:rFonts w:ascii="Times New Roman" w:eastAsia="Times New Roman" w:hAnsi="Times New Roman" w:cs="Times New Roman"/>
          <w:sz w:val="24"/>
          <w:szCs w:val="24"/>
        </w:rPr>
        <w:tab/>
      </w:r>
    </w:p>
    <w:p w14:paraId="79DD02E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(42 or 88 or 106) not 10</w:t>
      </w:r>
      <w:r>
        <w:rPr>
          <w:rFonts w:ascii="Times New Roman" w:eastAsia="Times New Roman" w:hAnsi="Times New Roman" w:cs="Times New Roman"/>
          <w:sz w:val="24"/>
          <w:szCs w:val="24"/>
        </w:rPr>
        <w:tab/>
      </w:r>
    </w:p>
    <w:p w14:paraId="2EC4DC1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 exp Hospitals/ or exp Hospital Units/ or exp Hospital/</w:t>
      </w:r>
      <w:r>
        <w:rPr>
          <w:rFonts w:ascii="Times New Roman" w:eastAsia="Times New Roman" w:hAnsi="Times New Roman" w:cs="Times New Roman"/>
          <w:sz w:val="24"/>
          <w:szCs w:val="24"/>
        </w:rPr>
        <w:tab/>
      </w:r>
    </w:p>
    <w:p w14:paraId="513D24F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 (hospital$ or WARD or WARDS).</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1C00F2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110. Hospitalization/</w:t>
      </w:r>
      <w:r>
        <w:rPr>
          <w:rFonts w:ascii="Times New Roman" w:eastAsia="Times New Roman" w:hAnsi="Times New Roman" w:cs="Times New Roman"/>
          <w:sz w:val="24"/>
          <w:szCs w:val="24"/>
        </w:rPr>
        <w:tab/>
      </w:r>
    </w:p>
    <w:p w14:paraId="3012ACA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proofErr w:type="spellStart"/>
      <w:r>
        <w:rPr>
          <w:rFonts w:ascii="Times New Roman" w:eastAsia="Times New Roman" w:hAnsi="Times New Roman" w:cs="Times New Roman"/>
          <w:sz w:val="24"/>
          <w:szCs w:val="24"/>
        </w:rPr>
        <w:t>hospital</w:t>
      </w:r>
      <w:proofErr w:type="gramStart"/>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r>
    </w:p>
    <w:p w14:paraId="5775655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"length of stay"/ or Patient admission/ or Patient discharge/ or Patient readmission/ or Patient transfer/ or hospital admission/ or hospital discharge/ or </w:t>
      </w:r>
      <w:proofErr w:type="spellStart"/>
      <w:r>
        <w:rPr>
          <w:rFonts w:ascii="Times New Roman" w:eastAsia="Times New Roman" w:hAnsi="Times New Roman" w:cs="Times New Roman"/>
          <w:sz w:val="24"/>
          <w:szCs w:val="24"/>
        </w:rPr>
        <w:t>hosptial</w:t>
      </w:r>
      <w:proofErr w:type="spellEnd"/>
      <w:r>
        <w:rPr>
          <w:rFonts w:ascii="Times New Roman" w:eastAsia="Times New Roman" w:hAnsi="Times New Roman" w:cs="Times New Roman"/>
          <w:sz w:val="24"/>
          <w:szCs w:val="24"/>
        </w:rPr>
        <w:t xml:space="preserve"> readmission/ or patient transport/</w:t>
      </w:r>
      <w:r>
        <w:rPr>
          <w:rFonts w:ascii="Times New Roman" w:eastAsia="Times New Roman" w:hAnsi="Times New Roman" w:cs="Times New Roman"/>
          <w:sz w:val="24"/>
          <w:szCs w:val="24"/>
        </w:rPr>
        <w:tab/>
      </w:r>
    </w:p>
    <w:p w14:paraId="4DBCC38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 ((patient? or hospital$</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,hw</w:t>
      </w:r>
      <w:proofErr w:type="spellEnd"/>
      <w:r>
        <w:rPr>
          <w:rFonts w:ascii="Times New Roman" w:eastAsia="Times New Roman" w:hAnsi="Times New Roman" w:cs="Times New Roman"/>
          <w:sz w:val="24"/>
          <w:szCs w:val="24"/>
        </w:rPr>
        <w:t>. and (</w:t>
      </w:r>
      <w:proofErr w:type="spellStart"/>
      <w:r>
        <w:rPr>
          <w:rFonts w:ascii="Times New Roman" w:eastAsia="Times New Roman" w:hAnsi="Times New Roman" w:cs="Times New Roman"/>
          <w:sz w:val="24"/>
          <w:szCs w:val="24"/>
        </w:rPr>
        <w:t>discharg</w:t>
      </w:r>
      <w:proofErr w:type="spellEnd"/>
      <w:r>
        <w:rPr>
          <w:rFonts w:ascii="Times New Roman" w:eastAsia="Times New Roman" w:hAnsi="Times New Roman" w:cs="Times New Roman"/>
          <w:sz w:val="24"/>
          <w:szCs w:val="24"/>
        </w:rPr>
        <w:t>$ or admission? or admit* or re-admit* or readmission? or readmit$ or transfer?).</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 or "length of stay".</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5DA693A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 (((patient? or hospital?) adj2 (</w:t>
      </w:r>
      <w:proofErr w:type="spellStart"/>
      <w:r>
        <w:rPr>
          <w:rFonts w:ascii="Times New Roman" w:eastAsia="Times New Roman" w:hAnsi="Times New Roman" w:cs="Times New Roman"/>
          <w:sz w:val="24"/>
          <w:szCs w:val="24"/>
        </w:rPr>
        <w:t>discharg</w:t>
      </w:r>
      <w:proofErr w:type="spellEnd"/>
      <w:r>
        <w:rPr>
          <w:rFonts w:ascii="Times New Roman" w:eastAsia="Times New Roman" w:hAnsi="Times New Roman" w:cs="Times New Roman"/>
          <w:sz w:val="24"/>
          <w:szCs w:val="24"/>
        </w:rPr>
        <w:t>$ or admission? or admitting or readmission? or transfer?)) or "length of stay"</w:t>
      </w:r>
      <w:proofErr w:type="gramStart"/>
      <w:r>
        <w:rPr>
          <w:rFonts w:ascii="Times New Roman" w:eastAsia="Times New Roman" w:hAnsi="Times New Roman" w:cs="Times New Roman"/>
          <w:sz w:val="24"/>
          <w:szCs w:val="24"/>
        </w:rPr>
        <w:t>).ab.</w:t>
      </w:r>
      <w:proofErr w:type="gramEnd"/>
      <w:r>
        <w:rPr>
          <w:rFonts w:ascii="Times New Roman" w:eastAsia="Times New Roman" w:hAnsi="Times New Roman" w:cs="Times New Roman"/>
          <w:sz w:val="24"/>
          <w:szCs w:val="24"/>
        </w:rPr>
        <w:tab/>
      </w:r>
    </w:p>
    <w:p w14:paraId="5A7B0D3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 Inpatients/ or hospital patient/</w:t>
      </w:r>
      <w:r>
        <w:rPr>
          <w:rFonts w:ascii="Times New Roman" w:eastAsia="Times New Roman" w:hAnsi="Times New Roman" w:cs="Times New Roman"/>
          <w:sz w:val="24"/>
          <w:szCs w:val="24"/>
        </w:rPr>
        <w:tab/>
      </w:r>
    </w:p>
    <w:p w14:paraId="3DB6BC8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 (inpatient? or in-patient?).</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66ADD0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 exp Hospital departments/ or Hospital shared services/ or hospital department/ or exp hospital service/</w:t>
      </w:r>
      <w:r>
        <w:rPr>
          <w:rFonts w:ascii="Times New Roman" w:eastAsia="Times New Roman" w:hAnsi="Times New Roman" w:cs="Times New Roman"/>
          <w:sz w:val="24"/>
          <w:szCs w:val="24"/>
        </w:rPr>
        <w:tab/>
      </w:r>
    </w:p>
    <w:p w14:paraId="6CAD736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 medical staff, hospital/ or hospitalists/ or medical staff/</w:t>
      </w:r>
      <w:r>
        <w:rPr>
          <w:rFonts w:ascii="Times New Roman" w:eastAsia="Times New Roman" w:hAnsi="Times New Roman" w:cs="Times New Roman"/>
          <w:sz w:val="24"/>
          <w:szCs w:val="24"/>
        </w:rPr>
        <w:tab/>
      </w:r>
    </w:p>
    <w:p w14:paraId="553078C0"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 108 or 109 or 110 or 111 or 112 or 113 or 114 or 115 or 116 or 117 or 118</w:t>
      </w:r>
      <w:r>
        <w:rPr>
          <w:rFonts w:ascii="Times New Roman" w:eastAsia="Times New Roman" w:hAnsi="Times New Roman" w:cs="Times New Roman"/>
          <w:sz w:val="24"/>
          <w:szCs w:val="24"/>
        </w:rPr>
        <w:tab/>
      </w:r>
    </w:p>
    <w:p w14:paraId="3F954B3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 clinical deterioration/ or deterioration/</w:t>
      </w:r>
      <w:r>
        <w:rPr>
          <w:rFonts w:ascii="Times New Roman" w:eastAsia="Times New Roman" w:hAnsi="Times New Roman" w:cs="Times New Roman"/>
          <w:sz w:val="24"/>
          <w:szCs w:val="24"/>
        </w:rPr>
        <w:tab/>
      </w:r>
    </w:p>
    <w:p w14:paraId="5D738BA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w:t>
      </w:r>
      <w:proofErr w:type="spellStart"/>
      <w:r>
        <w:rPr>
          <w:rFonts w:ascii="Times New Roman" w:eastAsia="Times New Roman" w:hAnsi="Times New Roman" w:cs="Times New Roman"/>
          <w:sz w:val="24"/>
          <w:szCs w:val="24"/>
        </w:rPr>
        <w:t>deteriorat</w:t>
      </w:r>
      <w:proofErr w:type="spellEnd"/>
      <w:r>
        <w:rPr>
          <w:rFonts w:ascii="Times New Roman" w:eastAsia="Times New Roman" w:hAnsi="Times New Roman" w:cs="Times New Roman"/>
          <w:sz w:val="24"/>
          <w:szCs w:val="24"/>
        </w:rPr>
        <w:t>* adj (patient or sign* or clinic*)</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4C10CCA"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 (exp *disease progression/ or disease exacerbation/) and (sign* or signal* or alert*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D145EA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 120 or 121 or 122</w:t>
      </w:r>
      <w:r>
        <w:rPr>
          <w:rFonts w:ascii="Times New Roman" w:eastAsia="Times New Roman" w:hAnsi="Times New Roman" w:cs="Times New Roman"/>
          <w:sz w:val="24"/>
          <w:szCs w:val="24"/>
        </w:rPr>
        <w:tab/>
      </w:r>
    </w:p>
    <w:p w14:paraId="4180DCA7"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 guidelines as topic/ or practice guidelines as topic/ or exp practice guideline/</w:t>
      </w:r>
      <w:r>
        <w:rPr>
          <w:rFonts w:ascii="Times New Roman" w:eastAsia="Times New Roman" w:hAnsi="Times New Roman" w:cs="Times New Roman"/>
          <w:sz w:val="24"/>
          <w:szCs w:val="24"/>
        </w:rPr>
        <w:tab/>
      </w:r>
    </w:p>
    <w:p w14:paraId="079DC95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 guideline adherence/ or protocol compliance/</w:t>
      </w:r>
      <w:r>
        <w:rPr>
          <w:rFonts w:ascii="Times New Roman" w:eastAsia="Times New Roman" w:hAnsi="Times New Roman" w:cs="Times New Roman"/>
          <w:sz w:val="24"/>
          <w:szCs w:val="24"/>
        </w:rPr>
        <w:tab/>
      </w:r>
    </w:p>
    <w:p w14:paraId="4B42AE5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 exp critical pathways/ or clinical pathway/</w:t>
      </w:r>
      <w:r>
        <w:rPr>
          <w:rFonts w:ascii="Times New Roman" w:eastAsia="Times New Roman" w:hAnsi="Times New Roman" w:cs="Times New Roman"/>
          <w:sz w:val="24"/>
          <w:szCs w:val="24"/>
        </w:rPr>
        <w:tab/>
      </w:r>
    </w:p>
    <w:p w14:paraId="5826B98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 (guideline? not (guideline? adj2 author?)</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0A8A19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128. ((pathway? or protocol? or algorithm?) adj2 (clinical or treatment? or </w:t>
      </w:r>
      <w:proofErr w:type="spellStart"/>
      <w:r>
        <w:rPr>
          <w:rFonts w:ascii="Times New Roman" w:eastAsia="Times New Roman" w:hAnsi="Times New Roman" w:cs="Times New Roman"/>
          <w:sz w:val="24"/>
          <w:szCs w:val="24"/>
        </w:rPr>
        <w:t>diagnos</w:t>
      </w:r>
      <w:proofErr w:type="spellEnd"/>
      <w:r>
        <w:rPr>
          <w:rFonts w:ascii="Times New Roman" w:eastAsia="Times New Roman" w:hAnsi="Times New Roman" w:cs="Times New Roman"/>
          <w:sz w:val="24"/>
          <w:szCs w:val="24"/>
        </w:rPr>
        <w:t>$ or management or infection? or infectious? or antibiotic?)</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04D3D5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129. critical </w:t>
      </w:r>
      <w:proofErr w:type="gramStart"/>
      <w:r>
        <w:rPr>
          <w:rFonts w:ascii="Times New Roman" w:eastAsia="Times New Roman" w:hAnsi="Times New Roman" w:cs="Times New Roman"/>
          <w:sz w:val="24"/>
          <w:szCs w:val="24"/>
        </w:rPr>
        <w:t>pathway?.</w:t>
      </w:r>
      <w:proofErr w:type="spellStart"/>
      <w:proofErr w:type="gramEnd"/>
      <w:r>
        <w:rPr>
          <w:rFonts w:ascii="Times New Roman" w:eastAsia="Times New Roman" w:hAnsi="Times New Roman" w:cs="Times New Roman"/>
          <w:sz w:val="24"/>
          <w:szCs w:val="24"/>
        </w:rPr>
        <w:t>ti,ab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E36C74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130. </w:t>
      </w:r>
      <w:proofErr w:type="spellStart"/>
      <w:proofErr w:type="gramStart"/>
      <w:r>
        <w:rPr>
          <w:rFonts w:ascii="Times New Roman" w:eastAsia="Times New Roman" w:hAnsi="Times New Roman" w:cs="Times New Roman"/>
          <w:sz w:val="24"/>
          <w:szCs w:val="24"/>
        </w:rPr>
        <w:t>guidance.ti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6881A7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 (quality adj2 (impact or effect$)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E6BB35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 (quality adj2 (improv$ or manage$ or care or healthcare)</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4CD3E8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 124 or 125 or 126 or 127 or 128 or 129 or 130 or 131 or 132</w:t>
      </w:r>
      <w:r>
        <w:rPr>
          <w:rFonts w:ascii="Times New Roman" w:eastAsia="Times New Roman" w:hAnsi="Times New Roman" w:cs="Times New Roman"/>
          <w:sz w:val="24"/>
          <w:szCs w:val="24"/>
        </w:rPr>
        <w:tab/>
      </w:r>
    </w:p>
    <w:p w14:paraId="40E53E3A"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 119 and 123 and 133</w:t>
      </w:r>
      <w:r>
        <w:rPr>
          <w:rFonts w:ascii="Times New Roman" w:eastAsia="Times New Roman" w:hAnsi="Times New Roman" w:cs="Times New Roman"/>
          <w:sz w:val="24"/>
          <w:szCs w:val="24"/>
        </w:rPr>
        <w:tab/>
      </w:r>
    </w:p>
    <w:p w14:paraId="359107D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 107 and 134</w:t>
      </w:r>
      <w:r>
        <w:rPr>
          <w:rFonts w:ascii="Times New Roman" w:eastAsia="Times New Roman" w:hAnsi="Times New Roman" w:cs="Times New Roman"/>
          <w:sz w:val="24"/>
          <w:szCs w:val="24"/>
        </w:rPr>
        <w:tab/>
      </w:r>
    </w:p>
    <w:p w14:paraId="17E6BBF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136. early warning scoring </w:t>
      </w:r>
      <w:proofErr w:type="spellStart"/>
      <w:proofErr w:type="gramStart"/>
      <w:r>
        <w:rPr>
          <w:rFonts w:ascii="Times New Roman" w:eastAsia="Times New Roman" w:hAnsi="Times New Roman" w:cs="Times New Roman"/>
          <w:sz w:val="24"/>
          <w:szCs w:val="24"/>
        </w:rPr>
        <w:t>system.ti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9C5CC0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 (warn* or score or scoring</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431AF9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 exp severity of illness index/ or "severity of illness index"/</w:t>
      </w:r>
      <w:r>
        <w:rPr>
          <w:rFonts w:ascii="Times New Roman" w:eastAsia="Times New Roman" w:hAnsi="Times New Roman" w:cs="Times New Roman"/>
          <w:sz w:val="24"/>
          <w:szCs w:val="24"/>
        </w:rPr>
        <w:tab/>
      </w:r>
    </w:p>
    <w:p w14:paraId="012B1047"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139. rescue </w:t>
      </w:r>
      <w:proofErr w:type="spellStart"/>
      <w:proofErr w:type="gramStart"/>
      <w:r>
        <w:rPr>
          <w:rFonts w:ascii="Times New Roman" w:eastAsia="Times New Roman" w:hAnsi="Times New Roman" w:cs="Times New Roman"/>
          <w:sz w:val="24"/>
          <w:szCs w:val="24"/>
        </w:rPr>
        <w:t>strategies.ti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C1C190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 *health status indicators/ or exp health status indicator/</w:t>
      </w:r>
      <w:r>
        <w:rPr>
          <w:rFonts w:ascii="Times New Roman" w:eastAsia="Times New Roman" w:hAnsi="Times New Roman" w:cs="Times New Roman"/>
          <w:sz w:val="24"/>
          <w:szCs w:val="24"/>
        </w:rPr>
        <w:tab/>
      </w:r>
    </w:p>
    <w:p w14:paraId="0CF92C5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((rapid response? or medical </w:t>
      </w:r>
      <w:proofErr w:type="spellStart"/>
      <w:r>
        <w:rPr>
          <w:rFonts w:ascii="Times New Roman" w:eastAsia="Times New Roman" w:hAnsi="Times New Roman" w:cs="Times New Roman"/>
          <w:sz w:val="24"/>
          <w:szCs w:val="24"/>
        </w:rPr>
        <w:t>emergenc</w:t>
      </w:r>
      <w:proofErr w:type="spellEnd"/>
      <w:r>
        <w:rPr>
          <w:rFonts w:ascii="Times New Roman" w:eastAsia="Times New Roman" w:hAnsi="Times New Roman" w:cs="Times New Roman"/>
          <w:sz w:val="24"/>
          <w:szCs w:val="24"/>
        </w:rPr>
        <w:t>*) adj (team? or system?)</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E25C75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 136 or 137 or 138 or 139 or 140 or 141</w:t>
      </w:r>
      <w:r>
        <w:rPr>
          <w:rFonts w:ascii="Times New Roman" w:eastAsia="Times New Roman" w:hAnsi="Times New Roman" w:cs="Times New Roman"/>
          <w:sz w:val="24"/>
          <w:szCs w:val="24"/>
        </w:rPr>
        <w:tab/>
      </w:r>
    </w:p>
    <w:p w14:paraId="1A5E0D8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 123 or 142</w:t>
      </w:r>
      <w:r>
        <w:rPr>
          <w:rFonts w:ascii="Times New Roman" w:eastAsia="Times New Roman" w:hAnsi="Times New Roman" w:cs="Times New Roman"/>
          <w:sz w:val="24"/>
          <w:szCs w:val="24"/>
        </w:rPr>
        <w:tab/>
      </w:r>
    </w:p>
    <w:p w14:paraId="2538FC1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 119 and 143</w:t>
      </w:r>
      <w:r>
        <w:rPr>
          <w:rFonts w:ascii="Times New Roman" w:eastAsia="Times New Roman" w:hAnsi="Times New Roman" w:cs="Times New Roman"/>
          <w:sz w:val="24"/>
          <w:szCs w:val="24"/>
        </w:rPr>
        <w:tab/>
      </w:r>
    </w:p>
    <w:p w14:paraId="162B92E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 exp Personnel, Hospital/ed [Education]</w:t>
      </w:r>
      <w:r>
        <w:rPr>
          <w:rFonts w:ascii="Times New Roman" w:eastAsia="Times New Roman" w:hAnsi="Times New Roman" w:cs="Times New Roman"/>
          <w:sz w:val="24"/>
          <w:szCs w:val="24"/>
        </w:rPr>
        <w:tab/>
      </w:r>
    </w:p>
    <w:p w14:paraId="20AEDF77"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 (</w:t>
      </w:r>
      <w:proofErr w:type="spellStart"/>
      <w:r>
        <w:rPr>
          <w:rFonts w:ascii="Times New Roman" w:eastAsia="Times New Roman" w:hAnsi="Times New Roman" w:cs="Times New Roman"/>
          <w:sz w:val="24"/>
          <w:szCs w:val="24"/>
        </w:rPr>
        <w:t>educat</w:t>
      </w:r>
      <w:proofErr w:type="spellEnd"/>
      <w:r>
        <w:rPr>
          <w:rFonts w:ascii="Times New Roman" w:eastAsia="Times New Roman" w:hAnsi="Times New Roman" w:cs="Times New Roman"/>
          <w:sz w:val="24"/>
          <w:szCs w:val="24"/>
        </w:rPr>
        <w:t>* or teach* or train* or instruct*).</w:t>
      </w:r>
      <w:proofErr w:type="spellStart"/>
      <w:r>
        <w:rPr>
          <w:rFonts w:ascii="Times New Roman" w:eastAsia="Times New Roman" w:hAnsi="Times New Roman" w:cs="Times New Roman"/>
          <w:sz w:val="24"/>
          <w:szCs w:val="24"/>
        </w:rPr>
        <w:t>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FBF994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 exp Personnel, Hospital/ or exp hospital personnel/</w:t>
      </w:r>
      <w:r>
        <w:rPr>
          <w:rFonts w:ascii="Times New Roman" w:eastAsia="Times New Roman" w:hAnsi="Times New Roman" w:cs="Times New Roman"/>
          <w:sz w:val="24"/>
          <w:szCs w:val="24"/>
        </w:rPr>
        <w:tab/>
      </w:r>
    </w:p>
    <w:p w14:paraId="2467B90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148. </w:t>
      </w:r>
      <w:proofErr w:type="spellStart"/>
      <w:proofErr w:type="gramStart"/>
      <w:r>
        <w:rPr>
          <w:rFonts w:ascii="Times New Roman" w:eastAsia="Times New Roman" w:hAnsi="Times New Roman" w:cs="Times New Roman"/>
          <w:sz w:val="24"/>
          <w:szCs w:val="24"/>
        </w:rPr>
        <w:t>staff.ti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A31BD4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 147 or 148</w:t>
      </w:r>
      <w:r>
        <w:rPr>
          <w:rFonts w:ascii="Times New Roman" w:eastAsia="Times New Roman" w:hAnsi="Times New Roman" w:cs="Times New Roman"/>
          <w:sz w:val="24"/>
          <w:szCs w:val="24"/>
        </w:rPr>
        <w:tab/>
      </w:r>
    </w:p>
    <w:p w14:paraId="2136F2B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150. 146 and 149</w:t>
      </w:r>
      <w:r>
        <w:rPr>
          <w:rFonts w:ascii="Times New Roman" w:eastAsia="Times New Roman" w:hAnsi="Times New Roman" w:cs="Times New Roman"/>
          <w:sz w:val="24"/>
          <w:szCs w:val="24"/>
        </w:rPr>
        <w:tab/>
      </w:r>
    </w:p>
    <w:p w14:paraId="5409E02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 144 and (145 or 150)</w:t>
      </w:r>
      <w:r>
        <w:rPr>
          <w:rFonts w:ascii="Times New Roman" w:eastAsia="Times New Roman" w:hAnsi="Times New Roman" w:cs="Times New Roman"/>
          <w:sz w:val="24"/>
          <w:szCs w:val="24"/>
        </w:rPr>
        <w:tab/>
      </w:r>
    </w:p>
    <w:p w14:paraId="19E8D5D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 107 and 151</w:t>
      </w:r>
      <w:r>
        <w:rPr>
          <w:rFonts w:ascii="Times New Roman" w:eastAsia="Times New Roman" w:hAnsi="Times New Roman" w:cs="Times New Roman"/>
          <w:sz w:val="24"/>
          <w:szCs w:val="24"/>
        </w:rPr>
        <w:tab/>
      </w:r>
    </w:p>
    <w:p w14:paraId="14607040"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153. early warning scoring </w:t>
      </w:r>
      <w:proofErr w:type="spellStart"/>
      <w:proofErr w:type="gramStart"/>
      <w:r>
        <w:rPr>
          <w:rFonts w:ascii="Times New Roman" w:eastAsia="Times New Roman" w:hAnsi="Times New Roman" w:cs="Times New Roman"/>
          <w:sz w:val="24"/>
          <w:szCs w:val="24"/>
        </w:rPr>
        <w:t>system.ti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52BF043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 (NEWS or HEWS or EWS</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51292D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 (warn* or score or scoring</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4974307"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 154 and 155</w:t>
      </w:r>
      <w:r>
        <w:rPr>
          <w:rFonts w:ascii="Times New Roman" w:eastAsia="Times New Roman" w:hAnsi="Times New Roman" w:cs="Times New Roman"/>
          <w:sz w:val="24"/>
          <w:szCs w:val="24"/>
        </w:rPr>
        <w:tab/>
      </w:r>
    </w:p>
    <w:p w14:paraId="29F33AF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 ((warn* or score or scoring) adj system</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732AAE6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158. 153 or 156 or 157</w:t>
      </w:r>
      <w:r>
        <w:rPr>
          <w:rFonts w:ascii="Times New Roman" w:eastAsia="Times New Roman" w:hAnsi="Times New Roman" w:cs="Times New Roman"/>
          <w:sz w:val="24"/>
          <w:szCs w:val="24"/>
        </w:rPr>
        <w:tab/>
      </w:r>
    </w:p>
    <w:p w14:paraId="4771DC5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 123 and 158</w:t>
      </w:r>
      <w:r>
        <w:rPr>
          <w:rFonts w:ascii="Times New Roman" w:eastAsia="Times New Roman" w:hAnsi="Times New Roman" w:cs="Times New Roman"/>
          <w:sz w:val="24"/>
          <w:szCs w:val="24"/>
        </w:rPr>
        <w:tab/>
      </w:r>
    </w:p>
    <w:p w14:paraId="761DF81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 exp *machine learning/</w:t>
      </w:r>
      <w:r>
        <w:rPr>
          <w:rFonts w:ascii="Times New Roman" w:eastAsia="Times New Roman" w:hAnsi="Times New Roman" w:cs="Times New Roman"/>
          <w:sz w:val="24"/>
          <w:szCs w:val="24"/>
        </w:rPr>
        <w:tab/>
      </w:r>
    </w:p>
    <w:p w14:paraId="76C3CDC4"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 (119 or 123) and 155 and 160</w:t>
      </w:r>
      <w:r>
        <w:rPr>
          <w:rFonts w:ascii="Times New Roman" w:eastAsia="Times New Roman" w:hAnsi="Times New Roman" w:cs="Times New Roman"/>
          <w:sz w:val="24"/>
          <w:szCs w:val="24"/>
        </w:rPr>
        <w:tab/>
      </w:r>
    </w:p>
    <w:p w14:paraId="50B9CD9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 159 or 161</w:t>
      </w:r>
      <w:r>
        <w:rPr>
          <w:rFonts w:ascii="Times New Roman" w:eastAsia="Times New Roman" w:hAnsi="Times New Roman" w:cs="Times New Roman"/>
          <w:sz w:val="24"/>
          <w:szCs w:val="24"/>
        </w:rPr>
        <w:tab/>
      </w:r>
    </w:p>
    <w:p w14:paraId="0311F22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 107 and 162</w:t>
      </w:r>
      <w:r>
        <w:rPr>
          <w:rFonts w:ascii="Times New Roman" w:eastAsia="Times New Roman" w:hAnsi="Times New Roman" w:cs="Times New Roman"/>
          <w:sz w:val="24"/>
          <w:szCs w:val="24"/>
        </w:rPr>
        <w:tab/>
      </w:r>
    </w:p>
    <w:p w14:paraId="62838E2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164. hospital rapid response team/ or exp rapid response team/</w:t>
      </w:r>
      <w:r>
        <w:rPr>
          <w:rFonts w:ascii="Times New Roman" w:eastAsia="Times New Roman" w:hAnsi="Times New Roman" w:cs="Times New Roman"/>
          <w:sz w:val="24"/>
          <w:szCs w:val="24"/>
        </w:rPr>
        <w:tab/>
      </w:r>
    </w:p>
    <w:p w14:paraId="6BF1025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165. rapid response </w:t>
      </w:r>
      <w:proofErr w:type="gramStart"/>
      <w:r>
        <w:rPr>
          <w:rFonts w:ascii="Times New Roman" w:eastAsia="Times New Roman" w:hAnsi="Times New Roman" w:cs="Times New Roman"/>
          <w:sz w:val="24"/>
          <w:szCs w:val="24"/>
        </w:rPr>
        <w:t>system?.</w:t>
      </w:r>
      <w:proofErr w:type="spellStart"/>
      <w:proofErr w:type="gramEnd"/>
      <w:r>
        <w:rPr>
          <w:rFonts w:ascii="Times New Roman" w:eastAsia="Times New Roman" w:hAnsi="Times New Roman" w:cs="Times New Roman"/>
          <w:sz w:val="24"/>
          <w:szCs w:val="24"/>
        </w:rPr>
        <w:t>ti,ab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7F315A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166. (rapid response adj system?</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3935A7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167. medical emergency </w:t>
      </w:r>
      <w:proofErr w:type="gramStart"/>
      <w:r>
        <w:rPr>
          <w:rFonts w:ascii="Times New Roman" w:eastAsia="Times New Roman" w:hAnsi="Times New Roman" w:cs="Times New Roman"/>
          <w:sz w:val="24"/>
          <w:szCs w:val="24"/>
        </w:rPr>
        <w:t>team?.</w:t>
      </w:r>
      <w:proofErr w:type="spellStart"/>
      <w:proofErr w:type="gramEnd"/>
      <w:r>
        <w:rPr>
          <w:rFonts w:ascii="Times New Roman" w:eastAsia="Times New Roman" w:hAnsi="Times New Roman" w:cs="Times New Roman"/>
          <w:sz w:val="24"/>
          <w:szCs w:val="24"/>
        </w:rPr>
        <w:t>ti,ab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703B35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 ((rapid response or cardiac crash or code) adj team*</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5405194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169. hospital medical emergency </w:t>
      </w:r>
      <w:proofErr w:type="gramStart"/>
      <w:r>
        <w:rPr>
          <w:rFonts w:ascii="Times New Roman" w:eastAsia="Times New Roman" w:hAnsi="Times New Roman" w:cs="Times New Roman"/>
          <w:sz w:val="24"/>
          <w:szCs w:val="24"/>
        </w:rPr>
        <w:t>team?.</w:t>
      </w:r>
      <w:proofErr w:type="spellStart"/>
      <w:proofErr w:type="gramEnd"/>
      <w:r>
        <w:rPr>
          <w:rFonts w:ascii="Times New Roman" w:eastAsia="Times New Roman" w:hAnsi="Times New Roman" w:cs="Times New Roman"/>
          <w:sz w:val="24"/>
          <w:szCs w:val="24"/>
        </w:rPr>
        <w:t>ti,ab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2A89E5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 or/164-169</w:t>
      </w:r>
      <w:r>
        <w:rPr>
          <w:rFonts w:ascii="Times New Roman" w:eastAsia="Times New Roman" w:hAnsi="Times New Roman" w:cs="Times New Roman"/>
          <w:sz w:val="24"/>
          <w:szCs w:val="24"/>
        </w:rPr>
        <w:tab/>
      </w:r>
    </w:p>
    <w:p w14:paraId="79CFB470"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 119 and 170</w:t>
      </w:r>
      <w:r>
        <w:rPr>
          <w:rFonts w:ascii="Times New Roman" w:eastAsia="Times New Roman" w:hAnsi="Times New Roman" w:cs="Times New Roman"/>
          <w:sz w:val="24"/>
          <w:szCs w:val="24"/>
        </w:rPr>
        <w:tab/>
      </w:r>
    </w:p>
    <w:p w14:paraId="304A336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 107 and 171</w:t>
      </w:r>
      <w:r>
        <w:rPr>
          <w:rFonts w:ascii="Times New Roman" w:eastAsia="Times New Roman" w:hAnsi="Times New Roman" w:cs="Times New Roman"/>
          <w:sz w:val="24"/>
          <w:szCs w:val="24"/>
        </w:rPr>
        <w:tab/>
      </w:r>
    </w:p>
    <w:p w14:paraId="29A30D6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 vital signs/ or vital sign/</w:t>
      </w:r>
      <w:r>
        <w:rPr>
          <w:rFonts w:ascii="Times New Roman" w:eastAsia="Times New Roman" w:hAnsi="Times New Roman" w:cs="Times New Roman"/>
          <w:sz w:val="24"/>
          <w:szCs w:val="24"/>
        </w:rPr>
        <w:tab/>
      </w:r>
    </w:p>
    <w:p w14:paraId="6F45DC1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 vital sign</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661A5179"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 (frequent* or continuous or real-time or real time or infrequent* or intermittent*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AB4826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 monitor</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19FC3F8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177. exp monitoring, physiologic/ or exp physiologic monitoring/</w:t>
      </w:r>
      <w:r>
        <w:rPr>
          <w:rFonts w:ascii="Times New Roman" w:eastAsia="Times New Roman" w:hAnsi="Times New Roman" w:cs="Times New Roman"/>
          <w:sz w:val="24"/>
          <w:szCs w:val="24"/>
        </w:rPr>
        <w:tab/>
      </w:r>
    </w:p>
    <w:p w14:paraId="7D1EE7A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 (173 or 174) and 175 and (176 or 177)</w:t>
      </w:r>
      <w:r>
        <w:rPr>
          <w:rFonts w:ascii="Times New Roman" w:eastAsia="Times New Roman" w:hAnsi="Times New Roman" w:cs="Times New Roman"/>
          <w:sz w:val="24"/>
          <w:szCs w:val="24"/>
        </w:rPr>
        <w:tab/>
      </w:r>
    </w:p>
    <w:p w14:paraId="25A9CCE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 107 and 178</w:t>
      </w:r>
      <w:r>
        <w:rPr>
          <w:rFonts w:ascii="Times New Roman" w:eastAsia="Times New Roman" w:hAnsi="Times New Roman" w:cs="Times New Roman"/>
          <w:sz w:val="24"/>
          <w:szCs w:val="24"/>
        </w:rPr>
        <w:tab/>
      </w:r>
    </w:p>
    <w:p w14:paraId="7E27A99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 Palliative Care/ or exp palliative therapy/</w:t>
      </w:r>
      <w:r>
        <w:rPr>
          <w:rFonts w:ascii="Times New Roman" w:eastAsia="Times New Roman" w:hAnsi="Times New Roman" w:cs="Times New Roman"/>
          <w:sz w:val="24"/>
          <w:szCs w:val="24"/>
        </w:rPr>
        <w:tab/>
      </w:r>
    </w:p>
    <w:p w14:paraId="52A1EB9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 palliative</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,ab,kw</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28D88CE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 180 or 181</w:t>
      </w:r>
      <w:r>
        <w:rPr>
          <w:rFonts w:ascii="Times New Roman" w:eastAsia="Times New Roman" w:hAnsi="Times New Roman" w:cs="Times New Roman"/>
          <w:sz w:val="24"/>
          <w:szCs w:val="24"/>
        </w:rPr>
        <w:tab/>
      </w:r>
    </w:p>
    <w:p w14:paraId="16A31DF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 (156 or 170) and 182</w:t>
      </w:r>
      <w:r>
        <w:rPr>
          <w:rFonts w:ascii="Times New Roman" w:eastAsia="Times New Roman" w:hAnsi="Times New Roman" w:cs="Times New Roman"/>
          <w:sz w:val="24"/>
          <w:szCs w:val="24"/>
        </w:rPr>
        <w:tab/>
      </w:r>
    </w:p>
    <w:p w14:paraId="0AC24E1A"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 107 and 183</w:t>
      </w:r>
      <w:r>
        <w:rPr>
          <w:rFonts w:ascii="Times New Roman" w:eastAsia="Times New Roman" w:hAnsi="Times New Roman" w:cs="Times New Roman"/>
          <w:sz w:val="24"/>
          <w:szCs w:val="24"/>
        </w:rPr>
        <w:tab/>
      </w:r>
    </w:p>
    <w:p w14:paraId="5B3AF11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 exp Family/</w:t>
      </w:r>
      <w:r>
        <w:rPr>
          <w:rFonts w:ascii="Times New Roman" w:eastAsia="Times New Roman" w:hAnsi="Times New Roman" w:cs="Times New Roman"/>
          <w:sz w:val="24"/>
          <w:szCs w:val="24"/>
        </w:rPr>
        <w:tab/>
      </w:r>
    </w:p>
    <w:p w14:paraId="7F4001A7"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186. diagnostic </w:t>
      </w:r>
      <w:proofErr w:type="spellStart"/>
      <w:r>
        <w:rPr>
          <w:rFonts w:ascii="Times New Roman" w:eastAsia="Times New Roman" w:hAnsi="Times New Roman" w:cs="Times New Roman"/>
          <w:sz w:val="24"/>
          <w:szCs w:val="24"/>
        </w:rPr>
        <w:t>self evaluation</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self evaluation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558C5F00"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187. ((family or </w:t>
      </w:r>
      <w:proofErr w:type="spellStart"/>
      <w:r>
        <w:rPr>
          <w:rFonts w:ascii="Times New Roman" w:eastAsia="Times New Roman" w:hAnsi="Times New Roman" w:cs="Times New Roman"/>
          <w:sz w:val="24"/>
          <w:szCs w:val="24"/>
        </w:rPr>
        <w:t>self</w:t>
      </w:r>
      <w:proofErr w:type="spellEnd"/>
      <w:r>
        <w:rPr>
          <w:rFonts w:ascii="Times New Roman" w:eastAsia="Times New Roman" w:hAnsi="Times New Roman" w:cs="Times New Roman"/>
          <w:sz w:val="24"/>
          <w:szCs w:val="24"/>
        </w:rPr>
        <w:t xml:space="preserve">*) adj (assess* or </w:t>
      </w:r>
      <w:proofErr w:type="spellStart"/>
      <w:r>
        <w:rPr>
          <w:rFonts w:ascii="Times New Roman" w:eastAsia="Times New Roman" w:hAnsi="Times New Roman" w:cs="Times New Roman"/>
          <w:sz w:val="24"/>
          <w:szCs w:val="24"/>
        </w:rPr>
        <w:t>evaluat</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05255C3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 185 or 186 or 187</w:t>
      </w:r>
      <w:r>
        <w:rPr>
          <w:rFonts w:ascii="Times New Roman" w:eastAsia="Times New Roman" w:hAnsi="Times New Roman" w:cs="Times New Roman"/>
          <w:sz w:val="24"/>
          <w:szCs w:val="24"/>
        </w:rPr>
        <w:tab/>
      </w:r>
    </w:p>
    <w:p w14:paraId="055076D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 158 and 188</w:t>
      </w:r>
      <w:r>
        <w:rPr>
          <w:rFonts w:ascii="Times New Roman" w:eastAsia="Times New Roman" w:hAnsi="Times New Roman" w:cs="Times New Roman"/>
          <w:sz w:val="24"/>
          <w:szCs w:val="24"/>
        </w:rPr>
        <w:tab/>
      </w:r>
    </w:p>
    <w:p w14:paraId="7AEADD8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 107 and 189</w:t>
      </w:r>
      <w:r>
        <w:rPr>
          <w:rFonts w:ascii="Times New Roman" w:eastAsia="Times New Roman" w:hAnsi="Times New Roman" w:cs="Times New Roman"/>
          <w:sz w:val="24"/>
          <w:szCs w:val="24"/>
        </w:rPr>
        <w:tab/>
      </w:r>
    </w:p>
    <w:p w14:paraId="1F42822E"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 134 or 151 or 162 or 171 or 178 or 183 or 189</w:t>
      </w:r>
      <w:r>
        <w:rPr>
          <w:rFonts w:ascii="Times New Roman" w:eastAsia="Times New Roman" w:hAnsi="Times New Roman" w:cs="Times New Roman"/>
          <w:sz w:val="24"/>
          <w:szCs w:val="24"/>
        </w:rPr>
        <w:tab/>
      </w:r>
    </w:p>
    <w:p w14:paraId="5588E046"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 107 and 191</w:t>
      </w:r>
      <w:r>
        <w:rPr>
          <w:rFonts w:ascii="Times New Roman" w:eastAsia="Times New Roman" w:hAnsi="Times New Roman" w:cs="Times New Roman"/>
          <w:sz w:val="24"/>
          <w:szCs w:val="24"/>
        </w:rPr>
        <w:tab/>
      </w:r>
    </w:p>
    <w:p w14:paraId="7F10B4C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 135 or 152 or 163 or 172 or 179 or 184 or 190</w:t>
      </w:r>
      <w:r>
        <w:rPr>
          <w:rFonts w:ascii="Times New Roman" w:eastAsia="Times New Roman" w:hAnsi="Times New Roman" w:cs="Times New Roman"/>
          <w:sz w:val="24"/>
          <w:szCs w:val="24"/>
        </w:rPr>
        <w:tab/>
      </w:r>
    </w:p>
    <w:p w14:paraId="3EF4C80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194. 193 use </w:t>
      </w:r>
      <w:proofErr w:type="spellStart"/>
      <w:r>
        <w:rPr>
          <w:rFonts w:ascii="Times New Roman" w:eastAsia="Times New Roman" w:hAnsi="Times New Roman" w:cs="Times New Roman"/>
          <w:sz w:val="24"/>
          <w:szCs w:val="24"/>
        </w:rPr>
        <w:t>ppez</w:t>
      </w:r>
      <w:proofErr w:type="spellEnd"/>
      <w:r>
        <w:rPr>
          <w:rFonts w:ascii="Times New Roman" w:eastAsia="Times New Roman" w:hAnsi="Times New Roman" w:cs="Times New Roman"/>
          <w:sz w:val="24"/>
          <w:szCs w:val="24"/>
        </w:rPr>
        <w:tab/>
      </w:r>
    </w:p>
    <w:p w14:paraId="4FA9BCB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195. 193 use </w:t>
      </w:r>
      <w:proofErr w:type="spellStart"/>
      <w:r>
        <w:rPr>
          <w:rFonts w:ascii="Times New Roman" w:eastAsia="Times New Roman" w:hAnsi="Times New Roman" w:cs="Times New Roman"/>
          <w:sz w:val="24"/>
          <w:szCs w:val="24"/>
        </w:rPr>
        <w:t>oemezd</w:t>
      </w:r>
      <w:proofErr w:type="spellEnd"/>
      <w:r>
        <w:rPr>
          <w:rFonts w:ascii="Times New Roman" w:eastAsia="Times New Roman" w:hAnsi="Times New Roman" w:cs="Times New Roman"/>
          <w:sz w:val="24"/>
          <w:szCs w:val="24"/>
        </w:rPr>
        <w:tab/>
      </w:r>
    </w:p>
    <w:p w14:paraId="3DBA4121"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COCHRANE Controlled Clinical Trials Registry (</w:t>
      </w:r>
      <w:r>
        <w:rPr>
          <w:rFonts w:ascii="Times New Roman" w:eastAsia="Times New Roman" w:hAnsi="Times New Roman" w:cs="Times New Roman"/>
          <w:b/>
          <w:i/>
          <w:sz w:val="24"/>
          <w:szCs w:val="24"/>
        </w:rPr>
        <w:t>The Cochrane Library</w:t>
      </w:r>
      <w:r>
        <w:rPr>
          <w:rFonts w:ascii="Times New Roman" w:eastAsia="Times New Roman" w:hAnsi="Times New Roman" w:cs="Times New Roman"/>
          <w:b/>
          <w:sz w:val="24"/>
          <w:szCs w:val="24"/>
        </w:rPr>
        <w:t xml:space="preserve"> Issue 12, 2020)</w:t>
      </w:r>
    </w:p>
    <w:p w14:paraId="2D6157BF"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descriptor: [Clinical Deterioration] explode all trees</w:t>
      </w:r>
    </w:p>
    <w:p w14:paraId="0A6FFC2D"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w:t>
      </w:r>
      <w:proofErr w:type="spellStart"/>
      <w:r>
        <w:rPr>
          <w:rFonts w:ascii="Times New Roman" w:eastAsia="Times New Roman" w:hAnsi="Times New Roman" w:cs="Times New Roman"/>
          <w:sz w:val="24"/>
          <w:szCs w:val="24"/>
        </w:rPr>
        <w:t>deteriorat</w:t>
      </w:r>
      <w:proofErr w:type="spellEnd"/>
      <w:r>
        <w:rPr>
          <w:rFonts w:ascii="Times New Roman" w:eastAsia="Times New Roman" w:hAnsi="Times New Roman" w:cs="Times New Roman"/>
          <w:sz w:val="24"/>
          <w:szCs w:val="24"/>
        </w:rPr>
        <w:t>* adj (patient or sign* or clinic*)</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p>
    <w:p w14:paraId="052A1042"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descriptor: [Disease Progression] explode all trees</w:t>
      </w:r>
    </w:p>
    <w:p w14:paraId="39BE7983"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(sign* or signal* or alert*</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w:t>
      </w:r>
      <w:proofErr w:type="gramEnd"/>
      <w:r>
        <w:rPr>
          <w:rFonts w:ascii="Times New Roman" w:eastAsia="Times New Roman" w:hAnsi="Times New Roman" w:cs="Times New Roman"/>
          <w:sz w:val="24"/>
          <w:szCs w:val="24"/>
        </w:rPr>
        <w:t>,ab</w:t>
      </w:r>
      <w:proofErr w:type="spellEnd"/>
      <w:r>
        <w:rPr>
          <w:rFonts w:ascii="Times New Roman" w:eastAsia="Times New Roman" w:hAnsi="Times New Roman" w:cs="Times New Roman"/>
          <w:sz w:val="24"/>
          <w:szCs w:val="24"/>
        </w:rPr>
        <w:t>.</w:t>
      </w:r>
    </w:p>
    <w:p w14:paraId="5B485FA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#3 and #4</w:t>
      </w:r>
    </w:p>
    <w:p w14:paraId="028A1A9B"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#1 or #2 or #5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72B61BC"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p>
    <w:p w14:paraId="26513055"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clinical trials</w:t>
      </w:r>
    </w:p>
    <w:p w14:paraId="13B7FED8"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p>
    <w:p w14:paraId="14B86420"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Clinical Trials.gov</w:t>
      </w:r>
    </w:p>
    <w:p w14:paraId="00E5CB93"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search, no date limit applied</w:t>
      </w:r>
    </w:p>
    <w:p w14:paraId="0ABF7B1E" w14:textId="77777777" w:rsidR="006E087E" w:rsidRDefault="006E087E" w:rsidP="006E087E">
      <w:pPr>
        <w:spacing w:line="240" w:lineRule="auto"/>
        <w:rPr>
          <w:rFonts w:ascii="Times New Roman" w:eastAsia="Times New Roman" w:hAnsi="Times New Roman" w:cs="Times New Roman"/>
          <w:sz w:val="24"/>
          <w:szCs w:val="24"/>
        </w:rPr>
      </w:pPr>
    </w:p>
    <w:p w14:paraId="6EE2EC46"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terms: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Clinical Deterioration" OR "early warning score" OR "rescue strategies" OR "rapid response" OR NEWS OR HEWS OR EWS OR "medical emergency team" OR "continuous monitoring" or "frequent monitoring" )</w:t>
      </w:r>
    </w:p>
    <w:p w14:paraId="128F3A3C" w14:textId="77777777" w:rsidR="006E087E" w:rsidRDefault="006E087E" w:rsidP="006E087E">
      <w:pPr>
        <w:spacing w:line="240" w:lineRule="auto"/>
        <w:rPr>
          <w:rFonts w:ascii="Times New Roman" w:eastAsia="Times New Roman" w:hAnsi="Times New Roman" w:cs="Times New Roman"/>
          <w:sz w:val="24"/>
          <w:szCs w:val="24"/>
        </w:rPr>
      </w:pPr>
    </w:p>
    <w:p w14:paraId="1BB9CC9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 studies</w:t>
      </w:r>
    </w:p>
    <w:p w14:paraId="41E99611" w14:textId="77777777" w:rsidR="006E087E" w:rsidRDefault="006E087E" w:rsidP="006E087E">
      <w:pPr>
        <w:pBdr>
          <w:bottom w:val="single" w:sz="12" w:space="1" w:color="000000"/>
        </w:pBdr>
        <w:spacing w:line="240" w:lineRule="auto"/>
        <w:rPr>
          <w:rFonts w:ascii="Times New Roman" w:eastAsia="Times New Roman" w:hAnsi="Times New Roman" w:cs="Times New Roman"/>
          <w:sz w:val="24"/>
          <w:szCs w:val="24"/>
        </w:rPr>
      </w:pPr>
    </w:p>
    <w:p w14:paraId="392ED747"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WHO International Clinical Trials Registry Platform (ICTRP)</w:t>
      </w:r>
    </w:p>
    <w:p w14:paraId="5505951C" w14:textId="77777777" w:rsidR="006E087E" w:rsidRDefault="006E087E" w:rsidP="006E087E">
      <w:pPr>
        <w:spacing w:line="240" w:lineRule="auto"/>
        <w:rPr>
          <w:rFonts w:ascii="Times New Roman" w:eastAsia="Times New Roman" w:hAnsi="Times New Roman" w:cs="Times New Roman"/>
          <w:sz w:val="24"/>
          <w:szCs w:val="24"/>
        </w:rPr>
      </w:pPr>
    </w:p>
    <w:p w14:paraId="5236369A"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search</w:t>
      </w:r>
    </w:p>
    <w:p w14:paraId="04D98D36" w14:textId="77777777" w:rsidR="006E087E" w:rsidRDefault="006E087E" w:rsidP="006E087E">
      <w:pPr>
        <w:tabs>
          <w:tab w:val="left" w:pos="127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 “deterioration” (without synonyms box unchecked)</w:t>
      </w:r>
    </w:p>
    <w:p w14:paraId="290B0D3C" w14:textId="77777777" w:rsidR="006E087E" w:rsidRDefault="006E087E" w:rsidP="006E087E">
      <w:pPr>
        <w:tabs>
          <w:tab w:val="left" w:pos="1276"/>
        </w:tabs>
        <w:spacing w:line="240" w:lineRule="auto"/>
        <w:rPr>
          <w:rFonts w:ascii="Times New Roman" w:eastAsia="Times New Roman" w:hAnsi="Times New Roman" w:cs="Times New Roman"/>
          <w:sz w:val="24"/>
          <w:szCs w:val="24"/>
        </w:rPr>
      </w:pPr>
    </w:p>
    <w:p w14:paraId="28078E9D" w14:textId="77777777" w:rsidR="006E087E" w:rsidRDefault="006E087E" w:rsidP="006E087E">
      <w:pPr>
        <w:tabs>
          <w:tab w:val="left" w:pos="127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44F6F261" w14:textId="77777777" w:rsidR="006E087E" w:rsidRDefault="006E087E" w:rsidP="006E087E">
      <w:pPr>
        <w:tabs>
          <w:tab w:val="left" w:pos="1276"/>
        </w:tabs>
        <w:spacing w:line="240" w:lineRule="auto"/>
        <w:rPr>
          <w:rFonts w:ascii="Times New Roman" w:eastAsia="Times New Roman" w:hAnsi="Times New Roman" w:cs="Times New Roman"/>
          <w:sz w:val="24"/>
          <w:szCs w:val="24"/>
        </w:rPr>
      </w:pPr>
    </w:p>
    <w:p w14:paraId="50BD48CE" w14:textId="77777777" w:rsidR="006E087E" w:rsidRDefault="006E087E" w:rsidP="006E087E">
      <w:pPr>
        <w:tabs>
          <w:tab w:val="left" w:pos="127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 "early warning score" OR "rapid response" OR "medical emergency team"</w:t>
      </w:r>
    </w:p>
    <w:p w14:paraId="089EF150" w14:textId="77777777" w:rsidR="006E087E" w:rsidRDefault="006E087E" w:rsidP="006E087E">
      <w:pPr>
        <w:tabs>
          <w:tab w:val="left" w:pos="127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Recruitment status: “all”</w:t>
      </w:r>
      <w:r>
        <w:rPr>
          <w:rFonts w:ascii="Times New Roman" w:eastAsia="Times New Roman" w:hAnsi="Times New Roman" w:cs="Times New Roman"/>
          <w:sz w:val="24"/>
          <w:szCs w:val="24"/>
        </w:rPr>
        <w:br/>
        <w:t>Phases: “all”</w:t>
      </w:r>
    </w:p>
    <w:p w14:paraId="549C41CF" w14:textId="77777777" w:rsidR="006E087E" w:rsidRDefault="006E087E" w:rsidP="006E087E">
      <w:pPr>
        <w:tabs>
          <w:tab w:val="left" w:pos="1276"/>
        </w:tabs>
        <w:spacing w:line="240" w:lineRule="auto"/>
        <w:rPr>
          <w:rFonts w:ascii="Times New Roman" w:eastAsia="Times New Roman" w:hAnsi="Times New Roman" w:cs="Times New Roman"/>
          <w:sz w:val="24"/>
          <w:szCs w:val="24"/>
        </w:rPr>
      </w:pPr>
    </w:p>
    <w:p w14:paraId="09958170" w14:textId="77777777" w:rsidR="006E087E" w:rsidRDefault="006E087E" w:rsidP="006E087E">
      <w:pPr>
        <w:pBdr>
          <w:bottom w:val="single" w:sz="12" w:space="1" w:color="000000"/>
        </w:pBdr>
        <w:tabs>
          <w:tab w:val="left" w:pos="127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studies</w:t>
      </w:r>
    </w:p>
    <w:p w14:paraId="479353FE" w14:textId="77777777" w:rsidR="006E087E" w:rsidRDefault="006E087E" w:rsidP="006E087E">
      <w:pPr>
        <w:spacing w:line="240" w:lineRule="auto"/>
        <w:rPr>
          <w:rFonts w:ascii="Times New Roman" w:eastAsia="Times New Roman" w:hAnsi="Times New Roman" w:cs="Times New Roman"/>
          <w:b/>
          <w:sz w:val="24"/>
          <w:szCs w:val="24"/>
        </w:rPr>
      </w:pPr>
    </w:p>
    <w:p w14:paraId="7A0A1ADA" w14:textId="77777777" w:rsidR="006E087E" w:rsidRDefault="006E087E" w:rsidP="006E087E">
      <w:pPr>
        <w:spacing w:line="240" w:lineRule="auto"/>
        <w:rPr>
          <w:rFonts w:ascii="Times New Roman" w:eastAsia="Times New Roman" w:hAnsi="Times New Roman" w:cs="Times New Roman"/>
          <w:sz w:val="24"/>
          <w:szCs w:val="24"/>
        </w:rPr>
      </w:pPr>
    </w:p>
    <w:p w14:paraId="70B50664" w14:textId="4D64DFEC" w:rsidR="006E087E" w:rsidRDefault="006E087E" w:rsidP="006E087E">
      <w:pPr>
        <w:spacing w:line="240" w:lineRule="auto"/>
        <w:jc w:val="right"/>
        <w:rPr>
          <w:rFonts w:ascii="Times New Roman" w:eastAsia="Times New Roman" w:hAnsi="Times New Roman" w:cs="Times New Roman"/>
          <w:b/>
          <w:color w:val="C00000"/>
          <w:sz w:val="24"/>
          <w:szCs w:val="24"/>
          <w:highlight w:val="yellow"/>
        </w:rPr>
      </w:pPr>
    </w:p>
    <w:p w14:paraId="6BC32B6D" w14:textId="77777777" w:rsidR="006E087E" w:rsidRDefault="006E087E" w:rsidP="006E087E">
      <w:pPr>
        <w:spacing w:line="240" w:lineRule="auto"/>
        <w:rPr>
          <w:rFonts w:ascii="Times New Roman" w:eastAsia="Times New Roman" w:hAnsi="Times New Roman" w:cs="Times New Roman"/>
          <w:b/>
          <w:sz w:val="24"/>
          <w:szCs w:val="24"/>
        </w:rPr>
      </w:pPr>
      <w:r>
        <w:br w:type="page"/>
      </w:r>
    </w:p>
    <w:p w14:paraId="3965F39A" w14:textId="77777777" w:rsidR="006E087E" w:rsidRDefault="006E087E" w:rsidP="006E087E">
      <w:pPr>
        <w:spacing w:line="240" w:lineRule="auto"/>
        <w:rPr>
          <w:rFonts w:ascii="Times New Roman" w:eastAsia="Times New Roman" w:hAnsi="Times New Roman" w:cs="Times New Roman"/>
          <w:sz w:val="24"/>
          <w:szCs w:val="24"/>
        </w:rPr>
      </w:pPr>
      <w:bookmarkStart w:id="7" w:name="bookmark=kix.xznnxagy6ihy" w:colFirst="0" w:colLast="0"/>
      <w:bookmarkStart w:id="8" w:name="bookmark=kix.eqmzzc15cv7v" w:colFirst="0" w:colLast="0"/>
      <w:bookmarkEnd w:id="7"/>
      <w:bookmarkEnd w:id="8"/>
      <w:r>
        <w:rPr>
          <w:rFonts w:ascii="Times New Roman" w:eastAsia="Times New Roman" w:hAnsi="Times New Roman" w:cs="Times New Roman"/>
          <w:b/>
          <w:sz w:val="24"/>
          <w:szCs w:val="24"/>
          <w:highlight w:val="white"/>
        </w:rPr>
        <w:lastRenderedPageBreak/>
        <w:t xml:space="preserve">Supplemental Digital Content 6. Systematic Review and </w:t>
      </w:r>
      <w:r>
        <w:rPr>
          <w:rFonts w:ascii="Times New Roman" w:eastAsia="Times New Roman" w:hAnsi="Times New Roman" w:cs="Times New Roman"/>
          <w:b/>
          <w:sz w:val="24"/>
          <w:szCs w:val="24"/>
        </w:rPr>
        <w:t>Data Synthesis</w:t>
      </w:r>
    </w:p>
    <w:p w14:paraId="173F304B" w14:textId="77777777" w:rsidR="006E087E" w:rsidRDefault="006E087E" w:rsidP="006E087E">
      <w:pPr>
        <w:spacing w:line="240" w:lineRule="auto"/>
        <w:rPr>
          <w:rFonts w:ascii="Times New Roman" w:eastAsia="Times New Roman" w:hAnsi="Times New Roman" w:cs="Times New Roman"/>
          <w:sz w:val="24"/>
          <w:szCs w:val="24"/>
        </w:rPr>
      </w:pPr>
    </w:p>
    <w:p w14:paraId="6E2C5C73"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Article Selection</w:t>
      </w:r>
    </w:p>
    <w:p w14:paraId="36E39240"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results of the literature search were imported into Covidence.org, a web-based systematic review software, which we used to perform article selection. A team of reviewers (KH, BR, VCD, PK, SW, JDH) screened all titles and abstracts, independently and in duplicate, to select articles that were potentially relevant to any of the guideline PICOs. The same team then performed text screening, independently and in duplicate, to identify relevant articles and categorized these into its associated PICO question(s). We included, published full </w:t>
      </w:r>
      <w:proofErr w:type="gramStart"/>
      <w:r>
        <w:rPr>
          <w:rFonts w:ascii="Times New Roman" w:eastAsia="Times New Roman" w:hAnsi="Times New Roman" w:cs="Times New Roman"/>
          <w:sz w:val="24"/>
          <w:szCs w:val="24"/>
        </w:rPr>
        <w:t>articles</w:t>
      </w:r>
      <w:proofErr w:type="gramEnd"/>
      <w:r>
        <w:rPr>
          <w:rFonts w:ascii="Times New Roman" w:eastAsia="Times New Roman" w:hAnsi="Times New Roman" w:cs="Times New Roman"/>
          <w:sz w:val="24"/>
          <w:szCs w:val="24"/>
        </w:rPr>
        <w:t xml:space="preserve"> or abstracts with any </w:t>
      </w:r>
      <w:r>
        <w:rPr>
          <w:rFonts w:ascii="Times New Roman" w:eastAsia="Times New Roman" w:hAnsi="Times New Roman" w:cs="Times New Roman"/>
          <w:i/>
          <w:sz w:val="24"/>
          <w:szCs w:val="24"/>
        </w:rPr>
        <w:t>controlled</w:t>
      </w:r>
      <w:r>
        <w:rPr>
          <w:rFonts w:ascii="Times New Roman" w:eastAsia="Times New Roman" w:hAnsi="Times New Roman" w:cs="Times New Roman"/>
          <w:sz w:val="24"/>
          <w:szCs w:val="24"/>
        </w:rPr>
        <w:t xml:space="preserve"> study design (randomized, cluster-randomized, before-after, case-control, or cohort designs) that presented original data that addressed the Population, Intervention, and Comparison for each PICO. Discordances were resolved by consensus and disagreements were adjudicated by a third reviewer from among the same team of reviewers.</w:t>
      </w:r>
    </w:p>
    <w:p w14:paraId="536E7F6F" w14:textId="77777777" w:rsidR="006E087E" w:rsidRDefault="006E087E" w:rsidP="006E087E">
      <w:pPr>
        <w:spacing w:line="240" w:lineRule="auto"/>
        <w:rPr>
          <w:rFonts w:ascii="Times New Roman" w:eastAsia="Times New Roman" w:hAnsi="Times New Roman" w:cs="Times New Roman"/>
          <w:sz w:val="24"/>
          <w:szCs w:val="24"/>
        </w:rPr>
      </w:pPr>
    </w:p>
    <w:p w14:paraId="511BAB87"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Data Extraction</w:t>
      </w:r>
    </w:p>
    <w:p w14:paraId="2D902A98"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One reviewer then extracted data into a pre-formatted data abstraction form and assessed study risk of bias for all articles included in each PICO question. For each included article, we recorded study characteristics and outcome data, numerically where available or narratively (as a statement summarizing the direction of the effect) where numerical data were not reported. A second reviewer then confirmed the accuracy and completeness of the data extracted.</w:t>
      </w:r>
    </w:p>
    <w:p w14:paraId="0EBEC6D0" w14:textId="77777777" w:rsidR="006E087E" w:rsidRDefault="006E087E" w:rsidP="006E087E">
      <w:pPr>
        <w:spacing w:line="240" w:lineRule="auto"/>
        <w:rPr>
          <w:rFonts w:ascii="Times New Roman" w:eastAsia="Times New Roman" w:hAnsi="Times New Roman" w:cs="Times New Roman"/>
          <w:sz w:val="24"/>
          <w:szCs w:val="24"/>
        </w:rPr>
      </w:pPr>
    </w:p>
    <w:p w14:paraId="47DDD8E0" w14:textId="77777777"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Data Synthesis</w:t>
      </w:r>
    </w:p>
    <w:p w14:paraId="24D5F5E0" w14:textId="27702859"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each PICO question, one of the two methodologists synthesized the data and generated a GRADE evidence profile. Where possible, meta-analysis was performed using </w:t>
      </w:r>
      <w:hyperlink r:id="rId16">
        <w:r>
          <w:rPr>
            <w:rFonts w:ascii="Times New Roman" w:eastAsia="Times New Roman" w:hAnsi="Times New Roman" w:cs="Times New Roman"/>
            <w:sz w:val="24"/>
            <w:szCs w:val="24"/>
            <w:u w:val="single"/>
          </w:rPr>
          <w:t>dataparty.ca</w:t>
        </w:r>
      </w:hyperlink>
      <w:r>
        <w:rPr>
          <w:rFonts w:ascii="Times New Roman" w:eastAsia="Times New Roman" w:hAnsi="Times New Roman" w:cs="Times New Roman"/>
          <w:sz w:val="24"/>
          <w:szCs w:val="24"/>
        </w:rPr>
        <w:t xml:space="preserve">, a novel web-based meta-analysis platform. For meta-analyses, we used random-effects model to pool the estimate of effects across included studies and reported risk ratio (RR) with accompanying 95% confidence interval (CI) to summarize the intervention effects for binary outcomes and mean difference with 95% CI to summarize intervention effects for continuous outcomes. </w:t>
      </w:r>
      <w:r w:rsidR="00F95777">
        <w:rPr>
          <w:rFonts w:ascii="Times New Roman" w:eastAsia="Times New Roman" w:hAnsi="Times New Roman" w:cs="Times New Roman"/>
          <w:sz w:val="24"/>
          <w:szCs w:val="24"/>
        </w:rPr>
        <w:t xml:space="preserve">We elected to use random-effects models due to anticipated heterogeneity in </w:t>
      </w:r>
      <w:r w:rsidR="003F5F1D">
        <w:rPr>
          <w:rFonts w:ascii="Times New Roman" w:eastAsia="Times New Roman" w:hAnsi="Times New Roman" w:cs="Times New Roman"/>
          <w:sz w:val="24"/>
          <w:szCs w:val="24"/>
        </w:rPr>
        <w:t>the evidence and outcomes, especially in this research area given clinical heterogeneity in hospital systems, MET team organization, and outcomes assessed</w:t>
      </w:r>
      <w:r w:rsidR="00F957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Statistical heterogeneity was assessed using Chi-squared and I-squared tests.  Where data were insufficient for meta-analysis, evidence was summarized narratively.</w:t>
      </w:r>
    </w:p>
    <w:p w14:paraId="3F464673" w14:textId="77777777" w:rsidR="006E087E" w:rsidRDefault="006E087E" w:rsidP="006E087E">
      <w:pPr>
        <w:spacing w:line="240" w:lineRule="auto"/>
        <w:rPr>
          <w:rFonts w:ascii="Times New Roman" w:eastAsia="Times New Roman" w:hAnsi="Times New Roman" w:cs="Times New Roman"/>
          <w:b/>
          <w:color w:val="C00000"/>
          <w:sz w:val="24"/>
          <w:szCs w:val="24"/>
        </w:rPr>
      </w:pPr>
    </w:p>
    <w:p w14:paraId="06098CD6" w14:textId="77777777" w:rsidR="006E087E" w:rsidRDefault="006E087E" w:rsidP="006E087E">
      <w:pPr>
        <w:spacing w:line="240" w:lineRule="auto"/>
        <w:rPr>
          <w:rFonts w:ascii="Times New Roman" w:eastAsia="Times New Roman" w:hAnsi="Times New Roman" w:cs="Times New Roman"/>
          <w:b/>
          <w:color w:val="C00000"/>
          <w:sz w:val="24"/>
          <w:szCs w:val="24"/>
        </w:rPr>
      </w:pPr>
    </w:p>
    <w:p w14:paraId="376CA62A" w14:textId="0C1F952A" w:rsidR="006E087E" w:rsidRDefault="006E087E" w:rsidP="006E087E">
      <w:pPr>
        <w:spacing w:line="240" w:lineRule="auto"/>
        <w:jc w:val="right"/>
        <w:rPr>
          <w:rFonts w:ascii="Times New Roman" w:eastAsia="Times New Roman" w:hAnsi="Times New Roman" w:cs="Times New Roman"/>
          <w:b/>
          <w:color w:val="C00000"/>
          <w:sz w:val="24"/>
          <w:szCs w:val="24"/>
          <w:highlight w:val="yellow"/>
        </w:rPr>
      </w:pPr>
    </w:p>
    <w:p w14:paraId="5E2F6A7B" w14:textId="77777777" w:rsidR="006E087E" w:rsidRDefault="006E087E" w:rsidP="006E087E">
      <w:pPr>
        <w:rPr>
          <w:rFonts w:ascii="Times New Roman" w:eastAsia="Times New Roman" w:hAnsi="Times New Roman" w:cs="Times New Roman"/>
          <w:b/>
          <w:sz w:val="24"/>
          <w:szCs w:val="24"/>
          <w:highlight w:val="yellow"/>
        </w:rPr>
      </w:pPr>
      <w:r>
        <w:br w:type="page"/>
      </w:r>
    </w:p>
    <w:p w14:paraId="5C14C6A0" w14:textId="77777777" w:rsidR="006E087E" w:rsidRDefault="006E087E" w:rsidP="006E087E">
      <w:pPr>
        <w:widowControl w:val="0"/>
        <w:tabs>
          <w:tab w:val="left" w:pos="410"/>
        </w:tabs>
        <w:spacing w:line="240" w:lineRule="auto"/>
        <w:jc w:val="both"/>
        <w:rPr>
          <w:rFonts w:ascii="Times New Roman" w:eastAsia="Times New Roman" w:hAnsi="Times New Roman" w:cs="Times New Roman"/>
          <w:sz w:val="24"/>
          <w:szCs w:val="24"/>
          <w:highlight w:val="white"/>
        </w:rPr>
      </w:pPr>
      <w:bookmarkStart w:id="9" w:name="bookmark=kix.8lqyhd4twljb" w:colFirst="0" w:colLast="0"/>
      <w:bookmarkEnd w:id="9"/>
      <w:r>
        <w:rPr>
          <w:rFonts w:ascii="Times New Roman" w:eastAsia="Times New Roman" w:hAnsi="Times New Roman" w:cs="Times New Roman"/>
          <w:b/>
          <w:sz w:val="24"/>
          <w:szCs w:val="24"/>
          <w:highlight w:val="white"/>
        </w:rPr>
        <w:lastRenderedPageBreak/>
        <w:t>Supplemental Digital Content 7. GRADE Methodology</w:t>
      </w:r>
    </w:p>
    <w:p w14:paraId="2414CF14" w14:textId="77777777" w:rsidR="006E087E" w:rsidRDefault="006E087E" w:rsidP="006E087E">
      <w:pPr>
        <w:widowControl w:val="0"/>
        <w:tabs>
          <w:tab w:val="left" w:pos="410"/>
        </w:tabs>
        <w:spacing w:line="240" w:lineRule="auto"/>
        <w:jc w:val="both"/>
        <w:rPr>
          <w:rFonts w:ascii="Times New Roman" w:eastAsia="Times New Roman" w:hAnsi="Times New Roman" w:cs="Times New Roman"/>
          <w:sz w:val="24"/>
          <w:szCs w:val="24"/>
          <w:highlight w:val="white"/>
        </w:rPr>
      </w:pPr>
    </w:p>
    <w:p w14:paraId="4D58FBC5" w14:textId="77777777" w:rsidR="006E087E" w:rsidRDefault="006E087E" w:rsidP="006E087E">
      <w:pPr>
        <w:widowControl w:val="0"/>
        <w:tabs>
          <w:tab w:val="left" w:pos="410"/>
        </w:tabs>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 Certainty in the evidence.</w:t>
      </w:r>
      <w:r>
        <w:rPr>
          <w:rFonts w:ascii="Times New Roman" w:eastAsia="Times New Roman" w:hAnsi="Times New Roman" w:cs="Times New Roman"/>
          <w:sz w:val="24"/>
          <w:szCs w:val="24"/>
          <w:highlight w:val="white"/>
        </w:rPr>
        <w:t xml:space="preserve"> We used well-established GRADE approaches to determine overall certainty in the evidence separately for each outcome. One of the clinician-methodologists then generated an Evidence Profile using the GDT software (</w:t>
      </w:r>
      <w:hyperlink r:id="rId17">
        <w:r>
          <w:rPr>
            <w:rFonts w:ascii="Times New Roman" w:eastAsia="Times New Roman" w:hAnsi="Times New Roman" w:cs="Times New Roman"/>
            <w:color w:val="0000FF"/>
            <w:sz w:val="24"/>
            <w:szCs w:val="24"/>
            <w:highlight w:val="white"/>
            <w:u w:val="single"/>
          </w:rPr>
          <w:t>www.GRADEPRO.com</w:t>
        </w:r>
      </w:hyperlink>
      <w:r>
        <w:rPr>
          <w:rFonts w:ascii="Times New Roman" w:eastAsia="Times New Roman" w:hAnsi="Times New Roman" w:cs="Times New Roman"/>
          <w:sz w:val="24"/>
          <w:szCs w:val="24"/>
          <w:highlight w:val="white"/>
        </w:rPr>
        <w:t>). In the GRADE approach, randomized controlled trials are initially considered to yield ‘high’ certainty evidence, which may then be downgraded if there are concerns around one or more of the following domains: (1) risk of bias, (2) inconsistency, (3) indirectness of the evidence, (4) imprecision, and (5) ‘other’ factors, which includes publication bias, presence of a dose-response relationship, magnitude of the effect, assessment of the effect of plausible residual confounding or bias. Non-randomized studies are initially considered to yield ‘low’ certainty evidence, which may then be upgraded or further downgraded based on the assessment of the same 5 domains. The certainty of the evidence for each outcome was then categorized as ‘high’, ‘moderate’, ‘low’, or ‘very low’:</w:t>
      </w:r>
    </w:p>
    <w:p w14:paraId="69BF95AC" w14:textId="77777777" w:rsidR="006E087E" w:rsidRDefault="006E087E" w:rsidP="006E087E">
      <w:pPr>
        <w:widowControl w:val="0"/>
        <w:tabs>
          <w:tab w:val="left" w:pos="410"/>
        </w:tabs>
        <w:spacing w:line="240" w:lineRule="auto"/>
        <w:jc w:val="both"/>
        <w:rPr>
          <w:rFonts w:ascii="Times New Roman" w:eastAsia="Times New Roman" w:hAnsi="Times New Roman" w:cs="Times New Roman"/>
          <w:sz w:val="24"/>
          <w:szCs w:val="24"/>
          <w:highlight w:val="white"/>
        </w:rPr>
      </w:pPr>
    </w:p>
    <w:tbl>
      <w:tblPr>
        <w:tblW w:w="97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6E087E" w14:paraId="0DCEA774" w14:textId="77777777" w:rsidTr="00A207C4">
        <w:tc>
          <w:tcPr>
            <w:tcW w:w="1696" w:type="dxa"/>
          </w:tcPr>
          <w:p w14:paraId="75DDD0E8" w14:textId="77777777" w:rsidR="006E087E" w:rsidRDefault="006E087E" w:rsidP="00A207C4">
            <w:pPr>
              <w:widowControl w:val="0"/>
              <w:tabs>
                <w:tab w:val="left" w:pos="410"/>
              </w:tabs>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Certainty Level</w:t>
            </w:r>
          </w:p>
        </w:tc>
        <w:tc>
          <w:tcPr>
            <w:tcW w:w="8080" w:type="dxa"/>
          </w:tcPr>
          <w:p w14:paraId="59A443EC" w14:textId="77777777" w:rsidR="006E087E" w:rsidRDefault="006E087E" w:rsidP="00A207C4">
            <w:pPr>
              <w:widowControl w:val="0"/>
              <w:tabs>
                <w:tab w:val="left" w:pos="410"/>
              </w:tabs>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Description</w:t>
            </w:r>
          </w:p>
        </w:tc>
      </w:tr>
      <w:tr w:rsidR="006E087E" w14:paraId="7DCB2836" w14:textId="77777777" w:rsidTr="00A207C4">
        <w:tc>
          <w:tcPr>
            <w:tcW w:w="1696" w:type="dxa"/>
          </w:tcPr>
          <w:p w14:paraId="4BFAC423" w14:textId="77777777" w:rsidR="006E087E" w:rsidRDefault="006E087E" w:rsidP="00A207C4">
            <w:pPr>
              <w:widowControl w:val="0"/>
              <w:tabs>
                <w:tab w:val="left" w:pos="410"/>
              </w:tabs>
              <w:jc w:val="center"/>
              <w:rPr>
                <w:rFonts w:ascii="Noto Sans Symbols" w:eastAsia="Noto Sans Symbols" w:hAnsi="Noto Sans Symbols" w:cs="Noto Sans Symbols"/>
              </w:rPr>
            </w:pPr>
            <w:r>
              <w:rPr>
                <w:rFonts w:ascii="Cambria Math" w:eastAsia="Noto Sans Symbols" w:hAnsi="Cambria Math" w:cs="Cambria Math"/>
              </w:rPr>
              <w:t>⊕⊕⊕⊕</w:t>
            </w:r>
          </w:p>
          <w:p w14:paraId="6E4358FD" w14:textId="77777777" w:rsidR="006E087E" w:rsidRDefault="006E087E" w:rsidP="00A207C4">
            <w:pPr>
              <w:widowControl w:val="0"/>
              <w:tabs>
                <w:tab w:val="left" w:pos="410"/>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High</w:t>
            </w:r>
          </w:p>
        </w:tc>
        <w:tc>
          <w:tcPr>
            <w:tcW w:w="8080" w:type="dxa"/>
          </w:tcPr>
          <w:p w14:paraId="28B9DFCB" w14:textId="77777777" w:rsidR="006E087E" w:rsidRDefault="006E087E" w:rsidP="00A207C4">
            <w:pPr>
              <w:widowControl w:val="0"/>
              <w:tabs>
                <w:tab w:val="left" w:pos="410"/>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We are very confident that the true effect lies close to that of the estimate of the effect.</w:t>
            </w:r>
          </w:p>
        </w:tc>
      </w:tr>
      <w:tr w:rsidR="006E087E" w14:paraId="38632F68" w14:textId="77777777" w:rsidTr="00A207C4">
        <w:tc>
          <w:tcPr>
            <w:tcW w:w="1696" w:type="dxa"/>
          </w:tcPr>
          <w:p w14:paraId="75D2AC08" w14:textId="77777777" w:rsidR="006E087E" w:rsidRDefault="006E087E" w:rsidP="00A207C4">
            <w:pPr>
              <w:ind w:left="360"/>
              <w:jc w:val="center"/>
              <w:rPr>
                <w:rFonts w:ascii="Noto Sans Symbols" w:eastAsia="Noto Sans Symbols" w:hAnsi="Noto Sans Symbols" w:cs="Noto Sans Symbols"/>
              </w:rPr>
            </w:pPr>
            <w:r>
              <w:rPr>
                <w:rFonts w:ascii="Cambria Math" w:eastAsia="Noto Sans Symbols" w:hAnsi="Cambria Math" w:cs="Cambria Math"/>
              </w:rPr>
              <w:t>⊕⊕⊕</w:t>
            </w:r>
            <w:r>
              <w:rPr>
                <w:rFonts w:ascii="Segoe UI Symbol" w:hAnsi="Segoe UI Symbol" w:cs="Segoe UI Symbol"/>
                <w:sz w:val="18"/>
                <w:szCs w:val="18"/>
              </w:rPr>
              <w:t>◯</w:t>
            </w:r>
          </w:p>
          <w:p w14:paraId="2E1E9808" w14:textId="77777777" w:rsidR="006E087E" w:rsidRDefault="006E087E" w:rsidP="00A207C4">
            <w:pPr>
              <w:ind w:left="360"/>
              <w:jc w:val="center"/>
              <w:rPr>
                <w:rFonts w:ascii="Noto Sans Symbols" w:eastAsia="Noto Sans Symbols" w:hAnsi="Noto Sans Symbols" w:cs="Noto Sans Symbols"/>
              </w:rPr>
            </w:pPr>
            <w:r>
              <w:rPr>
                <w:rFonts w:ascii="Times New Roman" w:eastAsia="Times New Roman" w:hAnsi="Times New Roman" w:cs="Times New Roman"/>
                <w:highlight w:val="white"/>
              </w:rPr>
              <w:t>Moderate</w:t>
            </w:r>
          </w:p>
        </w:tc>
        <w:tc>
          <w:tcPr>
            <w:tcW w:w="8080" w:type="dxa"/>
          </w:tcPr>
          <w:p w14:paraId="66BB3EC0" w14:textId="77777777" w:rsidR="006E087E" w:rsidRDefault="006E087E" w:rsidP="00A207C4">
            <w:pPr>
              <w:widowControl w:val="0"/>
              <w:tabs>
                <w:tab w:val="left" w:pos="410"/>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We are moderately confident in the effect estimate: The true effect is likely to be close to the estimate of that effect, but there is a possibility that it is substantially different.</w:t>
            </w:r>
          </w:p>
        </w:tc>
      </w:tr>
      <w:tr w:rsidR="006E087E" w14:paraId="1813F551" w14:textId="77777777" w:rsidTr="00A207C4">
        <w:tc>
          <w:tcPr>
            <w:tcW w:w="1696" w:type="dxa"/>
          </w:tcPr>
          <w:p w14:paraId="501E7296" w14:textId="77777777" w:rsidR="006E087E" w:rsidRDefault="006E087E" w:rsidP="00A207C4">
            <w:pPr>
              <w:ind w:left="360"/>
              <w:jc w:val="center"/>
              <w:rPr>
                <w:rFonts w:ascii="Noto Sans Symbols" w:eastAsia="Noto Sans Symbols" w:hAnsi="Noto Sans Symbols" w:cs="Noto Sans Symbols"/>
              </w:rPr>
            </w:pPr>
            <w:r>
              <w:rPr>
                <w:rFonts w:ascii="Cambria Math" w:eastAsia="Noto Sans Symbols" w:hAnsi="Cambria Math" w:cs="Cambria Math"/>
              </w:rPr>
              <w:t>⊕⊕</w:t>
            </w:r>
            <w:r>
              <w:rPr>
                <w:rFonts w:ascii="Segoe UI Symbol" w:hAnsi="Segoe UI Symbol" w:cs="Segoe UI Symbol"/>
                <w:sz w:val="18"/>
                <w:szCs w:val="18"/>
              </w:rPr>
              <w:t>◯◯</w:t>
            </w:r>
          </w:p>
          <w:p w14:paraId="3B1EBB1C" w14:textId="77777777" w:rsidR="006E087E" w:rsidRDefault="006E087E" w:rsidP="00A207C4">
            <w:pPr>
              <w:ind w:left="360"/>
              <w:jc w:val="center"/>
              <w:rPr>
                <w:rFonts w:ascii="Noto Sans Symbols" w:eastAsia="Noto Sans Symbols" w:hAnsi="Noto Sans Symbols" w:cs="Noto Sans Symbols"/>
              </w:rPr>
            </w:pPr>
            <w:r>
              <w:rPr>
                <w:rFonts w:ascii="Times New Roman" w:eastAsia="Times New Roman" w:hAnsi="Times New Roman" w:cs="Times New Roman"/>
                <w:highlight w:val="white"/>
              </w:rPr>
              <w:t>Low</w:t>
            </w:r>
          </w:p>
        </w:tc>
        <w:tc>
          <w:tcPr>
            <w:tcW w:w="8080" w:type="dxa"/>
          </w:tcPr>
          <w:p w14:paraId="24FCFA1D" w14:textId="77777777" w:rsidR="006E087E" w:rsidRDefault="006E087E" w:rsidP="00A207C4">
            <w:pPr>
              <w:widowControl w:val="0"/>
              <w:tabs>
                <w:tab w:val="left" w:pos="410"/>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Our confidence in the effect estimate is limited: The true effect may be substantially different from the estimate of the effect.</w:t>
            </w:r>
          </w:p>
        </w:tc>
      </w:tr>
      <w:tr w:rsidR="006E087E" w14:paraId="5E2567E7" w14:textId="77777777" w:rsidTr="00A207C4">
        <w:tc>
          <w:tcPr>
            <w:tcW w:w="1696" w:type="dxa"/>
          </w:tcPr>
          <w:p w14:paraId="50B6E28A" w14:textId="77777777" w:rsidR="006E087E" w:rsidRDefault="008E2347" w:rsidP="00A207C4">
            <w:pPr>
              <w:ind w:left="360"/>
              <w:jc w:val="center"/>
              <w:rPr>
                <w:rFonts w:ascii="Noto Sans Symbols" w:eastAsia="Noto Sans Symbols" w:hAnsi="Noto Sans Symbols" w:cs="Noto Sans Symbols"/>
              </w:rPr>
            </w:pPr>
            <w:sdt>
              <w:sdtPr>
                <w:tag w:val="goog_rdk_22"/>
                <w:id w:val="1550419866"/>
              </w:sdtPr>
              <w:sdtEndPr/>
              <w:sdtContent>
                <w:r w:rsidR="006E087E">
                  <w:rPr>
                    <w:rFonts w:ascii="Cambria Math" w:eastAsia="Cardo" w:hAnsi="Cambria Math" w:cs="Cambria Math"/>
                    <w:sz w:val="18"/>
                    <w:szCs w:val="18"/>
                  </w:rPr>
                  <w:t>⨁</w:t>
                </w:r>
              </w:sdtContent>
            </w:sdt>
            <w:r w:rsidR="006E087E">
              <w:rPr>
                <w:rFonts w:ascii="Segoe UI Symbol" w:hAnsi="Segoe UI Symbol" w:cs="Segoe UI Symbol"/>
                <w:sz w:val="18"/>
                <w:szCs w:val="18"/>
              </w:rPr>
              <w:t>◯◯◯</w:t>
            </w:r>
          </w:p>
          <w:p w14:paraId="131DB83B" w14:textId="77777777" w:rsidR="006E087E" w:rsidRDefault="006E087E" w:rsidP="00A207C4">
            <w:pPr>
              <w:ind w:left="360"/>
              <w:jc w:val="center"/>
              <w:rPr>
                <w:rFonts w:ascii="Noto Sans Symbols" w:eastAsia="Noto Sans Symbols" w:hAnsi="Noto Sans Symbols" w:cs="Noto Sans Symbols"/>
              </w:rPr>
            </w:pPr>
            <w:r>
              <w:rPr>
                <w:rFonts w:ascii="Times New Roman" w:eastAsia="Times New Roman" w:hAnsi="Times New Roman" w:cs="Times New Roman"/>
                <w:highlight w:val="white"/>
              </w:rPr>
              <w:t>Very Low</w:t>
            </w:r>
          </w:p>
        </w:tc>
        <w:tc>
          <w:tcPr>
            <w:tcW w:w="8080" w:type="dxa"/>
          </w:tcPr>
          <w:p w14:paraId="763158B7" w14:textId="77777777" w:rsidR="006E087E" w:rsidRDefault="006E087E" w:rsidP="00A207C4">
            <w:pPr>
              <w:widowControl w:val="0"/>
              <w:tabs>
                <w:tab w:val="left" w:pos="410"/>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We have very little confidence in the effect estimate: The true effect is likely to be substantially different from the estimate of effect.</w:t>
            </w:r>
          </w:p>
        </w:tc>
      </w:tr>
    </w:tbl>
    <w:p w14:paraId="5C0FF9D5" w14:textId="77777777" w:rsidR="006E087E" w:rsidRDefault="006E087E" w:rsidP="006E087E">
      <w:pPr>
        <w:widowControl w:val="0"/>
        <w:tabs>
          <w:tab w:val="left" w:pos="410"/>
        </w:tabs>
        <w:spacing w:line="240" w:lineRule="auto"/>
        <w:jc w:val="both"/>
        <w:rPr>
          <w:rFonts w:ascii="Times New Roman" w:eastAsia="Times New Roman" w:hAnsi="Times New Roman" w:cs="Times New Roman"/>
          <w:sz w:val="24"/>
          <w:szCs w:val="24"/>
          <w:highlight w:val="white"/>
        </w:rPr>
      </w:pPr>
    </w:p>
    <w:p w14:paraId="6BF05650" w14:textId="77777777" w:rsidR="006E087E" w:rsidRDefault="006E087E" w:rsidP="006E087E">
      <w:pPr>
        <w:widowControl w:val="0"/>
        <w:tabs>
          <w:tab w:val="left" w:pos="410"/>
        </w:tabs>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 Evidence-to-Decision Framework</w:t>
      </w:r>
    </w:p>
    <w:p w14:paraId="7E2C3784" w14:textId="77777777" w:rsidR="006E087E" w:rsidRDefault="006E087E" w:rsidP="006E087E">
      <w:pPr>
        <w:widowControl w:val="0"/>
        <w:tabs>
          <w:tab w:val="left" w:pos="410"/>
        </w:tabs>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each PICO question, panel members held one or more web-based meetings via Zoom video conferencing platform, to review the Evidence Profile, discuss the evidence and various factors that may influence decision-making, and to generate a recommendation. The GRADE Evidence-to-Decision (</w:t>
      </w:r>
      <w:proofErr w:type="spellStart"/>
      <w:r>
        <w:rPr>
          <w:rFonts w:ascii="Times New Roman" w:eastAsia="Times New Roman" w:hAnsi="Times New Roman" w:cs="Times New Roman"/>
          <w:sz w:val="24"/>
          <w:szCs w:val="24"/>
          <w:highlight w:val="white"/>
        </w:rPr>
        <w:t>EtD</w:t>
      </w:r>
      <w:proofErr w:type="spellEnd"/>
      <w:r>
        <w:rPr>
          <w:rFonts w:ascii="Times New Roman" w:eastAsia="Times New Roman" w:hAnsi="Times New Roman" w:cs="Times New Roman"/>
          <w:sz w:val="24"/>
          <w:szCs w:val="24"/>
          <w:highlight w:val="white"/>
        </w:rPr>
        <w:t xml:space="preserve">) framework was used to help organize panel discussions during deliberation meetings. The </w:t>
      </w:r>
      <w:proofErr w:type="spellStart"/>
      <w:r>
        <w:rPr>
          <w:rFonts w:ascii="Times New Roman" w:eastAsia="Times New Roman" w:hAnsi="Times New Roman" w:cs="Times New Roman"/>
          <w:sz w:val="24"/>
          <w:szCs w:val="24"/>
          <w:highlight w:val="white"/>
        </w:rPr>
        <w:t>EtD</w:t>
      </w:r>
      <w:proofErr w:type="spellEnd"/>
      <w:r>
        <w:rPr>
          <w:rFonts w:ascii="Times New Roman" w:eastAsia="Times New Roman" w:hAnsi="Times New Roman" w:cs="Times New Roman"/>
          <w:sz w:val="24"/>
          <w:szCs w:val="24"/>
          <w:highlight w:val="white"/>
        </w:rPr>
        <w:t xml:space="preserve"> incorporates panel judgment across 12 domains:</w:t>
      </w:r>
    </w:p>
    <w:p w14:paraId="015AB7EC" w14:textId="77777777" w:rsidR="006E087E" w:rsidRDefault="006E087E" w:rsidP="006E087E">
      <w:pPr>
        <w:widowControl w:val="0"/>
        <w:tabs>
          <w:tab w:val="left" w:pos="410"/>
        </w:tabs>
        <w:spacing w:line="240" w:lineRule="auto"/>
        <w:jc w:val="both"/>
        <w:rPr>
          <w:rFonts w:ascii="Times New Roman" w:eastAsia="Times New Roman" w:hAnsi="Times New Roman" w:cs="Times New Roman"/>
          <w:b/>
          <w:sz w:val="24"/>
          <w:szCs w:val="24"/>
          <w:highlight w:val="white"/>
        </w:rPr>
      </w:pPr>
    </w:p>
    <w:tbl>
      <w:tblPr>
        <w:tblW w:w="977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229"/>
      </w:tblGrid>
      <w:tr w:rsidR="006E087E" w14:paraId="7EF1C25B" w14:textId="77777777" w:rsidTr="00A207C4">
        <w:tc>
          <w:tcPr>
            <w:tcW w:w="2547" w:type="dxa"/>
          </w:tcPr>
          <w:p w14:paraId="104E7AAE" w14:textId="77777777" w:rsidR="006E087E" w:rsidRDefault="006E087E" w:rsidP="00A207C4">
            <w:pPr>
              <w:widowControl w:val="0"/>
              <w:tabs>
                <w:tab w:val="left" w:pos="410"/>
              </w:tabs>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Domain</w:t>
            </w:r>
          </w:p>
        </w:tc>
        <w:tc>
          <w:tcPr>
            <w:tcW w:w="7229" w:type="dxa"/>
          </w:tcPr>
          <w:p w14:paraId="2DC5238E" w14:textId="77777777" w:rsidR="006E087E" w:rsidRDefault="006E087E" w:rsidP="00A207C4">
            <w:pPr>
              <w:widowControl w:val="0"/>
              <w:tabs>
                <w:tab w:val="left" w:pos="410"/>
              </w:tabs>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Question</w:t>
            </w:r>
          </w:p>
        </w:tc>
      </w:tr>
      <w:tr w:rsidR="006E087E" w14:paraId="3489C9F3" w14:textId="77777777" w:rsidTr="00A207C4">
        <w:tc>
          <w:tcPr>
            <w:tcW w:w="2547" w:type="dxa"/>
          </w:tcPr>
          <w:p w14:paraId="1BBA155C" w14:textId="77777777" w:rsidR="006E087E" w:rsidRDefault="006E087E" w:rsidP="00A207C4">
            <w:pPr>
              <w:widowControl w:val="0"/>
              <w:tabs>
                <w:tab w:val="left" w:pos="410"/>
              </w:tabs>
              <w:rPr>
                <w:rFonts w:ascii="Times New Roman" w:eastAsia="Times New Roman" w:hAnsi="Times New Roman" w:cs="Times New Roman"/>
                <w:b/>
                <w:highlight w:val="white"/>
              </w:rPr>
            </w:pPr>
            <w:r>
              <w:rPr>
                <w:rFonts w:ascii="Times New Roman" w:eastAsia="Times New Roman" w:hAnsi="Times New Roman" w:cs="Times New Roman"/>
                <w:b/>
                <w:highlight w:val="white"/>
              </w:rPr>
              <w:t>Priority of the Problem</w:t>
            </w:r>
          </w:p>
        </w:tc>
        <w:tc>
          <w:tcPr>
            <w:tcW w:w="7229" w:type="dxa"/>
          </w:tcPr>
          <w:p w14:paraId="4CD222B1" w14:textId="77777777" w:rsidR="006E087E" w:rsidRDefault="006E087E" w:rsidP="00A207C4">
            <w:pPr>
              <w:widowControl w:val="0"/>
              <w:tabs>
                <w:tab w:val="left" w:pos="410"/>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Is the problem a priority?</w:t>
            </w:r>
          </w:p>
        </w:tc>
      </w:tr>
      <w:tr w:rsidR="006E087E" w14:paraId="49DC1916" w14:textId="77777777" w:rsidTr="00A207C4">
        <w:tc>
          <w:tcPr>
            <w:tcW w:w="2547" w:type="dxa"/>
          </w:tcPr>
          <w:p w14:paraId="25154D77" w14:textId="77777777" w:rsidR="006E087E" w:rsidRDefault="006E087E" w:rsidP="00A207C4">
            <w:pPr>
              <w:widowControl w:val="0"/>
              <w:tabs>
                <w:tab w:val="left" w:pos="410"/>
              </w:tabs>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Desirable effects</w:t>
            </w:r>
          </w:p>
        </w:tc>
        <w:tc>
          <w:tcPr>
            <w:tcW w:w="7229" w:type="dxa"/>
          </w:tcPr>
          <w:p w14:paraId="3D498E12" w14:textId="77777777" w:rsidR="006E087E" w:rsidRDefault="006E087E" w:rsidP="00A207C4">
            <w:pPr>
              <w:widowControl w:val="0"/>
              <w:tabs>
                <w:tab w:val="left" w:pos="410"/>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How substantial are the desirable effects?</w:t>
            </w:r>
          </w:p>
        </w:tc>
      </w:tr>
      <w:tr w:rsidR="006E087E" w14:paraId="0B51D65B" w14:textId="77777777" w:rsidTr="00A207C4">
        <w:tc>
          <w:tcPr>
            <w:tcW w:w="2547" w:type="dxa"/>
          </w:tcPr>
          <w:p w14:paraId="1BBB44F3" w14:textId="77777777" w:rsidR="006E087E" w:rsidRDefault="006E087E" w:rsidP="00A207C4">
            <w:pPr>
              <w:widowControl w:val="0"/>
              <w:tabs>
                <w:tab w:val="left" w:pos="410"/>
              </w:tabs>
              <w:rPr>
                <w:rFonts w:ascii="Times New Roman" w:eastAsia="Times New Roman" w:hAnsi="Times New Roman" w:cs="Times New Roman"/>
                <w:b/>
                <w:highlight w:val="white"/>
              </w:rPr>
            </w:pPr>
            <w:r>
              <w:rPr>
                <w:rFonts w:ascii="Times New Roman" w:eastAsia="Times New Roman" w:hAnsi="Times New Roman" w:cs="Times New Roman"/>
                <w:b/>
                <w:highlight w:val="white"/>
              </w:rPr>
              <w:t>Undesirable effects</w:t>
            </w:r>
          </w:p>
        </w:tc>
        <w:tc>
          <w:tcPr>
            <w:tcW w:w="7229" w:type="dxa"/>
          </w:tcPr>
          <w:p w14:paraId="7A50DD97" w14:textId="77777777" w:rsidR="006E087E" w:rsidRDefault="006E087E" w:rsidP="00A207C4">
            <w:pPr>
              <w:widowControl w:val="0"/>
              <w:tabs>
                <w:tab w:val="left" w:pos="410"/>
              </w:tabs>
              <w:rPr>
                <w:rFonts w:ascii="Times New Roman" w:eastAsia="Times New Roman" w:hAnsi="Times New Roman" w:cs="Times New Roman"/>
                <w:highlight w:val="white"/>
              </w:rPr>
            </w:pPr>
            <w:r>
              <w:rPr>
                <w:rFonts w:ascii="Times New Roman" w:eastAsia="Times New Roman" w:hAnsi="Times New Roman" w:cs="Times New Roman"/>
                <w:highlight w:val="white"/>
              </w:rPr>
              <w:t>How substantial are the undesirable effects?</w:t>
            </w:r>
          </w:p>
        </w:tc>
      </w:tr>
      <w:tr w:rsidR="006E087E" w14:paraId="48992091" w14:textId="77777777" w:rsidTr="00A207C4">
        <w:tc>
          <w:tcPr>
            <w:tcW w:w="2547" w:type="dxa"/>
          </w:tcPr>
          <w:p w14:paraId="5D991522" w14:textId="77777777" w:rsidR="006E087E" w:rsidRDefault="006E087E" w:rsidP="00A207C4">
            <w:pPr>
              <w:widowControl w:val="0"/>
              <w:tabs>
                <w:tab w:val="left" w:pos="410"/>
              </w:tabs>
              <w:rPr>
                <w:rFonts w:ascii="Times New Roman" w:eastAsia="Times New Roman" w:hAnsi="Times New Roman" w:cs="Times New Roman"/>
                <w:b/>
                <w:highlight w:val="white"/>
              </w:rPr>
            </w:pPr>
            <w:r>
              <w:rPr>
                <w:rFonts w:ascii="Times New Roman" w:eastAsia="Times New Roman" w:hAnsi="Times New Roman" w:cs="Times New Roman"/>
                <w:b/>
                <w:highlight w:val="white"/>
              </w:rPr>
              <w:t>Certainty of evidence</w:t>
            </w:r>
          </w:p>
        </w:tc>
        <w:tc>
          <w:tcPr>
            <w:tcW w:w="7229" w:type="dxa"/>
          </w:tcPr>
          <w:p w14:paraId="54CC9C68" w14:textId="77777777" w:rsidR="006E087E" w:rsidRDefault="006E087E" w:rsidP="00A207C4">
            <w:pPr>
              <w:widowControl w:val="0"/>
              <w:tabs>
                <w:tab w:val="left" w:pos="410"/>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What is the overall certainty of the evidence of effects?</w:t>
            </w:r>
          </w:p>
        </w:tc>
      </w:tr>
      <w:tr w:rsidR="006E087E" w14:paraId="7078AB16" w14:textId="77777777" w:rsidTr="00A207C4">
        <w:tc>
          <w:tcPr>
            <w:tcW w:w="2547" w:type="dxa"/>
          </w:tcPr>
          <w:p w14:paraId="35832BE6" w14:textId="77777777" w:rsidR="006E087E" w:rsidRDefault="006E087E" w:rsidP="00A207C4">
            <w:pPr>
              <w:widowControl w:val="0"/>
              <w:tabs>
                <w:tab w:val="left" w:pos="410"/>
              </w:tabs>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Values</w:t>
            </w:r>
          </w:p>
        </w:tc>
        <w:tc>
          <w:tcPr>
            <w:tcW w:w="7229" w:type="dxa"/>
          </w:tcPr>
          <w:p w14:paraId="0437EC80" w14:textId="77777777" w:rsidR="006E087E" w:rsidRDefault="006E087E" w:rsidP="00A207C4">
            <w:pPr>
              <w:widowControl w:val="0"/>
              <w:tabs>
                <w:tab w:val="left" w:pos="410"/>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Is there important uncertainty or variability in how much people value the main outcome?</w:t>
            </w:r>
          </w:p>
        </w:tc>
      </w:tr>
      <w:tr w:rsidR="006E087E" w14:paraId="722F54D6" w14:textId="77777777" w:rsidTr="00A207C4">
        <w:tc>
          <w:tcPr>
            <w:tcW w:w="2547" w:type="dxa"/>
          </w:tcPr>
          <w:p w14:paraId="60485ADC" w14:textId="77777777" w:rsidR="006E087E" w:rsidRDefault="006E087E" w:rsidP="00A207C4">
            <w:pPr>
              <w:widowControl w:val="0"/>
              <w:tabs>
                <w:tab w:val="left" w:pos="410"/>
              </w:tabs>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Balance of effects</w:t>
            </w:r>
          </w:p>
        </w:tc>
        <w:tc>
          <w:tcPr>
            <w:tcW w:w="7229" w:type="dxa"/>
          </w:tcPr>
          <w:p w14:paraId="52D28B1A" w14:textId="77777777" w:rsidR="006E087E" w:rsidRDefault="006E087E" w:rsidP="00A207C4">
            <w:pPr>
              <w:widowControl w:val="0"/>
              <w:tabs>
                <w:tab w:val="left" w:pos="410"/>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Does the balance between desirable and undesirable effects favor the intervention or the comparison?</w:t>
            </w:r>
          </w:p>
        </w:tc>
      </w:tr>
      <w:tr w:rsidR="006E087E" w14:paraId="1CAAA7EF" w14:textId="77777777" w:rsidTr="00A207C4">
        <w:tc>
          <w:tcPr>
            <w:tcW w:w="2547" w:type="dxa"/>
          </w:tcPr>
          <w:p w14:paraId="1CD68144" w14:textId="77777777" w:rsidR="006E087E" w:rsidRDefault="006E087E" w:rsidP="00A207C4">
            <w:pPr>
              <w:widowControl w:val="0"/>
              <w:tabs>
                <w:tab w:val="left" w:pos="410"/>
              </w:tabs>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Resources required</w:t>
            </w:r>
          </w:p>
        </w:tc>
        <w:tc>
          <w:tcPr>
            <w:tcW w:w="7229" w:type="dxa"/>
          </w:tcPr>
          <w:p w14:paraId="6C29DA5A" w14:textId="77777777" w:rsidR="006E087E" w:rsidRDefault="006E087E" w:rsidP="00A207C4">
            <w:pPr>
              <w:widowControl w:val="0"/>
              <w:tabs>
                <w:tab w:val="left" w:pos="410"/>
              </w:tabs>
              <w:rPr>
                <w:rFonts w:ascii="Times New Roman" w:eastAsia="Times New Roman" w:hAnsi="Times New Roman" w:cs="Times New Roman"/>
                <w:highlight w:val="white"/>
              </w:rPr>
            </w:pPr>
            <w:r>
              <w:rPr>
                <w:rFonts w:ascii="Times New Roman" w:eastAsia="Times New Roman" w:hAnsi="Times New Roman" w:cs="Times New Roman"/>
                <w:highlight w:val="white"/>
              </w:rPr>
              <w:t>How large are the resource requirements (costs)?</w:t>
            </w:r>
          </w:p>
        </w:tc>
      </w:tr>
      <w:tr w:rsidR="006E087E" w14:paraId="578C0704" w14:textId="77777777" w:rsidTr="00A207C4">
        <w:tc>
          <w:tcPr>
            <w:tcW w:w="2547" w:type="dxa"/>
          </w:tcPr>
          <w:p w14:paraId="59F92B67" w14:textId="77777777" w:rsidR="006E087E" w:rsidRDefault="006E087E" w:rsidP="00A207C4">
            <w:pPr>
              <w:widowControl w:val="0"/>
              <w:tabs>
                <w:tab w:val="left" w:pos="410"/>
              </w:tabs>
              <w:rPr>
                <w:rFonts w:ascii="Times New Roman" w:eastAsia="Times New Roman" w:hAnsi="Times New Roman" w:cs="Times New Roman"/>
                <w:b/>
                <w:highlight w:val="white"/>
              </w:rPr>
            </w:pPr>
            <w:r>
              <w:rPr>
                <w:rFonts w:ascii="Times New Roman" w:eastAsia="Times New Roman" w:hAnsi="Times New Roman" w:cs="Times New Roman"/>
                <w:b/>
                <w:highlight w:val="white"/>
              </w:rPr>
              <w:t>Certainty of evidence of required resources</w:t>
            </w:r>
          </w:p>
        </w:tc>
        <w:tc>
          <w:tcPr>
            <w:tcW w:w="7229" w:type="dxa"/>
          </w:tcPr>
          <w:p w14:paraId="4702F55F" w14:textId="77777777" w:rsidR="006E087E" w:rsidRDefault="006E087E" w:rsidP="00A207C4">
            <w:pPr>
              <w:widowControl w:val="0"/>
              <w:tabs>
                <w:tab w:val="left" w:pos="410"/>
              </w:tabs>
              <w:rPr>
                <w:rFonts w:ascii="Times New Roman" w:eastAsia="Times New Roman" w:hAnsi="Times New Roman" w:cs="Times New Roman"/>
                <w:highlight w:val="white"/>
              </w:rPr>
            </w:pPr>
            <w:r>
              <w:rPr>
                <w:rFonts w:ascii="Times New Roman" w:eastAsia="Times New Roman" w:hAnsi="Times New Roman" w:cs="Times New Roman"/>
                <w:highlight w:val="white"/>
              </w:rPr>
              <w:t>What is the certainty of the evidence of resource requirements (costs)?</w:t>
            </w:r>
          </w:p>
        </w:tc>
      </w:tr>
      <w:tr w:rsidR="006E087E" w14:paraId="2659B428" w14:textId="77777777" w:rsidTr="00A207C4">
        <w:tc>
          <w:tcPr>
            <w:tcW w:w="2547" w:type="dxa"/>
          </w:tcPr>
          <w:p w14:paraId="31F60590" w14:textId="77777777" w:rsidR="006E087E" w:rsidRDefault="006E087E" w:rsidP="00A207C4">
            <w:pPr>
              <w:widowControl w:val="0"/>
              <w:tabs>
                <w:tab w:val="left" w:pos="410"/>
              </w:tabs>
              <w:rPr>
                <w:rFonts w:ascii="Times New Roman" w:eastAsia="Times New Roman" w:hAnsi="Times New Roman" w:cs="Times New Roman"/>
                <w:b/>
                <w:highlight w:val="white"/>
              </w:rPr>
            </w:pPr>
            <w:r>
              <w:rPr>
                <w:rFonts w:ascii="Times New Roman" w:eastAsia="Times New Roman" w:hAnsi="Times New Roman" w:cs="Times New Roman"/>
                <w:b/>
                <w:highlight w:val="white"/>
              </w:rPr>
              <w:t>Cost effectiveness</w:t>
            </w:r>
          </w:p>
        </w:tc>
        <w:tc>
          <w:tcPr>
            <w:tcW w:w="7229" w:type="dxa"/>
          </w:tcPr>
          <w:p w14:paraId="46402860" w14:textId="77777777" w:rsidR="006E087E" w:rsidRDefault="006E087E" w:rsidP="00A207C4">
            <w:pPr>
              <w:widowControl w:val="0"/>
              <w:tabs>
                <w:tab w:val="left" w:pos="410"/>
              </w:tabs>
              <w:rPr>
                <w:rFonts w:ascii="Times New Roman" w:eastAsia="Times New Roman" w:hAnsi="Times New Roman" w:cs="Times New Roman"/>
                <w:highlight w:val="white"/>
              </w:rPr>
            </w:pPr>
            <w:r>
              <w:rPr>
                <w:rFonts w:ascii="Times New Roman" w:eastAsia="Times New Roman" w:hAnsi="Times New Roman" w:cs="Times New Roman"/>
                <w:highlight w:val="white"/>
              </w:rPr>
              <w:t>Does cost-effectiveness of the intervention favor the intervention or the comparison?</w:t>
            </w:r>
          </w:p>
        </w:tc>
      </w:tr>
      <w:tr w:rsidR="006E087E" w14:paraId="1590CE5E" w14:textId="77777777" w:rsidTr="00A207C4">
        <w:tc>
          <w:tcPr>
            <w:tcW w:w="2547" w:type="dxa"/>
          </w:tcPr>
          <w:p w14:paraId="5A612EBB" w14:textId="77777777" w:rsidR="006E087E" w:rsidRDefault="006E087E" w:rsidP="00A207C4">
            <w:pPr>
              <w:widowControl w:val="0"/>
              <w:tabs>
                <w:tab w:val="left" w:pos="410"/>
              </w:tabs>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Equity</w:t>
            </w:r>
          </w:p>
        </w:tc>
        <w:tc>
          <w:tcPr>
            <w:tcW w:w="7229" w:type="dxa"/>
          </w:tcPr>
          <w:p w14:paraId="5D4AB1B8" w14:textId="77777777" w:rsidR="006E087E" w:rsidRDefault="006E087E" w:rsidP="00A207C4">
            <w:pPr>
              <w:widowControl w:val="0"/>
              <w:tabs>
                <w:tab w:val="left" w:pos="410"/>
              </w:tabs>
              <w:rPr>
                <w:rFonts w:ascii="Times New Roman" w:eastAsia="Times New Roman" w:hAnsi="Times New Roman" w:cs="Times New Roman"/>
                <w:highlight w:val="white"/>
              </w:rPr>
            </w:pPr>
            <w:r>
              <w:rPr>
                <w:rFonts w:ascii="Times New Roman" w:eastAsia="Times New Roman" w:hAnsi="Times New Roman" w:cs="Times New Roman"/>
                <w:highlight w:val="white"/>
              </w:rPr>
              <w:t>What would be the impact on health equity?</w:t>
            </w:r>
          </w:p>
        </w:tc>
      </w:tr>
      <w:tr w:rsidR="006E087E" w14:paraId="20950C0F" w14:textId="77777777" w:rsidTr="00A207C4">
        <w:tc>
          <w:tcPr>
            <w:tcW w:w="2547" w:type="dxa"/>
          </w:tcPr>
          <w:p w14:paraId="6F499C8D" w14:textId="77777777" w:rsidR="006E087E" w:rsidRDefault="006E087E" w:rsidP="00A207C4">
            <w:pPr>
              <w:widowControl w:val="0"/>
              <w:tabs>
                <w:tab w:val="left" w:pos="410"/>
              </w:tabs>
              <w:rPr>
                <w:rFonts w:ascii="Times New Roman" w:eastAsia="Times New Roman" w:hAnsi="Times New Roman" w:cs="Times New Roman"/>
                <w:b/>
                <w:highlight w:val="white"/>
              </w:rPr>
            </w:pPr>
            <w:r>
              <w:rPr>
                <w:rFonts w:ascii="Times New Roman" w:eastAsia="Times New Roman" w:hAnsi="Times New Roman" w:cs="Times New Roman"/>
                <w:b/>
                <w:highlight w:val="white"/>
              </w:rPr>
              <w:t>Acceptability</w:t>
            </w:r>
          </w:p>
        </w:tc>
        <w:tc>
          <w:tcPr>
            <w:tcW w:w="7229" w:type="dxa"/>
          </w:tcPr>
          <w:p w14:paraId="7607B419" w14:textId="77777777" w:rsidR="006E087E" w:rsidRDefault="006E087E" w:rsidP="00A207C4">
            <w:pPr>
              <w:widowControl w:val="0"/>
              <w:tabs>
                <w:tab w:val="left" w:pos="410"/>
              </w:tabs>
              <w:rPr>
                <w:rFonts w:ascii="Times New Roman" w:eastAsia="Times New Roman" w:hAnsi="Times New Roman" w:cs="Times New Roman"/>
                <w:highlight w:val="white"/>
              </w:rPr>
            </w:pPr>
            <w:r>
              <w:rPr>
                <w:rFonts w:ascii="Times New Roman" w:eastAsia="Times New Roman" w:hAnsi="Times New Roman" w:cs="Times New Roman"/>
                <w:highlight w:val="white"/>
              </w:rPr>
              <w:t>Is the intervention acceptable to key stakeholders?</w:t>
            </w:r>
          </w:p>
        </w:tc>
      </w:tr>
      <w:tr w:rsidR="006E087E" w14:paraId="6DB03F0E" w14:textId="77777777" w:rsidTr="00A207C4">
        <w:tc>
          <w:tcPr>
            <w:tcW w:w="2547" w:type="dxa"/>
          </w:tcPr>
          <w:p w14:paraId="10FC615C" w14:textId="77777777" w:rsidR="006E087E" w:rsidRDefault="006E087E" w:rsidP="00A207C4">
            <w:pPr>
              <w:widowControl w:val="0"/>
              <w:tabs>
                <w:tab w:val="left" w:pos="410"/>
              </w:tabs>
              <w:rPr>
                <w:rFonts w:ascii="Times New Roman" w:eastAsia="Times New Roman" w:hAnsi="Times New Roman" w:cs="Times New Roman"/>
                <w:b/>
                <w:highlight w:val="white"/>
              </w:rPr>
            </w:pPr>
            <w:r>
              <w:rPr>
                <w:rFonts w:ascii="Times New Roman" w:eastAsia="Times New Roman" w:hAnsi="Times New Roman" w:cs="Times New Roman"/>
                <w:b/>
                <w:highlight w:val="white"/>
              </w:rPr>
              <w:t>Feasibility</w:t>
            </w:r>
          </w:p>
        </w:tc>
        <w:tc>
          <w:tcPr>
            <w:tcW w:w="7229" w:type="dxa"/>
          </w:tcPr>
          <w:p w14:paraId="3D2FCBF5" w14:textId="77777777" w:rsidR="006E087E" w:rsidRDefault="006E087E" w:rsidP="00A207C4">
            <w:pPr>
              <w:widowControl w:val="0"/>
              <w:tabs>
                <w:tab w:val="left" w:pos="410"/>
              </w:tabs>
              <w:rPr>
                <w:rFonts w:ascii="Times New Roman" w:eastAsia="Times New Roman" w:hAnsi="Times New Roman" w:cs="Times New Roman"/>
                <w:highlight w:val="white"/>
              </w:rPr>
            </w:pPr>
            <w:r>
              <w:rPr>
                <w:rFonts w:ascii="Times New Roman" w:eastAsia="Times New Roman" w:hAnsi="Times New Roman" w:cs="Times New Roman"/>
                <w:highlight w:val="white"/>
              </w:rPr>
              <w:t>Is the intervention feasible to implement?</w:t>
            </w:r>
          </w:p>
        </w:tc>
      </w:tr>
    </w:tbl>
    <w:p w14:paraId="1D70001D" w14:textId="77777777" w:rsidR="006E087E" w:rsidRDefault="006E087E" w:rsidP="006E087E">
      <w:pPr>
        <w:widowControl w:val="0"/>
        <w:tabs>
          <w:tab w:val="left" w:pos="410"/>
        </w:tabs>
        <w:spacing w:line="240" w:lineRule="auto"/>
        <w:jc w:val="both"/>
        <w:rPr>
          <w:rFonts w:ascii="Times New Roman" w:eastAsia="Times New Roman" w:hAnsi="Times New Roman" w:cs="Times New Roman"/>
          <w:b/>
          <w:sz w:val="24"/>
          <w:szCs w:val="24"/>
          <w:highlight w:val="white"/>
        </w:rPr>
      </w:pPr>
    </w:p>
    <w:p w14:paraId="6CC10E1B" w14:textId="77777777" w:rsidR="006E087E" w:rsidRDefault="006E087E" w:rsidP="006E087E">
      <w:pPr>
        <w:widowControl w:val="0"/>
        <w:tabs>
          <w:tab w:val="left" w:pos="410"/>
        </w:tabs>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 Recommendation Generation</w:t>
      </w:r>
    </w:p>
    <w:p w14:paraId="45471D24" w14:textId="77777777" w:rsidR="006E087E" w:rsidRDefault="006E087E" w:rsidP="006E087E">
      <w:pPr>
        <w:widowControl w:val="0"/>
        <w:tabs>
          <w:tab w:val="left" w:pos="410"/>
        </w:tabs>
        <w:spacing w:line="240" w:lineRule="auto"/>
        <w:jc w:val="both"/>
      </w:pPr>
      <w:r>
        <w:rPr>
          <w:rFonts w:ascii="Times New Roman" w:eastAsia="Times New Roman" w:hAnsi="Times New Roman" w:cs="Times New Roman"/>
          <w:sz w:val="24"/>
          <w:szCs w:val="24"/>
          <w:highlight w:val="white"/>
        </w:rPr>
        <w:t xml:space="preserve">After reviewing the Evidence Profile and discussing each consideration in the </w:t>
      </w:r>
      <w:proofErr w:type="spellStart"/>
      <w:r>
        <w:rPr>
          <w:rFonts w:ascii="Times New Roman" w:eastAsia="Times New Roman" w:hAnsi="Times New Roman" w:cs="Times New Roman"/>
          <w:sz w:val="24"/>
          <w:szCs w:val="24"/>
          <w:highlight w:val="white"/>
        </w:rPr>
        <w:t>EtD</w:t>
      </w:r>
      <w:proofErr w:type="spellEnd"/>
      <w:r>
        <w:rPr>
          <w:rFonts w:ascii="Times New Roman" w:eastAsia="Times New Roman" w:hAnsi="Times New Roman" w:cs="Times New Roman"/>
          <w:sz w:val="24"/>
          <w:szCs w:val="24"/>
          <w:highlight w:val="white"/>
        </w:rPr>
        <w:t xml:space="preserve"> for a PICO question, the panel deliberated and decided on a recommendation direction (for, against, neutral) and strength (strong vs. conditional). By convention, strong recommendations are phrased as “We recommend…” and conditional recommendations as “We suggest…”. The description of recommendation strengths and their implications for patients, clinicians, and policy makers are shown in </w:t>
      </w:r>
      <w:r>
        <w:rPr>
          <w:rFonts w:ascii="Times New Roman" w:eastAsia="Times New Roman" w:hAnsi="Times New Roman" w:cs="Times New Roman"/>
          <w:b/>
          <w:sz w:val="24"/>
          <w:szCs w:val="24"/>
          <w:highlight w:val="white"/>
        </w:rPr>
        <w:t>Table 1</w:t>
      </w:r>
      <w:r>
        <w:rPr>
          <w:rFonts w:ascii="Times New Roman" w:eastAsia="Times New Roman" w:hAnsi="Times New Roman" w:cs="Times New Roman"/>
          <w:sz w:val="24"/>
          <w:szCs w:val="24"/>
          <w:highlight w:val="white"/>
        </w:rPr>
        <w:t>.</w:t>
      </w:r>
    </w:p>
    <w:p w14:paraId="5435C751" w14:textId="77777777" w:rsidR="006E087E" w:rsidRDefault="006E087E" w:rsidP="006E087E">
      <w:pPr>
        <w:widowControl w:val="0"/>
        <w:tabs>
          <w:tab w:val="left" w:pos="410"/>
        </w:tabs>
        <w:spacing w:line="240" w:lineRule="auto"/>
        <w:jc w:val="both"/>
      </w:pPr>
    </w:p>
    <w:p w14:paraId="2E2C5514" w14:textId="77777777" w:rsidR="006E087E" w:rsidRDefault="006E087E" w:rsidP="006E087E">
      <w:pPr>
        <w:widowControl w:val="0"/>
        <w:tabs>
          <w:tab w:val="left" w:pos="410"/>
        </w:tabs>
        <w:spacing w:line="240" w:lineRule="auto"/>
        <w:jc w:val="both"/>
      </w:pPr>
    </w:p>
    <w:p w14:paraId="75C8B442" w14:textId="32AA12B2" w:rsidR="006E087E" w:rsidRDefault="006E087E" w:rsidP="006E087E">
      <w:pPr>
        <w:widowControl w:val="0"/>
        <w:tabs>
          <w:tab w:val="left" w:pos="410"/>
        </w:tabs>
        <w:spacing w:line="240" w:lineRule="auto"/>
        <w:jc w:val="right"/>
        <w:rPr>
          <w:rFonts w:ascii="Times New Roman" w:eastAsia="Times New Roman" w:hAnsi="Times New Roman" w:cs="Times New Roman"/>
          <w:b/>
          <w:color w:val="C00000"/>
          <w:sz w:val="24"/>
          <w:szCs w:val="24"/>
          <w:highlight w:val="yellow"/>
        </w:rPr>
      </w:pPr>
      <w:r>
        <w:br w:type="page"/>
      </w:r>
    </w:p>
    <w:p w14:paraId="2FB83992" w14:textId="77777777" w:rsidR="006E087E" w:rsidRDefault="006E087E" w:rsidP="006E087E">
      <w:pPr>
        <w:widowControl w:val="0"/>
        <w:tabs>
          <w:tab w:val="left" w:pos="410"/>
        </w:tabs>
        <w:spacing w:after="100" w:line="240" w:lineRule="auto"/>
        <w:jc w:val="both"/>
        <w:rPr>
          <w:rFonts w:ascii="Times New Roman" w:eastAsia="Times New Roman" w:hAnsi="Times New Roman" w:cs="Times New Roman"/>
          <w:sz w:val="24"/>
          <w:szCs w:val="24"/>
          <w:highlight w:val="white"/>
        </w:rPr>
      </w:pPr>
      <w:bookmarkStart w:id="10" w:name="bookmark=id.pl3xvq27ujen" w:colFirst="0" w:colLast="0"/>
      <w:bookmarkEnd w:id="10"/>
      <w:r>
        <w:rPr>
          <w:rFonts w:ascii="Times New Roman" w:eastAsia="Times New Roman" w:hAnsi="Times New Roman" w:cs="Times New Roman"/>
          <w:b/>
          <w:sz w:val="24"/>
          <w:szCs w:val="24"/>
        </w:rPr>
        <w:lastRenderedPageBreak/>
        <w:t>Supplemental Digital Content 8. Good Practice Statements</w:t>
      </w:r>
    </w:p>
    <w:p w14:paraId="4985579A" w14:textId="77777777" w:rsidR="006E087E" w:rsidRDefault="006E087E" w:rsidP="006E087E">
      <w:pPr>
        <w:widowControl w:val="0"/>
        <w:tabs>
          <w:tab w:val="left" w:pos="41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Practice Statements are considered to reflect strong but ungraded (not following the formal GRADE process) recommendations. Consistent with GRADE methodology, we generated a Good Practice Statement if the systematic review identified no relevant literature addressing a PICO question and appropriate indirect evidence was not available, and when the panel judged that the criteria for Good Practice Statements as listed below were met.</w:t>
      </w:r>
    </w:p>
    <w:p w14:paraId="1B7E8650" w14:textId="77777777" w:rsidR="006E087E" w:rsidRDefault="006E087E" w:rsidP="006E087E">
      <w:pPr>
        <w:widowControl w:val="0"/>
        <w:tabs>
          <w:tab w:val="left" w:pos="410"/>
        </w:tabs>
        <w:spacing w:line="240" w:lineRule="auto"/>
        <w:jc w:val="both"/>
        <w:rPr>
          <w:rFonts w:ascii="Times New Roman" w:eastAsia="Times New Roman" w:hAnsi="Times New Roman" w:cs="Times New Roman"/>
          <w:b/>
          <w:sz w:val="24"/>
          <w:szCs w:val="24"/>
        </w:rPr>
      </w:pPr>
    </w:p>
    <w:tbl>
      <w:tblPr>
        <w:tblW w:w="100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050"/>
      </w:tblGrid>
      <w:tr w:rsidR="006E087E" w14:paraId="1B0DB14D" w14:textId="77777777" w:rsidTr="00A207C4">
        <w:trPr>
          <w:trHeight w:val="338"/>
        </w:trPr>
        <w:tc>
          <w:tcPr>
            <w:tcW w:w="10050" w:type="dxa"/>
            <w:tcBorders>
              <w:top w:val="single" w:sz="12" w:space="0" w:color="C9C9C9"/>
              <w:left w:val="single" w:sz="12" w:space="0" w:color="C9C9C9"/>
              <w:bottom w:val="single" w:sz="12" w:space="0" w:color="C9C9C9"/>
              <w:right w:val="single" w:sz="12" w:space="0" w:color="C9C9C9"/>
            </w:tcBorders>
            <w:shd w:val="clear" w:color="auto" w:fill="595959"/>
            <w:tcMar>
              <w:top w:w="100" w:type="dxa"/>
              <w:left w:w="100" w:type="dxa"/>
              <w:bottom w:w="100" w:type="dxa"/>
              <w:right w:w="100" w:type="dxa"/>
            </w:tcMar>
          </w:tcPr>
          <w:p w14:paraId="5FF37CF5" w14:textId="77777777" w:rsidR="006E087E" w:rsidRDefault="006E087E" w:rsidP="00A207C4">
            <w:pPr>
              <w:widowControl w:val="0"/>
              <w:tabs>
                <w:tab w:val="left" w:pos="410"/>
              </w:tabs>
              <w:spacing w:line="360" w:lineRule="auto"/>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Criteria for Good Practice Statements</w:t>
            </w:r>
          </w:p>
        </w:tc>
      </w:tr>
      <w:tr w:rsidR="006E087E" w14:paraId="768F169E" w14:textId="77777777" w:rsidTr="00A207C4">
        <w:trPr>
          <w:trHeight w:val="114"/>
        </w:trPr>
        <w:tc>
          <w:tcPr>
            <w:tcW w:w="10050" w:type="dxa"/>
            <w:tcBorders>
              <w:top w:val="nil"/>
              <w:left w:val="single" w:sz="12" w:space="0" w:color="C9C9C9"/>
              <w:bottom w:val="single" w:sz="12" w:space="0" w:color="C9C9C9"/>
              <w:right w:val="single" w:sz="12" w:space="0" w:color="C9C9C9"/>
            </w:tcBorders>
            <w:shd w:val="clear" w:color="auto" w:fill="EDEDED"/>
            <w:tcMar>
              <w:top w:w="100" w:type="dxa"/>
              <w:left w:w="100" w:type="dxa"/>
              <w:bottom w:w="100" w:type="dxa"/>
              <w:right w:w="100" w:type="dxa"/>
            </w:tcMar>
          </w:tcPr>
          <w:p w14:paraId="775798D5" w14:textId="77777777" w:rsidR="006E087E" w:rsidRDefault="006E087E" w:rsidP="00A207C4">
            <w:pPr>
              <w:widowControl w:val="0"/>
              <w:tabs>
                <w:tab w:val="left" w:pos="410"/>
              </w:tabs>
              <w:ind w:left="958"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the statement clear and actionable?</w:t>
            </w:r>
          </w:p>
        </w:tc>
      </w:tr>
      <w:tr w:rsidR="006E087E" w14:paraId="0917AE99" w14:textId="77777777" w:rsidTr="00A207C4">
        <w:trPr>
          <w:trHeight w:val="199"/>
        </w:trPr>
        <w:tc>
          <w:tcPr>
            <w:tcW w:w="10050" w:type="dxa"/>
            <w:tcBorders>
              <w:top w:val="nil"/>
              <w:left w:val="single" w:sz="12" w:space="0" w:color="C9C9C9"/>
              <w:bottom w:val="single" w:sz="12" w:space="0" w:color="C9C9C9"/>
              <w:right w:val="single" w:sz="12" w:space="0" w:color="C9C9C9"/>
            </w:tcBorders>
            <w:tcMar>
              <w:top w:w="100" w:type="dxa"/>
              <w:left w:w="100" w:type="dxa"/>
              <w:bottom w:w="100" w:type="dxa"/>
              <w:right w:w="100" w:type="dxa"/>
            </w:tcMar>
          </w:tcPr>
          <w:p w14:paraId="6A639352" w14:textId="77777777" w:rsidR="006E087E" w:rsidRDefault="006E087E" w:rsidP="00A207C4">
            <w:pPr>
              <w:widowControl w:val="0"/>
              <w:tabs>
                <w:tab w:val="left" w:pos="410"/>
              </w:tabs>
              <w:ind w:left="958"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the message necessary?</w:t>
            </w:r>
          </w:p>
        </w:tc>
      </w:tr>
      <w:tr w:rsidR="006E087E" w14:paraId="31CECDCE" w14:textId="77777777" w:rsidTr="00A207C4">
        <w:trPr>
          <w:trHeight w:val="210"/>
        </w:trPr>
        <w:tc>
          <w:tcPr>
            <w:tcW w:w="10050" w:type="dxa"/>
            <w:tcBorders>
              <w:top w:val="nil"/>
              <w:left w:val="single" w:sz="12" w:space="0" w:color="C9C9C9"/>
              <w:bottom w:val="single" w:sz="12" w:space="0" w:color="C9C9C9"/>
              <w:right w:val="single" w:sz="12" w:space="0" w:color="C9C9C9"/>
            </w:tcBorders>
            <w:shd w:val="clear" w:color="auto" w:fill="EDEDED"/>
            <w:tcMar>
              <w:top w:w="100" w:type="dxa"/>
              <w:left w:w="100" w:type="dxa"/>
              <w:bottom w:w="100" w:type="dxa"/>
              <w:right w:w="100" w:type="dxa"/>
            </w:tcMar>
          </w:tcPr>
          <w:p w14:paraId="6C91D615" w14:textId="77777777" w:rsidR="006E087E" w:rsidRDefault="006E087E" w:rsidP="00A207C4">
            <w:pPr>
              <w:widowControl w:val="0"/>
              <w:tabs>
                <w:tab w:val="left" w:pos="410"/>
              </w:tabs>
              <w:ind w:left="958"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the net benefit (or harm) large and unequivocal?</w:t>
            </w:r>
          </w:p>
        </w:tc>
      </w:tr>
      <w:tr w:rsidR="006E087E" w14:paraId="2F89F421" w14:textId="77777777" w:rsidTr="00A207C4">
        <w:trPr>
          <w:trHeight w:val="317"/>
        </w:trPr>
        <w:tc>
          <w:tcPr>
            <w:tcW w:w="10050" w:type="dxa"/>
            <w:tcBorders>
              <w:top w:val="nil"/>
              <w:left w:val="single" w:sz="12" w:space="0" w:color="C9C9C9"/>
              <w:bottom w:val="single" w:sz="12" w:space="0" w:color="C9C9C9"/>
              <w:right w:val="single" w:sz="12" w:space="0" w:color="C9C9C9"/>
            </w:tcBorders>
            <w:tcMar>
              <w:top w:w="100" w:type="dxa"/>
              <w:left w:w="100" w:type="dxa"/>
              <w:bottom w:w="100" w:type="dxa"/>
              <w:right w:w="100" w:type="dxa"/>
            </w:tcMar>
          </w:tcPr>
          <w:p w14:paraId="65BA1A25" w14:textId="77777777" w:rsidR="006E087E" w:rsidRDefault="006E087E" w:rsidP="00A207C4">
            <w:pPr>
              <w:widowControl w:val="0"/>
              <w:tabs>
                <w:tab w:val="left" w:pos="410"/>
              </w:tabs>
              <w:ind w:left="958"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the evidence difficult to collect and summarize?</w:t>
            </w:r>
          </w:p>
        </w:tc>
      </w:tr>
      <w:tr w:rsidR="006E087E" w14:paraId="4B9BFC4F" w14:textId="77777777" w:rsidTr="00A207C4">
        <w:trPr>
          <w:trHeight w:val="239"/>
        </w:trPr>
        <w:tc>
          <w:tcPr>
            <w:tcW w:w="10050" w:type="dxa"/>
            <w:tcBorders>
              <w:top w:val="nil"/>
              <w:left w:val="single" w:sz="12" w:space="0" w:color="C9C9C9"/>
              <w:bottom w:val="single" w:sz="12" w:space="0" w:color="C9C9C9"/>
              <w:right w:val="single" w:sz="12" w:space="0" w:color="C9C9C9"/>
            </w:tcBorders>
            <w:shd w:val="clear" w:color="auto" w:fill="EDEDED"/>
            <w:tcMar>
              <w:top w:w="100" w:type="dxa"/>
              <w:left w:w="100" w:type="dxa"/>
              <w:bottom w:w="100" w:type="dxa"/>
              <w:right w:w="100" w:type="dxa"/>
            </w:tcMar>
          </w:tcPr>
          <w:p w14:paraId="5A676509" w14:textId="77777777" w:rsidR="006E087E" w:rsidRDefault="006E087E" w:rsidP="00A207C4">
            <w:pPr>
              <w:widowControl w:val="0"/>
              <w:tabs>
                <w:tab w:val="left" w:pos="410"/>
              </w:tabs>
              <w:ind w:left="958"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If a public health guideline, are there specific issues that should be considered (e.g., equity)?</w:t>
            </w:r>
          </w:p>
        </w:tc>
      </w:tr>
      <w:tr w:rsidR="006E087E" w14:paraId="2A5EED8B" w14:textId="77777777" w:rsidTr="00A207C4">
        <w:trPr>
          <w:trHeight w:val="61"/>
        </w:trPr>
        <w:tc>
          <w:tcPr>
            <w:tcW w:w="10050" w:type="dxa"/>
            <w:tcBorders>
              <w:top w:val="nil"/>
              <w:left w:val="single" w:sz="12" w:space="0" w:color="C9C9C9"/>
              <w:bottom w:val="single" w:sz="12" w:space="0" w:color="C9C9C9"/>
              <w:right w:val="single" w:sz="12" w:space="0" w:color="C9C9C9"/>
            </w:tcBorders>
            <w:tcMar>
              <w:top w:w="100" w:type="dxa"/>
              <w:left w:w="100" w:type="dxa"/>
              <w:bottom w:w="100" w:type="dxa"/>
              <w:right w:w="100" w:type="dxa"/>
            </w:tcMar>
          </w:tcPr>
          <w:p w14:paraId="3A2B4E12" w14:textId="77777777" w:rsidR="006E087E" w:rsidRDefault="006E087E" w:rsidP="00A207C4">
            <w:pPr>
              <w:widowControl w:val="0"/>
              <w:tabs>
                <w:tab w:val="left" w:pos="410"/>
              </w:tabs>
              <w:ind w:left="958"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Have you made the rationale explicit?</w:t>
            </w:r>
          </w:p>
        </w:tc>
      </w:tr>
      <w:tr w:rsidR="006E087E" w14:paraId="21D089BF" w14:textId="77777777" w:rsidTr="00A207C4">
        <w:trPr>
          <w:trHeight w:val="27"/>
        </w:trPr>
        <w:tc>
          <w:tcPr>
            <w:tcW w:w="10050" w:type="dxa"/>
            <w:tcBorders>
              <w:top w:val="nil"/>
              <w:left w:val="single" w:sz="12" w:space="0" w:color="C9C9C9"/>
              <w:bottom w:val="single" w:sz="12" w:space="0" w:color="C9C9C9"/>
              <w:right w:val="single" w:sz="12" w:space="0" w:color="C9C9C9"/>
            </w:tcBorders>
            <w:shd w:val="clear" w:color="auto" w:fill="EDEDED"/>
            <w:tcMar>
              <w:top w:w="100" w:type="dxa"/>
              <w:left w:w="100" w:type="dxa"/>
              <w:bottom w:w="100" w:type="dxa"/>
              <w:right w:w="100" w:type="dxa"/>
            </w:tcMar>
          </w:tcPr>
          <w:p w14:paraId="16CBC1A5" w14:textId="77777777" w:rsidR="006E087E" w:rsidRDefault="006E087E" w:rsidP="00A207C4">
            <w:pPr>
              <w:widowControl w:val="0"/>
              <w:tabs>
                <w:tab w:val="left" w:pos="410"/>
              </w:tabs>
              <w:ind w:left="958"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Is this better to be formally </w:t>
            </w:r>
            <w:proofErr w:type="spellStart"/>
            <w:r>
              <w:rPr>
                <w:rFonts w:ascii="Times New Roman" w:eastAsia="Times New Roman" w:hAnsi="Times New Roman" w:cs="Times New Roman"/>
                <w:sz w:val="24"/>
                <w:szCs w:val="24"/>
              </w:rPr>
              <w:t>GRADEd</w:t>
            </w:r>
            <w:proofErr w:type="spellEnd"/>
            <w:r>
              <w:rPr>
                <w:rFonts w:ascii="Times New Roman" w:eastAsia="Times New Roman" w:hAnsi="Times New Roman" w:cs="Times New Roman"/>
                <w:sz w:val="24"/>
                <w:szCs w:val="24"/>
              </w:rPr>
              <w:t>?</w:t>
            </w:r>
          </w:p>
        </w:tc>
      </w:tr>
    </w:tbl>
    <w:p w14:paraId="58411DB5" w14:textId="77777777" w:rsidR="006E087E" w:rsidRDefault="006E087E" w:rsidP="006E087E">
      <w:pPr>
        <w:widowControl w:val="0"/>
        <w:tabs>
          <w:tab w:val="left" w:pos="410"/>
        </w:tabs>
        <w:spacing w:line="360" w:lineRule="auto"/>
        <w:jc w:val="both"/>
        <w:rPr>
          <w:rFonts w:ascii="Times New Roman" w:eastAsia="Times New Roman" w:hAnsi="Times New Roman" w:cs="Times New Roman"/>
          <w:b/>
          <w:sz w:val="24"/>
          <w:szCs w:val="24"/>
        </w:rPr>
      </w:pPr>
    </w:p>
    <w:p w14:paraId="551D80DE" w14:textId="419C1779" w:rsidR="006E087E" w:rsidRDefault="006E087E" w:rsidP="006E087E">
      <w:pPr>
        <w:spacing w:line="240" w:lineRule="auto"/>
        <w:jc w:val="right"/>
        <w:rPr>
          <w:rFonts w:ascii="Times New Roman" w:eastAsia="Times New Roman" w:hAnsi="Times New Roman" w:cs="Times New Roman"/>
          <w:b/>
          <w:color w:val="C00000"/>
          <w:sz w:val="24"/>
          <w:szCs w:val="24"/>
          <w:highlight w:val="yellow"/>
        </w:rPr>
      </w:pPr>
      <w:r>
        <w:br w:type="page"/>
      </w:r>
    </w:p>
    <w:p w14:paraId="67E5B5DD" w14:textId="77777777" w:rsidR="006E087E" w:rsidRDefault="006E087E" w:rsidP="006E087E">
      <w:pPr>
        <w:widowControl w:val="0"/>
        <w:tabs>
          <w:tab w:val="left" w:pos="410"/>
        </w:tabs>
        <w:spacing w:before="480" w:line="360" w:lineRule="auto"/>
        <w:jc w:val="both"/>
        <w:rPr>
          <w:rFonts w:ascii="Times New Roman" w:eastAsia="Times New Roman" w:hAnsi="Times New Roman" w:cs="Times New Roman"/>
          <w:b/>
          <w:sz w:val="24"/>
          <w:szCs w:val="24"/>
        </w:rPr>
      </w:pPr>
      <w:bookmarkStart w:id="11" w:name="bookmark=kix.fub0l6obt9wr" w:colFirst="0" w:colLast="0"/>
      <w:bookmarkEnd w:id="11"/>
      <w:r>
        <w:rPr>
          <w:rFonts w:ascii="Times New Roman" w:eastAsia="Times New Roman" w:hAnsi="Times New Roman" w:cs="Times New Roman"/>
          <w:b/>
          <w:sz w:val="24"/>
          <w:szCs w:val="24"/>
        </w:rPr>
        <w:lastRenderedPageBreak/>
        <w:t>Supplemental Digital Content 9. Final Voting Process</w:t>
      </w:r>
    </w:p>
    <w:p w14:paraId="727ECABB" w14:textId="77777777" w:rsidR="006E087E" w:rsidRDefault="006E087E" w:rsidP="006E087E">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 all draft recommendations were generated, all panel members, except the clinician-methodologists, were electronically polled to indicate their agreement with each recommendation. The poll for each recommendation consisted of the PICO question, the draft recommendation statement, and a Rationale drafted by guideline leadership. Panelists were asked to select from three options: ‘Agree’, ‘Disagree’, or ‘Abstain’. An opportunity was provided to provide comments to explain their selection for each recommendation and these were reviewed and where appropriate, addressed by panel leadership. Panel members with conflicts of interest for a particular question were asked to Abstain from voting on the associated recommendation. Based on SCCM requirements, consensus was defined as 80% agreement among at least 75% of panel members, excluding those who abstained.</w:t>
      </w:r>
    </w:p>
    <w:p w14:paraId="053453E9" w14:textId="77777777" w:rsidR="006E087E" w:rsidRDefault="006E087E" w:rsidP="006E087E">
      <w:pPr>
        <w:widowControl w:val="0"/>
      </w:pPr>
    </w:p>
    <w:p w14:paraId="4383BB61" w14:textId="77777777" w:rsidR="006E087E" w:rsidRDefault="006E087E" w:rsidP="006E087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Voting Results</w:t>
      </w:r>
    </w:p>
    <w:tbl>
      <w:tblPr>
        <w:tblW w:w="11355" w:type="dxa"/>
        <w:tblInd w:w="-7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72"/>
        <w:gridCol w:w="1058"/>
        <w:gridCol w:w="765"/>
        <w:gridCol w:w="660"/>
        <w:gridCol w:w="900"/>
      </w:tblGrid>
      <w:tr w:rsidR="006E087E" w14:paraId="706BE431"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FB858BF" w14:textId="77777777" w:rsidR="006E087E" w:rsidRDefault="006E087E" w:rsidP="00A207C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316F6D" w14:textId="77777777" w:rsidR="006E087E" w:rsidRDefault="006E087E" w:rsidP="00A207C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 Rate (%)</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8C92D8" w14:textId="77777777" w:rsidR="006E087E" w:rsidRDefault="006E087E" w:rsidP="00A207C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Yes (%)</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EA580B" w14:textId="77777777" w:rsidR="006E087E" w:rsidRDefault="006E087E" w:rsidP="00A207C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403CDE" w14:textId="77777777" w:rsidR="006E087E" w:rsidRDefault="006E087E" w:rsidP="00A207C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Abstain (%)</w:t>
            </w:r>
          </w:p>
        </w:tc>
      </w:tr>
      <w:tr w:rsidR="006E087E" w14:paraId="1E55FFA1"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61E2568" w14:textId="77777777" w:rsidR="006E087E" w:rsidRDefault="006E087E" w:rsidP="00A207C4">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1. Ward staff caring for hospitalized patients should strive to acquire a complete and accurate set of vital signs when ordered and when there is additional cause for concern, and to </w:t>
            </w:r>
            <w:r>
              <w:rPr>
                <w:rFonts w:ascii="Georgia" w:eastAsia="Georgia" w:hAnsi="Georgia" w:cs="Georgia"/>
                <w:highlight w:val="white"/>
              </w:rPr>
              <w:t xml:space="preserve">escalate the reporting of significant abnormalities to the appropriate clinicians </w:t>
            </w:r>
            <w:r>
              <w:rPr>
                <w:rFonts w:ascii="Times New Roman" w:eastAsia="Times New Roman" w:hAnsi="Times New Roman" w:cs="Times New Roman"/>
                <w:sz w:val="24"/>
                <w:szCs w:val="24"/>
                <w:highlight w:val="white"/>
              </w:rPr>
              <w:t>in an urgent manner.</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8DFF7D"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8F503A"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05979D"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963401"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E087E" w14:paraId="2CDD7402"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43C814D" w14:textId="77777777" w:rsidR="006E087E" w:rsidRDefault="006E087E" w:rsidP="00A20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212121"/>
                <w:sz w:val="24"/>
                <w:szCs w:val="24"/>
              </w:rPr>
              <w:t xml:space="preserve">We </w:t>
            </w:r>
            <w:r>
              <w:rPr>
                <w:rFonts w:ascii="Times New Roman" w:eastAsia="Times New Roman" w:hAnsi="Times New Roman" w:cs="Times New Roman"/>
                <w:b/>
                <w:color w:val="212121"/>
                <w:sz w:val="24"/>
                <w:szCs w:val="24"/>
              </w:rPr>
              <w:t xml:space="preserve">make no recommendation </w:t>
            </w:r>
            <w:r>
              <w:rPr>
                <w:rFonts w:ascii="Times New Roman" w:eastAsia="Times New Roman" w:hAnsi="Times New Roman" w:cs="Times New Roman"/>
                <w:color w:val="212121"/>
                <w:sz w:val="24"/>
                <w:szCs w:val="24"/>
              </w:rPr>
              <w:t xml:space="preserve">regarding the routine use of continuous vital sign monitoring to recognize early clinical deterioration in </w:t>
            </w:r>
            <w:r>
              <w:rPr>
                <w:rFonts w:ascii="Times New Roman" w:eastAsia="Times New Roman" w:hAnsi="Times New Roman" w:cs="Times New Roman"/>
                <w:i/>
                <w:color w:val="212121"/>
                <w:sz w:val="24"/>
                <w:szCs w:val="24"/>
              </w:rPr>
              <w:t>unselected</w:t>
            </w:r>
            <w:r>
              <w:rPr>
                <w:rFonts w:ascii="Times New Roman" w:eastAsia="Times New Roman" w:hAnsi="Times New Roman" w:cs="Times New Roman"/>
                <w:color w:val="212121"/>
                <w:sz w:val="24"/>
                <w:szCs w:val="24"/>
              </w:rPr>
              <w:t xml:space="preserve"> non-ICU patients.</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39618F"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6064B8"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04C268"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A2F6A8"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E087E" w14:paraId="29A1B13A"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B8368F" w14:textId="77777777" w:rsidR="006E087E" w:rsidRDefault="006E087E" w:rsidP="00A20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We </w:t>
            </w:r>
            <w:r>
              <w:rPr>
                <w:rFonts w:ascii="Times New Roman" w:eastAsia="Times New Roman" w:hAnsi="Times New Roman" w:cs="Times New Roman"/>
                <w:b/>
                <w:sz w:val="24"/>
                <w:szCs w:val="24"/>
              </w:rPr>
              <w:t>suggest</w:t>
            </w:r>
            <w:r>
              <w:rPr>
                <w:rFonts w:ascii="Times New Roman" w:eastAsia="Times New Roman" w:hAnsi="Times New Roman" w:cs="Times New Roman"/>
                <w:sz w:val="24"/>
                <w:szCs w:val="24"/>
              </w:rPr>
              <w:t xml:space="preserve"> focused education of direct-care non-ICU hospital clinicians on recognizing early clinical deterioration.</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11F0E1"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52B4EA"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F3524C"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A8E68E"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E087E" w14:paraId="775AF9DF"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B18CE2B" w14:textId="77777777" w:rsidR="006E087E" w:rsidRDefault="006E087E" w:rsidP="00A207C4">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4A. Patients, families, and care partners of hospitalized patients </w:t>
            </w:r>
            <w:proofErr w:type="gramStart"/>
            <w:r>
              <w:rPr>
                <w:rFonts w:ascii="Times New Roman" w:eastAsia="Times New Roman" w:hAnsi="Times New Roman" w:cs="Times New Roman"/>
                <w:sz w:val="24"/>
                <w:szCs w:val="24"/>
                <w:highlight w:val="white"/>
              </w:rPr>
              <w:t>are able to</w:t>
            </w:r>
            <w:proofErr w:type="gramEnd"/>
            <w:r>
              <w:rPr>
                <w:rFonts w:ascii="Times New Roman" w:eastAsia="Times New Roman" w:hAnsi="Times New Roman" w:cs="Times New Roman"/>
                <w:sz w:val="24"/>
                <w:szCs w:val="24"/>
                <w:highlight w:val="white"/>
              </w:rPr>
              <w:t xml:space="preserve"> recognize subtle differences in clinical status that may signify deterioration and should be empowered to alert appropriate personnel including the Rapid Response System.</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AA2821"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D25208"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A1C0CB"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6DF4F3"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E087E" w14:paraId="2C0ADF19"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830D9EB" w14:textId="77777777" w:rsidR="006E087E" w:rsidRDefault="006E087E" w:rsidP="00A20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4B. </w:t>
            </w:r>
            <w:r>
              <w:rPr>
                <w:rFonts w:ascii="Times New Roman" w:eastAsia="Times New Roman" w:hAnsi="Times New Roman" w:cs="Times New Roman"/>
                <w:color w:val="000000"/>
                <w:sz w:val="24"/>
                <w:szCs w:val="24"/>
                <w:highlight w:val="white"/>
              </w:rPr>
              <w:t xml:space="preserve">We </w:t>
            </w:r>
            <w:r>
              <w:rPr>
                <w:rFonts w:ascii="Times New Roman" w:eastAsia="Times New Roman" w:hAnsi="Times New Roman" w:cs="Times New Roman"/>
                <w:b/>
                <w:color w:val="000000"/>
                <w:sz w:val="24"/>
                <w:szCs w:val="24"/>
                <w:highlight w:val="white"/>
              </w:rPr>
              <w:t>suggest</w:t>
            </w:r>
            <w:r>
              <w:rPr>
                <w:rFonts w:ascii="Times New Roman" w:eastAsia="Times New Roman" w:hAnsi="Times New Roman" w:cs="Times New Roman"/>
                <w:color w:val="000000"/>
                <w:sz w:val="24"/>
                <w:szCs w:val="24"/>
                <w:highlight w:val="white"/>
              </w:rPr>
              <w:t xml:space="preserve"> that </w:t>
            </w:r>
            <w:r>
              <w:rPr>
                <w:rFonts w:ascii="Times New Roman" w:eastAsia="Times New Roman" w:hAnsi="Times New Roman" w:cs="Times New Roman"/>
                <w:color w:val="000000"/>
                <w:sz w:val="24"/>
                <w:szCs w:val="24"/>
              </w:rPr>
              <w:t>patient</w:t>
            </w:r>
            <w:r>
              <w:rPr>
                <w:rFonts w:ascii="Times New Roman" w:eastAsia="Times New Roman" w:hAnsi="Times New Roman" w:cs="Times New Roman"/>
                <w:color w:val="000000"/>
                <w:sz w:val="24"/>
                <w:szCs w:val="24"/>
                <w:highlight w:val="white"/>
              </w:rPr>
              <w:t>, family, and care partner concerns be incorporated into hospital early warning systems.</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24FA98"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AE542F"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E08D68"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9D8BD8"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E087E" w14:paraId="3AB136CA"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81D7EDA" w14:textId="77777777" w:rsidR="006E087E" w:rsidRDefault="006E087E" w:rsidP="00A20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color w:val="000000"/>
                <w:sz w:val="24"/>
                <w:szCs w:val="24"/>
                <w:highlight w:val="white"/>
              </w:rPr>
              <w:t xml:space="preserve">We </w:t>
            </w:r>
            <w:r>
              <w:rPr>
                <w:rFonts w:ascii="Times New Roman" w:eastAsia="Times New Roman" w:hAnsi="Times New Roman" w:cs="Times New Roman"/>
                <w:b/>
                <w:color w:val="000000"/>
                <w:sz w:val="24"/>
                <w:szCs w:val="24"/>
                <w:highlight w:val="white"/>
              </w:rPr>
              <w:t>recommend</w:t>
            </w:r>
            <w:r>
              <w:rPr>
                <w:rFonts w:ascii="Times New Roman" w:eastAsia="Times New Roman" w:hAnsi="Times New Roman" w:cs="Times New Roman"/>
                <w:color w:val="000000"/>
                <w:sz w:val="24"/>
                <w:szCs w:val="24"/>
                <w:highlight w:val="white"/>
              </w:rPr>
              <w:t xml:space="preserve"> hospital-wide deployment of </w:t>
            </w:r>
            <w:r>
              <w:rPr>
                <w:rFonts w:ascii="Times New Roman" w:eastAsia="Times New Roman" w:hAnsi="Times New Roman" w:cs="Times New Roman"/>
                <w:sz w:val="24"/>
                <w:szCs w:val="24"/>
                <w:highlight w:val="white"/>
              </w:rPr>
              <w:t>R</w:t>
            </w:r>
            <w:r>
              <w:rPr>
                <w:rFonts w:ascii="Times New Roman" w:eastAsia="Times New Roman" w:hAnsi="Times New Roman" w:cs="Times New Roman"/>
                <w:color w:val="000000"/>
                <w:sz w:val="24"/>
                <w:szCs w:val="24"/>
                <w:highlight w:val="white"/>
              </w:rPr>
              <w:t xml:space="preserve">apid </w:t>
            </w:r>
            <w:r>
              <w:rPr>
                <w:rFonts w:ascii="Times New Roman" w:eastAsia="Times New Roman" w:hAnsi="Times New Roman" w:cs="Times New Roman"/>
                <w:sz w:val="24"/>
                <w:szCs w:val="24"/>
                <w:highlight w:val="white"/>
              </w:rPr>
              <w:t>R</w:t>
            </w:r>
            <w:r>
              <w:rPr>
                <w:rFonts w:ascii="Times New Roman" w:eastAsia="Times New Roman" w:hAnsi="Times New Roman" w:cs="Times New Roman"/>
                <w:color w:val="000000"/>
                <w:sz w:val="24"/>
                <w:szCs w:val="24"/>
                <w:highlight w:val="white"/>
              </w:rPr>
              <w:t>esp</w:t>
            </w:r>
            <w:r>
              <w:rPr>
                <w:rFonts w:ascii="Times New Roman" w:eastAsia="Times New Roman" w:hAnsi="Times New Roman" w:cs="Times New Roman"/>
                <w:sz w:val="24"/>
                <w:szCs w:val="24"/>
                <w:highlight w:val="white"/>
              </w:rPr>
              <w:t>onse Systems (i.e., RRT/MET) for non-ICU patients that includes explicit activation criteria for obtaining help from a designated response team</w:t>
            </w:r>
            <w:r>
              <w:rPr>
                <w:rFonts w:ascii="Times New Roman" w:eastAsia="Times New Roman" w:hAnsi="Times New Roman" w:cs="Times New Roman"/>
                <w:sz w:val="24"/>
                <w:szCs w:val="24"/>
              </w:rPr>
              <w:t>.</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983095"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8CB799"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6C188A"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F62333"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E087E" w14:paraId="26DDE15D"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B8FC65D" w14:textId="77777777" w:rsidR="006E087E" w:rsidRDefault="006E087E" w:rsidP="00A207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We make </w:t>
            </w:r>
            <w:r>
              <w:rPr>
                <w:rFonts w:ascii="Times New Roman" w:eastAsia="Times New Roman" w:hAnsi="Times New Roman" w:cs="Times New Roman"/>
                <w:b/>
                <w:sz w:val="24"/>
                <w:szCs w:val="24"/>
              </w:rPr>
              <w:t xml:space="preserve">no recommendations </w:t>
            </w:r>
            <w:r>
              <w:rPr>
                <w:rFonts w:ascii="Times New Roman" w:eastAsia="Times New Roman" w:hAnsi="Times New Roman" w:cs="Times New Roman"/>
                <w:sz w:val="24"/>
                <w:szCs w:val="24"/>
              </w:rPr>
              <w:t xml:space="preserve">regarding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whether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RRT/MET should be led by a ‘prescribing clinician’ versus a ‘non-prescribing clinician;’ and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whether a RRT/MET should be led by a physician as compared to other healthcare providers.</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B9B59B"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78AA4B"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29AE75"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165C40"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E087E" w14:paraId="20644656"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91B740B" w14:textId="77777777" w:rsidR="006E087E" w:rsidRDefault="006E087E" w:rsidP="00A207C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7A. We make </w:t>
            </w:r>
            <w:r>
              <w:rPr>
                <w:rFonts w:ascii="Times New Roman" w:eastAsia="Times New Roman" w:hAnsi="Times New Roman" w:cs="Times New Roman"/>
                <w:b/>
                <w:sz w:val="24"/>
                <w:szCs w:val="24"/>
              </w:rPr>
              <w:t>no recommendation</w:t>
            </w:r>
            <w:r>
              <w:rPr>
                <w:rFonts w:ascii="Times New Roman" w:eastAsia="Times New Roman" w:hAnsi="Times New Roman" w:cs="Times New Roman"/>
                <w:sz w:val="24"/>
                <w:szCs w:val="24"/>
              </w:rPr>
              <w:t xml:space="preserve"> about involvement of palliative care trained personnel as part of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RRT/MET.</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3F99DF"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FECB9E"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D62A70"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26F3CF" w14:textId="77777777" w:rsidR="006E087E" w:rsidRDefault="006E087E"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6E087E" w14:paraId="26BA315F"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1EB07B7" w14:textId="77777777" w:rsidR="006E087E" w:rsidRDefault="006E087E" w:rsidP="00A207C4">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7B. We </w:t>
            </w:r>
            <w:r>
              <w:rPr>
                <w:rFonts w:ascii="Times New Roman" w:eastAsia="Times New Roman" w:hAnsi="Times New Roman" w:cs="Times New Roman"/>
                <w:b/>
                <w:color w:val="000000"/>
                <w:sz w:val="24"/>
                <w:szCs w:val="24"/>
              </w:rPr>
              <w:t>suggest</w:t>
            </w:r>
            <w:r>
              <w:rPr>
                <w:rFonts w:ascii="Times New Roman" w:eastAsia="Times New Roman" w:hAnsi="Times New Roman" w:cs="Times New Roman"/>
                <w:color w:val="000000"/>
                <w:sz w:val="24"/>
                <w:szCs w:val="24"/>
              </w:rPr>
              <w:t xml:space="preserve"> ensuring that responding clinicians have expertise on eliciting patients' goals of care and establishing treatment plans that best reflect their wishes and prognoses.</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93D357" w14:textId="6E2DBEFB" w:rsidR="006E087E" w:rsidRDefault="00DA6B1F"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1FA4F7" w14:textId="6E761CD1" w:rsidR="006E087E" w:rsidRDefault="00DA6B1F"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089B61" w14:textId="3491C012" w:rsidR="006E087E" w:rsidRDefault="00DA6B1F"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3DB79F" w14:textId="6279D764" w:rsidR="006E087E" w:rsidRDefault="00DA6B1F" w:rsidP="00A207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A6B1F" w14:paraId="457BF16E" w14:textId="77777777" w:rsidTr="00A207C4">
        <w:trPr>
          <w:trHeight w:val="315"/>
        </w:trPr>
        <w:tc>
          <w:tcPr>
            <w:tcW w:w="79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004BE7C" w14:textId="77777777" w:rsidR="00DA6B1F" w:rsidRDefault="00DA6B1F" w:rsidP="00DA6B1F">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 A process for quality improvement should be part of a Rapid Response System.</w:t>
            </w:r>
          </w:p>
        </w:tc>
        <w:tc>
          <w:tcPr>
            <w:tcW w:w="105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0C84FE" w14:textId="51846F66" w:rsidR="00DA6B1F" w:rsidRDefault="00DA6B1F" w:rsidP="00DA6B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56FE55" w14:textId="60B2785D" w:rsidR="00DA6B1F" w:rsidRDefault="00DA6B1F" w:rsidP="00DA6B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67D898" w14:textId="39C07F99" w:rsidR="00DA6B1F" w:rsidRDefault="00DA6B1F" w:rsidP="00DA6B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ED37A1" w14:textId="28EBD511" w:rsidR="00DA6B1F" w:rsidRDefault="00DA6B1F" w:rsidP="00DA6B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3EE9EFEA" w14:textId="1C3D4A83" w:rsidR="006E087E" w:rsidRDefault="006E087E" w:rsidP="006E087E">
      <w:pPr>
        <w:spacing w:line="240" w:lineRule="auto"/>
        <w:jc w:val="right"/>
        <w:rPr>
          <w:rFonts w:ascii="Times New Roman" w:eastAsia="Times New Roman" w:hAnsi="Times New Roman" w:cs="Times New Roman"/>
          <w:sz w:val="24"/>
          <w:szCs w:val="24"/>
        </w:rPr>
      </w:pPr>
      <w:r>
        <w:br w:type="page"/>
      </w:r>
    </w:p>
    <w:p w14:paraId="2FA5AD84" w14:textId="77777777" w:rsidR="006E087E" w:rsidRDefault="006E087E" w:rsidP="006E087E">
      <w:pPr>
        <w:spacing w:line="240" w:lineRule="auto"/>
        <w:rPr>
          <w:rFonts w:ascii="Times New Roman" w:eastAsia="Times New Roman" w:hAnsi="Times New Roman" w:cs="Times New Roman"/>
          <w:b/>
          <w:sz w:val="24"/>
          <w:szCs w:val="24"/>
        </w:rPr>
      </w:pPr>
      <w:bookmarkStart w:id="12" w:name="bookmark=id.el50uiibwe62" w:colFirst="0" w:colLast="0"/>
      <w:bookmarkEnd w:id="12"/>
      <w:r>
        <w:rPr>
          <w:rFonts w:ascii="Times New Roman" w:eastAsia="Times New Roman" w:hAnsi="Times New Roman" w:cs="Times New Roman"/>
          <w:b/>
          <w:sz w:val="24"/>
          <w:szCs w:val="24"/>
        </w:rPr>
        <w:lastRenderedPageBreak/>
        <w:t>10. Evidence profiles and forest plots</w:t>
      </w:r>
    </w:p>
    <w:p w14:paraId="01FE5BB3"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bookmark=id.9rduzpl21hao">
        <w:r>
          <w:rPr>
            <w:rFonts w:ascii="Times New Roman" w:eastAsia="Times New Roman" w:hAnsi="Times New Roman" w:cs="Times New Roman"/>
            <w:color w:val="1155CC"/>
            <w:sz w:val="24"/>
            <w:szCs w:val="24"/>
            <w:u w:val="single"/>
          </w:rPr>
          <w:t xml:space="preserve">A. Continuous vital sign monitoring in all </w:t>
        </w:r>
      </w:hyperlink>
      <w:hyperlink w:anchor="bookmark=id.9rduzpl21hao">
        <w:r>
          <w:rPr>
            <w:rFonts w:ascii="Times New Roman" w:eastAsia="Times New Roman" w:hAnsi="Times New Roman" w:cs="Times New Roman"/>
            <w:i/>
            <w:color w:val="1155CC"/>
            <w:sz w:val="24"/>
            <w:szCs w:val="24"/>
            <w:u w:val="single"/>
          </w:rPr>
          <w:t>unselected</w:t>
        </w:r>
      </w:hyperlink>
      <w:hyperlink w:anchor="bookmark=id.9rduzpl21hao">
        <w:r>
          <w:rPr>
            <w:rFonts w:ascii="Times New Roman" w:eastAsia="Times New Roman" w:hAnsi="Times New Roman" w:cs="Times New Roman"/>
            <w:color w:val="1155CC"/>
            <w:sz w:val="24"/>
            <w:szCs w:val="24"/>
            <w:u w:val="single"/>
          </w:rPr>
          <w:t xml:space="preserve"> non-ICU patients</w:t>
        </w:r>
      </w:hyperlink>
    </w:p>
    <w:p w14:paraId="1610A517"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bookmark=kix.uwrhjq727zxl">
        <w:r>
          <w:rPr>
            <w:rFonts w:ascii="Times New Roman" w:eastAsia="Times New Roman" w:hAnsi="Times New Roman" w:cs="Times New Roman"/>
            <w:color w:val="1155CC"/>
            <w:sz w:val="24"/>
            <w:szCs w:val="24"/>
            <w:u w:val="single"/>
          </w:rPr>
          <w:t>B. Focused education on recognition of early clinical deterioration</w:t>
        </w:r>
      </w:hyperlink>
    </w:p>
    <w:p w14:paraId="179A2CA4" w14:textId="77777777" w:rsidR="006E087E" w:rsidRDefault="008E2347" w:rsidP="006E087E">
      <w:pPr>
        <w:spacing w:line="240" w:lineRule="auto"/>
        <w:ind w:firstLine="720"/>
        <w:rPr>
          <w:rFonts w:ascii="Times New Roman" w:eastAsia="Times New Roman" w:hAnsi="Times New Roman" w:cs="Times New Roman"/>
          <w:sz w:val="24"/>
          <w:szCs w:val="24"/>
        </w:rPr>
      </w:pPr>
      <w:hyperlink w:anchor="bookmark=kix.1mi2ph2e6hsw">
        <w:r w:rsidR="006E087E">
          <w:rPr>
            <w:rFonts w:ascii="Times New Roman" w:eastAsia="Times New Roman" w:hAnsi="Times New Roman" w:cs="Times New Roman"/>
            <w:color w:val="1155CC"/>
            <w:sz w:val="24"/>
            <w:szCs w:val="24"/>
            <w:u w:val="single"/>
          </w:rPr>
          <w:t>C. Patient and family activation of rapid Response team</w:t>
        </w:r>
      </w:hyperlink>
    </w:p>
    <w:p w14:paraId="10AF4C6C" w14:textId="77777777" w:rsidR="006E087E" w:rsidRDefault="006E087E" w:rsidP="006E087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w:anchor="bookmark=kix.qjxwrf9a77t">
        <w:r>
          <w:rPr>
            <w:rFonts w:ascii="Times New Roman" w:eastAsia="Times New Roman" w:hAnsi="Times New Roman" w:cs="Times New Roman"/>
            <w:color w:val="1155CC"/>
            <w:sz w:val="24"/>
            <w:szCs w:val="24"/>
            <w:u w:val="single"/>
          </w:rPr>
          <w:t>D. Explicit activation criteria and rapid response team/ medical emergency team</w:t>
        </w:r>
      </w:hyperlink>
    </w:p>
    <w:p w14:paraId="30139198" w14:textId="77777777" w:rsidR="006E087E" w:rsidRDefault="008E2347" w:rsidP="006E087E">
      <w:pPr>
        <w:spacing w:line="240" w:lineRule="auto"/>
        <w:ind w:firstLine="720"/>
        <w:rPr>
          <w:rFonts w:ascii="Times New Roman" w:eastAsia="Times New Roman" w:hAnsi="Times New Roman" w:cs="Times New Roman"/>
          <w:sz w:val="24"/>
          <w:szCs w:val="24"/>
        </w:rPr>
      </w:pPr>
      <w:hyperlink w:anchor="bookmark=kix.w7pv5ykgjppu">
        <w:r w:rsidR="006E087E">
          <w:rPr>
            <w:rFonts w:ascii="Times New Roman" w:eastAsia="Times New Roman" w:hAnsi="Times New Roman" w:cs="Times New Roman"/>
            <w:color w:val="1155CC"/>
            <w:sz w:val="24"/>
            <w:szCs w:val="24"/>
            <w:u w:val="single"/>
          </w:rPr>
          <w:t>E. Rapid response team leadership</w:t>
        </w:r>
      </w:hyperlink>
    </w:p>
    <w:p w14:paraId="79C53D32" w14:textId="77777777" w:rsidR="006E087E" w:rsidRDefault="008E2347" w:rsidP="006E087E">
      <w:pPr>
        <w:ind w:left="720"/>
        <w:rPr>
          <w:rFonts w:ascii="Times New Roman" w:eastAsia="Times New Roman" w:hAnsi="Times New Roman" w:cs="Times New Roman"/>
          <w:b/>
          <w:sz w:val="24"/>
          <w:szCs w:val="24"/>
        </w:rPr>
        <w:sectPr w:rsidR="006E087E">
          <w:pgSz w:w="12240" w:h="15840"/>
          <w:pgMar w:top="1440" w:right="1440" w:bottom="1440" w:left="1440" w:header="720" w:footer="720" w:gutter="0"/>
          <w:cols w:space="720"/>
        </w:sectPr>
      </w:pPr>
      <w:hyperlink w:anchor="bookmark=kix.ofitwibjneuj">
        <w:r w:rsidR="006E087E">
          <w:rPr>
            <w:rFonts w:ascii="Times New Roman" w:eastAsia="Times New Roman" w:hAnsi="Times New Roman" w:cs="Times New Roman"/>
            <w:color w:val="1155CC"/>
            <w:sz w:val="24"/>
            <w:szCs w:val="24"/>
            <w:u w:val="single"/>
          </w:rPr>
          <w:t>F. Palliative care personnel as part of the RRT and/or education of RRT personnel in eliciting patients’ goals of care</w:t>
        </w:r>
      </w:hyperlink>
    </w:p>
    <w:p w14:paraId="1EC9A439" w14:textId="77777777" w:rsidR="006E087E" w:rsidRDefault="006E087E" w:rsidP="006E087E">
      <w:pPr>
        <w:spacing w:line="240" w:lineRule="auto"/>
        <w:rPr>
          <w:rFonts w:ascii="Times New Roman" w:eastAsia="Times New Roman" w:hAnsi="Times New Roman" w:cs="Times New Roman"/>
          <w:b/>
          <w:sz w:val="24"/>
          <w:szCs w:val="24"/>
        </w:rPr>
      </w:pPr>
      <w:bookmarkStart w:id="13" w:name="bookmark=id.9rduzpl21hao" w:colFirst="0" w:colLast="0"/>
      <w:bookmarkEnd w:id="13"/>
      <w:r>
        <w:rPr>
          <w:rFonts w:ascii="Times New Roman" w:eastAsia="Times New Roman" w:hAnsi="Times New Roman" w:cs="Times New Roman"/>
          <w:b/>
          <w:sz w:val="24"/>
          <w:szCs w:val="24"/>
        </w:rPr>
        <w:lastRenderedPageBreak/>
        <w:t>Supplemental Digital Content 10A</w:t>
      </w:r>
    </w:p>
    <w:p w14:paraId="38ADD854" w14:textId="77777777" w:rsidR="006E087E" w:rsidRDefault="006E087E" w:rsidP="006E087E">
      <w:pPr>
        <w:spacing w:line="240" w:lineRule="auto"/>
        <w:rPr>
          <w:rFonts w:ascii="Times New Roman" w:eastAsia="Times New Roman" w:hAnsi="Times New Roman" w:cs="Times New Roman"/>
          <w:b/>
          <w:sz w:val="24"/>
          <w:szCs w:val="24"/>
        </w:rPr>
      </w:pPr>
    </w:p>
    <w:p w14:paraId="0050DC25" w14:textId="77777777" w:rsidR="006E087E" w:rsidRDefault="006E087E" w:rsidP="006E087E">
      <w:pPr>
        <w:spacing w:line="240" w:lineRule="auto"/>
        <w:rPr>
          <w:rFonts w:ascii="Garamond" w:eastAsia="Garamond" w:hAnsi="Garamond" w:cs="Garamond"/>
          <w:b/>
          <w:sz w:val="24"/>
          <w:szCs w:val="24"/>
        </w:rPr>
      </w:pPr>
      <w:r>
        <w:rPr>
          <w:rFonts w:ascii="Garamond" w:eastAsia="Garamond" w:hAnsi="Garamond" w:cs="Garamond"/>
          <w:b/>
          <w:sz w:val="24"/>
          <w:szCs w:val="24"/>
        </w:rPr>
        <w:t xml:space="preserve">Question: Should continuous vital sign monitoring compared to </w:t>
      </w:r>
      <w:r>
        <w:rPr>
          <w:rFonts w:ascii="Garamond" w:eastAsia="Garamond" w:hAnsi="Garamond" w:cs="Garamond"/>
          <w:b/>
          <w:sz w:val="24"/>
          <w:szCs w:val="24"/>
          <w:u w:val="single"/>
        </w:rPr>
        <w:t>no</w:t>
      </w:r>
      <w:r>
        <w:rPr>
          <w:rFonts w:ascii="Garamond" w:eastAsia="Garamond" w:hAnsi="Garamond" w:cs="Garamond"/>
          <w:b/>
          <w:sz w:val="24"/>
          <w:szCs w:val="24"/>
        </w:rPr>
        <w:t xml:space="preserve"> continuous vital sign monitoring be used in all</w:t>
      </w:r>
      <w:r>
        <w:rPr>
          <w:rFonts w:ascii="Garamond" w:eastAsia="Garamond" w:hAnsi="Garamond" w:cs="Garamond"/>
          <w:b/>
          <w:i/>
          <w:sz w:val="24"/>
          <w:szCs w:val="24"/>
        </w:rPr>
        <w:t xml:space="preserve"> (unselected)</w:t>
      </w:r>
      <w:r>
        <w:rPr>
          <w:rFonts w:ascii="Garamond" w:eastAsia="Garamond" w:hAnsi="Garamond" w:cs="Garamond"/>
          <w:b/>
          <w:sz w:val="24"/>
          <w:szCs w:val="24"/>
        </w:rPr>
        <w:t xml:space="preserve"> patients hospitalized outside the ICU?</w:t>
      </w:r>
    </w:p>
    <w:p w14:paraId="391A31D0" w14:textId="77777777" w:rsidR="006E087E" w:rsidRDefault="006E087E" w:rsidP="006E087E">
      <w:pPr>
        <w:spacing w:line="240" w:lineRule="auto"/>
        <w:rPr>
          <w:rFonts w:ascii="Garamond" w:eastAsia="Garamond" w:hAnsi="Garamond" w:cs="Garamond"/>
          <w:b/>
          <w:sz w:val="24"/>
          <w:szCs w:val="24"/>
        </w:rPr>
      </w:pPr>
    </w:p>
    <w:p w14:paraId="3CF5BF26" w14:textId="77777777" w:rsidR="006E087E" w:rsidRDefault="006E087E" w:rsidP="006E087E">
      <w:pPr>
        <w:tabs>
          <w:tab w:val="left" w:pos="690"/>
        </w:tabs>
        <w:spacing w:line="240" w:lineRule="auto"/>
        <w:rPr>
          <w:rFonts w:ascii="Garamond" w:eastAsia="Garamond" w:hAnsi="Garamond" w:cs="Garamond"/>
          <w:b/>
          <w:sz w:val="24"/>
          <w:szCs w:val="24"/>
        </w:rPr>
      </w:pPr>
      <w:r>
        <w:rPr>
          <w:rFonts w:ascii="Garamond" w:eastAsia="Garamond" w:hAnsi="Garamond" w:cs="Garamond"/>
          <w:b/>
          <w:sz w:val="24"/>
          <w:szCs w:val="24"/>
        </w:rPr>
        <w:t>Forest Plots</w:t>
      </w:r>
    </w:p>
    <w:p w14:paraId="3AB2DAB7" w14:textId="77777777" w:rsidR="006E087E" w:rsidRDefault="006E087E" w:rsidP="006E087E">
      <w:pPr>
        <w:tabs>
          <w:tab w:val="left" w:pos="690"/>
        </w:tabs>
        <w:spacing w:line="240" w:lineRule="auto"/>
        <w:rPr>
          <w:rFonts w:ascii="Garamond" w:eastAsia="Garamond" w:hAnsi="Garamond" w:cs="Garamond"/>
          <w:b/>
          <w:sz w:val="24"/>
          <w:szCs w:val="24"/>
        </w:rPr>
      </w:pPr>
    </w:p>
    <w:p w14:paraId="7A7D6403" w14:textId="77777777" w:rsidR="006E087E" w:rsidRDefault="006E087E" w:rsidP="006E087E">
      <w:pPr>
        <w:spacing w:line="240" w:lineRule="auto"/>
        <w:rPr>
          <w:rFonts w:ascii="Garamond" w:eastAsia="Garamond" w:hAnsi="Garamond" w:cs="Garamond"/>
          <w:b/>
          <w:sz w:val="24"/>
          <w:szCs w:val="24"/>
        </w:rPr>
      </w:pPr>
      <w:r>
        <w:rPr>
          <w:rFonts w:ascii="Garamond" w:eastAsia="Garamond" w:hAnsi="Garamond" w:cs="Garamond"/>
          <w:b/>
          <w:noProof/>
          <w:sz w:val="24"/>
          <w:szCs w:val="24"/>
        </w:rPr>
        <w:drawing>
          <wp:inline distT="114300" distB="114300" distL="114300" distR="114300" wp14:anchorId="5BDBE6A9" wp14:editId="1E2CDA68">
            <wp:extent cx="8686800" cy="1092200"/>
            <wp:effectExtent l="0" t="0" r="0" b="0"/>
            <wp:docPr id="48" name="image10.png"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8" name="image10.png" descr="Table&#10;&#10;Description automatically generated with low confidence"/>
                    <pic:cNvPicPr preferRelativeResize="0"/>
                  </pic:nvPicPr>
                  <pic:blipFill>
                    <a:blip r:embed="rId18"/>
                    <a:srcRect/>
                    <a:stretch>
                      <a:fillRect/>
                    </a:stretch>
                  </pic:blipFill>
                  <pic:spPr>
                    <a:xfrm>
                      <a:off x="0" y="0"/>
                      <a:ext cx="8686800" cy="1092200"/>
                    </a:xfrm>
                    <a:prstGeom prst="rect">
                      <a:avLst/>
                    </a:prstGeom>
                    <a:ln/>
                  </pic:spPr>
                </pic:pic>
              </a:graphicData>
            </a:graphic>
          </wp:inline>
        </w:drawing>
      </w:r>
    </w:p>
    <w:p w14:paraId="3772B682" w14:textId="77777777" w:rsidR="006E087E" w:rsidRDefault="006E087E" w:rsidP="006E087E">
      <w:pPr>
        <w:spacing w:line="240" w:lineRule="auto"/>
        <w:rPr>
          <w:rFonts w:ascii="Garamond" w:eastAsia="Garamond" w:hAnsi="Garamond" w:cs="Garamond"/>
          <w:b/>
          <w:sz w:val="24"/>
          <w:szCs w:val="24"/>
        </w:rPr>
      </w:pPr>
    </w:p>
    <w:p w14:paraId="46D076F6" w14:textId="77777777" w:rsidR="006E087E" w:rsidRDefault="006E087E" w:rsidP="006E087E">
      <w:pPr>
        <w:spacing w:line="240" w:lineRule="auto"/>
        <w:rPr>
          <w:rFonts w:ascii="Garamond" w:eastAsia="Garamond" w:hAnsi="Garamond" w:cs="Garamond"/>
          <w:b/>
          <w:sz w:val="24"/>
          <w:szCs w:val="24"/>
        </w:rPr>
      </w:pPr>
      <w:r>
        <w:rPr>
          <w:rFonts w:ascii="Garamond" w:eastAsia="Garamond" w:hAnsi="Garamond" w:cs="Garamond"/>
          <w:b/>
          <w:noProof/>
          <w:sz w:val="24"/>
          <w:szCs w:val="24"/>
        </w:rPr>
        <w:drawing>
          <wp:inline distT="114300" distB="114300" distL="114300" distR="114300" wp14:anchorId="39C388AB" wp14:editId="1D5EED80">
            <wp:extent cx="8686800" cy="1092200"/>
            <wp:effectExtent l="0" t="0" r="0" b="0"/>
            <wp:docPr id="47"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47" name="image2.png" descr="Table&#10;&#10;Description automatically generated"/>
                    <pic:cNvPicPr preferRelativeResize="0"/>
                  </pic:nvPicPr>
                  <pic:blipFill>
                    <a:blip r:embed="rId19"/>
                    <a:srcRect/>
                    <a:stretch>
                      <a:fillRect/>
                    </a:stretch>
                  </pic:blipFill>
                  <pic:spPr>
                    <a:xfrm>
                      <a:off x="0" y="0"/>
                      <a:ext cx="8686800" cy="1092200"/>
                    </a:xfrm>
                    <a:prstGeom prst="rect">
                      <a:avLst/>
                    </a:prstGeom>
                    <a:ln/>
                  </pic:spPr>
                </pic:pic>
              </a:graphicData>
            </a:graphic>
          </wp:inline>
        </w:drawing>
      </w:r>
    </w:p>
    <w:p w14:paraId="46709E1F" w14:textId="77777777" w:rsidR="006E087E" w:rsidRDefault="006E087E" w:rsidP="006E087E">
      <w:pPr>
        <w:spacing w:line="240" w:lineRule="auto"/>
        <w:rPr>
          <w:rFonts w:ascii="Garamond" w:eastAsia="Garamond" w:hAnsi="Garamond" w:cs="Garamond"/>
          <w:b/>
          <w:sz w:val="24"/>
          <w:szCs w:val="24"/>
        </w:rPr>
      </w:pPr>
    </w:p>
    <w:p w14:paraId="696EF489" w14:textId="77777777" w:rsidR="006E087E" w:rsidRDefault="006E087E" w:rsidP="006E087E">
      <w:pPr>
        <w:spacing w:line="240" w:lineRule="auto"/>
        <w:rPr>
          <w:rFonts w:ascii="Garamond" w:eastAsia="Garamond" w:hAnsi="Garamond" w:cs="Garamond"/>
          <w:b/>
          <w:sz w:val="24"/>
          <w:szCs w:val="24"/>
        </w:rPr>
      </w:pPr>
      <w:r>
        <w:rPr>
          <w:rFonts w:ascii="Garamond" w:eastAsia="Garamond" w:hAnsi="Garamond" w:cs="Garamond"/>
          <w:b/>
          <w:noProof/>
          <w:sz w:val="24"/>
          <w:szCs w:val="24"/>
        </w:rPr>
        <w:drawing>
          <wp:inline distT="114300" distB="114300" distL="114300" distR="114300" wp14:anchorId="5DCA181F" wp14:editId="2D0C4830">
            <wp:extent cx="8686800" cy="1206500"/>
            <wp:effectExtent l="0" t="0" r="0" b="0"/>
            <wp:docPr id="50"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6.png" descr="Table&#10;&#10;Description automatically generated"/>
                    <pic:cNvPicPr preferRelativeResize="0"/>
                  </pic:nvPicPr>
                  <pic:blipFill>
                    <a:blip r:embed="rId20"/>
                    <a:srcRect/>
                    <a:stretch>
                      <a:fillRect/>
                    </a:stretch>
                  </pic:blipFill>
                  <pic:spPr>
                    <a:xfrm>
                      <a:off x="0" y="0"/>
                      <a:ext cx="8686800" cy="1206500"/>
                    </a:xfrm>
                    <a:prstGeom prst="rect">
                      <a:avLst/>
                    </a:prstGeom>
                    <a:ln/>
                  </pic:spPr>
                </pic:pic>
              </a:graphicData>
            </a:graphic>
          </wp:inline>
        </w:drawing>
      </w:r>
    </w:p>
    <w:p w14:paraId="60A80D79" w14:textId="77777777" w:rsidR="006E087E" w:rsidRDefault="006E087E" w:rsidP="006E087E">
      <w:pPr>
        <w:spacing w:line="240" w:lineRule="auto"/>
        <w:rPr>
          <w:rFonts w:ascii="Garamond" w:eastAsia="Garamond" w:hAnsi="Garamond" w:cs="Garamond"/>
          <w:sz w:val="24"/>
          <w:szCs w:val="24"/>
        </w:rPr>
      </w:pPr>
    </w:p>
    <w:p w14:paraId="2A19D5C4" w14:textId="77777777" w:rsidR="006E087E" w:rsidRDefault="006E087E" w:rsidP="006E087E">
      <w:pPr>
        <w:spacing w:line="240" w:lineRule="auto"/>
        <w:rPr>
          <w:rFonts w:ascii="Garamond" w:eastAsia="Garamond" w:hAnsi="Garamond" w:cs="Garamond"/>
          <w:sz w:val="24"/>
          <w:szCs w:val="24"/>
        </w:rPr>
      </w:pPr>
    </w:p>
    <w:p w14:paraId="3C2A8EE1" w14:textId="77777777" w:rsidR="006E087E" w:rsidRDefault="006E087E" w:rsidP="006E087E">
      <w:pPr>
        <w:tabs>
          <w:tab w:val="left" w:pos="690"/>
        </w:tabs>
        <w:spacing w:line="240" w:lineRule="auto"/>
        <w:rPr>
          <w:rFonts w:ascii="Garamond" w:eastAsia="Garamond" w:hAnsi="Garamond" w:cs="Garamond"/>
          <w:sz w:val="24"/>
          <w:szCs w:val="24"/>
        </w:rPr>
      </w:pPr>
    </w:p>
    <w:p w14:paraId="47B81CF0" w14:textId="77777777" w:rsidR="006E087E" w:rsidRDefault="006E087E" w:rsidP="006E087E">
      <w:pPr>
        <w:tabs>
          <w:tab w:val="left" w:pos="690"/>
        </w:tabs>
        <w:spacing w:line="240" w:lineRule="auto"/>
        <w:rPr>
          <w:rFonts w:ascii="Garamond" w:eastAsia="Garamond" w:hAnsi="Garamond" w:cs="Garamond"/>
          <w:sz w:val="24"/>
          <w:szCs w:val="24"/>
        </w:rPr>
      </w:pPr>
    </w:p>
    <w:p w14:paraId="7D3AFCCC" w14:textId="77777777" w:rsidR="006E087E" w:rsidRDefault="006E087E" w:rsidP="006E087E">
      <w:pPr>
        <w:tabs>
          <w:tab w:val="left" w:pos="690"/>
        </w:tabs>
        <w:spacing w:line="240" w:lineRule="auto"/>
        <w:rPr>
          <w:rFonts w:ascii="Garamond" w:eastAsia="Garamond" w:hAnsi="Garamond" w:cs="Garamond"/>
          <w:sz w:val="24"/>
          <w:szCs w:val="24"/>
        </w:rPr>
      </w:pPr>
    </w:p>
    <w:p w14:paraId="5B01279A" w14:textId="77777777" w:rsidR="006E087E" w:rsidRDefault="006E087E" w:rsidP="006E087E">
      <w:pPr>
        <w:tabs>
          <w:tab w:val="left" w:pos="690"/>
        </w:tabs>
        <w:spacing w:line="240" w:lineRule="auto"/>
        <w:rPr>
          <w:rFonts w:ascii="Garamond" w:eastAsia="Garamond" w:hAnsi="Garamond" w:cs="Garamond"/>
          <w:b/>
          <w:sz w:val="24"/>
          <w:szCs w:val="24"/>
        </w:rPr>
      </w:pPr>
    </w:p>
    <w:p w14:paraId="565924C6" w14:textId="77777777" w:rsidR="006E087E" w:rsidRDefault="006E087E" w:rsidP="006E087E">
      <w:pPr>
        <w:tabs>
          <w:tab w:val="left" w:pos="690"/>
        </w:tabs>
        <w:spacing w:line="240" w:lineRule="auto"/>
        <w:rPr>
          <w:rFonts w:ascii="Garamond" w:eastAsia="Garamond" w:hAnsi="Garamond" w:cs="Garamond"/>
          <w:b/>
          <w:sz w:val="24"/>
          <w:szCs w:val="24"/>
        </w:rPr>
      </w:pPr>
    </w:p>
    <w:p w14:paraId="34E49400" w14:textId="77777777" w:rsidR="006E087E" w:rsidRDefault="006E087E" w:rsidP="006E087E">
      <w:pPr>
        <w:tabs>
          <w:tab w:val="left" w:pos="690"/>
        </w:tabs>
        <w:spacing w:line="240" w:lineRule="auto"/>
        <w:rPr>
          <w:rFonts w:ascii="Garamond" w:eastAsia="Garamond" w:hAnsi="Garamond" w:cs="Garamond"/>
          <w:b/>
          <w:sz w:val="24"/>
          <w:szCs w:val="24"/>
        </w:rPr>
      </w:pPr>
      <w:r>
        <w:rPr>
          <w:rFonts w:ascii="Garamond" w:eastAsia="Garamond" w:hAnsi="Garamond" w:cs="Garamond"/>
          <w:b/>
          <w:sz w:val="24"/>
          <w:szCs w:val="24"/>
        </w:rPr>
        <w:t>GRADE Evidence Profile</w:t>
      </w:r>
    </w:p>
    <w:tbl>
      <w:tblPr>
        <w:tblW w:w="15135" w:type="dxa"/>
        <w:tblInd w:w="-8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5"/>
        <w:gridCol w:w="1095"/>
        <w:gridCol w:w="930"/>
        <w:gridCol w:w="1245"/>
        <w:gridCol w:w="1155"/>
        <w:gridCol w:w="1140"/>
        <w:gridCol w:w="1350"/>
        <w:gridCol w:w="1350"/>
        <w:gridCol w:w="1440"/>
        <w:gridCol w:w="1035"/>
        <w:gridCol w:w="1305"/>
        <w:gridCol w:w="1035"/>
        <w:gridCol w:w="1260"/>
      </w:tblGrid>
      <w:tr w:rsidR="006E087E" w14:paraId="6D371054" w14:textId="77777777" w:rsidTr="00A207C4">
        <w:trPr>
          <w:cantSplit/>
          <w:tblHeader/>
        </w:trPr>
        <w:tc>
          <w:tcPr>
            <w:tcW w:w="7710" w:type="dxa"/>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00E9632"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 assessment</w:t>
            </w:r>
          </w:p>
        </w:tc>
        <w:tc>
          <w:tcPr>
            <w:tcW w:w="2790" w:type="dxa"/>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AA4DFF9" w14:textId="77777777" w:rsidR="006E087E" w:rsidRDefault="008E2347" w:rsidP="00A207C4">
            <w:pPr>
              <w:jc w:val="center"/>
              <w:rPr>
                <w:rFonts w:ascii="Garamond" w:eastAsia="Garamond" w:hAnsi="Garamond" w:cs="Garamond"/>
                <w:b/>
                <w:color w:val="FFFFFF"/>
                <w:sz w:val="18"/>
                <w:szCs w:val="18"/>
              </w:rPr>
            </w:pPr>
            <w:sdt>
              <w:sdtPr>
                <w:tag w:val="goog_rdk_23"/>
                <w:id w:val="1810279601"/>
              </w:sdtPr>
              <w:sdtEndPr/>
              <w:sdtContent>
                <w:r w:rsidR="006E087E">
                  <w:rPr>
                    <w:rFonts w:ascii="Cardo" w:eastAsia="Cardo" w:hAnsi="Cardo" w:cs="Cardo"/>
                    <w:b/>
                    <w:color w:val="FFFFFF"/>
                    <w:sz w:val="18"/>
                    <w:szCs w:val="18"/>
                  </w:rPr>
                  <w:t>№ of patients</w:t>
                </w:r>
              </w:sdtContent>
            </w:sdt>
          </w:p>
        </w:tc>
        <w:tc>
          <w:tcPr>
            <w:tcW w:w="2340" w:type="dxa"/>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23104D5"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Effect</w:t>
            </w:r>
          </w:p>
        </w:tc>
        <w:tc>
          <w:tcPr>
            <w:tcW w:w="1035"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D93541E"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w:t>
            </w:r>
          </w:p>
        </w:tc>
        <w:tc>
          <w:tcPr>
            <w:tcW w:w="1260"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80EDCBC"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Importance</w:t>
            </w:r>
          </w:p>
        </w:tc>
      </w:tr>
      <w:tr w:rsidR="006E087E" w14:paraId="4ADD58D3" w14:textId="77777777" w:rsidTr="00A207C4">
        <w:trPr>
          <w:cantSplit/>
          <w:tblHeader/>
        </w:trPr>
        <w:tc>
          <w:tcPr>
            <w:tcW w:w="79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47A666A" w14:textId="77777777" w:rsidR="006E087E" w:rsidRDefault="008E2347" w:rsidP="00A207C4">
            <w:pPr>
              <w:jc w:val="center"/>
              <w:rPr>
                <w:rFonts w:ascii="Garamond" w:eastAsia="Garamond" w:hAnsi="Garamond" w:cs="Garamond"/>
                <w:b/>
                <w:color w:val="FFFFFF"/>
                <w:sz w:val="18"/>
                <w:szCs w:val="18"/>
              </w:rPr>
            </w:pPr>
            <w:sdt>
              <w:sdtPr>
                <w:tag w:val="goog_rdk_24"/>
                <w:id w:val="1404406438"/>
              </w:sdtPr>
              <w:sdtEndPr/>
              <w:sdtContent>
                <w:r w:rsidR="006E087E">
                  <w:rPr>
                    <w:rFonts w:ascii="Cardo" w:eastAsia="Cardo" w:hAnsi="Cardo" w:cs="Cardo"/>
                    <w:b/>
                    <w:color w:val="FFFFFF"/>
                    <w:sz w:val="18"/>
                    <w:szCs w:val="18"/>
                  </w:rPr>
                  <w:t>№ of studies</w:t>
                </w:r>
              </w:sdtContent>
            </w:sdt>
          </w:p>
        </w:tc>
        <w:tc>
          <w:tcPr>
            <w:tcW w:w="109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6B7F31C"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Study design</w:t>
            </w:r>
          </w:p>
        </w:tc>
        <w:tc>
          <w:tcPr>
            <w:tcW w:w="93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9F643BA"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Risk of bias</w:t>
            </w:r>
          </w:p>
        </w:tc>
        <w:tc>
          <w:tcPr>
            <w:tcW w:w="124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7910624"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Inconsistency</w:t>
            </w:r>
          </w:p>
        </w:tc>
        <w:tc>
          <w:tcPr>
            <w:tcW w:w="115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1A58F89"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Indirectness</w:t>
            </w:r>
          </w:p>
        </w:tc>
        <w:tc>
          <w:tcPr>
            <w:tcW w:w="114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780494C"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Imprecision</w:t>
            </w:r>
          </w:p>
        </w:tc>
        <w:tc>
          <w:tcPr>
            <w:tcW w:w="135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F88A9D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Other considerations</w:t>
            </w:r>
          </w:p>
        </w:tc>
        <w:tc>
          <w:tcPr>
            <w:tcW w:w="135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8E9B1D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continuous VS monitoring</w:t>
            </w:r>
          </w:p>
        </w:tc>
        <w:tc>
          <w:tcPr>
            <w:tcW w:w="144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8597407"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no continuous VS monitoring</w:t>
            </w:r>
          </w:p>
        </w:tc>
        <w:tc>
          <w:tcPr>
            <w:tcW w:w="103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AC51D56"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Relative</w:t>
            </w:r>
            <w:r>
              <w:rPr>
                <w:rFonts w:ascii="Garamond" w:eastAsia="Garamond" w:hAnsi="Garamond" w:cs="Garamond"/>
                <w:b/>
                <w:color w:val="FFFFFF"/>
                <w:sz w:val="18"/>
                <w:szCs w:val="18"/>
              </w:rPr>
              <w:br/>
              <w:t>(95% CI)</w:t>
            </w:r>
          </w:p>
        </w:tc>
        <w:tc>
          <w:tcPr>
            <w:tcW w:w="130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703628D"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Absolute</w:t>
            </w:r>
            <w:r>
              <w:rPr>
                <w:rFonts w:ascii="Garamond" w:eastAsia="Garamond" w:hAnsi="Garamond" w:cs="Garamond"/>
                <w:b/>
                <w:color w:val="FFFFFF"/>
                <w:sz w:val="18"/>
                <w:szCs w:val="18"/>
              </w:rPr>
              <w:br/>
              <w:t>(95% CI)</w:t>
            </w:r>
          </w:p>
        </w:tc>
        <w:tc>
          <w:tcPr>
            <w:tcW w:w="1035"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7E8B43B"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260"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55722C3"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r>
      <w:tr w:rsidR="006E087E" w14:paraId="6BD9BA77"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28A56328"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Hospital mortality [randomized trials]</w:t>
            </w:r>
          </w:p>
        </w:tc>
      </w:tr>
      <w:tr w:rsidR="006E087E" w14:paraId="5CE3400A" w14:textId="77777777" w:rsidTr="00A207C4">
        <w:trPr>
          <w:cantSplit/>
          <w:trHeight w:val="1047"/>
        </w:trPr>
        <w:tc>
          <w:tcPr>
            <w:tcW w:w="795" w:type="dxa"/>
            <w:tcBorders>
              <w:top w:val="single" w:sz="6" w:space="0" w:color="000000"/>
              <w:left w:val="single" w:sz="6" w:space="0" w:color="000000"/>
              <w:bottom w:val="single" w:sz="6" w:space="0" w:color="000000"/>
              <w:right w:val="single" w:sz="6" w:space="0" w:color="000000"/>
            </w:tcBorders>
          </w:tcPr>
          <w:p w14:paraId="1AD3454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w:t>
            </w:r>
          </w:p>
        </w:tc>
        <w:tc>
          <w:tcPr>
            <w:tcW w:w="1095" w:type="dxa"/>
            <w:tcBorders>
              <w:top w:val="single" w:sz="6" w:space="0" w:color="000000"/>
              <w:left w:val="single" w:sz="6" w:space="0" w:color="000000"/>
              <w:bottom w:val="single" w:sz="6" w:space="0" w:color="000000"/>
              <w:right w:val="single" w:sz="6" w:space="0" w:color="000000"/>
            </w:tcBorders>
          </w:tcPr>
          <w:p w14:paraId="36151A0B" w14:textId="77777777" w:rsidR="006E087E" w:rsidRDefault="006E087E" w:rsidP="00A207C4">
            <w:pPr>
              <w:jc w:val="center"/>
              <w:rPr>
                <w:rFonts w:ascii="Garamond" w:eastAsia="Garamond" w:hAnsi="Garamond" w:cs="Garamond"/>
                <w:sz w:val="18"/>
                <w:szCs w:val="18"/>
              </w:rPr>
            </w:pP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tc>
        <w:tc>
          <w:tcPr>
            <w:tcW w:w="930" w:type="dxa"/>
            <w:tcBorders>
              <w:top w:val="single" w:sz="6" w:space="0" w:color="000000"/>
              <w:left w:val="single" w:sz="6" w:space="0" w:color="000000"/>
              <w:bottom w:val="single" w:sz="6" w:space="0" w:color="000000"/>
              <w:right w:val="single" w:sz="6" w:space="0" w:color="000000"/>
            </w:tcBorders>
          </w:tcPr>
          <w:p w14:paraId="6294F7C1"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45" w:type="dxa"/>
            <w:tcBorders>
              <w:top w:val="single" w:sz="6" w:space="0" w:color="000000"/>
              <w:left w:val="single" w:sz="6" w:space="0" w:color="000000"/>
              <w:bottom w:val="single" w:sz="6" w:space="0" w:color="000000"/>
              <w:right w:val="single" w:sz="6" w:space="0" w:color="000000"/>
            </w:tcBorders>
          </w:tcPr>
          <w:p w14:paraId="07F1863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55" w:type="dxa"/>
            <w:tcBorders>
              <w:top w:val="single" w:sz="6" w:space="0" w:color="000000"/>
              <w:left w:val="single" w:sz="6" w:space="0" w:color="000000"/>
              <w:bottom w:val="single" w:sz="6" w:space="0" w:color="000000"/>
              <w:right w:val="single" w:sz="6" w:space="0" w:color="000000"/>
            </w:tcBorders>
          </w:tcPr>
          <w:p w14:paraId="57B6194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7FF3E4CB"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very</w:t>
            </w:r>
          </w:p>
          <w:p w14:paraId="4A9D4E8F"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350" w:type="dxa"/>
            <w:tcBorders>
              <w:top w:val="single" w:sz="6" w:space="0" w:color="000000"/>
              <w:left w:val="single" w:sz="6" w:space="0" w:color="000000"/>
              <w:bottom w:val="single" w:sz="6" w:space="0" w:color="000000"/>
              <w:right w:val="single" w:sz="6" w:space="0" w:color="000000"/>
            </w:tcBorders>
          </w:tcPr>
          <w:p w14:paraId="0FDBA5E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1350" w:type="dxa"/>
            <w:tcBorders>
              <w:top w:val="single" w:sz="6" w:space="0" w:color="000000"/>
              <w:left w:val="single" w:sz="6" w:space="0" w:color="000000"/>
              <w:bottom w:val="single" w:sz="6" w:space="0" w:color="000000"/>
              <w:right w:val="single" w:sz="6" w:space="0" w:color="000000"/>
            </w:tcBorders>
          </w:tcPr>
          <w:p w14:paraId="7877921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41/341 (12.0%) </w:t>
            </w:r>
          </w:p>
        </w:tc>
        <w:tc>
          <w:tcPr>
            <w:tcW w:w="1440" w:type="dxa"/>
            <w:tcBorders>
              <w:top w:val="single" w:sz="6" w:space="0" w:color="000000"/>
              <w:left w:val="single" w:sz="6" w:space="0" w:color="000000"/>
              <w:bottom w:val="single" w:sz="6" w:space="0" w:color="000000"/>
              <w:right w:val="single" w:sz="6" w:space="0" w:color="000000"/>
            </w:tcBorders>
          </w:tcPr>
          <w:p w14:paraId="1E2C3EA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43/287 (15.0%) </w:t>
            </w:r>
          </w:p>
        </w:tc>
        <w:tc>
          <w:tcPr>
            <w:tcW w:w="1035" w:type="dxa"/>
            <w:tcBorders>
              <w:top w:val="single" w:sz="6" w:space="0" w:color="000000"/>
              <w:left w:val="single" w:sz="6" w:space="0" w:color="000000"/>
              <w:bottom w:val="single" w:sz="6" w:space="0" w:color="000000"/>
              <w:right w:val="single" w:sz="6" w:space="0" w:color="000000"/>
            </w:tcBorders>
          </w:tcPr>
          <w:p w14:paraId="226CF685" w14:textId="77777777" w:rsidR="006E087E" w:rsidRDefault="006E087E" w:rsidP="00A207C4">
            <w:pPr>
              <w:jc w:val="center"/>
              <w:rPr>
                <w:rFonts w:ascii="Garamond" w:eastAsia="Garamond" w:hAnsi="Garamond" w:cs="Garamond"/>
                <w:sz w:val="18"/>
                <w:szCs w:val="18"/>
              </w:rPr>
            </w:pPr>
            <w:r>
              <w:rPr>
                <w:rFonts w:ascii="Garamond" w:eastAsia="Garamond" w:hAnsi="Garamond" w:cs="Garamond"/>
                <w:b/>
                <w:sz w:val="18"/>
                <w:szCs w:val="18"/>
              </w:rPr>
              <w:t>RR 0.94</w:t>
            </w:r>
            <w:r>
              <w:rPr>
                <w:rFonts w:ascii="Garamond" w:eastAsia="Garamond" w:hAnsi="Garamond" w:cs="Garamond"/>
                <w:sz w:val="18"/>
                <w:szCs w:val="18"/>
              </w:rPr>
              <w:br/>
              <w:t>(0.64 to 1.38)</w:t>
            </w:r>
          </w:p>
        </w:tc>
        <w:tc>
          <w:tcPr>
            <w:tcW w:w="1305" w:type="dxa"/>
            <w:tcBorders>
              <w:top w:val="single" w:sz="6" w:space="0" w:color="000000"/>
              <w:left w:val="single" w:sz="6" w:space="0" w:color="000000"/>
              <w:bottom w:val="single" w:sz="6" w:space="0" w:color="000000"/>
              <w:right w:val="single" w:sz="6" w:space="0" w:color="000000"/>
            </w:tcBorders>
          </w:tcPr>
          <w:p w14:paraId="493A2255" w14:textId="77777777" w:rsidR="006E087E" w:rsidRDefault="006E087E" w:rsidP="00A207C4">
            <w:pPr>
              <w:jc w:val="center"/>
              <w:rPr>
                <w:rFonts w:ascii="Garamond" w:eastAsia="Garamond" w:hAnsi="Garamond" w:cs="Garamond"/>
                <w:sz w:val="18"/>
                <w:szCs w:val="18"/>
              </w:rPr>
            </w:pPr>
            <w:r>
              <w:rPr>
                <w:rFonts w:ascii="Garamond" w:eastAsia="Garamond" w:hAnsi="Garamond" w:cs="Garamond"/>
                <w:b/>
                <w:sz w:val="18"/>
                <w:szCs w:val="18"/>
              </w:rPr>
              <w:t>9 fewer per 1,000</w:t>
            </w:r>
            <w:r>
              <w:rPr>
                <w:rFonts w:ascii="Garamond" w:eastAsia="Garamond" w:hAnsi="Garamond" w:cs="Garamond"/>
                <w:sz w:val="18"/>
                <w:szCs w:val="18"/>
              </w:rPr>
              <w:br/>
              <w:t>(from 54 fewer to 57 more)</w:t>
            </w:r>
          </w:p>
        </w:tc>
        <w:tc>
          <w:tcPr>
            <w:tcW w:w="1035" w:type="dxa"/>
            <w:tcBorders>
              <w:top w:val="single" w:sz="6" w:space="0" w:color="000000"/>
              <w:left w:val="single" w:sz="6" w:space="0" w:color="000000"/>
              <w:bottom w:val="single" w:sz="6" w:space="0" w:color="000000"/>
              <w:right w:val="single" w:sz="6" w:space="0" w:color="000000"/>
            </w:tcBorders>
          </w:tcPr>
          <w:p w14:paraId="564404CC"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25"/>
                <w:id w:val="1845902202"/>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60" w:type="dxa"/>
            <w:tcBorders>
              <w:top w:val="single" w:sz="6" w:space="0" w:color="000000"/>
              <w:left w:val="single" w:sz="6" w:space="0" w:color="000000"/>
              <w:bottom w:val="single" w:sz="6" w:space="0" w:color="000000"/>
              <w:right w:val="single" w:sz="6" w:space="0" w:color="000000"/>
            </w:tcBorders>
          </w:tcPr>
          <w:p w14:paraId="0A78F1D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070753D0"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151CA58A"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Mortality/ unexpected deaths [observational studies]</w:t>
            </w:r>
          </w:p>
        </w:tc>
      </w:tr>
      <w:tr w:rsidR="006E087E" w14:paraId="109F32DD" w14:textId="77777777" w:rsidTr="00A207C4">
        <w:trPr>
          <w:cantSplit/>
          <w:trHeight w:val="1381"/>
        </w:trPr>
        <w:tc>
          <w:tcPr>
            <w:tcW w:w="795" w:type="dxa"/>
            <w:tcBorders>
              <w:top w:val="single" w:sz="6" w:space="0" w:color="000000"/>
              <w:left w:val="single" w:sz="6" w:space="0" w:color="000000"/>
              <w:bottom w:val="single" w:sz="6" w:space="0" w:color="000000"/>
              <w:right w:val="single" w:sz="6" w:space="0" w:color="000000"/>
            </w:tcBorders>
          </w:tcPr>
          <w:p w14:paraId="3F26FA46" w14:textId="77777777" w:rsidR="006E087E" w:rsidRDefault="006E087E" w:rsidP="00A207C4">
            <w:pPr>
              <w:jc w:val="center"/>
              <w:rPr>
                <w:rFonts w:ascii="Garamond" w:eastAsia="Garamond" w:hAnsi="Garamond" w:cs="Garamond"/>
                <w:sz w:val="18"/>
                <w:szCs w:val="18"/>
                <w:highlight w:val="yellow"/>
              </w:rPr>
            </w:pPr>
            <w:r>
              <w:rPr>
                <w:rFonts w:ascii="Garamond" w:eastAsia="Garamond" w:hAnsi="Garamond" w:cs="Garamond"/>
                <w:sz w:val="18"/>
                <w:szCs w:val="18"/>
              </w:rPr>
              <w:t>7</w:t>
            </w:r>
          </w:p>
        </w:tc>
        <w:tc>
          <w:tcPr>
            <w:tcW w:w="1095" w:type="dxa"/>
            <w:tcBorders>
              <w:top w:val="single" w:sz="6" w:space="0" w:color="000000"/>
              <w:left w:val="single" w:sz="6" w:space="0" w:color="000000"/>
              <w:bottom w:val="single" w:sz="6" w:space="0" w:color="000000"/>
              <w:right w:val="single" w:sz="6" w:space="0" w:color="000000"/>
            </w:tcBorders>
          </w:tcPr>
          <w:p w14:paraId="555C339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930" w:type="dxa"/>
            <w:tcBorders>
              <w:top w:val="single" w:sz="6" w:space="0" w:color="000000"/>
              <w:left w:val="single" w:sz="6" w:space="0" w:color="000000"/>
              <w:bottom w:val="single" w:sz="6" w:space="0" w:color="000000"/>
              <w:right w:val="single" w:sz="6" w:space="0" w:color="000000"/>
            </w:tcBorders>
          </w:tcPr>
          <w:p w14:paraId="4D34BBE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45" w:type="dxa"/>
            <w:tcBorders>
              <w:top w:val="single" w:sz="6" w:space="0" w:color="000000"/>
              <w:left w:val="single" w:sz="6" w:space="0" w:color="000000"/>
              <w:bottom w:val="single" w:sz="6" w:space="0" w:color="000000"/>
              <w:right w:val="single" w:sz="6" w:space="0" w:color="000000"/>
            </w:tcBorders>
          </w:tcPr>
          <w:p w14:paraId="7B18F9F5"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155" w:type="dxa"/>
            <w:tcBorders>
              <w:top w:val="single" w:sz="6" w:space="0" w:color="000000"/>
              <w:left w:val="single" w:sz="6" w:space="0" w:color="000000"/>
              <w:bottom w:val="single" w:sz="6" w:space="0" w:color="000000"/>
              <w:right w:val="single" w:sz="6" w:space="0" w:color="000000"/>
            </w:tcBorders>
          </w:tcPr>
          <w:p w14:paraId="083A2DE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3B00DC1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50" w:type="dxa"/>
            <w:tcBorders>
              <w:top w:val="single" w:sz="6" w:space="0" w:color="000000"/>
              <w:left w:val="single" w:sz="6" w:space="0" w:color="000000"/>
              <w:bottom w:val="single" w:sz="6" w:space="0" w:color="000000"/>
              <w:right w:val="single" w:sz="6" w:space="0" w:color="000000"/>
            </w:tcBorders>
          </w:tcPr>
          <w:p w14:paraId="2B08A6B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130" w:type="dxa"/>
            <w:gridSpan w:val="4"/>
            <w:tcBorders>
              <w:top w:val="single" w:sz="6" w:space="0" w:color="000000"/>
              <w:left w:val="single" w:sz="6" w:space="0" w:color="000000"/>
              <w:bottom w:val="single" w:sz="6" w:space="0" w:color="000000"/>
              <w:right w:val="single" w:sz="6" w:space="0" w:color="000000"/>
            </w:tcBorders>
          </w:tcPr>
          <w:p w14:paraId="05F08916" w14:textId="77777777" w:rsidR="006E087E" w:rsidRDefault="006E087E" w:rsidP="00A207C4">
            <w:pPr>
              <w:rPr>
                <w:rFonts w:ascii="Garamond" w:eastAsia="Garamond" w:hAnsi="Garamond" w:cs="Garamond"/>
                <w:b/>
                <w:sz w:val="18"/>
                <w:szCs w:val="18"/>
              </w:rPr>
            </w:pPr>
            <w:r>
              <w:rPr>
                <w:rFonts w:ascii="Garamond" w:eastAsia="Garamond" w:hAnsi="Garamond" w:cs="Garamond"/>
                <w:sz w:val="18"/>
                <w:szCs w:val="18"/>
              </w:rPr>
              <w:t xml:space="preserve">Among 7 observational before-after studies, </w:t>
            </w:r>
            <w:r>
              <w:rPr>
                <w:rFonts w:ascii="Garamond" w:eastAsia="Garamond" w:hAnsi="Garamond" w:cs="Garamond"/>
                <w:b/>
                <w:sz w:val="18"/>
                <w:szCs w:val="18"/>
              </w:rPr>
              <w:t>3 found decreased mortality rate</w:t>
            </w:r>
            <w:r>
              <w:rPr>
                <w:rFonts w:ascii="Garamond" w:eastAsia="Garamond" w:hAnsi="Garamond" w:cs="Garamond"/>
                <w:sz w:val="18"/>
                <w:szCs w:val="18"/>
              </w:rPr>
              <w:t xml:space="preserve"> with continuous VS monitoring compared to intermittent (</w:t>
            </w:r>
            <w:proofErr w:type="spellStart"/>
            <w:r>
              <w:rPr>
                <w:rFonts w:ascii="Garamond" w:eastAsia="Garamond" w:hAnsi="Garamond" w:cs="Garamond"/>
                <w:sz w:val="18"/>
                <w:szCs w:val="18"/>
              </w:rPr>
              <w:t>Subbe</w:t>
            </w:r>
            <w:proofErr w:type="spellEnd"/>
            <w:r>
              <w:rPr>
                <w:rFonts w:ascii="Garamond" w:eastAsia="Garamond" w:hAnsi="Garamond" w:cs="Garamond"/>
                <w:sz w:val="18"/>
                <w:szCs w:val="18"/>
              </w:rPr>
              <w:t xml:space="preserve"> 2017</w:t>
            </w:r>
            <w:r>
              <w:rPr>
                <w:rFonts w:ascii="Garamond" w:eastAsia="Garamond" w:hAnsi="Garamond" w:cs="Garamond"/>
                <w:sz w:val="18"/>
                <w:szCs w:val="18"/>
                <w:vertAlign w:val="superscript"/>
              </w:rPr>
              <w:t>17</w:t>
            </w:r>
            <w:r>
              <w:rPr>
                <w:rFonts w:ascii="Garamond" w:eastAsia="Garamond" w:hAnsi="Garamond" w:cs="Garamond"/>
                <w:sz w:val="18"/>
                <w:szCs w:val="18"/>
              </w:rPr>
              <w:t>; Scott Evans 2015</w:t>
            </w:r>
            <w:r>
              <w:rPr>
                <w:rFonts w:ascii="Garamond" w:eastAsia="Garamond" w:hAnsi="Garamond" w:cs="Garamond"/>
                <w:sz w:val="18"/>
                <w:szCs w:val="18"/>
                <w:vertAlign w:val="superscript"/>
              </w:rPr>
              <w:t>18</w:t>
            </w:r>
            <w:r>
              <w:rPr>
                <w:rFonts w:ascii="Garamond" w:eastAsia="Garamond" w:hAnsi="Garamond" w:cs="Garamond"/>
                <w:sz w:val="18"/>
                <w:szCs w:val="18"/>
              </w:rPr>
              <w:t xml:space="preserve">; </w:t>
            </w:r>
            <w:proofErr w:type="spellStart"/>
            <w:r>
              <w:rPr>
                <w:rFonts w:ascii="Garamond" w:eastAsia="Garamond" w:hAnsi="Garamond" w:cs="Garamond"/>
                <w:sz w:val="18"/>
                <w:szCs w:val="18"/>
              </w:rPr>
              <w:t>Bellomo</w:t>
            </w:r>
            <w:proofErr w:type="spellEnd"/>
            <w:r>
              <w:rPr>
                <w:rFonts w:ascii="Garamond" w:eastAsia="Garamond" w:hAnsi="Garamond" w:cs="Garamond"/>
                <w:sz w:val="18"/>
                <w:szCs w:val="18"/>
              </w:rPr>
              <w:t xml:space="preserve"> 2012</w:t>
            </w:r>
            <w:r>
              <w:rPr>
                <w:rFonts w:ascii="Garamond" w:eastAsia="Garamond" w:hAnsi="Garamond" w:cs="Garamond"/>
                <w:sz w:val="18"/>
                <w:szCs w:val="18"/>
                <w:vertAlign w:val="superscript"/>
              </w:rPr>
              <w:t>20</w:t>
            </w:r>
            <w:r>
              <w:rPr>
                <w:rFonts w:ascii="Garamond" w:eastAsia="Garamond" w:hAnsi="Garamond" w:cs="Garamond"/>
                <w:sz w:val="18"/>
                <w:szCs w:val="18"/>
              </w:rPr>
              <w:t xml:space="preserve">) and </w:t>
            </w:r>
            <w:r>
              <w:rPr>
                <w:rFonts w:ascii="Garamond" w:eastAsia="Garamond" w:hAnsi="Garamond" w:cs="Garamond"/>
                <w:b/>
                <w:sz w:val="18"/>
                <w:szCs w:val="18"/>
              </w:rPr>
              <w:t>4 found no change in mortality</w:t>
            </w:r>
            <w:r>
              <w:rPr>
                <w:rFonts w:ascii="Garamond" w:eastAsia="Garamond" w:hAnsi="Garamond" w:cs="Garamond"/>
                <w:sz w:val="18"/>
                <w:szCs w:val="18"/>
              </w:rPr>
              <w:t xml:space="preserve"> (</w:t>
            </w:r>
            <w:proofErr w:type="spellStart"/>
            <w:r>
              <w:rPr>
                <w:rFonts w:ascii="Garamond" w:eastAsia="Garamond" w:hAnsi="Garamond" w:cs="Garamond"/>
                <w:sz w:val="18"/>
                <w:szCs w:val="18"/>
              </w:rPr>
              <w:t>Xie</w:t>
            </w:r>
            <w:proofErr w:type="spellEnd"/>
            <w:r>
              <w:rPr>
                <w:rFonts w:ascii="Garamond" w:eastAsia="Garamond" w:hAnsi="Garamond" w:cs="Garamond"/>
                <w:sz w:val="18"/>
                <w:szCs w:val="18"/>
              </w:rPr>
              <w:t xml:space="preserve"> 2019</w:t>
            </w:r>
            <w:r>
              <w:rPr>
                <w:rFonts w:ascii="Garamond" w:eastAsia="Garamond" w:hAnsi="Garamond" w:cs="Garamond"/>
                <w:sz w:val="18"/>
                <w:szCs w:val="18"/>
                <w:vertAlign w:val="superscript"/>
              </w:rPr>
              <w:t>15</w:t>
            </w:r>
            <w:r>
              <w:rPr>
                <w:rFonts w:ascii="Garamond" w:eastAsia="Garamond" w:hAnsi="Garamond" w:cs="Garamond"/>
                <w:sz w:val="18"/>
                <w:szCs w:val="18"/>
              </w:rPr>
              <w:t>; Weller 2018</w:t>
            </w:r>
            <w:r>
              <w:rPr>
                <w:rFonts w:ascii="Garamond" w:eastAsia="Garamond" w:hAnsi="Garamond" w:cs="Garamond"/>
                <w:sz w:val="18"/>
                <w:szCs w:val="18"/>
                <w:vertAlign w:val="superscript"/>
              </w:rPr>
              <w:t>23</w:t>
            </w:r>
            <w:r>
              <w:rPr>
                <w:rFonts w:ascii="Garamond" w:eastAsia="Garamond" w:hAnsi="Garamond" w:cs="Garamond"/>
                <w:sz w:val="18"/>
                <w:szCs w:val="18"/>
              </w:rPr>
              <w:t>; Brown 2014</w:t>
            </w:r>
            <w:r>
              <w:rPr>
                <w:rFonts w:ascii="Garamond" w:eastAsia="Garamond" w:hAnsi="Garamond" w:cs="Garamond"/>
                <w:sz w:val="18"/>
                <w:szCs w:val="18"/>
                <w:vertAlign w:val="superscript"/>
              </w:rPr>
              <w:t>24</w:t>
            </w:r>
            <w:r>
              <w:rPr>
                <w:rFonts w:ascii="Garamond" w:eastAsia="Garamond" w:hAnsi="Garamond" w:cs="Garamond"/>
                <w:sz w:val="18"/>
                <w:szCs w:val="18"/>
              </w:rPr>
              <w:t xml:space="preserve">; </w:t>
            </w:r>
            <w:proofErr w:type="spellStart"/>
            <w:r>
              <w:rPr>
                <w:rFonts w:ascii="Garamond" w:eastAsia="Garamond" w:hAnsi="Garamond" w:cs="Garamond"/>
                <w:sz w:val="18"/>
                <w:szCs w:val="18"/>
              </w:rPr>
              <w:t>Verrillo</w:t>
            </w:r>
            <w:proofErr w:type="spellEnd"/>
            <w:r>
              <w:rPr>
                <w:rFonts w:ascii="Garamond" w:eastAsia="Garamond" w:hAnsi="Garamond" w:cs="Garamond"/>
                <w:sz w:val="18"/>
                <w:szCs w:val="18"/>
              </w:rPr>
              <w:t xml:space="preserve"> 2019</w:t>
            </w:r>
            <w:r>
              <w:rPr>
                <w:rFonts w:ascii="Garamond" w:eastAsia="Garamond" w:hAnsi="Garamond" w:cs="Garamond"/>
                <w:sz w:val="18"/>
                <w:szCs w:val="18"/>
                <w:vertAlign w:val="superscript"/>
              </w:rPr>
              <w:t>25</w:t>
            </w:r>
            <w:r>
              <w:rPr>
                <w:rFonts w:ascii="Garamond" w:eastAsia="Garamond" w:hAnsi="Garamond" w:cs="Garamond"/>
                <w:sz w:val="18"/>
                <w:szCs w:val="18"/>
              </w:rPr>
              <w:t xml:space="preserve">). Variability in how the outcome was reported across studies did not allow for numerical pooling of the data. </w:t>
            </w:r>
            <w:r>
              <w:rPr>
                <w:rFonts w:ascii="Garamond" w:eastAsia="Garamond" w:hAnsi="Garamond" w:cs="Garamond"/>
                <w:b/>
                <w:sz w:val="18"/>
                <w:szCs w:val="18"/>
              </w:rPr>
              <w:t>Overall, we are uncertain as to the effect of continuous VS monitoring on mortality among hospitalized patients outside in the ICU.</w:t>
            </w:r>
          </w:p>
        </w:tc>
        <w:tc>
          <w:tcPr>
            <w:tcW w:w="1035" w:type="dxa"/>
            <w:tcBorders>
              <w:top w:val="single" w:sz="6" w:space="0" w:color="000000"/>
              <w:left w:val="single" w:sz="6" w:space="0" w:color="000000"/>
              <w:bottom w:val="single" w:sz="6" w:space="0" w:color="000000"/>
              <w:right w:val="single" w:sz="6" w:space="0" w:color="000000"/>
            </w:tcBorders>
          </w:tcPr>
          <w:p w14:paraId="77C7B2DB"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26"/>
                <w:id w:val="-79677913"/>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60" w:type="dxa"/>
            <w:tcBorders>
              <w:top w:val="single" w:sz="6" w:space="0" w:color="000000"/>
              <w:left w:val="single" w:sz="6" w:space="0" w:color="000000"/>
              <w:bottom w:val="single" w:sz="6" w:space="0" w:color="000000"/>
              <w:right w:val="single" w:sz="6" w:space="0" w:color="000000"/>
            </w:tcBorders>
          </w:tcPr>
          <w:p w14:paraId="43257FA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2E18B2D8"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466F122A"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Cardiac arrest outside the ICU [randomized trials]</w:t>
            </w:r>
          </w:p>
        </w:tc>
      </w:tr>
      <w:tr w:rsidR="006E087E" w14:paraId="39C30DB4" w14:textId="77777777" w:rsidTr="00A207C4">
        <w:trPr>
          <w:cantSplit/>
          <w:trHeight w:val="1006"/>
        </w:trPr>
        <w:tc>
          <w:tcPr>
            <w:tcW w:w="795" w:type="dxa"/>
            <w:tcBorders>
              <w:top w:val="single" w:sz="6" w:space="0" w:color="000000"/>
              <w:left w:val="single" w:sz="6" w:space="0" w:color="000000"/>
              <w:bottom w:val="single" w:sz="6" w:space="0" w:color="000000"/>
              <w:right w:val="single" w:sz="6" w:space="0" w:color="000000"/>
            </w:tcBorders>
          </w:tcPr>
          <w:p w14:paraId="0491DD4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w:t>
            </w:r>
          </w:p>
        </w:tc>
        <w:tc>
          <w:tcPr>
            <w:tcW w:w="1095" w:type="dxa"/>
            <w:tcBorders>
              <w:top w:val="single" w:sz="6" w:space="0" w:color="000000"/>
              <w:left w:val="single" w:sz="6" w:space="0" w:color="000000"/>
              <w:bottom w:val="single" w:sz="6" w:space="0" w:color="000000"/>
              <w:right w:val="single" w:sz="6" w:space="0" w:color="000000"/>
            </w:tcBorders>
          </w:tcPr>
          <w:p w14:paraId="6AE32B09" w14:textId="77777777" w:rsidR="006E087E" w:rsidRDefault="006E087E" w:rsidP="00A207C4">
            <w:pPr>
              <w:jc w:val="center"/>
              <w:rPr>
                <w:rFonts w:ascii="Garamond" w:eastAsia="Garamond" w:hAnsi="Garamond" w:cs="Garamond"/>
                <w:sz w:val="18"/>
                <w:szCs w:val="18"/>
              </w:rPr>
            </w:pP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tc>
        <w:tc>
          <w:tcPr>
            <w:tcW w:w="930" w:type="dxa"/>
            <w:tcBorders>
              <w:top w:val="single" w:sz="6" w:space="0" w:color="000000"/>
              <w:left w:val="single" w:sz="6" w:space="0" w:color="000000"/>
              <w:bottom w:val="single" w:sz="6" w:space="0" w:color="000000"/>
              <w:right w:val="single" w:sz="6" w:space="0" w:color="000000"/>
            </w:tcBorders>
          </w:tcPr>
          <w:p w14:paraId="27F6D93B"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45" w:type="dxa"/>
            <w:tcBorders>
              <w:top w:val="single" w:sz="6" w:space="0" w:color="000000"/>
              <w:left w:val="single" w:sz="6" w:space="0" w:color="000000"/>
              <w:bottom w:val="single" w:sz="6" w:space="0" w:color="000000"/>
              <w:right w:val="single" w:sz="6" w:space="0" w:color="000000"/>
            </w:tcBorders>
          </w:tcPr>
          <w:p w14:paraId="43F861B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55" w:type="dxa"/>
            <w:tcBorders>
              <w:top w:val="single" w:sz="6" w:space="0" w:color="000000"/>
              <w:left w:val="single" w:sz="6" w:space="0" w:color="000000"/>
              <w:bottom w:val="single" w:sz="6" w:space="0" w:color="000000"/>
              <w:right w:val="single" w:sz="6" w:space="0" w:color="000000"/>
            </w:tcBorders>
          </w:tcPr>
          <w:p w14:paraId="2AC93C3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0517CD32"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very</w:t>
            </w:r>
          </w:p>
          <w:p w14:paraId="7D27A804"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350" w:type="dxa"/>
            <w:tcBorders>
              <w:top w:val="single" w:sz="6" w:space="0" w:color="000000"/>
              <w:left w:val="single" w:sz="6" w:space="0" w:color="000000"/>
              <w:bottom w:val="single" w:sz="6" w:space="0" w:color="000000"/>
              <w:right w:val="single" w:sz="6" w:space="0" w:color="000000"/>
            </w:tcBorders>
          </w:tcPr>
          <w:p w14:paraId="75658BC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1350" w:type="dxa"/>
            <w:tcBorders>
              <w:top w:val="single" w:sz="6" w:space="0" w:color="000000"/>
              <w:left w:val="single" w:sz="6" w:space="0" w:color="000000"/>
              <w:bottom w:val="single" w:sz="6" w:space="0" w:color="000000"/>
              <w:right w:val="single" w:sz="6" w:space="0" w:color="000000"/>
            </w:tcBorders>
          </w:tcPr>
          <w:p w14:paraId="53B0218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9/325 (2.8%) </w:t>
            </w:r>
          </w:p>
        </w:tc>
        <w:tc>
          <w:tcPr>
            <w:tcW w:w="1440" w:type="dxa"/>
            <w:tcBorders>
              <w:top w:val="single" w:sz="6" w:space="0" w:color="000000"/>
              <w:left w:val="single" w:sz="6" w:space="0" w:color="000000"/>
              <w:bottom w:val="single" w:sz="6" w:space="0" w:color="000000"/>
              <w:right w:val="single" w:sz="6" w:space="0" w:color="000000"/>
            </w:tcBorders>
          </w:tcPr>
          <w:p w14:paraId="270399A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11/327 (3.4%) </w:t>
            </w:r>
          </w:p>
        </w:tc>
        <w:tc>
          <w:tcPr>
            <w:tcW w:w="1035" w:type="dxa"/>
            <w:tcBorders>
              <w:top w:val="single" w:sz="6" w:space="0" w:color="000000"/>
              <w:left w:val="single" w:sz="6" w:space="0" w:color="000000"/>
              <w:bottom w:val="single" w:sz="6" w:space="0" w:color="000000"/>
              <w:right w:val="single" w:sz="6" w:space="0" w:color="000000"/>
            </w:tcBorders>
          </w:tcPr>
          <w:p w14:paraId="502A726F" w14:textId="77777777" w:rsidR="006E087E" w:rsidRDefault="006E087E" w:rsidP="00A207C4">
            <w:pPr>
              <w:jc w:val="center"/>
              <w:rPr>
                <w:rFonts w:ascii="Garamond" w:eastAsia="Garamond" w:hAnsi="Garamond" w:cs="Garamond"/>
                <w:sz w:val="18"/>
                <w:szCs w:val="18"/>
              </w:rPr>
            </w:pPr>
            <w:r>
              <w:rPr>
                <w:rFonts w:ascii="Garamond" w:eastAsia="Garamond" w:hAnsi="Garamond" w:cs="Garamond"/>
                <w:b/>
                <w:sz w:val="18"/>
                <w:szCs w:val="18"/>
              </w:rPr>
              <w:t>RR 0.83</w:t>
            </w:r>
            <w:r>
              <w:rPr>
                <w:rFonts w:ascii="Garamond" w:eastAsia="Garamond" w:hAnsi="Garamond" w:cs="Garamond"/>
                <w:sz w:val="18"/>
                <w:szCs w:val="18"/>
              </w:rPr>
              <w:br/>
              <w:t>(0.36 to 1.91)</w:t>
            </w:r>
          </w:p>
        </w:tc>
        <w:tc>
          <w:tcPr>
            <w:tcW w:w="1305" w:type="dxa"/>
            <w:tcBorders>
              <w:top w:val="single" w:sz="6" w:space="0" w:color="000000"/>
              <w:left w:val="single" w:sz="6" w:space="0" w:color="000000"/>
              <w:bottom w:val="single" w:sz="6" w:space="0" w:color="000000"/>
              <w:right w:val="single" w:sz="6" w:space="0" w:color="000000"/>
            </w:tcBorders>
          </w:tcPr>
          <w:p w14:paraId="0774F334" w14:textId="77777777" w:rsidR="006E087E" w:rsidRDefault="006E087E" w:rsidP="00A207C4">
            <w:pPr>
              <w:jc w:val="center"/>
              <w:rPr>
                <w:rFonts w:ascii="Garamond" w:eastAsia="Garamond" w:hAnsi="Garamond" w:cs="Garamond"/>
                <w:sz w:val="18"/>
                <w:szCs w:val="18"/>
              </w:rPr>
            </w:pPr>
            <w:r>
              <w:rPr>
                <w:rFonts w:ascii="Garamond" w:eastAsia="Garamond" w:hAnsi="Garamond" w:cs="Garamond"/>
                <w:b/>
                <w:sz w:val="18"/>
                <w:szCs w:val="18"/>
              </w:rPr>
              <w:t>6 fewer per 1,000</w:t>
            </w:r>
            <w:r>
              <w:rPr>
                <w:rFonts w:ascii="Garamond" w:eastAsia="Garamond" w:hAnsi="Garamond" w:cs="Garamond"/>
                <w:sz w:val="18"/>
                <w:szCs w:val="18"/>
              </w:rPr>
              <w:br/>
              <w:t>(from 21 fewer to 29 more)</w:t>
            </w:r>
          </w:p>
        </w:tc>
        <w:tc>
          <w:tcPr>
            <w:tcW w:w="1035" w:type="dxa"/>
            <w:tcBorders>
              <w:top w:val="single" w:sz="6" w:space="0" w:color="000000"/>
              <w:left w:val="single" w:sz="6" w:space="0" w:color="000000"/>
              <w:bottom w:val="single" w:sz="6" w:space="0" w:color="000000"/>
              <w:right w:val="single" w:sz="6" w:space="0" w:color="000000"/>
            </w:tcBorders>
          </w:tcPr>
          <w:p w14:paraId="2CA2D46E"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27"/>
                <w:id w:val="-695768700"/>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60" w:type="dxa"/>
            <w:tcBorders>
              <w:top w:val="single" w:sz="6" w:space="0" w:color="000000"/>
              <w:left w:val="single" w:sz="6" w:space="0" w:color="000000"/>
              <w:bottom w:val="single" w:sz="6" w:space="0" w:color="000000"/>
              <w:right w:val="single" w:sz="6" w:space="0" w:color="000000"/>
            </w:tcBorders>
          </w:tcPr>
          <w:p w14:paraId="7DBC3ED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6DAF1B59"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0AF17F58"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Cardiac arrests outside of the ICU [observational studies]</w:t>
            </w:r>
          </w:p>
        </w:tc>
      </w:tr>
      <w:tr w:rsidR="006E087E" w14:paraId="7D1576D1" w14:textId="77777777" w:rsidTr="00A207C4">
        <w:trPr>
          <w:cantSplit/>
          <w:trHeight w:val="2242"/>
        </w:trPr>
        <w:tc>
          <w:tcPr>
            <w:tcW w:w="795" w:type="dxa"/>
            <w:tcBorders>
              <w:top w:val="single" w:sz="6" w:space="0" w:color="000000"/>
              <w:left w:val="single" w:sz="6" w:space="0" w:color="000000"/>
              <w:bottom w:val="single" w:sz="6" w:space="0" w:color="000000"/>
              <w:right w:val="single" w:sz="6" w:space="0" w:color="000000"/>
            </w:tcBorders>
          </w:tcPr>
          <w:p w14:paraId="71B9110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lastRenderedPageBreak/>
              <w:t>6</w:t>
            </w:r>
          </w:p>
        </w:tc>
        <w:tc>
          <w:tcPr>
            <w:tcW w:w="1095" w:type="dxa"/>
            <w:tcBorders>
              <w:top w:val="single" w:sz="6" w:space="0" w:color="000000"/>
              <w:left w:val="single" w:sz="6" w:space="0" w:color="000000"/>
              <w:bottom w:val="single" w:sz="6" w:space="0" w:color="000000"/>
              <w:right w:val="single" w:sz="6" w:space="0" w:color="000000"/>
            </w:tcBorders>
          </w:tcPr>
          <w:p w14:paraId="63CE2DF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930" w:type="dxa"/>
            <w:tcBorders>
              <w:top w:val="single" w:sz="6" w:space="0" w:color="000000"/>
              <w:left w:val="single" w:sz="6" w:space="0" w:color="000000"/>
              <w:bottom w:val="single" w:sz="6" w:space="0" w:color="000000"/>
              <w:right w:val="single" w:sz="6" w:space="0" w:color="000000"/>
            </w:tcBorders>
          </w:tcPr>
          <w:p w14:paraId="77C5B45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45" w:type="dxa"/>
            <w:tcBorders>
              <w:top w:val="single" w:sz="6" w:space="0" w:color="000000"/>
              <w:left w:val="single" w:sz="6" w:space="0" w:color="000000"/>
              <w:bottom w:val="single" w:sz="6" w:space="0" w:color="000000"/>
              <w:right w:val="single" w:sz="6" w:space="0" w:color="000000"/>
            </w:tcBorders>
          </w:tcPr>
          <w:p w14:paraId="76A4717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55" w:type="dxa"/>
            <w:tcBorders>
              <w:top w:val="single" w:sz="6" w:space="0" w:color="000000"/>
              <w:left w:val="single" w:sz="6" w:space="0" w:color="000000"/>
              <w:bottom w:val="single" w:sz="6" w:space="0" w:color="000000"/>
              <w:right w:val="single" w:sz="6" w:space="0" w:color="000000"/>
            </w:tcBorders>
          </w:tcPr>
          <w:p w14:paraId="1DA2498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75EBDC1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50" w:type="dxa"/>
            <w:tcBorders>
              <w:top w:val="single" w:sz="6" w:space="0" w:color="000000"/>
              <w:left w:val="single" w:sz="6" w:space="0" w:color="000000"/>
              <w:bottom w:val="single" w:sz="6" w:space="0" w:color="000000"/>
              <w:right w:val="single" w:sz="6" w:space="0" w:color="000000"/>
            </w:tcBorders>
          </w:tcPr>
          <w:p w14:paraId="7468527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130" w:type="dxa"/>
            <w:gridSpan w:val="4"/>
            <w:tcBorders>
              <w:top w:val="single" w:sz="6" w:space="0" w:color="000000"/>
              <w:left w:val="single" w:sz="6" w:space="0" w:color="000000"/>
              <w:bottom w:val="single" w:sz="6" w:space="0" w:color="000000"/>
              <w:right w:val="single" w:sz="6" w:space="0" w:color="000000"/>
            </w:tcBorders>
          </w:tcPr>
          <w:p w14:paraId="612FE0D0" w14:textId="77777777" w:rsidR="006E087E" w:rsidRDefault="006E087E" w:rsidP="00A207C4">
            <w:pPr>
              <w:rPr>
                <w:rFonts w:ascii="Garamond" w:eastAsia="Garamond" w:hAnsi="Garamond" w:cs="Garamond"/>
                <w:b/>
                <w:sz w:val="18"/>
                <w:szCs w:val="18"/>
              </w:rPr>
            </w:pPr>
            <w:r>
              <w:rPr>
                <w:rFonts w:ascii="Garamond" w:eastAsia="Garamond" w:hAnsi="Garamond" w:cs="Garamond"/>
                <w:sz w:val="18"/>
                <w:szCs w:val="18"/>
              </w:rPr>
              <w:t xml:space="preserve">Among 6 observational before-after studies that reported hospital mortality or unplanned deaths, </w:t>
            </w:r>
            <w:r>
              <w:rPr>
                <w:rFonts w:ascii="Garamond" w:eastAsia="Garamond" w:hAnsi="Garamond" w:cs="Garamond"/>
                <w:b/>
                <w:sz w:val="18"/>
                <w:szCs w:val="18"/>
              </w:rPr>
              <w:t>5 found decreased rates of cardiac arrest outside the ICU</w:t>
            </w:r>
            <w:r>
              <w:rPr>
                <w:rFonts w:ascii="Garamond" w:eastAsia="Garamond" w:hAnsi="Garamond" w:cs="Garamond"/>
                <w:sz w:val="18"/>
                <w:szCs w:val="18"/>
              </w:rPr>
              <w:t xml:space="preserve"> with continuous VS monitoring compared to intermittent VS monitoring (</w:t>
            </w:r>
            <w:proofErr w:type="spellStart"/>
            <w:r>
              <w:rPr>
                <w:rFonts w:ascii="Garamond" w:eastAsia="Garamond" w:hAnsi="Garamond" w:cs="Garamond"/>
                <w:sz w:val="18"/>
                <w:szCs w:val="18"/>
              </w:rPr>
              <w:t>Subbe</w:t>
            </w:r>
            <w:proofErr w:type="spellEnd"/>
            <w:r>
              <w:rPr>
                <w:rFonts w:ascii="Garamond" w:eastAsia="Garamond" w:hAnsi="Garamond" w:cs="Garamond"/>
                <w:sz w:val="18"/>
                <w:szCs w:val="18"/>
              </w:rPr>
              <w:t xml:space="preserve"> 2017</w:t>
            </w:r>
            <w:r>
              <w:rPr>
                <w:rFonts w:ascii="Garamond" w:eastAsia="Garamond" w:hAnsi="Garamond" w:cs="Garamond"/>
                <w:sz w:val="18"/>
                <w:szCs w:val="18"/>
                <w:vertAlign w:val="superscript"/>
              </w:rPr>
              <w:t>17</w:t>
            </w:r>
            <w:r>
              <w:rPr>
                <w:rFonts w:ascii="Garamond" w:eastAsia="Garamond" w:hAnsi="Garamond" w:cs="Garamond"/>
                <w:sz w:val="18"/>
                <w:szCs w:val="18"/>
              </w:rPr>
              <w:t>; Heller 2020</w:t>
            </w:r>
            <w:r>
              <w:rPr>
                <w:rFonts w:ascii="Garamond" w:eastAsia="Garamond" w:hAnsi="Garamond" w:cs="Garamond"/>
                <w:sz w:val="18"/>
                <w:szCs w:val="18"/>
                <w:vertAlign w:val="superscript"/>
              </w:rPr>
              <w:t>19</w:t>
            </w:r>
            <w:r>
              <w:rPr>
                <w:rFonts w:ascii="Garamond" w:eastAsia="Garamond" w:hAnsi="Garamond" w:cs="Garamond"/>
                <w:sz w:val="18"/>
                <w:szCs w:val="18"/>
              </w:rPr>
              <w:t xml:space="preserve">; </w:t>
            </w:r>
            <w:proofErr w:type="spellStart"/>
            <w:r>
              <w:rPr>
                <w:rFonts w:ascii="Garamond" w:eastAsia="Garamond" w:hAnsi="Garamond" w:cs="Garamond"/>
                <w:sz w:val="18"/>
                <w:szCs w:val="18"/>
              </w:rPr>
              <w:t>Zimlichman</w:t>
            </w:r>
            <w:proofErr w:type="spellEnd"/>
            <w:r>
              <w:rPr>
                <w:rFonts w:ascii="Garamond" w:eastAsia="Garamond" w:hAnsi="Garamond" w:cs="Garamond"/>
                <w:sz w:val="18"/>
                <w:szCs w:val="18"/>
              </w:rPr>
              <w:t xml:space="preserve"> 2012</w:t>
            </w:r>
            <w:r>
              <w:rPr>
                <w:rFonts w:ascii="Garamond" w:eastAsia="Garamond" w:hAnsi="Garamond" w:cs="Garamond"/>
                <w:sz w:val="18"/>
                <w:szCs w:val="18"/>
                <w:vertAlign w:val="superscript"/>
              </w:rPr>
              <w:t>21</w:t>
            </w:r>
            <w:r>
              <w:rPr>
                <w:rFonts w:ascii="Garamond" w:eastAsia="Garamond" w:hAnsi="Garamond" w:cs="Garamond"/>
                <w:sz w:val="18"/>
                <w:szCs w:val="18"/>
              </w:rPr>
              <w:t>; Long 2016</w:t>
            </w:r>
            <w:r>
              <w:rPr>
                <w:rFonts w:ascii="Garamond" w:eastAsia="Garamond" w:hAnsi="Garamond" w:cs="Garamond"/>
                <w:sz w:val="18"/>
                <w:szCs w:val="18"/>
                <w:vertAlign w:val="superscript"/>
              </w:rPr>
              <w:t>22</w:t>
            </w:r>
            <w:r>
              <w:rPr>
                <w:rFonts w:ascii="Garamond" w:eastAsia="Garamond" w:hAnsi="Garamond" w:cs="Garamond"/>
                <w:sz w:val="18"/>
                <w:szCs w:val="18"/>
              </w:rPr>
              <w:t>; Brown 2014</w:t>
            </w:r>
            <w:r>
              <w:rPr>
                <w:rFonts w:ascii="Garamond" w:eastAsia="Garamond" w:hAnsi="Garamond" w:cs="Garamond"/>
                <w:sz w:val="18"/>
                <w:szCs w:val="18"/>
                <w:vertAlign w:val="superscript"/>
              </w:rPr>
              <w:t>24</w:t>
            </w:r>
            <w:r>
              <w:rPr>
                <w:rFonts w:ascii="Garamond" w:eastAsia="Garamond" w:hAnsi="Garamond" w:cs="Garamond"/>
                <w:sz w:val="18"/>
                <w:szCs w:val="18"/>
              </w:rPr>
              <w:t xml:space="preserve">), whereas </w:t>
            </w:r>
            <w:r>
              <w:rPr>
                <w:rFonts w:ascii="Garamond" w:eastAsia="Garamond" w:hAnsi="Garamond" w:cs="Garamond"/>
                <w:b/>
                <w:sz w:val="18"/>
                <w:szCs w:val="18"/>
              </w:rPr>
              <w:t>one study found no change</w:t>
            </w:r>
            <w:r>
              <w:rPr>
                <w:rFonts w:ascii="Garamond" w:eastAsia="Garamond" w:hAnsi="Garamond" w:cs="Garamond"/>
                <w:sz w:val="18"/>
                <w:szCs w:val="18"/>
              </w:rPr>
              <w:t xml:space="preserve"> (</w:t>
            </w:r>
            <w:proofErr w:type="spellStart"/>
            <w:r>
              <w:rPr>
                <w:rFonts w:ascii="Garamond" w:eastAsia="Garamond" w:hAnsi="Garamond" w:cs="Garamond"/>
                <w:sz w:val="18"/>
                <w:szCs w:val="18"/>
              </w:rPr>
              <w:t>Bellomo</w:t>
            </w:r>
            <w:proofErr w:type="spellEnd"/>
            <w:r>
              <w:rPr>
                <w:rFonts w:ascii="Garamond" w:eastAsia="Garamond" w:hAnsi="Garamond" w:cs="Garamond"/>
                <w:sz w:val="18"/>
                <w:szCs w:val="18"/>
              </w:rPr>
              <w:t xml:space="preserve"> 2012</w:t>
            </w:r>
            <w:r>
              <w:rPr>
                <w:rFonts w:ascii="Garamond" w:eastAsia="Garamond" w:hAnsi="Garamond" w:cs="Garamond"/>
                <w:sz w:val="18"/>
                <w:szCs w:val="18"/>
                <w:vertAlign w:val="superscript"/>
              </w:rPr>
              <w:t>20</w:t>
            </w:r>
            <w:r>
              <w:rPr>
                <w:rFonts w:ascii="Garamond" w:eastAsia="Garamond" w:hAnsi="Garamond" w:cs="Garamond"/>
                <w:sz w:val="18"/>
                <w:szCs w:val="18"/>
              </w:rPr>
              <w:t xml:space="preserve">). Overall, rates of cardiac arrest outside the ICU were low (&lt; 1%) across all studies. Variability in how the outcome was reported across studies did not allow for numerical pooling of the data. </w:t>
            </w:r>
            <w:r>
              <w:rPr>
                <w:rFonts w:ascii="Garamond" w:eastAsia="Garamond" w:hAnsi="Garamond" w:cs="Garamond"/>
                <w:b/>
                <w:sz w:val="18"/>
                <w:szCs w:val="18"/>
              </w:rPr>
              <w:t>Overall, we are uncertain as to the effect of continuous VS monitoring on cardiac arrest rates among hospitalized patients outside the ICU.</w:t>
            </w:r>
          </w:p>
        </w:tc>
        <w:tc>
          <w:tcPr>
            <w:tcW w:w="1035" w:type="dxa"/>
            <w:tcBorders>
              <w:top w:val="single" w:sz="6" w:space="0" w:color="000000"/>
              <w:left w:val="single" w:sz="6" w:space="0" w:color="000000"/>
              <w:bottom w:val="single" w:sz="6" w:space="0" w:color="000000"/>
              <w:right w:val="single" w:sz="6" w:space="0" w:color="000000"/>
            </w:tcBorders>
          </w:tcPr>
          <w:p w14:paraId="04D08014"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28"/>
                <w:id w:val="1091512514"/>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60" w:type="dxa"/>
            <w:tcBorders>
              <w:top w:val="single" w:sz="6" w:space="0" w:color="000000"/>
              <w:left w:val="single" w:sz="6" w:space="0" w:color="000000"/>
              <w:bottom w:val="single" w:sz="6" w:space="0" w:color="000000"/>
              <w:right w:val="single" w:sz="6" w:space="0" w:color="000000"/>
            </w:tcBorders>
          </w:tcPr>
          <w:p w14:paraId="4DCE440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274F0827"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3B7C36CC"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Unplanned transfers to ICU [randomized trials]</w:t>
            </w:r>
          </w:p>
        </w:tc>
      </w:tr>
      <w:tr w:rsidR="006E087E" w14:paraId="64C284C9" w14:textId="77777777" w:rsidTr="00A207C4">
        <w:trPr>
          <w:cantSplit/>
        </w:trPr>
        <w:tc>
          <w:tcPr>
            <w:tcW w:w="795" w:type="dxa"/>
            <w:tcBorders>
              <w:top w:val="single" w:sz="6" w:space="0" w:color="000000"/>
              <w:left w:val="single" w:sz="6" w:space="0" w:color="000000"/>
              <w:bottom w:val="single" w:sz="6" w:space="0" w:color="000000"/>
              <w:right w:val="single" w:sz="6" w:space="0" w:color="000000"/>
            </w:tcBorders>
          </w:tcPr>
          <w:p w14:paraId="1DF8840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3</w:t>
            </w:r>
          </w:p>
        </w:tc>
        <w:tc>
          <w:tcPr>
            <w:tcW w:w="1095" w:type="dxa"/>
            <w:tcBorders>
              <w:top w:val="single" w:sz="6" w:space="0" w:color="000000"/>
              <w:left w:val="single" w:sz="6" w:space="0" w:color="000000"/>
              <w:bottom w:val="single" w:sz="6" w:space="0" w:color="000000"/>
              <w:right w:val="single" w:sz="6" w:space="0" w:color="000000"/>
            </w:tcBorders>
          </w:tcPr>
          <w:p w14:paraId="61EED64A" w14:textId="77777777" w:rsidR="006E087E" w:rsidRDefault="006E087E" w:rsidP="00A207C4">
            <w:pPr>
              <w:jc w:val="center"/>
              <w:rPr>
                <w:rFonts w:ascii="Garamond" w:eastAsia="Garamond" w:hAnsi="Garamond" w:cs="Garamond"/>
                <w:sz w:val="18"/>
                <w:szCs w:val="18"/>
              </w:rPr>
            </w:pP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tc>
        <w:tc>
          <w:tcPr>
            <w:tcW w:w="930" w:type="dxa"/>
            <w:tcBorders>
              <w:top w:val="single" w:sz="6" w:space="0" w:color="000000"/>
              <w:left w:val="single" w:sz="6" w:space="0" w:color="000000"/>
              <w:bottom w:val="single" w:sz="6" w:space="0" w:color="000000"/>
              <w:right w:val="single" w:sz="6" w:space="0" w:color="000000"/>
            </w:tcBorders>
          </w:tcPr>
          <w:p w14:paraId="229FC07B"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45" w:type="dxa"/>
            <w:tcBorders>
              <w:top w:val="single" w:sz="6" w:space="0" w:color="000000"/>
              <w:left w:val="single" w:sz="6" w:space="0" w:color="000000"/>
              <w:bottom w:val="single" w:sz="6" w:space="0" w:color="000000"/>
              <w:right w:val="single" w:sz="6" w:space="0" w:color="000000"/>
            </w:tcBorders>
          </w:tcPr>
          <w:p w14:paraId="65A8023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55" w:type="dxa"/>
            <w:tcBorders>
              <w:top w:val="single" w:sz="6" w:space="0" w:color="000000"/>
              <w:left w:val="single" w:sz="6" w:space="0" w:color="000000"/>
              <w:bottom w:val="single" w:sz="6" w:space="0" w:color="000000"/>
              <w:right w:val="single" w:sz="6" w:space="0" w:color="000000"/>
            </w:tcBorders>
          </w:tcPr>
          <w:p w14:paraId="796A593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7FED6D44"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very</w:t>
            </w:r>
          </w:p>
          <w:p w14:paraId="5285C542"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350" w:type="dxa"/>
            <w:tcBorders>
              <w:top w:val="single" w:sz="6" w:space="0" w:color="000000"/>
              <w:left w:val="single" w:sz="6" w:space="0" w:color="000000"/>
              <w:bottom w:val="single" w:sz="6" w:space="0" w:color="000000"/>
              <w:right w:val="single" w:sz="6" w:space="0" w:color="000000"/>
            </w:tcBorders>
          </w:tcPr>
          <w:p w14:paraId="70ED630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1350" w:type="dxa"/>
            <w:tcBorders>
              <w:top w:val="single" w:sz="6" w:space="0" w:color="000000"/>
              <w:left w:val="single" w:sz="6" w:space="0" w:color="000000"/>
              <w:bottom w:val="single" w:sz="6" w:space="0" w:color="000000"/>
              <w:right w:val="single" w:sz="6" w:space="0" w:color="000000"/>
            </w:tcBorders>
          </w:tcPr>
          <w:p w14:paraId="5DFD96A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13/465 (2.8%) </w:t>
            </w:r>
          </w:p>
        </w:tc>
        <w:tc>
          <w:tcPr>
            <w:tcW w:w="1440" w:type="dxa"/>
            <w:tcBorders>
              <w:top w:val="single" w:sz="6" w:space="0" w:color="000000"/>
              <w:left w:val="single" w:sz="6" w:space="0" w:color="000000"/>
              <w:bottom w:val="single" w:sz="6" w:space="0" w:color="000000"/>
              <w:right w:val="single" w:sz="6" w:space="0" w:color="000000"/>
            </w:tcBorders>
          </w:tcPr>
          <w:p w14:paraId="648A6A7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12/413 (2.9%) </w:t>
            </w:r>
          </w:p>
        </w:tc>
        <w:tc>
          <w:tcPr>
            <w:tcW w:w="1035" w:type="dxa"/>
            <w:tcBorders>
              <w:top w:val="single" w:sz="6" w:space="0" w:color="000000"/>
              <w:left w:val="single" w:sz="6" w:space="0" w:color="000000"/>
              <w:bottom w:val="single" w:sz="6" w:space="0" w:color="000000"/>
              <w:right w:val="single" w:sz="6" w:space="0" w:color="000000"/>
            </w:tcBorders>
          </w:tcPr>
          <w:p w14:paraId="2D22A46E" w14:textId="77777777" w:rsidR="006E087E" w:rsidRDefault="006E087E" w:rsidP="00A207C4">
            <w:pPr>
              <w:jc w:val="center"/>
              <w:rPr>
                <w:rFonts w:ascii="Garamond" w:eastAsia="Garamond" w:hAnsi="Garamond" w:cs="Garamond"/>
                <w:sz w:val="18"/>
                <w:szCs w:val="18"/>
              </w:rPr>
            </w:pPr>
            <w:r>
              <w:rPr>
                <w:rFonts w:ascii="Garamond" w:eastAsia="Garamond" w:hAnsi="Garamond" w:cs="Garamond"/>
                <w:b/>
                <w:sz w:val="18"/>
                <w:szCs w:val="18"/>
              </w:rPr>
              <w:t>RR 0.99</w:t>
            </w:r>
            <w:r>
              <w:rPr>
                <w:rFonts w:ascii="Garamond" w:eastAsia="Garamond" w:hAnsi="Garamond" w:cs="Garamond"/>
                <w:sz w:val="18"/>
                <w:szCs w:val="18"/>
              </w:rPr>
              <w:br/>
              <w:t>(0.46 to 2.1)</w:t>
            </w:r>
          </w:p>
        </w:tc>
        <w:tc>
          <w:tcPr>
            <w:tcW w:w="1305" w:type="dxa"/>
            <w:tcBorders>
              <w:top w:val="single" w:sz="6" w:space="0" w:color="000000"/>
              <w:left w:val="single" w:sz="6" w:space="0" w:color="000000"/>
              <w:bottom w:val="single" w:sz="6" w:space="0" w:color="000000"/>
              <w:right w:val="single" w:sz="6" w:space="0" w:color="000000"/>
            </w:tcBorders>
          </w:tcPr>
          <w:p w14:paraId="250AE3F5" w14:textId="77777777" w:rsidR="006E087E" w:rsidRDefault="006E087E" w:rsidP="00A207C4">
            <w:pPr>
              <w:jc w:val="center"/>
              <w:rPr>
                <w:rFonts w:ascii="Garamond" w:eastAsia="Garamond" w:hAnsi="Garamond" w:cs="Garamond"/>
                <w:sz w:val="18"/>
                <w:szCs w:val="18"/>
              </w:rPr>
            </w:pPr>
            <w:r>
              <w:rPr>
                <w:rFonts w:ascii="Garamond" w:eastAsia="Garamond" w:hAnsi="Garamond" w:cs="Garamond"/>
                <w:b/>
                <w:sz w:val="18"/>
                <w:szCs w:val="18"/>
              </w:rPr>
              <w:t>0 fewer per 1,000</w:t>
            </w:r>
            <w:r>
              <w:rPr>
                <w:rFonts w:ascii="Garamond" w:eastAsia="Garamond" w:hAnsi="Garamond" w:cs="Garamond"/>
                <w:sz w:val="18"/>
                <w:szCs w:val="18"/>
              </w:rPr>
              <w:br/>
              <w:t>(from 16 fewer to 32 more)</w:t>
            </w:r>
          </w:p>
        </w:tc>
        <w:tc>
          <w:tcPr>
            <w:tcW w:w="1035" w:type="dxa"/>
            <w:tcBorders>
              <w:top w:val="single" w:sz="6" w:space="0" w:color="000000"/>
              <w:left w:val="single" w:sz="6" w:space="0" w:color="000000"/>
              <w:bottom w:val="single" w:sz="6" w:space="0" w:color="000000"/>
              <w:right w:val="single" w:sz="6" w:space="0" w:color="000000"/>
            </w:tcBorders>
          </w:tcPr>
          <w:p w14:paraId="2DD7F93C"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29"/>
                <w:id w:val="-244416303"/>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60" w:type="dxa"/>
            <w:tcBorders>
              <w:top w:val="single" w:sz="6" w:space="0" w:color="000000"/>
              <w:left w:val="single" w:sz="6" w:space="0" w:color="000000"/>
              <w:bottom w:val="single" w:sz="6" w:space="0" w:color="000000"/>
              <w:right w:val="single" w:sz="6" w:space="0" w:color="000000"/>
            </w:tcBorders>
          </w:tcPr>
          <w:p w14:paraId="5181345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13569117"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156D0B48"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Unplanned transfers to ICU [observational studies]</w:t>
            </w:r>
          </w:p>
        </w:tc>
      </w:tr>
      <w:tr w:rsidR="006E087E" w14:paraId="2DA93A12" w14:textId="77777777" w:rsidTr="00A207C4">
        <w:trPr>
          <w:cantSplit/>
        </w:trPr>
        <w:tc>
          <w:tcPr>
            <w:tcW w:w="795" w:type="dxa"/>
            <w:tcBorders>
              <w:top w:val="single" w:sz="6" w:space="0" w:color="000000"/>
              <w:left w:val="single" w:sz="6" w:space="0" w:color="000000"/>
              <w:bottom w:val="single" w:sz="6" w:space="0" w:color="000000"/>
              <w:right w:val="single" w:sz="6" w:space="0" w:color="000000"/>
            </w:tcBorders>
          </w:tcPr>
          <w:p w14:paraId="7B08E13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8</w:t>
            </w:r>
          </w:p>
        </w:tc>
        <w:tc>
          <w:tcPr>
            <w:tcW w:w="1095" w:type="dxa"/>
            <w:tcBorders>
              <w:top w:val="single" w:sz="6" w:space="0" w:color="000000"/>
              <w:left w:val="single" w:sz="6" w:space="0" w:color="000000"/>
              <w:bottom w:val="single" w:sz="6" w:space="0" w:color="000000"/>
              <w:right w:val="single" w:sz="6" w:space="0" w:color="000000"/>
            </w:tcBorders>
          </w:tcPr>
          <w:p w14:paraId="1EB4EE3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930" w:type="dxa"/>
            <w:tcBorders>
              <w:top w:val="single" w:sz="6" w:space="0" w:color="000000"/>
              <w:left w:val="single" w:sz="6" w:space="0" w:color="000000"/>
              <w:bottom w:val="single" w:sz="6" w:space="0" w:color="000000"/>
              <w:right w:val="single" w:sz="6" w:space="0" w:color="000000"/>
            </w:tcBorders>
          </w:tcPr>
          <w:p w14:paraId="1E23C24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45" w:type="dxa"/>
            <w:tcBorders>
              <w:top w:val="single" w:sz="6" w:space="0" w:color="000000"/>
              <w:left w:val="single" w:sz="6" w:space="0" w:color="000000"/>
              <w:bottom w:val="single" w:sz="6" w:space="0" w:color="000000"/>
              <w:right w:val="single" w:sz="6" w:space="0" w:color="000000"/>
            </w:tcBorders>
          </w:tcPr>
          <w:p w14:paraId="5CE0A86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55" w:type="dxa"/>
            <w:tcBorders>
              <w:top w:val="single" w:sz="6" w:space="0" w:color="000000"/>
              <w:left w:val="single" w:sz="6" w:space="0" w:color="000000"/>
              <w:bottom w:val="single" w:sz="6" w:space="0" w:color="000000"/>
              <w:right w:val="single" w:sz="6" w:space="0" w:color="000000"/>
            </w:tcBorders>
          </w:tcPr>
          <w:p w14:paraId="31AA7C3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746C5EA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50" w:type="dxa"/>
            <w:tcBorders>
              <w:top w:val="single" w:sz="6" w:space="0" w:color="000000"/>
              <w:left w:val="single" w:sz="6" w:space="0" w:color="000000"/>
              <w:bottom w:val="single" w:sz="6" w:space="0" w:color="000000"/>
              <w:right w:val="single" w:sz="6" w:space="0" w:color="000000"/>
            </w:tcBorders>
          </w:tcPr>
          <w:p w14:paraId="7C777B7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130" w:type="dxa"/>
            <w:gridSpan w:val="4"/>
            <w:tcBorders>
              <w:top w:val="single" w:sz="6" w:space="0" w:color="000000"/>
              <w:left w:val="single" w:sz="6" w:space="0" w:color="000000"/>
              <w:bottom w:val="single" w:sz="6" w:space="0" w:color="000000"/>
              <w:right w:val="single" w:sz="6" w:space="0" w:color="000000"/>
            </w:tcBorders>
          </w:tcPr>
          <w:p w14:paraId="0EC76B01" w14:textId="77777777" w:rsidR="006E087E" w:rsidRDefault="006E087E" w:rsidP="00A207C4">
            <w:pPr>
              <w:rPr>
                <w:rFonts w:ascii="Garamond" w:eastAsia="Garamond" w:hAnsi="Garamond" w:cs="Garamond"/>
                <w:b/>
                <w:sz w:val="18"/>
                <w:szCs w:val="18"/>
              </w:rPr>
            </w:pPr>
            <w:r>
              <w:rPr>
                <w:rFonts w:ascii="Garamond" w:eastAsia="Garamond" w:hAnsi="Garamond" w:cs="Garamond"/>
                <w:sz w:val="18"/>
                <w:szCs w:val="18"/>
              </w:rPr>
              <w:t xml:space="preserve">Among 8 observational before-after studies that reported hospital mortality or unplanned deaths, all </w:t>
            </w:r>
            <w:r>
              <w:rPr>
                <w:rFonts w:ascii="Garamond" w:eastAsia="Garamond" w:hAnsi="Garamond" w:cs="Garamond"/>
                <w:b/>
                <w:sz w:val="18"/>
                <w:szCs w:val="18"/>
              </w:rPr>
              <w:t xml:space="preserve">reported no change in the rate of unplanned/ emergency transfers to higher level of care (e.g., ICU). </w:t>
            </w:r>
            <w:r>
              <w:rPr>
                <w:rFonts w:ascii="Garamond" w:eastAsia="Garamond" w:hAnsi="Garamond" w:cs="Garamond"/>
                <w:sz w:val="18"/>
                <w:szCs w:val="18"/>
              </w:rPr>
              <w:t xml:space="preserve">Variability in how the outcome was reported across studies did not allow for numerical pooling of the data. </w:t>
            </w:r>
            <w:r>
              <w:rPr>
                <w:rFonts w:ascii="Garamond" w:eastAsia="Garamond" w:hAnsi="Garamond" w:cs="Garamond"/>
                <w:b/>
                <w:sz w:val="18"/>
                <w:szCs w:val="18"/>
              </w:rPr>
              <w:t>Overall, we are uncertain as to the effect of continuous VS monitoring on transfers to higher level of care settings (e.g., ICU) among hospitalized patients.</w:t>
            </w:r>
          </w:p>
        </w:tc>
        <w:tc>
          <w:tcPr>
            <w:tcW w:w="1035" w:type="dxa"/>
            <w:tcBorders>
              <w:top w:val="single" w:sz="6" w:space="0" w:color="000000"/>
              <w:left w:val="single" w:sz="6" w:space="0" w:color="000000"/>
              <w:bottom w:val="single" w:sz="6" w:space="0" w:color="000000"/>
              <w:right w:val="single" w:sz="6" w:space="0" w:color="000000"/>
            </w:tcBorders>
          </w:tcPr>
          <w:p w14:paraId="1360CDD2"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30"/>
                <w:id w:val="872726459"/>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60" w:type="dxa"/>
            <w:tcBorders>
              <w:top w:val="single" w:sz="6" w:space="0" w:color="000000"/>
              <w:left w:val="single" w:sz="6" w:space="0" w:color="000000"/>
              <w:bottom w:val="single" w:sz="6" w:space="0" w:color="000000"/>
              <w:right w:val="single" w:sz="6" w:space="0" w:color="000000"/>
            </w:tcBorders>
          </w:tcPr>
          <w:p w14:paraId="03C4BD9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4AF5468B"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50258893"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ICU length of stay [observational studies]</w:t>
            </w:r>
          </w:p>
        </w:tc>
      </w:tr>
      <w:tr w:rsidR="006E087E" w14:paraId="46BDB3E4" w14:textId="77777777" w:rsidTr="00A207C4">
        <w:trPr>
          <w:cantSplit/>
        </w:trPr>
        <w:tc>
          <w:tcPr>
            <w:tcW w:w="795" w:type="dxa"/>
            <w:tcBorders>
              <w:top w:val="single" w:sz="6" w:space="0" w:color="000000"/>
              <w:left w:val="single" w:sz="6" w:space="0" w:color="000000"/>
              <w:bottom w:val="single" w:sz="6" w:space="0" w:color="000000"/>
              <w:right w:val="single" w:sz="6" w:space="0" w:color="000000"/>
            </w:tcBorders>
          </w:tcPr>
          <w:p w14:paraId="3EA025D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lastRenderedPageBreak/>
              <w:t>2</w:t>
            </w:r>
          </w:p>
        </w:tc>
        <w:tc>
          <w:tcPr>
            <w:tcW w:w="1095" w:type="dxa"/>
            <w:tcBorders>
              <w:top w:val="single" w:sz="6" w:space="0" w:color="000000"/>
              <w:left w:val="single" w:sz="6" w:space="0" w:color="000000"/>
              <w:bottom w:val="single" w:sz="6" w:space="0" w:color="000000"/>
              <w:right w:val="single" w:sz="6" w:space="0" w:color="000000"/>
            </w:tcBorders>
          </w:tcPr>
          <w:p w14:paraId="20D8F07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930" w:type="dxa"/>
            <w:tcBorders>
              <w:top w:val="single" w:sz="6" w:space="0" w:color="000000"/>
              <w:left w:val="single" w:sz="6" w:space="0" w:color="000000"/>
              <w:bottom w:val="single" w:sz="6" w:space="0" w:color="000000"/>
              <w:right w:val="single" w:sz="6" w:space="0" w:color="000000"/>
            </w:tcBorders>
          </w:tcPr>
          <w:p w14:paraId="3D8ED28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45" w:type="dxa"/>
            <w:tcBorders>
              <w:top w:val="single" w:sz="6" w:space="0" w:color="000000"/>
              <w:left w:val="single" w:sz="6" w:space="0" w:color="000000"/>
              <w:bottom w:val="single" w:sz="6" w:space="0" w:color="000000"/>
              <w:right w:val="single" w:sz="6" w:space="0" w:color="000000"/>
            </w:tcBorders>
          </w:tcPr>
          <w:p w14:paraId="2B2EC30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55" w:type="dxa"/>
            <w:tcBorders>
              <w:top w:val="single" w:sz="6" w:space="0" w:color="000000"/>
              <w:left w:val="single" w:sz="6" w:space="0" w:color="000000"/>
              <w:bottom w:val="single" w:sz="6" w:space="0" w:color="000000"/>
              <w:right w:val="single" w:sz="6" w:space="0" w:color="000000"/>
            </w:tcBorders>
          </w:tcPr>
          <w:p w14:paraId="3BFCE2C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6F9489B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50" w:type="dxa"/>
            <w:tcBorders>
              <w:top w:val="single" w:sz="6" w:space="0" w:color="000000"/>
              <w:left w:val="single" w:sz="6" w:space="0" w:color="000000"/>
              <w:bottom w:val="single" w:sz="6" w:space="0" w:color="000000"/>
              <w:right w:val="single" w:sz="6" w:space="0" w:color="000000"/>
            </w:tcBorders>
          </w:tcPr>
          <w:p w14:paraId="3075004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130" w:type="dxa"/>
            <w:gridSpan w:val="4"/>
            <w:tcBorders>
              <w:top w:val="single" w:sz="6" w:space="0" w:color="000000"/>
              <w:left w:val="single" w:sz="6" w:space="0" w:color="000000"/>
              <w:bottom w:val="single" w:sz="6" w:space="0" w:color="000000"/>
              <w:right w:val="single" w:sz="6" w:space="0" w:color="000000"/>
            </w:tcBorders>
          </w:tcPr>
          <w:p w14:paraId="1397D3B3"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There were no RCTs evaluating this outcome.</w:t>
            </w:r>
            <w:r>
              <w:rPr>
                <w:rFonts w:ascii="Garamond" w:eastAsia="Garamond" w:hAnsi="Garamond" w:cs="Garamond"/>
                <w:sz w:val="18"/>
                <w:szCs w:val="18"/>
              </w:rPr>
              <w:t xml:space="preserve"> Two observational before-after studies</w:t>
            </w:r>
            <w:r>
              <w:rPr>
                <w:rFonts w:ascii="Garamond" w:eastAsia="Garamond" w:hAnsi="Garamond" w:cs="Garamond"/>
                <w:b/>
                <w:sz w:val="18"/>
                <w:szCs w:val="18"/>
              </w:rPr>
              <w:t xml:space="preserve"> found decreased ICU length of stay </w:t>
            </w:r>
            <w:r>
              <w:rPr>
                <w:rFonts w:ascii="Garamond" w:eastAsia="Garamond" w:hAnsi="Garamond" w:cs="Garamond"/>
                <w:sz w:val="18"/>
                <w:szCs w:val="18"/>
              </w:rPr>
              <w:t>with continuous VS monitoring compared to intermittent VS monitoring (</w:t>
            </w:r>
            <w:proofErr w:type="spellStart"/>
            <w:r>
              <w:rPr>
                <w:rFonts w:ascii="Garamond" w:eastAsia="Garamond" w:hAnsi="Garamond" w:cs="Garamond"/>
                <w:sz w:val="18"/>
                <w:szCs w:val="18"/>
              </w:rPr>
              <w:t>Zimlichman</w:t>
            </w:r>
            <w:proofErr w:type="spellEnd"/>
            <w:r>
              <w:rPr>
                <w:rFonts w:ascii="Garamond" w:eastAsia="Garamond" w:hAnsi="Garamond" w:cs="Garamond"/>
                <w:sz w:val="18"/>
                <w:szCs w:val="18"/>
              </w:rPr>
              <w:t xml:space="preserve"> 2012</w:t>
            </w:r>
            <w:r>
              <w:rPr>
                <w:rFonts w:ascii="Garamond" w:eastAsia="Garamond" w:hAnsi="Garamond" w:cs="Garamond"/>
                <w:sz w:val="18"/>
                <w:szCs w:val="18"/>
                <w:vertAlign w:val="superscript"/>
              </w:rPr>
              <w:t>21</w:t>
            </w:r>
            <w:r>
              <w:rPr>
                <w:rFonts w:ascii="Garamond" w:eastAsia="Garamond" w:hAnsi="Garamond" w:cs="Garamond"/>
                <w:sz w:val="18"/>
                <w:szCs w:val="18"/>
              </w:rPr>
              <w:t>; Brown 2014</w:t>
            </w:r>
            <w:r>
              <w:rPr>
                <w:rFonts w:ascii="Garamond" w:eastAsia="Garamond" w:hAnsi="Garamond" w:cs="Garamond"/>
                <w:sz w:val="18"/>
                <w:szCs w:val="18"/>
                <w:vertAlign w:val="superscript"/>
              </w:rPr>
              <w:t>24</w:t>
            </w:r>
            <w:r>
              <w:rPr>
                <w:rFonts w:ascii="Garamond" w:eastAsia="Garamond" w:hAnsi="Garamond" w:cs="Garamond"/>
                <w:sz w:val="18"/>
                <w:szCs w:val="18"/>
              </w:rPr>
              <w:t xml:space="preserve">). Variability in how the outcome was reported across the 2 studies did not allow for numerical pooling of the data. </w:t>
            </w:r>
            <w:r>
              <w:rPr>
                <w:rFonts w:ascii="Garamond" w:eastAsia="Garamond" w:hAnsi="Garamond" w:cs="Garamond"/>
                <w:b/>
                <w:sz w:val="18"/>
                <w:szCs w:val="18"/>
              </w:rPr>
              <w:t>Continuous VS monitoring may be associated with decreased ICU length of stay, although there is low certainty in the evidence.</w:t>
            </w:r>
          </w:p>
        </w:tc>
        <w:tc>
          <w:tcPr>
            <w:tcW w:w="1035" w:type="dxa"/>
            <w:tcBorders>
              <w:top w:val="single" w:sz="6" w:space="0" w:color="000000"/>
              <w:left w:val="single" w:sz="6" w:space="0" w:color="000000"/>
              <w:bottom w:val="single" w:sz="6" w:space="0" w:color="000000"/>
              <w:right w:val="single" w:sz="6" w:space="0" w:color="000000"/>
            </w:tcBorders>
          </w:tcPr>
          <w:p w14:paraId="42A126D6"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31"/>
                <w:id w:val="-825823809"/>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60" w:type="dxa"/>
            <w:tcBorders>
              <w:top w:val="single" w:sz="6" w:space="0" w:color="000000"/>
              <w:left w:val="single" w:sz="6" w:space="0" w:color="000000"/>
              <w:bottom w:val="single" w:sz="6" w:space="0" w:color="000000"/>
              <w:right w:val="single" w:sz="6" w:space="0" w:color="000000"/>
            </w:tcBorders>
          </w:tcPr>
          <w:p w14:paraId="3B5BAB0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19EE7C2D"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76AB0512"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Time from recognition to (or delays in) response by RRT/MET [observational studies]</w:t>
            </w:r>
          </w:p>
        </w:tc>
      </w:tr>
      <w:tr w:rsidR="006E087E" w14:paraId="34514060" w14:textId="77777777" w:rsidTr="00A207C4">
        <w:trPr>
          <w:cantSplit/>
        </w:trPr>
        <w:tc>
          <w:tcPr>
            <w:tcW w:w="795" w:type="dxa"/>
            <w:tcBorders>
              <w:top w:val="single" w:sz="6" w:space="0" w:color="000000"/>
              <w:left w:val="single" w:sz="6" w:space="0" w:color="000000"/>
              <w:bottom w:val="single" w:sz="6" w:space="0" w:color="000000"/>
              <w:right w:val="single" w:sz="6" w:space="0" w:color="000000"/>
            </w:tcBorders>
          </w:tcPr>
          <w:p w14:paraId="6D1E8EE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w:t>
            </w:r>
          </w:p>
        </w:tc>
        <w:tc>
          <w:tcPr>
            <w:tcW w:w="1095" w:type="dxa"/>
            <w:tcBorders>
              <w:top w:val="single" w:sz="6" w:space="0" w:color="000000"/>
              <w:left w:val="single" w:sz="6" w:space="0" w:color="000000"/>
              <w:bottom w:val="single" w:sz="6" w:space="0" w:color="000000"/>
              <w:right w:val="single" w:sz="6" w:space="0" w:color="000000"/>
            </w:tcBorders>
          </w:tcPr>
          <w:p w14:paraId="485D3BD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930" w:type="dxa"/>
            <w:tcBorders>
              <w:top w:val="single" w:sz="6" w:space="0" w:color="000000"/>
              <w:left w:val="single" w:sz="6" w:space="0" w:color="000000"/>
              <w:bottom w:val="single" w:sz="6" w:space="0" w:color="000000"/>
              <w:right w:val="single" w:sz="6" w:space="0" w:color="000000"/>
            </w:tcBorders>
          </w:tcPr>
          <w:p w14:paraId="3BCD6DC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45" w:type="dxa"/>
            <w:tcBorders>
              <w:top w:val="single" w:sz="6" w:space="0" w:color="000000"/>
              <w:left w:val="single" w:sz="6" w:space="0" w:color="000000"/>
              <w:bottom w:val="single" w:sz="6" w:space="0" w:color="000000"/>
              <w:right w:val="single" w:sz="6" w:space="0" w:color="000000"/>
            </w:tcBorders>
          </w:tcPr>
          <w:p w14:paraId="52F8B6B1"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155" w:type="dxa"/>
            <w:tcBorders>
              <w:top w:val="single" w:sz="6" w:space="0" w:color="000000"/>
              <w:left w:val="single" w:sz="6" w:space="0" w:color="000000"/>
              <w:bottom w:val="single" w:sz="6" w:space="0" w:color="000000"/>
              <w:right w:val="single" w:sz="6" w:space="0" w:color="000000"/>
            </w:tcBorders>
          </w:tcPr>
          <w:p w14:paraId="2A8590E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61139C6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50" w:type="dxa"/>
            <w:tcBorders>
              <w:top w:val="single" w:sz="6" w:space="0" w:color="000000"/>
              <w:left w:val="single" w:sz="6" w:space="0" w:color="000000"/>
              <w:bottom w:val="single" w:sz="6" w:space="0" w:color="000000"/>
              <w:right w:val="single" w:sz="6" w:space="0" w:color="000000"/>
            </w:tcBorders>
          </w:tcPr>
          <w:p w14:paraId="486493C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130" w:type="dxa"/>
            <w:gridSpan w:val="4"/>
            <w:tcBorders>
              <w:top w:val="single" w:sz="6" w:space="0" w:color="000000"/>
              <w:left w:val="single" w:sz="6" w:space="0" w:color="000000"/>
              <w:bottom w:val="single" w:sz="6" w:space="0" w:color="000000"/>
              <w:right w:val="single" w:sz="6" w:space="0" w:color="000000"/>
            </w:tcBorders>
          </w:tcPr>
          <w:p w14:paraId="558724FE"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There were no RCTs evaluating this outcome.</w:t>
            </w:r>
            <w:r>
              <w:rPr>
                <w:rFonts w:ascii="Garamond" w:eastAsia="Garamond" w:hAnsi="Garamond" w:cs="Garamond"/>
                <w:sz w:val="18"/>
                <w:szCs w:val="18"/>
              </w:rPr>
              <w:t xml:space="preserve"> Among 2 observational before-after studies that reported this outcome, </w:t>
            </w:r>
            <w:r>
              <w:rPr>
                <w:rFonts w:ascii="Garamond" w:eastAsia="Garamond" w:hAnsi="Garamond" w:cs="Garamond"/>
                <w:b/>
                <w:sz w:val="18"/>
                <w:szCs w:val="18"/>
              </w:rPr>
              <w:t>one reported decreased</w:t>
            </w:r>
            <w:r>
              <w:rPr>
                <w:rFonts w:ascii="Garamond" w:eastAsia="Garamond" w:hAnsi="Garamond" w:cs="Garamond"/>
                <w:sz w:val="18"/>
                <w:szCs w:val="18"/>
              </w:rPr>
              <w:t xml:space="preserve"> delayed in RRT activations (Barwise 2015</w:t>
            </w:r>
            <w:r>
              <w:rPr>
                <w:rFonts w:ascii="Garamond" w:eastAsia="Garamond" w:hAnsi="Garamond" w:cs="Garamond"/>
                <w:sz w:val="18"/>
                <w:szCs w:val="18"/>
                <w:vertAlign w:val="superscript"/>
              </w:rPr>
              <w:t>16</w:t>
            </w:r>
            <w:r>
              <w:rPr>
                <w:rFonts w:ascii="Garamond" w:eastAsia="Garamond" w:hAnsi="Garamond" w:cs="Garamond"/>
                <w:sz w:val="18"/>
                <w:szCs w:val="18"/>
              </w:rPr>
              <w:t xml:space="preserve">), and </w:t>
            </w:r>
            <w:r>
              <w:rPr>
                <w:rFonts w:ascii="Garamond" w:eastAsia="Garamond" w:hAnsi="Garamond" w:cs="Garamond"/>
                <w:b/>
                <w:sz w:val="18"/>
                <w:szCs w:val="18"/>
              </w:rPr>
              <w:t>another reported no change</w:t>
            </w:r>
            <w:r>
              <w:rPr>
                <w:rFonts w:ascii="Garamond" w:eastAsia="Garamond" w:hAnsi="Garamond" w:cs="Garamond"/>
                <w:sz w:val="18"/>
                <w:szCs w:val="18"/>
              </w:rPr>
              <w:t xml:space="preserve"> in duration of event prior to RRT arrival on scene (Heller 2020</w:t>
            </w:r>
            <w:r>
              <w:rPr>
                <w:rFonts w:ascii="Garamond" w:eastAsia="Garamond" w:hAnsi="Garamond" w:cs="Garamond"/>
                <w:sz w:val="18"/>
                <w:szCs w:val="18"/>
                <w:vertAlign w:val="superscript"/>
              </w:rPr>
              <w:t>19</w:t>
            </w:r>
            <w:r>
              <w:rPr>
                <w:rFonts w:ascii="Garamond" w:eastAsia="Garamond" w:hAnsi="Garamond" w:cs="Garamond"/>
                <w:sz w:val="18"/>
                <w:szCs w:val="18"/>
              </w:rPr>
              <w:t xml:space="preserve">) with continuous VS monitoring compared to intermittent VS monitoring. </w:t>
            </w:r>
            <w:r>
              <w:rPr>
                <w:rFonts w:ascii="Garamond" w:eastAsia="Garamond" w:hAnsi="Garamond" w:cs="Garamond"/>
                <w:b/>
                <w:sz w:val="18"/>
                <w:szCs w:val="18"/>
              </w:rPr>
              <w:t>Overall, we are uncertain as to the effect of continuous VS monitoring on time to RRT/MET response among hospitalized patients outside the ICU.</w:t>
            </w:r>
          </w:p>
        </w:tc>
        <w:tc>
          <w:tcPr>
            <w:tcW w:w="1035" w:type="dxa"/>
            <w:tcBorders>
              <w:top w:val="single" w:sz="6" w:space="0" w:color="000000"/>
              <w:left w:val="single" w:sz="6" w:space="0" w:color="000000"/>
              <w:bottom w:val="single" w:sz="6" w:space="0" w:color="000000"/>
              <w:right w:val="single" w:sz="6" w:space="0" w:color="000000"/>
            </w:tcBorders>
          </w:tcPr>
          <w:p w14:paraId="3CA31856"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32"/>
                <w:id w:val="941960379"/>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60" w:type="dxa"/>
            <w:tcBorders>
              <w:top w:val="single" w:sz="6" w:space="0" w:color="000000"/>
              <w:left w:val="single" w:sz="6" w:space="0" w:color="000000"/>
              <w:bottom w:val="single" w:sz="6" w:space="0" w:color="000000"/>
              <w:right w:val="single" w:sz="6" w:space="0" w:color="000000"/>
            </w:tcBorders>
          </w:tcPr>
          <w:p w14:paraId="57E982F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4363FB1B"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2C1F8123" w14:textId="77777777" w:rsidR="006E087E" w:rsidRDefault="006E087E" w:rsidP="00A207C4">
            <w:pPr>
              <w:rPr>
                <w:rFonts w:ascii="Garamond" w:eastAsia="Garamond" w:hAnsi="Garamond" w:cs="Garamond"/>
                <w:b/>
                <w:sz w:val="18"/>
                <w:szCs w:val="18"/>
              </w:rPr>
            </w:pPr>
          </w:p>
          <w:p w14:paraId="4FA9E285"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Time to (or delays in) implementation of appropriate treatment (assessed with ‘time to administer antibiotics in sepsis’) [randomized trials]</w:t>
            </w:r>
          </w:p>
        </w:tc>
      </w:tr>
      <w:tr w:rsidR="006E087E" w14:paraId="7DF33993" w14:textId="77777777" w:rsidTr="00A207C4">
        <w:trPr>
          <w:cantSplit/>
        </w:trPr>
        <w:tc>
          <w:tcPr>
            <w:tcW w:w="795" w:type="dxa"/>
            <w:tcBorders>
              <w:top w:val="single" w:sz="6" w:space="0" w:color="000000"/>
              <w:left w:val="single" w:sz="6" w:space="0" w:color="000000"/>
              <w:bottom w:val="single" w:sz="6" w:space="0" w:color="000000"/>
              <w:right w:val="single" w:sz="6" w:space="0" w:color="000000"/>
            </w:tcBorders>
          </w:tcPr>
          <w:p w14:paraId="6DA51F2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w:t>
            </w:r>
          </w:p>
        </w:tc>
        <w:tc>
          <w:tcPr>
            <w:tcW w:w="1095" w:type="dxa"/>
            <w:tcBorders>
              <w:top w:val="single" w:sz="6" w:space="0" w:color="000000"/>
              <w:left w:val="single" w:sz="6" w:space="0" w:color="000000"/>
              <w:bottom w:val="single" w:sz="6" w:space="0" w:color="000000"/>
              <w:right w:val="single" w:sz="6" w:space="0" w:color="000000"/>
            </w:tcBorders>
          </w:tcPr>
          <w:p w14:paraId="72A863DE" w14:textId="77777777" w:rsidR="006E087E" w:rsidRDefault="006E087E" w:rsidP="00A207C4">
            <w:pPr>
              <w:jc w:val="center"/>
              <w:rPr>
                <w:rFonts w:ascii="Garamond" w:eastAsia="Garamond" w:hAnsi="Garamond" w:cs="Garamond"/>
                <w:sz w:val="18"/>
                <w:szCs w:val="18"/>
              </w:rPr>
            </w:pP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w:t>
            </w:r>
          </w:p>
        </w:tc>
        <w:tc>
          <w:tcPr>
            <w:tcW w:w="930" w:type="dxa"/>
            <w:tcBorders>
              <w:top w:val="single" w:sz="6" w:space="0" w:color="000000"/>
              <w:left w:val="single" w:sz="6" w:space="0" w:color="000000"/>
              <w:bottom w:val="single" w:sz="6" w:space="0" w:color="000000"/>
              <w:right w:val="single" w:sz="6" w:space="0" w:color="000000"/>
            </w:tcBorders>
          </w:tcPr>
          <w:p w14:paraId="410C3A0D"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45" w:type="dxa"/>
            <w:tcBorders>
              <w:top w:val="single" w:sz="6" w:space="0" w:color="000000"/>
              <w:left w:val="single" w:sz="6" w:space="0" w:color="000000"/>
              <w:bottom w:val="single" w:sz="6" w:space="0" w:color="000000"/>
              <w:right w:val="single" w:sz="6" w:space="0" w:color="000000"/>
            </w:tcBorders>
          </w:tcPr>
          <w:p w14:paraId="0D1BEF0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55" w:type="dxa"/>
            <w:tcBorders>
              <w:top w:val="single" w:sz="6" w:space="0" w:color="000000"/>
              <w:left w:val="single" w:sz="6" w:space="0" w:color="000000"/>
              <w:bottom w:val="single" w:sz="6" w:space="0" w:color="000000"/>
              <w:right w:val="single" w:sz="6" w:space="0" w:color="000000"/>
            </w:tcBorders>
          </w:tcPr>
          <w:p w14:paraId="03AE6F8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55F99BE2"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d</w:t>
            </w:r>
          </w:p>
        </w:tc>
        <w:tc>
          <w:tcPr>
            <w:tcW w:w="1350" w:type="dxa"/>
            <w:tcBorders>
              <w:top w:val="single" w:sz="6" w:space="0" w:color="000000"/>
              <w:left w:val="single" w:sz="6" w:space="0" w:color="000000"/>
              <w:bottom w:val="single" w:sz="6" w:space="0" w:color="000000"/>
              <w:right w:val="single" w:sz="6" w:space="0" w:color="000000"/>
            </w:tcBorders>
          </w:tcPr>
          <w:p w14:paraId="63DE010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1350" w:type="dxa"/>
            <w:tcBorders>
              <w:top w:val="single" w:sz="6" w:space="0" w:color="000000"/>
              <w:left w:val="single" w:sz="6" w:space="0" w:color="000000"/>
              <w:bottom w:val="single" w:sz="6" w:space="0" w:color="000000"/>
              <w:right w:val="single" w:sz="6" w:space="0" w:color="000000"/>
            </w:tcBorders>
          </w:tcPr>
          <w:p w14:paraId="56DA077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22</w:t>
            </w:r>
          </w:p>
        </w:tc>
        <w:tc>
          <w:tcPr>
            <w:tcW w:w="1440" w:type="dxa"/>
            <w:tcBorders>
              <w:top w:val="single" w:sz="6" w:space="0" w:color="000000"/>
              <w:left w:val="single" w:sz="6" w:space="0" w:color="000000"/>
              <w:bottom w:val="single" w:sz="6" w:space="0" w:color="000000"/>
              <w:right w:val="single" w:sz="6" w:space="0" w:color="000000"/>
            </w:tcBorders>
          </w:tcPr>
          <w:p w14:paraId="055C3FB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12</w:t>
            </w:r>
          </w:p>
        </w:tc>
        <w:tc>
          <w:tcPr>
            <w:tcW w:w="2340" w:type="dxa"/>
            <w:gridSpan w:val="2"/>
            <w:tcBorders>
              <w:top w:val="single" w:sz="6" w:space="0" w:color="000000"/>
              <w:left w:val="single" w:sz="6" w:space="0" w:color="000000"/>
              <w:bottom w:val="single" w:sz="6" w:space="0" w:color="000000"/>
              <w:right w:val="single" w:sz="6" w:space="0" w:color="000000"/>
            </w:tcBorders>
          </w:tcPr>
          <w:p w14:paraId="3F05E64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MD </w:t>
            </w:r>
            <w:r>
              <w:rPr>
                <w:rFonts w:ascii="Garamond" w:eastAsia="Garamond" w:hAnsi="Garamond" w:cs="Garamond"/>
                <w:b/>
                <w:sz w:val="18"/>
                <w:szCs w:val="18"/>
              </w:rPr>
              <w:t>386.8 mins lower</w:t>
            </w:r>
            <w:r>
              <w:rPr>
                <w:rFonts w:ascii="Garamond" w:eastAsia="Garamond" w:hAnsi="Garamond" w:cs="Garamond"/>
                <w:sz w:val="18"/>
                <w:szCs w:val="18"/>
              </w:rPr>
              <w:br/>
              <w:t>(847 lower to 73.4 higher)</w:t>
            </w:r>
          </w:p>
        </w:tc>
        <w:tc>
          <w:tcPr>
            <w:tcW w:w="1035" w:type="dxa"/>
            <w:tcBorders>
              <w:top w:val="single" w:sz="6" w:space="0" w:color="000000"/>
              <w:left w:val="single" w:sz="6" w:space="0" w:color="000000"/>
              <w:bottom w:val="single" w:sz="6" w:space="0" w:color="000000"/>
              <w:right w:val="single" w:sz="6" w:space="0" w:color="000000"/>
            </w:tcBorders>
          </w:tcPr>
          <w:p w14:paraId="60607A4D"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33"/>
                <w:id w:val="1580706343"/>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60" w:type="dxa"/>
            <w:tcBorders>
              <w:top w:val="single" w:sz="6" w:space="0" w:color="000000"/>
              <w:left w:val="single" w:sz="6" w:space="0" w:color="000000"/>
              <w:bottom w:val="single" w:sz="6" w:space="0" w:color="000000"/>
              <w:right w:val="single" w:sz="6" w:space="0" w:color="000000"/>
            </w:tcBorders>
          </w:tcPr>
          <w:p w14:paraId="7040B88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26AC4FC8" w14:textId="77777777" w:rsidTr="00A207C4">
        <w:trPr>
          <w:cantSplit/>
        </w:trPr>
        <w:tc>
          <w:tcPr>
            <w:tcW w:w="15135" w:type="dxa"/>
            <w:gridSpan w:val="13"/>
            <w:shd w:val="clear" w:color="auto" w:fill="FFFFFF"/>
            <w:tcMar>
              <w:top w:w="75" w:type="dxa"/>
              <w:left w:w="100" w:type="dxa"/>
              <w:bottom w:w="100" w:type="dxa"/>
              <w:right w:w="100" w:type="dxa"/>
            </w:tcMar>
            <w:vAlign w:val="center"/>
          </w:tcPr>
          <w:p w14:paraId="76F4C166"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Changes in goals of care/ resuscitation status [observational studies]</w:t>
            </w:r>
          </w:p>
        </w:tc>
      </w:tr>
      <w:tr w:rsidR="006E087E" w14:paraId="550C4E96" w14:textId="77777777" w:rsidTr="00A207C4">
        <w:trPr>
          <w:cantSplit/>
        </w:trPr>
        <w:tc>
          <w:tcPr>
            <w:tcW w:w="795" w:type="dxa"/>
            <w:tcBorders>
              <w:top w:val="single" w:sz="6" w:space="0" w:color="000000"/>
              <w:left w:val="single" w:sz="6" w:space="0" w:color="000000"/>
              <w:bottom w:val="single" w:sz="6" w:space="0" w:color="000000"/>
              <w:right w:val="single" w:sz="6" w:space="0" w:color="000000"/>
            </w:tcBorders>
          </w:tcPr>
          <w:p w14:paraId="3B7D6A8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w:t>
            </w:r>
          </w:p>
        </w:tc>
        <w:tc>
          <w:tcPr>
            <w:tcW w:w="1095" w:type="dxa"/>
            <w:tcBorders>
              <w:top w:val="single" w:sz="6" w:space="0" w:color="000000"/>
              <w:left w:val="single" w:sz="6" w:space="0" w:color="000000"/>
              <w:bottom w:val="single" w:sz="6" w:space="0" w:color="000000"/>
              <w:right w:val="single" w:sz="6" w:space="0" w:color="000000"/>
            </w:tcBorders>
          </w:tcPr>
          <w:p w14:paraId="556C595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930" w:type="dxa"/>
            <w:tcBorders>
              <w:top w:val="single" w:sz="6" w:space="0" w:color="000000"/>
              <w:left w:val="single" w:sz="6" w:space="0" w:color="000000"/>
              <w:bottom w:val="single" w:sz="6" w:space="0" w:color="000000"/>
              <w:right w:val="single" w:sz="6" w:space="0" w:color="000000"/>
            </w:tcBorders>
          </w:tcPr>
          <w:p w14:paraId="38AD37F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45" w:type="dxa"/>
            <w:tcBorders>
              <w:top w:val="single" w:sz="6" w:space="0" w:color="000000"/>
              <w:left w:val="single" w:sz="6" w:space="0" w:color="000000"/>
              <w:bottom w:val="single" w:sz="6" w:space="0" w:color="000000"/>
              <w:right w:val="single" w:sz="6" w:space="0" w:color="000000"/>
            </w:tcBorders>
          </w:tcPr>
          <w:p w14:paraId="68484615"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155" w:type="dxa"/>
            <w:tcBorders>
              <w:top w:val="single" w:sz="6" w:space="0" w:color="000000"/>
              <w:left w:val="single" w:sz="6" w:space="0" w:color="000000"/>
              <w:bottom w:val="single" w:sz="6" w:space="0" w:color="000000"/>
              <w:right w:val="single" w:sz="6" w:space="0" w:color="000000"/>
            </w:tcBorders>
          </w:tcPr>
          <w:p w14:paraId="37B5878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4A1DB94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50" w:type="dxa"/>
            <w:tcBorders>
              <w:top w:val="single" w:sz="6" w:space="0" w:color="000000"/>
              <w:left w:val="single" w:sz="6" w:space="0" w:color="000000"/>
              <w:bottom w:val="single" w:sz="6" w:space="0" w:color="000000"/>
              <w:right w:val="single" w:sz="6" w:space="0" w:color="000000"/>
            </w:tcBorders>
          </w:tcPr>
          <w:p w14:paraId="71590A0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130" w:type="dxa"/>
            <w:gridSpan w:val="4"/>
            <w:tcBorders>
              <w:top w:val="single" w:sz="6" w:space="0" w:color="000000"/>
              <w:left w:val="single" w:sz="6" w:space="0" w:color="000000"/>
              <w:bottom w:val="single" w:sz="6" w:space="0" w:color="000000"/>
              <w:right w:val="single" w:sz="6" w:space="0" w:color="000000"/>
            </w:tcBorders>
          </w:tcPr>
          <w:p w14:paraId="7FE32581" w14:textId="77777777" w:rsidR="006E087E" w:rsidRDefault="006E087E" w:rsidP="00A207C4">
            <w:pPr>
              <w:rPr>
                <w:rFonts w:ascii="Garamond" w:eastAsia="Garamond" w:hAnsi="Garamond" w:cs="Garamond"/>
                <w:sz w:val="18"/>
                <w:szCs w:val="18"/>
              </w:rPr>
            </w:pPr>
            <w:r>
              <w:rPr>
                <w:rFonts w:ascii="Garamond" w:eastAsia="Garamond" w:hAnsi="Garamond" w:cs="Garamond"/>
                <w:b/>
                <w:sz w:val="18"/>
                <w:szCs w:val="18"/>
              </w:rPr>
              <w:t>There were no RCTs evaluating this outcome.</w:t>
            </w:r>
            <w:r>
              <w:rPr>
                <w:rFonts w:ascii="Garamond" w:eastAsia="Garamond" w:hAnsi="Garamond" w:cs="Garamond"/>
                <w:sz w:val="18"/>
                <w:szCs w:val="18"/>
              </w:rPr>
              <w:t xml:space="preserve"> Among 2 observational before-after studies that reported this outcome, </w:t>
            </w:r>
            <w:r>
              <w:rPr>
                <w:rFonts w:ascii="Garamond" w:eastAsia="Garamond" w:hAnsi="Garamond" w:cs="Garamond"/>
                <w:b/>
                <w:sz w:val="18"/>
                <w:szCs w:val="18"/>
              </w:rPr>
              <w:t>one reported decreased</w:t>
            </w:r>
            <w:r>
              <w:rPr>
                <w:rFonts w:ascii="Garamond" w:eastAsia="Garamond" w:hAnsi="Garamond" w:cs="Garamond"/>
                <w:sz w:val="18"/>
                <w:szCs w:val="18"/>
              </w:rPr>
              <w:t xml:space="preserve"> number of patients with DNAR status (</w:t>
            </w:r>
            <w:proofErr w:type="spellStart"/>
            <w:r>
              <w:rPr>
                <w:rFonts w:ascii="Garamond" w:eastAsia="Garamond" w:hAnsi="Garamond" w:cs="Garamond"/>
                <w:sz w:val="18"/>
                <w:szCs w:val="18"/>
              </w:rPr>
              <w:t>Subbe</w:t>
            </w:r>
            <w:proofErr w:type="spellEnd"/>
            <w:r>
              <w:rPr>
                <w:rFonts w:ascii="Garamond" w:eastAsia="Garamond" w:hAnsi="Garamond" w:cs="Garamond"/>
                <w:sz w:val="18"/>
                <w:szCs w:val="18"/>
              </w:rPr>
              <w:t xml:space="preserve"> 2017</w:t>
            </w:r>
            <w:r>
              <w:rPr>
                <w:rFonts w:ascii="Garamond" w:eastAsia="Garamond" w:hAnsi="Garamond" w:cs="Garamond"/>
                <w:sz w:val="18"/>
                <w:szCs w:val="18"/>
                <w:vertAlign w:val="superscript"/>
              </w:rPr>
              <w:t>17</w:t>
            </w:r>
            <w:r>
              <w:rPr>
                <w:rFonts w:ascii="Garamond" w:eastAsia="Garamond" w:hAnsi="Garamond" w:cs="Garamond"/>
                <w:sz w:val="18"/>
                <w:szCs w:val="18"/>
              </w:rPr>
              <w:t xml:space="preserve">) and </w:t>
            </w:r>
            <w:r>
              <w:rPr>
                <w:rFonts w:ascii="Garamond" w:eastAsia="Garamond" w:hAnsi="Garamond" w:cs="Garamond"/>
                <w:b/>
                <w:sz w:val="18"/>
                <w:szCs w:val="18"/>
              </w:rPr>
              <w:t>another reported no change</w:t>
            </w:r>
            <w:r>
              <w:rPr>
                <w:rFonts w:ascii="Garamond" w:eastAsia="Garamond" w:hAnsi="Garamond" w:cs="Garamond"/>
                <w:sz w:val="18"/>
                <w:szCs w:val="18"/>
              </w:rPr>
              <w:t xml:space="preserve"> (</w:t>
            </w:r>
            <w:proofErr w:type="spellStart"/>
            <w:r>
              <w:rPr>
                <w:rFonts w:ascii="Garamond" w:eastAsia="Garamond" w:hAnsi="Garamond" w:cs="Garamond"/>
                <w:sz w:val="18"/>
                <w:szCs w:val="18"/>
              </w:rPr>
              <w:t>Bellomo</w:t>
            </w:r>
            <w:proofErr w:type="spellEnd"/>
            <w:r>
              <w:rPr>
                <w:rFonts w:ascii="Garamond" w:eastAsia="Garamond" w:hAnsi="Garamond" w:cs="Garamond"/>
                <w:sz w:val="18"/>
                <w:szCs w:val="18"/>
              </w:rPr>
              <w:t xml:space="preserve"> 2012</w:t>
            </w:r>
            <w:r>
              <w:rPr>
                <w:rFonts w:ascii="Garamond" w:eastAsia="Garamond" w:hAnsi="Garamond" w:cs="Garamond"/>
                <w:sz w:val="18"/>
                <w:szCs w:val="18"/>
                <w:vertAlign w:val="superscript"/>
              </w:rPr>
              <w:t>20</w:t>
            </w:r>
            <w:r>
              <w:rPr>
                <w:rFonts w:ascii="Garamond" w:eastAsia="Garamond" w:hAnsi="Garamond" w:cs="Garamond"/>
                <w:sz w:val="18"/>
                <w:szCs w:val="18"/>
              </w:rPr>
              <w:t xml:space="preserve">) after first notification/ alert in the continuous VS monitoring cohort. </w:t>
            </w:r>
            <w:r>
              <w:rPr>
                <w:rFonts w:ascii="Garamond" w:eastAsia="Garamond" w:hAnsi="Garamond" w:cs="Garamond"/>
                <w:b/>
                <w:sz w:val="18"/>
                <w:szCs w:val="18"/>
              </w:rPr>
              <w:t>Overall, we are uncertain as to the effect of continuous VS monitoring on changes in GOC among hospitalized patients.</w:t>
            </w:r>
          </w:p>
        </w:tc>
        <w:tc>
          <w:tcPr>
            <w:tcW w:w="1035" w:type="dxa"/>
            <w:tcBorders>
              <w:top w:val="single" w:sz="6" w:space="0" w:color="000000"/>
              <w:left w:val="single" w:sz="6" w:space="0" w:color="000000"/>
              <w:bottom w:val="single" w:sz="6" w:space="0" w:color="000000"/>
              <w:right w:val="single" w:sz="6" w:space="0" w:color="000000"/>
            </w:tcBorders>
          </w:tcPr>
          <w:p w14:paraId="4822BA14"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34"/>
                <w:id w:val="-238092092"/>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60" w:type="dxa"/>
            <w:tcBorders>
              <w:top w:val="single" w:sz="6" w:space="0" w:color="000000"/>
              <w:left w:val="single" w:sz="6" w:space="0" w:color="000000"/>
              <w:bottom w:val="single" w:sz="6" w:space="0" w:color="000000"/>
              <w:right w:val="single" w:sz="6" w:space="0" w:color="000000"/>
            </w:tcBorders>
          </w:tcPr>
          <w:p w14:paraId="7749609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bl>
    <w:p w14:paraId="542FAB87" w14:textId="77777777" w:rsidR="006E087E" w:rsidRDefault="006E087E" w:rsidP="006E087E">
      <w:pPr>
        <w:spacing w:before="280" w:after="280" w:line="240" w:lineRule="auto"/>
        <w:rPr>
          <w:rFonts w:ascii="Garamond" w:eastAsia="Garamond" w:hAnsi="Garamond" w:cs="Garamond"/>
          <w:sz w:val="18"/>
          <w:szCs w:val="18"/>
        </w:rPr>
      </w:pPr>
      <w:r>
        <w:rPr>
          <w:rFonts w:ascii="Garamond" w:eastAsia="Garamond" w:hAnsi="Garamond" w:cs="Garamond"/>
          <w:b/>
          <w:sz w:val="18"/>
          <w:szCs w:val="18"/>
        </w:rPr>
        <w:t>VS:</w:t>
      </w:r>
      <w:r>
        <w:rPr>
          <w:rFonts w:ascii="Garamond" w:eastAsia="Garamond" w:hAnsi="Garamond" w:cs="Garamond"/>
          <w:sz w:val="18"/>
          <w:szCs w:val="18"/>
        </w:rPr>
        <w:t xml:space="preserve"> vital sign; </w:t>
      </w:r>
      <w:r>
        <w:rPr>
          <w:rFonts w:ascii="Garamond" w:eastAsia="Garamond" w:hAnsi="Garamond" w:cs="Garamond"/>
          <w:b/>
          <w:sz w:val="18"/>
          <w:szCs w:val="18"/>
        </w:rPr>
        <w:t>MD:</w:t>
      </w:r>
      <w:r>
        <w:rPr>
          <w:rFonts w:ascii="Garamond" w:eastAsia="Garamond" w:hAnsi="Garamond" w:cs="Garamond"/>
          <w:sz w:val="18"/>
          <w:szCs w:val="18"/>
        </w:rPr>
        <w:t xml:space="preserve"> mean difference; </w:t>
      </w:r>
      <w:r>
        <w:rPr>
          <w:rFonts w:ascii="Garamond" w:eastAsia="Garamond" w:hAnsi="Garamond" w:cs="Garamond"/>
          <w:b/>
          <w:sz w:val="18"/>
          <w:szCs w:val="18"/>
        </w:rPr>
        <w:t>RR:</w:t>
      </w:r>
      <w:r>
        <w:rPr>
          <w:rFonts w:ascii="Garamond" w:eastAsia="Garamond" w:hAnsi="Garamond" w:cs="Garamond"/>
          <w:sz w:val="18"/>
          <w:szCs w:val="18"/>
        </w:rPr>
        <w:t xml:space="preserve"> risk ratio; </w:t>
      </w:r>
      <w:r>
        <w:rPr>
          <w:rFonts w:ascii="Garamond" w:eastAsia="Garamond" w:hAnsi="Garamond" w:cs="Garamond"/>
          <w:b/>
          <w:sz w:val="18"/>
          <w:szCs w:val="18"/>
        </w:rPr>
        <w:t xml:space="preserve">RRT: </w:t>
      </w:r>
      <w:r>
        <w:rPr>
          <w:rFonts w:ascii="Garamond" w:eastAsia="Garamond" w:hAnsi="Garamond" w:cs="Garamond"/>
          <w:sz w:val="18"/>
          <w:szCs w:val="18"/>
        </w:rPr>
        <w:t xml:space="preserve">Rapid response team; </w:t>
      </w:r>
      <w:r>
        <w:rPr>
          <w:rFonts w:ascii="Garamond" w:eastAsia="Garamond" w:hAnsi="Garamond" w:cs="Garamond"/>
          <w:b/>
          <w:sz w:val="18"/>
          <w:szCs w:val="18"/>
        </w:rPr>
        <w:t>MET:</w:t>
      </w:r>
      <w:r>
        <w:rPr>
          <w:rFonts w:ascii="Garamond" w:eastAsia="Garamond" w:hAnsi="Garamond" w:cs="Garamond"/>
          <w:sz w:val="18"/>
          <w:szCs w:val="18"/>
        </w:rPr>
        <w:t xml:space="preserve"> Medical emergency team; </w:t>
      </w:r>
      <w:r>
        <w:rPr>
          <w:rFonts w:ascii="Garamond" w:eastAsia="Garamond" w:hAnsi="Garamond" w:cs="Garamond"/>
          <w:b/>
          <w:sz w:val="18"/>
          <w:szCs w:val="18"/>
        </w:rPr>
        <w:t>ICU:</w:t>
      </w:r>
      <w:r>
        <w:rPr>
          <w:rFonts w:ascii="Garamond" w:eastAsia="Garamond" w:hAnsi="Garamond" w:cs="Garamond"/>
          <w:sz w:val="18"/>
          <w:szCs w:val="18"/>
        </w:rPr>
        <w:t xml:space="preserve"> Intensive care unit; </w:t>
      </w:r>
      <w:r>
        <w:rPr>
          <w:rFonts w:ascii="Garamond" w:eastAsia="Garamond" w:hAnsi="Garamond" w:cs="Garamond"/>
          <w:b/>
          <w:sz w:val="18"/>
          <w:szCs w:val="18"/>
        </w:rPr>
        <w:t xml:space="preserve">RCT: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controlled trial; </w:t>
      </w:r>
      <w:r>
        <w:rPr>
          <w:rFonts w:ascii="Garamond" w:eastAsia="Garamond" w:hAnsi="Garamond" w:cs="Garamond"/>
          <w:b/>
          <w:sz w:val="18"/>
          <w:szCs w:val="18"/>
        </w:rPr>
        <w:t>DNAR:</w:t>
      </w:r>
      <w:r>
        <w:rPr>
          <w:rFonts w:ascii="Garamond" w:eastAsia="Garamond" w:hAnsi="Garamond" w:cs="Garamond"/>
          <w:sz w:val="18"/>
          <w:szCs w:val="18"/>
        </w:rPr>
        <w:t xml:space="preserve"> Do Not Attempt Resuscitation; </w:t>
      </w:r>
      <w:r>
        <w:rPr>
          <w:rFonts w:ascii="Garamond" w:eastAsia="Garamond" w:hAnsi="Garamond" w:cs="Garamond"/>
          <w:b/>
          <w:sz w:val="18"/>
          <w:szCs w:val="18"/>
        </w:rPr>
        <w:t>GOC:</w:t>
      </w:r>
      <w:r>
        <w:rPr>
          <w:rFonts w:ascii="Garamond" w:eastAsia="Garamond" w:hAnsi="Garamond" w:cs="Garamond"/>
          <w:sz w:val="18"/>
          <w:szCs w:val="18"/>
        </w:rPr>
        <w:t xml:space="preserve"> Goals of care</w:t>
      </w:r>
    </w:p>
    <w:p w14:paraId="43D44E7B" w14:textId="77777777" w:rsidR="006E087E" w:rsidRDefault="006E087E" w:rsidP="006E087E">
      <w:pPr>
        <w:pStyle w:val="Heading4"/>
        <w:rPr>
          <w:rFonts w:ascii="Garamond" w:eastAsia="Garamond" w:hAnsi="Garamond" w:cs="Garamond"/>
          <w:i w:val="0"/>
          <w:sz w:val="18"/>
          <w:szCs w:val="18"/>
          <w:u w:val="none"/>
        </w:rPr>
      </w:pPr>
      <w:bookmarkStart w:id="14" w:name="_heading=h.iponncc3kjwv" w:colFirst="0" w:colLast="0"/>
      <w:bookmarkEnd w:id="14"/>
      <w:r>
        <w:rPr>
          <w:rFonts w:ascii="Garamond" w:eastAsia="Garamond" w:hAnsi="Garamond" w:cs="Garamond"/>
          <w:i w:val="0"/>
          <w:sz w:val="18"/>
          <w:szCs w:val="18"/>
          <w:u w:val="none"/>
        </w:rPr>
        <w:lastRenderedPageBreak/>
        <w:t>Explanations</w:t>
      </w:r>
    </w:p>
    <w:p w14:paraId="42D3A8DD"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a. Rated down for risk of bias due to unblinded trial design with potential influence on healthcare provider monitoring of patients outside of the trial interventions.</w:t>
      </w:r>
    </w:p>
    <w:p w14:paraId="4D01FA81"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b. Rated down for imprecision due to wide confidence interval.</w:t>
      </w:r>
    </w:p>
    <w:p w14:paraId="5FF406FF"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c. Rated down for inconsistency due to variability in conclusions across studies.</w:t>
      </w:r>
    </w:p>
    <w:p w14:paraId="2FBD4033"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d. Rated down for imprecision due to wide confidence interval and small sample size in one trial.</w:t>
      </w:r>
    </w:p>
    <w:p w14:paraId="0A54BD05" w14:textId="77777777" w:rsidR="006E087E" w:rsidRDefault="006E087E" w:rsidP="006E087E">
      <w:pPr>
        <w:spacing w:line="240" w:lineRule="auto"/>
        <w:rPr>
          <w:rFonts w:ascii="Garamond" w:eastAsia="Garamond" w:hAnsi="Garamond" w:cs="Garamond"/>
        </w:rPr>
        <w:sectPr w:rsidR="006E087E">
          <w:pgSz w:w="15840" w:h="12240" w:orient="landscape"/>
          <w:pgMar w:top="1080" w:right="1080" w:bottom="1080" w:left="1080" w:header="720" w:footer="720" w:gutter="0"/>
          <w:cols w:space="720"/>
        </w:sectPr>
      </w:pPr>
      <w:r>
        <w:rPr>
          <w:rFonts w:ascii="Garamond" w:eastAsia="Garamond" w:hAnsi="Garamond" w:cs="Garamond"/>
          <w:sz w:val="18"/>
          <w:szCs w:val="18"/>
        </w:rPr>
        <w:t>e. Rated down for indirectness due to variability in 'complications' reported. Defined as any 'adverse event' from a list of complications in one study (</w:t>
      </w:r>
      <w:proofErr w:type="spellStart"/>
      <w:r>
        <w:rPr>
          <w:rFonts w:ascii="Garamond" w:eastAsia="Garamond" w:hAnsi="Garamond" w:cs="Garamond"/>
          <w:sz w:val="18"/>
          <w:szCs w:val="18"/>
        </w:rPr>
        <w:t>Subbe</w:t>
      </w:r>
      <w:proofErr w:type="spellEnd"/>
      <w:r>
        <w:rPr>
          <w:rFonts w:ascii="Garamond" w:eastAsia="Garamond" w:hAnsi="Garamond" w:cs="Garamond"/>
          <w:sz w:val="18"/>
          <w:szCs w:val="18"/>
        </w:rPr>
        <w:t xml:space="preserve"> et al., 2017</w:t>
      </w:r>
      <w:r>
        <w:rPr>
          <w:rFonts w:ascii="Garamond" w:eastAsia="Garamond" w:hAnsi="Garamond" w:cs="Garamond"/>
          <w:sz w:val="18"/>
          <w:szCs w:val="18"/>
          <w:vertAlign w:val="superscript"/>
        </w:rPr>
        <w:t>17</w:t>
      </w:r>
      <w:r>
        <w:rPr>
          <w:rFonts w:ascii="Garamond" w:eastAsia="Garamond" w:hAnsi="Garamond" w:cs="Garamond"/>
          <w:sz w:val="18"/>
          <w:szCs w:val="18"/>
        </w:rPr>
        <w:t>) and as 'complications' such as sepsis, obstructive sleep apnea, and pulmonary embolism by another study (</w:t>
      </w:r>
      <w:proofErr w:type="spellStart"/>
      <w:r>
        <w:rPr>
          <w:rFonts w:ascii="Garamond" w:eastAsia="Garamond" w:hAnsi="Garamond" w:cs="Garamond"/>
          <w:sz w:val="18"/>
          <w:szCs w:val="18"/>
        </w:rPr>
        <w:t>Verrillo</w:t>
      </w:r>
      <w:proofErr w:type="spellEnd"/>
      <w:r>
        <w:rPr>
          <w:rFonts w:ascii="Garamond" w:eastAsia="Garamond" w:hAnsi="Garamond" w:cs="Garamond"/>
          <w:sz w:val="18"/>
          <w:szCs w:val="18"/>
        </w:rPr>
        <w:t xml:space="preserve"> et al., 2019</w:t>
      </w:r>
      <w:r>
        <w:rPr>
          <w:rFonts w:ascii="Garamond" w:eastAsia="Garamond" w:hAnsi="Garamond" w:cs="Garamond"/>
          <w:sz w:val="18"/>
          <w:szCs w:val="18"/>
          <w:vertAlign w:val="superscript"/>
        </w:rPr>
        <w:t>25</w:t>
      </w:r>
      <w:r>
        <w:rPr>
          <w:rFonts w:ascii="Garamond" w:eastAsia="Garamond" w:hAnsi="Garamond" w:cs="Garamond"/>
          <w:sz w:val="18"/>
          <w:szCs w:val="18"/>
        </w:rPr>
        <w:t>).</w:t>
      </w:r>
    </w:p>
    <w:p w14:paraId="6FE43025" w14:textId="77777777" w:rsidR="006E087E" w:rsidRDefault="006E087E" w:rsidP="006E087E">
      <w:pPr>
        <w:pStyle w:val="Heading1"/>
        <w:keepNext/>
        <w:keepLines/>
        <w:spacing w:before="480" w:after="20" w:line="240" w:lineRule="auto"/>
        <w:rPr>
          <w:rFonts w:ascii="Garamond" w:eastAsia="Garamond" w:hAnsi="Garamond" w:cs="Garamond"/>
        </w:rPr>
      </w:pPr>
      <w:bookmarkStart w:id="15" w:name="_heading=h.x6doc2gh1cxb" w:colFirst="0" w:colLast="0"/>
      <w:bookmarkEnd w:id="15"/>
      <w:r>
        <w:rPr>
          <w:rFonts w:ascii="Garamond" w:eastAsia="Garamond" w:hAnsi="Garamond" w:cs="Garamond"/>
        </w:rPr>
        <w:lastRenderedPageBreak/>
        <w:t>Summary of Judgements: Continuous vital sign monitoring in all (unselected) patients</w:t>
      </w:r>
    </w:p>
    <w:p w14:paraId="2017F8A6" w14:textId="77777777" w:rsidR="006E087E" w:rsidRDefault="006E087E" w:rsidP="006E087E">
      <w:pPr>
        <w:spacing w:line="240" w:lineRule="auto"/>
        <w:rPr>
          <w:rFonts w:ascii="Calibri" w:eastAsia="Calibri" w:hAnsi="Calibri" w:cs="Calibri"/>
          <w:sz w:val="24"/>
          <w:szCs w:val="24"/>
        </w:rPr>
      </w:pPr>
    </w:p>
    <w:tbl>
      <w:tblPr>
        <w:tblW w:w="14910" w:type="dxa"/>
        <w:tblInd w:w="-7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5"/>
        <w:gridCol w:w="1965"/>
        <w:gridCol w:w="2145"/>
        <w:gridCol w:w="2175"/>
        <w:gridCol w:w="2265"/>
        <w:gridCol w:w="1215"/>
        <w:gridCol w:w="1005"/>
        <w:gridCol w:w="1455"/>
      </w:tblGrid>
      <w:tr w:rsidR="006E087E" w14:paraId="4296EF9A" w14:textId="77777777" w:rsidTr="00A207C4">
        <w:trPr>
          <w:trHeight w:val="375"/>
          <w:tblHeader/>
        </w:trPr>
        <w:tc>
          <w:tcPr>
            <w:tcW w:w="2685" w:type="dxa"/>
            <w:tcBorders>
              <w:top w:val="nil"/>
              <w:left w:val="nil"/>
              <w:bottom w:val="nil"/>
              <w:right w:val="nil"/>
            </w:tcBorders>
            <w:tcMar>
              <w:top w:w="75" w:type="dxa"/>
              <w:left w:w="75" w:type="dxa"/>
              <w:bottom w:w="75" w:type="dxa"/>
              <w:right w:w="75" w:type="dxa"/>
            </w:tcMar>
            <w:vAlign w:val="center"/>
          </w:tcPr>
          <w:p w14:paraId="52AABFDC" w14:textId="77777777" w:rsidR="006E087E" w:rsidRDefault="006E087E" w:rsidP="00A207C4">
            <w:pPr>
              <w:rPr>
                <w:rFonts w:ascii="Garamond" w:eastAsia="Garamond" w:hAnsi="Garamond" w:cs="Garamond"/>
                <w:smallCaps/>
                <w:sz w:val="20"/>
                <w:szCs w:val="20"/>
              </w:rPr>
            </w:pPr>
          </w:p>
        </w:tc>
        <w:tc>
          <w:tcPr>
            <w:tcW w:w="12225" w:type="dxa"/>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7B8F46AA"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JUDGMENT</w:t>
            </w:r>
          </w:p>
        </w:tc>
      </w:tr>
      <w:tr w:rsidR="006E087E" w14:paraId="70CBB4D2" w14:textId="77777777" w:rsidTr="00A207C4">
        <w:trPr>
          <w:trHeight w:val="328"/>
        </w:trPr>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372CCEC"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PROBLEM</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2C5BB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C851F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FDC85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FCDBB9"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21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68621AC" w14:textId="77777777" w:rsidR="006E087E" w:rsidRDefault="006E087E" w:rsidP="00A207C4">
            <w:pPr>
              <w:rPr>
                <w:rFonts w:ascii="Garamond" w:eastAsia="Garamond" w:hAnsi="Garamond" w:cs="Garamond"/>
                <w:b/>
                <w:sz w:val="20"/>
                <w:szCs w:val="20"/>
              </w:rPr>
            </w:pPr>
          </w:p>
        </w:tc>
        <w:tc>
          <w:tcPr>
            <w:tcW w:w="1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698A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DC12D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2912A6A8" w14:textId="77777777" w:rsidTr="00A207C4">
        <w:trPr>
          <w:trHeight w:val="392"/>
        </w:trPr>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1E4D0A7"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DESIRABLE EFFECTS</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2573F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DE36F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EEE3E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AA677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121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35040CE" w14:textId="77777777" w:rsidR="006E087E" w:rsidRDefault="006E087E" w:rsidP="00A207C4">
            <w:pPr>
              <w:rPr>
                <w:rFonts w:ascii="Garamond" w:eastAsia="Garamond" w:hAnsi="Garamond" w:cs="Garamond"/>
                <w:color w:val="AEAAAA"/>
                <w:sz w:val="20"/>
                <w:szCs w:val="20"/>
              </w:rPr>
            </w:pPr>
          </w:p>
        </w:tc>
        <w:tc>
          <w:tcPr>
            <w:tcW w:w="1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D3135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9A288F"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Don't know</w:t>
            </w:r>
          </w:p>
        </w:tc>
      </w:tr>
      <w:tr w:rsidR="006E087E" w14:paraId="6C12275D" w14:textId="77777777" w:rsidTr="00A207C4">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B90310E"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UNDESIRABLE EFFECTS</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B6BE8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B71B3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9C5B1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600F5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121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5E38A7EF" w14:textId="77777777" w:rsidR="006E087E" w:rsidRDefault="006E087E" w:rsidP="00A207C4">
            <w:pPr>
              <w:rPr>
                <w:rFonts w:ascii="Garamond" w:eastAsia="Garamond" w:hAnsi="Garamond" w:cs="Garamond"/>
                <w:color w:val="AEAAAA"/>
                <w:sz w:val="20"/>
                <w:szCs w:val="20"/>
              </w:rPr>
            </w:pPr>
          </w:p>
        </w:tc>
        <w:tc>
          <w:tcPr>
            <w:tcW w:w="1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8F727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25FAC5"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Don't know</w:t>
            </w:r>
          </w:p>
        </w:tc>
      </w:tr>
      <w:tr w:rsidR="006E087E" w14:paraId="50C12CC0" w14:textId="77777777" w:rsidTr="00A207C4">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0F7D05C9"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53B22E"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Very low</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E7777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Low</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DEC12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A50CD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21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1FE9C6B5" w14:textId="77777777" w:rsidR="006E087E" w:rsidRDefault="006E087E" w:rsidP="00A207C4">
            <w:pPr>
              <w:rPr>
                <w:rFonts w:ascii="Garamond" w:eastAsia="Garamond" w:hAnsi="Garamond" w:cs="Garamond"/>
                <w:color w:val="AEAAAA"/>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6678CF3D" w14:textId="77777777" w:rsidR="006E087E" w:rsidRDefault="006E087E" w:rsidP="00A207C4">
            <w:pPr>
              <w:jc w:val="center"/>
              <w:rPr>
                <w:rFonts w:ascii="Garamond" w:eastAsia="Garamond" w:hAnsi="Garamond" w:cs="Garamond"/>
                <w:sz w:val="20"/>
                <w:szCs w:val="20"/>
              </w:rPr>
            </w:pP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34DE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included studies</w:t>
            </w:r>
          </w:p>
        </w:tc>
      </w:tr>
      <w:tr w:rsidR="006E087E" w14:paraId="5EF3DE7D" w14:textId="77777777" w:rsidTr="00A207C4">
        <w:trPr>
          <w:trHeight w:val="589"/>
        </w:trPr>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1DDEAFAC"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VALUES</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061ED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Important uncertainty or variability</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DB0C2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Possibly important uncertainty or variability</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6D33E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important uncertainty or variability</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6CA3DE"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important uncertainty or variability</w:t>
            </w:r>
          </w:p>
        </w:tc>
        <w:tc>
          <w:tcPr>
            <w:tcW w:w="121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64D76705" w14:textId="77777777" w:rsidR="006E087E" w:rsidRDefault="006E087E" w:rsidP="00A207C4">
            <w:pPr>
              <w:rPr>
                <w:rFonts w:ascii="Garamond" w:eastAsia="Garamond" w:hAnsi="Garamond" w:cs="Garamond"/>
                <w:b/>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6980FD2" w14:textId="77777777" w:rsidR="006E087E" w:rsidRDefault="006E087E" w:rsidP="00A207C4">
            <w:pPr>
              <w:jc w:val="center"/>
              <w:rPr>
                <w:rFonts w:ascii="Garamond" w:eastAsia="Garamond" w:hAnsi="Garamond" w:cs="Garamond"/>
                <w:sz w:val="20"/>
                <w:szCs w:val="20"/>
              </w:rPr>
            </w:pPr>
          </w:p>
        </w:tc>
        <w:tc>
          <w:tcPr>
            <w:tcW w:w="145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02A3BF70" w14:textId="77777777" w:rsidR="006E087E" w:rsidRDefault="006E087E" w:rsidP="00A207C4">
            <w:pPr>
              <w:jc w:val="center"/>
              <w:rPr>
                <w:rFonts w:ascii="Garamond" w:eastAsia="Garamond" w:hAnsi="Garamond" w:cs="Garamond"/>
                <w:sz w:val="20"/>
                <w:szCs w:val="20"/>
              </w:rPr>
            </w:pPr>
          </w:p>
        </w:tc>
      </w:tr>
      <w:tr w:rsidR="006E087E" w14:paraId="69136B4C" w14:textId="77777777" w:rsidTr="00A207C4">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CAB4118"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BALANCE OF EFFECTS</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ED24D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AB0DE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40D01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7C3AF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intervention</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EF783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1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E499D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EDE913"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Don't know</w:t>
            </w:r>
          </w:p>
        </w:tc>
      </w:tr>
      <w:tr w:rsidR="006E087E" w14:paraId="696A7487" w14:textId="77777777" w:rsidTr="00A207C4">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290823F1"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RESOURCES REQUIRED</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57AC8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costs</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82273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costs</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27F62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Negligible costs and savings</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19EE7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savings</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DEE21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savings</w:t>
            </w:r>
          </w:p>
        </w:tc>
        <w:tc>
          <w:tcPr>
            <w:tcW w:w="1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954EEC"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018C2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59214A03" w14:textId="77777777" w:rsidTr="00A207C4">
        <w:trPr>
          <w:trHeight w:val="637"/>
        </w:trPr>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405605F"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 OF REQUIRED RESOURCES</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4EE39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7F0CB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Low</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1702E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D608A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21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21751EC" w14:textId="77777777" w:rsidR="006E087E" w:rsidRDefault="006E087E" w:rsidP="00A207C4">
            <w:pPr>
              <w:rPr>
                <w:rFonts w:ascii="Garamond" w:eastAsia="Garamond" w:hAnsi="Garamond" w:cs="Garamond"/>
                <w:color w:val="AEAAAA"/>
                <w:sz w:val="20"/>
                <w:szCs w:val="20"/>
              </w:rPr>
            </w:pPr>
          </w:p>
        </w:tc>
        <w:tc>
          <w:tcPr>
            <w:tcW w:w="10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03AEC7B8" w14:textId="77777777" w:rsidR="006E087E" w:rsidRDefault="006E087E" w:rsidP="00A207C4">
            <w:pPr>
              <w:jc w:val="center"/>
              <w:rPr>
                <w:rFonts w:ascii="Garamond" w:eastAsia="Garamond" w:hAnsi="Garamond" w:cs="Garamond"/>
                <w:sz w:val="20"/>
                <w:szCs w:val="20"/>
              </w:rPr>
            </w:pP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30906B"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included studies</w:t>
            </w:r>
          </w:p>
        </w:tc>
      </w:tr>
      <w:tr w:rsidR="006E087E" w14:paraId="35C78F66" w14:textId="77777777" w:rsidTr="00A207C4">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6D213991"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COST EFFECTIVENESS</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A5FC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28D83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FB930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44D76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intervention</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084C0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1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5A936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D66403"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included studies</w:t>
            </w:r>
          </w:p>
        </w:tc>
      </w:tr>
      <w:tr w:rsidR="006E087E" w14:paraId="4BF651A4" w14:textId="77777777" w:rsidTr="00A207C4">
        <w:trPr>
          <w:trHeight w:val="390"/>
        </w:trPr>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3D4FA65"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EQUITY</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96D35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Reduced</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3600C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reduced</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C996A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impact</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A5913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increased</w:t>
            </w:r>
          </w:p>
        </w:tc>
        <w:tc>
          <w:tcPr>
            <w:tcW w:w="12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C17B5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Increased</w:t>
            </w:r>
          </w:p>
        </w:tc>
        <w:tc>
          <w:tcPr>
            <w:tcW w:w="1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A5C2EC"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33BD6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31C4DB15" w14:textId="77777777" w:rsidTr="00A207C4">
        <w:trPr>
          <w:trHeight w:val="398"/>
        </w:trPr>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3A6DB04"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ACCEPTABILITY</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2D0B8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1F590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A69964"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yes</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5747E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Yes</w:t>
            </w:r>
          </w:p>
        </w:tc>
        <w:tc>
          <w:tcPr>
            <w:tcW w:w="121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586D3F34" w14:textId="77777777" w:rsidR="006E087E" w:rsidRDefault="006E087E" w:rsidP="00A207C4">
            <w:pPr>
              <w:rPr>
                <w:rFonts w:ascii="Garamond" w:eastAsia="Garamond" w:hAnsi="Garamond" w:cs="Garamond"/>
                <w:color w:val="AEAAAA"/>
                <w:sz w:val="20"/>
                <w:szCs w:val="20"/>
              </w:rPr>
            </w:pPr>
          </w:p>
        </w:tc>
        <w:tc>
          <w:tcPr>
            <w:tcW w:w="1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1E9E2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A55BF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562628CA" w14:textId="77777777" w:rsidTr="00A207C4">
        <w:trPr>
          <w:trHeight w:val="390"/>
        </w:trPr>
        <w:tc>
          <w:tcPr>
            <w:tcW w:w="268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681586C0"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lastRenderedPageBreak/>
              <w:t>FEASIBILITY</w:t>
            </w:r>
          </w:p>
        </w:tc>
        <w:tc>
          <w:tcPr>
            <w:tcW w:w="19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DF509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21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23665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1A7F0E"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yes</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893FA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Yes</w:t>
            </w:r>
          </w:p>
        </w:tc>
        <w:tc>
          <w:tcPr>
            <w:tcW w:w="121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A5C0EBC" w14:textId="77777777" w:rsidR="006E087E" w:rsidRDefault="006E087E" w:rsidP="00A207C4">
            <w:pPr>
              <w:rPr>
                <w:rFonts w:ascii="Garamond" w:eastAsia="Garamond" w:hAnsi="Garamond" w:cs="Garamond"/>
                <w:color w:val="AEAAAA"/>
                <w:sz w:val="20"/>
                <w:szCs w:val="20"/>
              </w:rPr>
            </w:pPr>
          </w:p>
        </w:tc>
        <w:tc>
          <w:tcPr>
            <w:tcW w:w="10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AE220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5D522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bl>
    <w:p w14:paraId="10F7C02D" w14:textId="77777777" w:rsidR="006E087E" w:rsidRDefault="006E087E" w:rsidP="006E087E">
      <w:pPr>
        <w:pStyle w:val="Heading1"/>
        <w:keepNext/>
        <w:keepLines/>
        <w:spacing w:before="480" w:after="20" w:line="240" w:lineRule="auto"/>
        <w:rPr>
          <w:rFonts w:ascii="Garamond" w:eastAsia="Garamond" w:hAnsi="Garamond" w:cs="Garamond"/>
          <w:smallCaps/>
        </w:rPr>
      </w:pPr>
      <w:bookmarkStart w:id="16" w:name="_heading=h.wkq3i0gytpvv" w:colFirst="0" w:colLast="0"/>
      <w:bookmarkEnd w:id="16"/>
      <w:r>
        <w:rPr>
          <w:rFonts w:ascii="Garamond" w:eastAsia="Garamond" w:hAnsi="Garamond" w:cs="Garamond"/>
        </w:rPr>
        <w:t>Type of Recommendation</w:t>
      </w:r>
    </w:p>
    <w:tbl>
      <w:tblPr>
        <w:tblW w:w="143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76"/>
        <w:gridCol w:w="2877"/>
        <w:gridCol w:w="2877"/>
        <w:gridCol w:w="2877"/>
        <w:gridCol w:w="2877"/>
      </w:tblGrid>
      <w:tr w:rsidR="006E087E" w14:paraId="727BA03E" w14:textId="77777777" w:rsidTr="00A207C4">
        <w:tc>
          <w:tcPr>
            <w:tcW w:w="2876" w:type="dxa"/>
            <w:tcBorders>
              <w:top w:val="single" w:sz="6" w:space="0" w:color="000000"/>
              <w:left w:val="single" w:sz="6" w:space="0" w:color="000000"/>
              <w:right w:val="single" w:sz="6" w:space="0" w:color="000000"/>
            </w:tcBorders>
            <w:tcMar>
              <w:top w:w="75" w:type="dxa"/>
              <w:left w:w="0" w:type="dxa"/>
              <w:bottom w:w="0" w:type="dxa"/>
              <w:right w:w="0" w:type="dxa"/>
            </w:tcMar>
          </w:tcPr>
          <w:p w14:paraId="0B943C51"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against the intervention</w:t>
            </w:r>
          </w:p>
        </w:tc>
        <w:tc>
          <w:tcPr>
            <w:tcW w:w="2877" w:type="dxa"/>
            <w:tcBorders>
              <w:top w:val="single" w:sz="6" w:space="0" w:color="000000"/>
              <w:left w:val="single" w:sz="6" w:space="0" w:color="000000"/>
              <w:right w:val="single" w:sz="6" w:space="0" w:color="000000"/>
            </w:tcBorders>
            <w:tcMar>
              <w:top w:w="75" w:type="dxa"/>
              <w:left w:w="0" w:type="dxa"/>
              <w:bottom w:w="0" w:type="dxa"/>
              <w:right w:w="0" w:type="dxa"/>
            </w:tcMar>
          </w:tcPr>
          <w:p w14:paraId="50DAAB38"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against the intervention</w:t>
            </w:r>
          </w:p>
        </w:tc>
        <w:tc>
          <w:tcPr>
            <w:tcW w:w="2877" w:type="dxa"/>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tcPr>
          <w:p w14:paraId="6FE75B3B" w14:textId="77777777" w:rsidR="006E087E" w:rsidRDefault="006E087E" w:rsidP="00A207C4">
            <w:pPr>
              <w:jc w:val="center"/>
              <w:rPr>
                <w:rFonts w:ascii="Garamond" w:eastAsia="Garamond" w:hAnsi="Garamond" w:cs="Garamond"/>
                <w:b/>
                <w:color w:val="FFFFFF"/>
                <w:sz w:val="20"/>
                <w:szCs w:val="20"/>
              </w:rPr>
            </w:pPr>
            <w:r>
              <w:rPr>
                <w:rFonts w:ascii="Garamond" w:eastAsia="Garamond" w:hAnsi="Garamond" w:cs="Garamond"/>
                <w:b/>
                <w:color w:val="FFFFFF"/>
                <w:sz w:val="20"/>
                <w:szCs w:val="20"/>
              </w:rPr>
              <w:t>Conditional recommendation for either the intervention or the comparison</w:t>
            </w:r>
          </w:p>
        </w:tc>
        <w:tc>
          <w:tcPr>
            <w:tcW w:w="2877" w:type="dxa"/>
            <w:tcBorders>
              <w:top w:val="single" w:sz="6" w:space="0" w:color="000000"/>
              <w:left w:val="single" w:sz="6" w:space="0" w:color="000000"/>
              <w:right w:val="single" w:sz="6" w:space="0" w:color="000000"/>
            </w:tcBorders>
            <w:tcMar>
              <w:top w:w="75" w:type="dxa"/>
              <w:left w:w="0" w:type="dxa"/>
              <w:bottom w:w="0" w:type="dxa"/>
              <w:right w:w="0" w:type="dxa"/>
            </w:tcMar>
          </w:tcPr>
          <w:p w14:paraId="19A3E91C"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for the intervention</w:t>
            </w:r>
          </w:p>
        </w:tc>
        <w:tc>
          <w:tcPr>
            <w:tcW w:w="2877" w:type="dxa"/>
            <w:tcBorders>
              <w:top w:val="single" w:sz="6" w:space="0" w:color="000000"/>
              <w:left w:val="single" w:sz="6" w:space="0" w:color="000000"/>
              <w:right w:val="single" w:sz="6" w:space="0" w:color="000000"/>
            </w:tcBorders>
            <w:tcMar>
              <w:top w:w="75" w:type="dxa"/>
              <w:left w:w="0" w:type="dxa"/>
              <w:bottom w:w="0" w:type="dxa"/>
              <w:right w:w="0" w:type="dxa"/>
            </w:tcMar>
          </w:tcPr>
          <w:p w14:paraId="4032A89F"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for the intervention</w:t>
            </w:r>
          </w:p>
        </w:tc>
      </w:tr>
      <w:tr w:rsidR="006E087E" w14:paraId="6F00AF80" w14:textId="77777777" w:rsidTr="00A207C4">
        <w:tc>
          <w:tcPr>
            <w:tcW w:w="2876" w:type="dxa"/>
            <w:tcBorders>
              <w:left w:val="single" w:sz="6" w:space="0" w:color="000000"/>
              <w:bottom w:val="single" w:sz="6" w:space="0" w:color="000000"/>
              <w:right w:val="single" w:sz="6" w:space="0" w:color="000000"/>
            </w:tcBorders>
            <w:tcMar>
              <w:top w:w="0" w:type="dxa"/>
              <w:left w:w="0" w:type="dxa"/>
              <w:bottom w:w="75" w:type="dxa"/>
              <w:right w:w="0" w:type="dxa"/>
            </w:tcMar>
          </w:tcPr>
          <w:p w14:paraId="0BBF6B7B"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2877" w:type="dxa"/>
            <w:tcBorders>
              <w:left w:val="single" w:sz="6" w:space="0" w:color="000000"/>
              <w:bottom w:val="single" w:sz="6" w:space="0" w:color="000000"/>
              <w:right w:val="single" w:sz="6" w:space="0" w:color="000000"/>
            </w:tcBorders>
            <w:tcMar>
              <w:top w:w="0" w:type="dxa"/>
              <w:left w:w="0" w:type="dxa"/>
              <w:bottom w:w="75" w:type="dxa"/>
              <w:right w:w="0" w:type="dxa"/>
            </w:tcMar>
          </w:tcPr>
          <w:p w14:paraId="498AF206"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2877" w:type="dxa"/>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tcPr>
          <w:p w14:paraId="7273ADB0" w14:textId="77777777" w:rsidR="006E087E" w:rsidRDefault="008E2347" w:rsidP="00A207C4">
            <w:pPr>
              <w:jc w:val="center"/>
              <w:rPr>
                <w:rFonts w:ascii="Garamond" w:eastAsia="Garamond" w:hAnsi="Garamond" w:cs="Garamond"/>
                <w:b/>
                <w:color w:val="FFFFFF"/>
                <w:sz w:val="30"/>
                <w:szCs w:val="30"/>
              </w:rPr>
            </w:pPr>
            <w:sdt>
              <w:sdtPr>
                <w:tag w:val="goog_rdk_35"/>
                <w:id w:val="-1764602176"/>
              </w:sdtPr>
              <w:sdtEndPr/>
              <w:sdtContent>
                <w:r w:rsidR="006E087E">
                  <w:rPr>
                    <w:rFonts w:ascii="Arial Unicode MS" w:eastAsia="Arial Unicode MS" w:hAnsi="Arial Unicode MS" w:cs="Arial Unicode MS"/>
                    <w:b/>
                    <w:color w:val="FFFFFF"/>
                    <w:sz w:val="30"/>
                    <w:szCs w:val="30"/>
                  </w:rPr>
                  <w:t>✓</w:t>
                </w:r>
              </w:sdtContent>
            </w:sdt>
          </w:p>
        </w:tc>
        <w:tc>
          <w:tcPr>
            <w:tcW w:w="2877" w:type="dxa"/>
            <w:tcBorders>
              <w:left w:val="single" w:sz="6" w:space="0" w:color="000000"/>
              <w:bottom w:val="single" w:sz="6" w:space="0" w:color="000000"/>
              <w:right w:val="single" w:sz="6" w:space="0" w:color="000000"/>
            </w:tcBorders>
            <w:tcMar>
              <w:top w:w="0" w:type="dxa"/>
              <w:left w:w="0" w:type="dxa"/>
              <w:bottom w:w="75" w:type="dxa"/>
              <w:right w:w="0" w:type="dxa"/>
            </w:tcMar>
          </w:tcPr>
          <w:p w14:paraId="5ADB2D26"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2877" w:type="dxa"/>
            <w:tcBorders>
              <w:left w:val="single" w:sz="6" w:space="0" w:color="000000"/>
              <w:bottom w:val="single" w:sz="6" w:space="0" w:color="000000"/>
              <w:right w:val="single" w:sz="6" w:space="0" w:color="000000"/>
            </w:tcBorders>
            <w:tcMar>
              <w:top w:w="0" w:type="dxa"/>
              <w:left w:w="0" w:type="dxa"/>
              <w:bottom w:w="75" w:type="dxa"/>
              <w:right w:w="0" w:type="dxa"/>
            </w:tcMar>
          </w:tcPr>
          <w:p w14:paraId="25600085"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r>
    </w:tbl>
    <w:p w14:paraId="0859C2C1" w14:textId="77777777" w:rsidR="006E087E" w:rsidRDefault="006E087E" w:rsidP="006E087E">
      <w:pPr>
        <w:spacing w:line="240" w:lineRule="auto"/>
        <w:rPr>
          <w:rFonts w:ascii="Times New Roman" w:eastAsia="Times New Roman" w:hAnsi="Times New Roman" w:cs="Times New Roman"/>
          <w:b/>
          <w:sz w:val="24"/>
          <w:szCs w:val="24"/>
        </w:rPr>
      </w:pPr>
    </w:p>
    <w:p w14:paraId="76912653" w14:textId="77777777" w:rsidR="006E087E" w:rsidRDefault="006E087E" w:rsidP="006E087E">
      <w:pPr>
        <w:spacing w:line="240" w:lineRule="auto"/>
        <w:rPr>
          <w:rFonts w:ascii="Times New Roman" w:eastAsia="Times New Roman" w:hAnsi="Times New Roman" w:cs="Times New Roman"/>
          <w:b/>
          <w:sz w:val="24"/>
          <w:szCs w:val="24"/>
        </w:rPr>
      </w:pPr>
    </w:p>
    <w:p w14:paraId="3978318B" w14:textId="28F0E8AD" w:rsidR="006E087E" w:rsidRDefault="006E087E" w:rsidP="006E087E">
      <w:pPr>
        <w:spacing w:line="240" w:lineRule="auto"/>
        <w:jc w:val="right"/>
        <w:rPr>
          <w:rFonts w:ascii="Times New Roman" w:eastAsia="Times New Roman" w:hAnsi="Times New Roman" w:cs="Times New Roman"/>
          <w:sz w:val="24"/>
          <w:szCs w:val="24"/>
        </w:rPr>
        <w:sectPr w:rsidR="006E087E">
          <w:pgSz w:w="15840" w:h="12240" w:orient="landscape"/>
          <w:pgMar w:top="1080" w:right="1080" w:bottom="1080" w:left="1080" w:header="720" w:footer="720" w:gutter="0"/>
          <w:cols w:space="720"/>
        </w:sectPr>
      </w:pPr>
    </w:p>
    <w:p w14:paraId="531170D8" w14:textId="77777777" w:rsidR="006E087E" w:rsidRDefault="006E087E" w:rsidP="006E087E">
      <w:pPr>
        <w:spacing w:line="240" w:lineRule="auto"/>
        <w:rPr>
          <w:rFonts w:ascii="Times New Roman" w:eastAsia="Times New Roman" w:hAnsi="Times New Roman" w:cs="Times New Roman"/>
          <w:b/>
          <w:sz w:val="24"/>
          <w:szCs w:val="24"/>
        </w:rPr>
      </w:pPr>
      <w:bookmarkStart w:id="17" w:name="bookmark=kix.uwrhjq727zxl" w:colFirst="0" w:colLast="0"/>
      <w:bookmarkEnd w:id="17"/>
      <w:r>
        <w:rPr>
          <w:rFonts w:ascii="Times New Roman" w:eastAsia="Times New Roman" w:hAnsi="Times New Roman" w:cs="Times New Roman"/>
          <w:b/>
          <w:sz w:val="24"/>
          <w:szCs w:val="24"/>
        </w:rPr>
        <w:lastRenderedPageBreak/>
        <w:t>Supplemental Digital Content 10B</w:t>
      </w:r>
    </w:p>
    <w:p w14:paraId="5F22F605" w14:textId="77777777" w:rsidR="006E087E" w:rsidRDefault="006E087E" w:rsidP="006E087E">
      <w:pPr>
        <w:spacing w:line="240" w:lineRule="auto"/>
        <w:rPr>
          <w:rFonts w:ascii="Times New Roman" w:eastAsia="Times New Roman" w:hAnsi="Times New Roman" w:cs="Times New Roman"/>
          <w:b/>
          <w:sz w:val="24"/>
          <w:szCs w:val="24"/>
        </w:rPr>
      </w:pPr>
    </w:p>
    <w:p w14:paraId="0005F7E6" w14:textId="766036FD" w:rsidR="006E087E" w:rsidRDefault="006E087E" w:rsidP="006E087E">
      <w:pPr>
        <w:spacing w:line="240" w:lineRule="auto"/>
        <w:rPr>
          <w:rFonts w:ascii="Garamond" w:eastAsia="Garamond" w:hAnsi="Garamond" w:cs="Garamond"/>
          <w:b/>
          <w:sz w:val="24"/>
          <w:szCs w:val="24"/>
        </w:rPr>
      </w:pPr>
      <w:r>
        <w:rPr>
          <w:rFonts w:ascii="Garamond" w:eastAsia="Garamond" w:hAnsi="Garamond" w:cs="Garamond"/>
          <w:b/>
          <w:sz w:val="24"/>
          <w:szCs w:val="24"/>
        </w:rPr>
        <w:t>Question:</w:t>
      </w:r>
      <w:r>
        <w:rPr>
          <w:rFonts w:ascii="Garamond" w:eastAsia="Garamond" w:hAnsi="Garamond" w:cs="Garamond"/>
          <w:sz w:val="24"/>
          <w:szCs w:val="24"/>
        </w:rPr>
        <w:t xml:space="preserve"> </w:t>
      </w:r>
      <w:r>
        <w:rPr>
          <w:rFonts w:ascii="Garamond" w:eastAsia="Garamond" w:hAnsi="Garamond" w:cs="Garamond"/>
          <w:b/>
          <w:sz w:val="24"/>
          <w:szCs w:val="24"/>
        </w:rPr>
        <w:t>Should we provide focused education for non-ICU staff on early recognition of clinical deterioration compared with no focused education?</w:t>
      </w:r>
    </w:p>
    <w:p w14:paraId="0003D241" w14:textId="766036FD" w:rsidR="006E087E" w:rsidRDefault="006E087E" w:rsidP="006E087E">
      <w:pPr>
        <w:spacing w:line="240" w:lineRule="auto"/>
        <w:rPr>
          <w:rFonts w:ascii="Garamond" w:eastAsia="Garamond" w:hAnsi="Garamond" w:cs="Garamond"/>
          <w:b/>
          <w:sz w:val="24"/>
          <w:szCs w:val="24"/>
        </w:rPr>
      </w:pPr>
      <w:r>
        <w:rPr>
          <w:rFonts w:ascii="Garamond" w:eastAsia="Garamond" w:hAnsi="Garamond" w:cs="Garamond"/>
          <w:b/>
          <w:sz w:val="24"/>
          <w:szCs w:val="24"/>
        </w:rPr>
        <w:t>GRADE Evidence Profile</w:t>
      </w:r>
    </w:p>
    <w:p w14:paraId="2DA5B4B9" w14:textId="77777777" w:rsidR="006E087E" w:rsidRDefault="006E087E" w:rsidP="006E087E">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bl>
      <w:tblPr>
        <w:tblW w:w="15645" w:type="dxa"/>
        <w:tblInd w:w="-7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75"/>
        <w:gridCol w:w="1260"/>
        <w:gridCol w:w="810"/>
        <w:gridCol w:w="1215"/>
        <w:gridCol w:w="1095"/>
        <w:gridCol w:w="1080"/>
        <w:gridCol w:w="1365"/>
        <w:gridCol w:w="4905"/>
        <w:gridCol w:w="105"/>
        <w:gridCol w:w="915"/>
        <w:gridCol w:w="1245"/>
        <w:gridCol w:w="675"/>
      </w:tblGrid>
      <w:tr w:rsidR="006E087E" w14:paraId="6DA8B9EA" w14:textId="77777777" w:rsidTr="00A207C4">
        <w:trPr>
          <w:gridAfter w:val="1"/>
          <w:wAfter w:w="675" w:type="dxa"/>
          <w:cantSplit/>
          <w:tblHeader/>
        </w:trPr>
        <w:tc>
          <w:tcPr>
            <w:tcW w:w="7800" w:type="dxa"/>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912EBAD"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 assessment</w:t>
            </w:r>
          </w:p>
        </w:tc>
        <w:tc>
          <w:tcPr>
            <w:tcW w:w="4905"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5E82083"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 xml:space="preserve">Impact </w:t>
            </w:r>
          </w:p>
        </w:tc>
        <w:tc>
          <w:tcPr>
            <w:tcW w:w="1020" w:type="dxa"/>
            <w:gridSpan w:val="2"/>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5344B88"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w:t>
            </w:r>
          </w:p>
        </w:tc>
        <w:tc>
          <w:tcPr>
            <w:tcW w:w="1245"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24289A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Importance</w:t>
            </w:r>
          </w:p>
        </w:tc>
      </w:tr>
      <w:tr w:rsidR="006E087E" w14:paraId="17426300" w14:textId="77777777" w:rsidTr="00A207C4">
        <w:trPr>
          <w:gridAfter w:val="1"/>
          <w:wAfter w:w="675" w:type="dxa"/>
          <w:cantSplit/>
          <w:tblHeader/>
        </w:trPr>
        <w:tc>
          <w:tcPr>
            <w:tcW w:w="97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CF140D0" w14:textId="77777777" w:rsidR="006E087E" w:rsidRDefault="008E2347" w:rsidP="00A207C4">
            <w:pPr>
              <w:jc w:val="center"/>
              <w:rPr>
                <w:rFonts w:ascii="Garamond" w:eastAsia="Garamond" w:hAnsi="Garamond" w:cs="Garamond"/>
                <w:b/>
                <w:color w:val="FFFFFF"/>
                <w:sz w:val="18"/>
                <w:szCs w:val="18"/>
              </w:rPr>
            </w:pPr>
            <w:sdt>
              <w:sdtPr>
                <w:tag w:val="goog_rdk_36"/>
                <w:id w:val="2012716006"/>
              </w:sdtPr>
              <w:sdtEndPr/>
              <w:sdtContent>
                <w:r w:rsidR="006E087E">
                  <w:rPr>
                    <w:rFonts w:ascii="Cardo" w:eastAsia="Cardo" w:hAnsi="Cardo" w:cs="Cardo"/>
                    <w:b/>
                    <w:color w:val="FFFFFF"/>
                    <w:sz w:val="18"/>
                    <w:szCs w:val="18"/>
                  </w:rPr>
                  <w:t>№ of studies</w:t>
                </w:r>
              </w:sdtContent>
            </w:sdt>
          </w:p>
        </w:tc>
        <w:tc>
          <w:tcPr>
            <w:tcW w:w="126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E5060AD"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Study design</w:t>
            </w:r>
          </w:p>
        </w:tc>
        <w:tc>
          <w:tcPr>
            <w:tcW w:w="81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C99A316"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Risk of bias</w:t>
            </w:r>
          </w:p>
        </w:tc>
        <w:tc>
          <w:tcPr>
            <w:tcW w:w="121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D1285D2"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Inconsistency</w:t>
            </w:r>
          </w:p>
        </w:tc>
        <w:tc>
          <w:tcPr>
            <w:tcW w:w="109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3AA48276"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Indirectness</w:t>
            </w:r>
          </w:p>
        </w:tc>
        <w:tc>
          <w:tcPr>
            <w:tcW w:w="108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42DB30C"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Imprecision</w:t>
            </w:r>
          </w:p>
        </w:tc>
        <w:tc>
          <w:tcPr>
            <w:tcW w:w="136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83AA674"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Other considerations</w:t>
            </w:r>
          </w:p>
        </w:tc>
        <w:tc>
          <w:tcPr>
            <w:tcW w:w="4905"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D109AD6"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020" w:type="dxa"/>
            <w:gridSpan w:val="2"/>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110F6C3"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245"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2D7436D"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r>
      <w:tr w:rsidR="006E087E" w14:paraId="758049AC" w14:textId="77777777" w:rsidTr="00A207C4">
        <w:trPr>
          <w:gridAfter w:val="1"/>
          <w:wAfter w:w="675" w:type="dxa"/>
          <w:cantSplit/>
        </w:trPr>
        <w:tc>
          <w:tcPr>
            <w:tcW w:w="14970" w:type="dxa"/>
            <w:gridSpan w:val="11"/>
            <w:shd w:val="clear" w:color="auto" w:fill="FFFFFF"/>
            <w:tcMar>
              <w:top w:w="75" w:type="dxa"/>
              <w:left w:w="100" w:type="dxa"/>
              <w:bottom w:w="100" w:type="dxa"/>
              <w:right w:w="100" w:type="dxa"/>
            </w:tcMar>
            <w:vAlign w:val="center"/>
          </w:tcPr>
          <w:p w14:paraId="68DCB107"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Hospital mortality</w:t>
            </w:r>
          </w:p>
        </w:tc>
      </w:tr>
      <w:tr w:rsidR="006E087E" w14:paraId="0B5EFC54" w14:textId="77777777" w:rsidTr="00A207C4">
        <w:trPr>
          <w:gridAfter w:val="1"/>
          <w:wAfter w:w="675" w:type="dxa"/>
          <w:cantSplit/>
        </w:trPr>
        <w:tc>
          <w:tcPr>
            <w:tcW w:w="975" w:type="dxa"/>
            <w:tcBorders>
              <w:top w:val="single" w:sz="6" w:space="0" w:color="000000"/>
              <w:left w:val="single" w:sz="6" w:space="0" w:color="000000"/>
              <w:bottom w:val="single" w:sz="6" w:space="0" w:color="000000"/>
              <w:right w:val="single" w:sz="6" w:space="0" w:color="000000"/>
            </w:tcBorders>
            <w:vAlign w:val="center"/>
          </w:tcPr>
          <w:p w14:paraId="559731D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17</w:t>
            </w:r>
          </w:p>
        </w:tc>
        <w:tc>
          <w:tcPr>
            <w:tcW w:w="1260" w:type="dxa"/>
            <w:tcBorders>
              <w:top w:val="single" w:sz="6" w:space="0" w:color="000000"/>
              <w:left w:val="single" w:sz="6" w:space="0" w:color="000000"/>
              <w:bottom w:val="single" w:sz="6" w:space="0" w:color="000000"/>
              <w:right w:val="single" w:sz="6" w:space="0" w:color="000000"/>
            </w:tcBorders>
            <w:vAlign w:val="center"/>
          </w:tcPr>
          <w:p w14:paraId="245FBD6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1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w:t>
            </w:r>
          </w:p>
          <w:p w14:paraId="07F0F587" w14:textId="77777777" w:rsidR="006E087E" w:rsidRDefault="006E087E" w:rsidP="00A207C4">
            <w:pPr>
              <w:jc w:val="center"/>
              <w:rPr>
                <w:rFonts w:ascii="Garamond" w:eastAsia="Garamond" w:hAnsi="Garamond" w:cs="Garamond"/>
                <w:sz w:val="18"/>
                <w:szCs w:val="18"/>
              </w:rPr>
            </w:pPr>
          </w:p>
          <w:p w14:paraId="4207F3D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16 observational studies</w:t>
            </w:r>
          </w:p>
        </w:tc>
        <w:tc>
          <w:tcPr>
            <w:tcW w:w="810" w:type="dxa"/>
            <w:tcBorders>
              <w:top w:val="single" w:sz="6" w:space="0" w:color="000000"/>
              <w:left w:val="single" w:sz="6" w:space="0" w:color="000000"/>
              <w:bottom w:val="single" w:sz="6" w:space="0" w:color="000000"/>
              <w:right w:val="single" w:sz="6" w:space="0" w:color="000000"/>
            </w:tcBorders>
            <w:vAlign w:val="center"/>
          </w:tcPr>
          <w:p w14:paraId="46234B7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15" w:type="dxa"/>
            <w:tcBorders>
              <w:top w:val="single" w:sz="6" w:space="0" w:color="000000"/>
              <w:left w:val="single" w:sz="6" w:space="0" w:color="000000"/>
              <w:bottom w:val="single" w:sz="6" w:space="0" w:color="000000"/>
              <w:right w:val="single" w:sz="6" w:space="0" w:color="000000"/>
            </w:tcBorders>
            <w:vAlign w:val="center"/>
          </w:tcPr>
          <w:p w14:paraId="5313CAF5"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095" w:type="dxa"/>
            <w:tcBorders>
              <w:top w:val="single" w:sz="6" w:space="0" w:color="000000"/>
              <w:left w:val="single" w:sz="6" w:space="0" w:color="000000"/>
              <w:bottom w:val="single" w:sz="6" w:space="0" w:color="000000"/>
              <w:right w:val="single" w:sz="6" w:space="0" w:color="000000"/>
            </w:tcBorders>
            <w:vAlign w:val="center"/>
          </w:tcPr>
          <w:p w14:paraId="395DFCF5"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080" w:type="dxa"/>
            <w:tcBorders>
              <w:top w:val="single" w:sz="6" w:space="0" w:color="000000"/>
              <w:left w:val="single" w:sz="6" w:space="0" w:color="000000"/>
              <w:bottom w:val="single" w:sz="6" w:space="0" w:color="000000"/>
              <w:right w:val="single" w:sz="6" w:space="0" w:color="000000"/>
            </w:tcBorders>
            <w:vAlign w:val="center"/>
          </w:tcPr>
          <w:p w14:paraId="65BE28A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65" w:type="dxa"/>
            <w:tcBorders>
              <w:top w:val="single" w:sz="6" w:space="0" w:color="000000"/>
              <w:left w:val="single" w:sz="6" w:space="0" w:color="000000"/>
              <w:bottom w:val="single" w:sz="6" w:space="0" w:color="000000"/>
              <w:right w:val="single" w:sz="6" w:space="0" w:color="000000"/>
            </w:tcBorders>
            <w:vAlign w:val="center"/>
          </w:tcPr>
          <w:p w14:paraId="4B2B87B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4905" w:type="dxa"/>
            <w:tcBorders>
              <w:top w:val="single" w:sz="6" w:space="0" w:color="000000"/>
              <w:left w:val="single" w:sz="6" w:space="0" w:color="000000"/>
              <w:bottom w:val="single" w:sz="6" w:space="0" w:color="000000"/>
              <w:right w:val="single" w:sz="6" w:space="0" w:color="000000"/>
            </w:tcBorders>
            <w:vAlign w:val="center"/>
          </w:tcPr>
          <w:p w14:paraId="60020531" w14:textId="77777777" w:rsidR="006E087E" w:rsidRDefault="006E087E" w:rsidP="00A207C4">
            <w:pPr>
              <w:rPr>
                <w:rFonts w:ascii="Garamond" w:eastAsia="Garamond" w:hAnsi="Garamond" w:cs="Garamond"/>
                <w:b/>
                <w:sz w:val="18"/>
                <w:szCs w:val="18"/>
              </w:rPr>
            </w:pPr>
            <w:r>
              <w:rPr>
                <w:rFonts w:ascii="Garamond" w:eastAsia="Garamond" w:hAnsi="Garamond" w:cs="Garamond"/>
                <w:sz w:val="18"/>
                <w:szCs w:val="18"/>
              </w:rPr>
              <w:t xml:space="preserve">Among 17 studies (1 cluster RCT, 16 before-after), 11 reported a decreased hospital mortality with focused education on early clinical deterioration while 6 studies showed no effect. However, the education was often part of a package that included implementation RRT/MET with explicit activation criteria. One cluster RCT (MERIT trial) conducted at 12 hospitals in Australia failed to show any impact on hospital mortality with education as part of a package that included explicit activation criteria and RRT/MET. </w:t>
            </w:r>
            <w:r>
              <w:rPr>
                <w:rFonts w:ascii="Garamond" w:eastAsia="Garamond" w:hAnsi="Garamond" w:cs="Garamond"/>
                <w:b/>
                <w:sz w:val="18"/>
                <w:szCs w:val="18"/>
              </w:rPr>
              <w:t>The overall effect of focused education on mortality is uncertain.</w:t>
            </w:r>
          </w:p>
          <w:p w14:paraId="488E0BDB" w14:textId="77777777" w:rsidR="006E087E" w:rsidRDefault="006E087E" w:rsidP="00A207C4">
            <w:pPr>
              <w:rPr>
                <w:rFonts w:ascii="Garamond" w:eastAsia="Garamond" w:hAnsi="Garamond" w:cs="Garamond"/>
                <w:b/>
                <w:sz w:val="18"/>
                <w:szCs w:val="18"/>
              </w:rPr>
            </w:pPr>
          </w:p>
          <w:p w14:paraId="0C69AF59" w14:textId="77777777" w:rsidR="006E087E" w:rsidRDefault="006E087E" w:rsidP="00A207C4">
            <w:pPr>
              <w:rPr>
                <w:rFonts w:ascii="Garamond" w:eastAsia="Garamond" w:hAnsi="Garamond" w:cs="Garamond"/>
                <w:b/>
                <w:sz w:val="18"/>
                <w:szCs w:val="18"/>
              </w:rPr>
            </w:pPr>
          </w:p>
          <w:p w14:paraId="4D789431" w14:textId="77777777" w:rsidR="006E087E" w:rsidRDefault="006E087E" w:rsidP="00A207C4">
            <w:pPr>
              <w:rPr>
                <w:rFonts w:ascii="Garamond" w:eastAsia="Garamond" w:hAnsi="Garamond" w:cs="Garamond"/>
                <w:b/>
                <w:sz w:val="18"/>
                <w:szCs w:val="18"/>
              </w:rPr>
            </w:pP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25D9F1BF"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37"/>
                <w:id w:val="865330221"/>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45" w:type="dxa"/>
            <w:tcBorders>
              <w:top w:val="single" w:sz="6" w:space="0" w:color="000000"/>
              <w:left w:val="single" w:sz="6" w:space="0" w:color="000000"/>
              <w:bottom w:val="single" w:sz="6" w:space="0" w:color="000000"/>
              <w:right w:val="single" w:sz="6" w:space="0" w:color="000000"/>
            </w:tcBorders>
            <w:vAlign w:val="center"/>
          </w:tcPr>
          <w:p w14:paraId="351BECF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46EF1667" w14:textId="77777777" w:rsidTr="00A207C4">
        <w:trPr>
          <w:gridAfter w:val="1"/>
          <w:wAfter w:w="675" w:type="dxa"/>
          <w:cantSplit/>
        </w:trPr>
        <w:tc>
          <w:tcPr>
            <w:tcW w:w="14970" w:type="dxa"/>
            <w:gridSpan w:val="11"/>
            <w:shd w:val="clear" w:color="auto" w:fill="FFFFFF"/>
            <w:tcMar>
              <w:top w:w="75" w:type="dxa"/>
              <w:left w:w="100" w:type="dxa"/>
              <w:bottom w:w="100" w:type="dxa"/>
              <w:right w:w="100" w:type="dxa"/>
            </w:tcMar>
            <w:vAlign w:val="center"/>
          </w:tcPr>
          <w:p w14:paraId="5602DD42"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Cardiac arrests outside of the ICU</w:t>
            </w:r>
          </w:p>
        </w:tc>
      </w:tr>
      <w:tr w:rsidR="006E087E" w14:paraId="44CC9CCC" w14:textId="77777777" w:rsidTr="00A207C4">
        <w:trPr>
          <w:gridAfter w:val="1"/>
          <w:wAfter w:w="675" w:type="dxa"/>
          <w:cantSplit/>
        </w:trPr>
        <w:tc>
          <w:tcPr>
            <w:tcW w:w="975" w:type="dxa"/>
            <w:tcBorders>
              <w:top w:val="single" w:sz="6" w:space="0" w:color="000000"/>
              <w:left w:val="single" w:sz="6" w:space="0" w:color="000000"/>
              <w:bottom w:val="single" w:sz="6" w:space="0" w:color="000000"/>
              <w:right w:val="single" w:sz="6" w:space="0" w:color="000000"/>
            </w:tcBorders>
            <w:vAlign w:val="center"/>
          </w:tcPr>
          <w:p w14:paraId="5D3B36B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12</w:t>
            </w:r>
          </w:p>
        </w:tc>
        <w:tc>
          <w:tcPr>
            <w:tcW w:w="1260" w:type="dxa"/>
            <w:tcBorders>
              <w:top w:val="single" w:sz="6" w:space="0" w:color="000000"/>
              <w:left w:val="single" w:sz="6" w:space="0" w:color="000000"/>
              <w:bottom w:val="single" w:sz="6" w:space="0" w:color="000000"/>
              <w:right w:val="single" w:sz="6" w:space="0" w:color="000000"/>
            </w:tcBorders>
            <w:vAlign w:val="center"/>
          </w:tcPr>
          <w:p w14:paraId="43AE3D3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1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w:t>
            </w:r>
          </w:p>
          <w:p w14:paraId="0E6FCFDC" w14:textId="77777777" w:rsidR="006E087E" w:rsidRDefault="006E087E" w:rsidP="00A207C4">
            <w:pPr>
              <w:jc w:val="center"/>
              <w:rPr>
                <w:rFonts w:ascii="Garamond" w:eastAsia="Garamond" w:hAnsi="Garamond" w:cs="Garamond"/>
                <w:sz w:val="18"/>
                <w:szCs w:val="18"/>
              </w:rPr>
            </w:pPr>
          </w:p>
          <w:p w14:paraId="7285F31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11</w:t>
            </w:r>
          </w:p>
          <w:p w14:paraId="17CB1D0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10" w:type="dxa"/>
            <w:tcBorders>
              <w:top w:val="single" w:sz="6" w:space="0" w:color="000000"/>
              <w:left w:val="single" w:sz="6" w:space="0" w:color="000000"/>
              <w:bottom w:val="single" w:sz="6" w:space="0" w:color="000000"/>
              <w:right w:val="single" w:sz="6" w:space="0" w:color="000000"/>
            </w:tcBorders>
            <w:vAlign w:val="center"/>
          </w:tcPr>
          <w:p w14:paraId="6625A2E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15" w:type="dxa"/>
            <w:tcBorders>
              <w:top w:val="single" w:sz="6" w:space="0" w:color="000000"/>
              <w:left w:val="single" w:sz="6" w:space="0" w:color="000000"/>
              <w:bottom w:val="single" w:sz="6" w:space="0" w:color="000000"/>
              <w:right w:val="single" w:sz="6" w:space="0" w:color="000000"/>
            </w:tcBorders>
            <w:vAlign w:val="center"/>
          </w:tcPr>
          <w:p w14:paraId="4CE87B4C"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095" w:type="dxa"/>
            <w:tcBorders>
              <w:top w:val="single" w:sz="6" w:space="0" w:color="000000"/>
              <w:left w:val="single" w:sz="6" w:space="0" w:color="000000"/>
              <w:bottom w:val="single" w:sz="6" w:space="0" w:color="000000"/>
              <w:right w:val="single" w:sz="6" w:space="0" w:color="000000"/>
            </w:tcBorders>
            <w:vAlign w:val="center"/>
          </w:tcPr>
          <w:p w14:paraId="0DCEEF99"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080" w:type="dxa"/>
            <w:tcBorders>
              <w:top w:val="single" w:sz="6" w:space="0" w:color="000000"/>
              <w:left w:val="single" w:sz="6" w:space="0" w:color="000000"/>
              <w:bottom w:val="single" w:sz="6" w:space="0" w:color="000000"/>
              <w:right w:val="single" w:sz="6" w:space="0" w:color="000000"/>
            </w:tcBorders>
            <w:vAlign w:val="center"/>
          </w:tcPr>
          <w:p w14:paraId="56CA840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65" w:type="dxa"/>
            <w:tcBorders>
              <w:top w:val="single" w:sz="6" w:space="0" w:color="000000"/>
              <w:left w:val="single" w:sz="6" w:space="0" w:color="000000"/>
              <w:bottom w:val="single" w:sz="6" w:space="0" w:color="000000"/>
              <w:right w:val="single" w:sz="6" w:space="0" w:color="000000"/>
            </w:tcBorders>
            <w:vAlign w:val="center"/>
          </w:tcPr>
          <w:p w14:paraId="3237799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4905" w:type="dxa"/>
            <w:tcBorders>
              <w:top w:val="single" w:sz="6" w:space="0" w:color="000000"/>
              <w:left w:val="single" w:sz="6" w:space="0" w:color="000000"/>
              <w:bottom w:val="single" w:sz="6" w:space="0" w:color="000000"/>
              <w:right w:val="single" w:sz="6" w:space="0" w:color="000000"/>
            </w:tcBorders>
            <w:vAlign w:val="center"/>
          </w:tcPr>
          <w:p w14:paraId="153FDA5E" w14:textId="77777777" w:rsidR="006E087E" w:rsidRDefault="006E087E" w:rsidP="00A207C4">
            <w:pPr>
              <w:rPr>
                <w:rFonts w:ascii="Garamond" w:eastAsia="Garamond" w:hAnsi="Garamond" w:cs="Garamond"/>
                <w:b/>
                <w:sz w:val="18"/>
                <w:szCs w:val="18"/>
              </w:rPr>
            </w:pPr>
            <w:r>
              <w:rPr>
                <w:rFonts w:ascii="Garamond" w:eastAsia="Garamond" w:hAnsi="Garamond" w:cs="Garamond"/>
                <w:sz w:val="18"/>
                <w:szCs w:val="18"/>
              </w:rPr>
              <w:t xml:space="preserve">Among 12 studies (1 cluster RCT, 11 before-after studies), 8 reported decreased non-ICU cardiac arrests with focused education on early clinical deterioration, while 4 reported no effect. However, the education was often part of a package that included implementation RRT/MET with explicit activation criteria. One cluster RCT (MERIT trial) conducted at 12 hospitals in Australia failed to show any impact on cardiac arrests with education as part of a package that included explicit activation criteria and RRT/MET.  </w:t>
            </w:r>
            <w:r>
              <w:rPr>
                <w:rFonts w:ascii="Garamond" w:eastAsia="Garamond" w:hAnsi="Garamond" w:cs="Garamond"/>
                <w:b/>
                <w:sz w:val="18"/>
                <w:szCs w:val="18"/>
              </w:rPr>
              <w:t>The overall effect of focused education on cardiac arrest outside the ICU is uncertain.</w:t>
            </w:r>
          </w:p>
          <w:p w14:paraId="4DA8F315" w14:textId="77777777" w:rsidR="006E087E" w:rsidRDefault="006E087E" w:rsidP="00A207C4">
            <w:pPr>
              <w:rPr>
                <w:rFonts w:ascii="Garamond" w:eastAsia="Garamond" w:hAnsi="Garamond" w:cs="Garamond"/>
                <w:b/>
                <w:sz w:val="18"/>
                <w:szCs w:val="18"/>
              </w:rPr>
            </w:pPr>
          </w:p>
          <w:p w14:paraId="6582498A" w14:textId="77777777" w:rsidR="006E087E" w:rsidRDefault="006E087E" w:rsidP="00A207C4">
            <w:pPr>
              <w:rPr>
                <w:rFonts w:ascii="Garamond" w:eastAsia="Garamond" w:hAnsi="Garamond" w:cs="Garamond"/>
                <w:b/>
                <w:sz w:val="18"/>
                <w:szCs w:val="18"/>
              </w:rPr>
            </w:pPr>
          </w:p>
          <w:p w14:paraId="524C15F6" w14:textId="77777777" w:rsidR="006E087E" w:rsidRDefault="006E087E" w:rsidP="00A207C4">
            <w:pPr>
              <w:rPr>
                <w:rFonts w:ascii="Garamond" w:eastAsia="Garamond" w:hAnsi="Garamond" w:cs="Garamond"/>
                <w:b/>
                <w:sz w:val="18"/>
                <w:szCs w:val="18"/>
              </w:rPr>
            </w:pP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4BF36E9C"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38"/>
                <w:id w:val="-267472394"/>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45" w:type="dxa"/>
            <w:tcBorders>
              <w:top w:val="single" w:sz="6" w:space="0" w:color="000000"/>
              <w:left w:val="single" w:sz="6" w:space="0" w:color="000000"/>
              <w:bottom w:val="single" w:sz="6" w:space="0" w:color="000000"/>
              <w:right w:val="single" w:sz="6" w:space="0" w:color="000000"/>
            </w:tcBorders>
            <w:vAlign w:val="center"/>
          </w:tcPr>
          <w:p w14:paraId="54E7344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6178304C" w14:textId="77777777" w:rsidTr="00A207C4">
        <w:trPr>
          <w:gridAfter w:val="1"/>
          <w:wAfter w:w="675" w:type="dxa"/>
          <w:cantSplit/>
        </w:trPr>
        <w:tc>
          <w:tcPr>
            <w:tcW w:w="14970" w:type="dxa"/>
            <w:gridSpan w:val="11"/>
            <w:shd w:val="clear" w:color="auto" w:fill="FFFFFF"/>
            <w:tcMar>
              <w:top w:w="75" w:type="dxa"/>
              <w:left w:w="100" w:type="dxa"/>
              <w:bottom w:w="100" w:type="dxa"/>
              <w:right w:w="100" w:type="dxa"/>
            </w:tcMar>
            <w:vAlign w:val="center"/>
          </w:tcPr>
          <w:p w14:paraId="78A80942"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lastRenderedPageBreak/>
              <w:t>ICU Length of Stay</w:t>
            </w:r>
          </w:p>
        </w:tc>
      </w:tr>
      <w:tr w:rsidR="006E087E" w14:paraId="78A96365" w14:textId="77777777" w:rsidTr="00A207C4">
        <w:trPr>
          <w:gridAfter w:val="1"/>
          <w:wAfter w:w="675" w:type="dxa"/>
          <w:cantSplit/>
        </w:trPr>
        <w:tc>
          <w:tcPr>
            <w:tcW w:w="975" w:type="dxa"/>
            <w:tcBorders>
              <w:top w:val="single" w:sz="6" w:space="0" w:color="000000"/>
              <w:left w:val="single" w:sz="6" w:space="0" w:color="000000"/>
              <w:bottom w:val="single" w:sz="6" w:space="0" w:color="000000"/>
              <w:right w:val="single" w:sz="6" w:space="0" w:color="000000"/>
            </w:tcBorders>
            <w:vAlign w:val="center"/>
          </w:tcPr>
          <w:p w14:paraId="5AE1AF3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3</w:t>
            </w:r>
          </w:p>
        </w:tc>
        <w:tc>
          <w:tcPr>
            <w:tcW w:w="1260" w:type="dxa"/>
            <w:tcBorders>
              <w:top w:val="single" w:sz="6" w:space="0" w:color="000000"/>
              <w:left w:val="single" w:sz="6" w:space="0" w:color="000000"/>
              <w:bottom w:val="single" w:sz="6" w:space="0" w:color="000000"/>
              <w:right w:val="single" w:sz="6" w:space="0" w:color="000000"/>
            </w:tcBorders>
            <w:vAlign w:val="center"/>
          </w:tcPr>
          <w:p w14:paraId="1F0CE35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10" w:type="dxa"/>
            <w:tcBorders>
              <w:top w:val="single" w:sz="6" w:space="0" w:color="000000"/>
              <w:left w:val="single" w:sz="6" w:space="0" w:color="000000"/>
              <w:bottom w:val="single" w:sz="6" w:space="0" w:color="000000"/>
              <w:right w:val="single" w:sz="6" w:space="0" w:color="000000"/>
            </w:tcBorders>
            <w:vAlign w:val="center"/>
          </w:tcPr>
          <w:p w14:paraId="4C7A908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15" w:type="dxa"/>
            <w:tcBorders>
              <w:top w:val="single" w:sz="6" w:space="0" w:color="000000"/>
              <w:left w:val="single" w:sz="6" w:space="0" w:color="000000"/>
              <w:bottom w:val="single" w:sz="6" w:space="0" w:color="000000"/>
              <w:right w:val="single" w:sz="6" w:space="0" w:color="000000"/>
            </w:tcBorders>
            <w:vAlign w:val="center"/>
          </w:tcPr>
          <w:p w14:paraId="1507FBB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095" w:type="dxa"/>
            <w:tcBorders>
              <w:top w:val="single" w:sz="6" w:space="0" w:color="000000"/>
              <w:left w:val="single" w:sz="6" w:space="0" w:color="000000"/>
              <w:bottom w:val="single" w:sz="6" w:space="0" w:color="000000"/>
              <w:right w:val="single" w:sz="6" w:space="0" w:color="000000"/>
            </w:tcBorders>
            <w:vAlign w:val="center"/>
          </w:tcPr>
          <w:p w14:paraId="6E505F70"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080" w:type="dxa"/>
            <w:tcBorders>
              <w:top w:val="single" w:sz="6" w:space="0" w:color="000000"/>
              <w:left w:val="single" w:sz="6" w:space="0" w:color="000000"/>
              <w:bottom w:val="single" w:sz="6" w:space="0" w:color="000000"/>
              <w:right w:val="single" w:sz="6" w:space="0" w:color="000000"/>
            </w:tcBorders>
            <w:vAlign w:val="center"/>
          </w:tcPr>
          <w:p w14:paraId="1C6A423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65" w:type="dxa"/>
            <w:tcBorders>
              <w:top w:val="single" w:sz="6" w:space="0" w:color="000000"/>
              <w:left w:val="single" w:sz="6" w:space="0" w:color="000000"/>
              <w:bottom w:val="single" w:sz="6" w:space="0" w:color="000000"/>
              <w:right w:val="single" w:sz="6" w:space="0" w:color="000000"/>
            </w:tcBorders>
            <w:vAlign w:val="center"/>
          </w:tcPr>
          <w:p w14:paraId="337B6C55" w14:textId="77777777" w:rsidR="006E087E" w:rsidRDefault="006E087E" w:rsidP="00A207C4">
            <w:pPr>
              <w:jc w:val="center"/>
              <w:rPr>
                <w:rFonts w:ascii="Garamond" w:eastAsia="Garamond" w:hAnsi="Garamond" w:cs="Garamond"/>
                <w:sz w:val="18"/>
                <w:szCs w:val="18"/>
              </w:rPr>
            </w:pPr>
            <w:r>
              <w:rPr>
                <w:rFonts w:ascii="Garamond" w:eastAsia="Garamond" w:hAnsi="Garamond" w:cs="Garamond"/>
                <w:b/>
                <w:color w:val="3CA642"/>
                <w:sz w:val="18"/>
                <w:szCs w:val="18"/>
              </w:rPr>
              <w:t>strong association</w:t>
            </w:r>
          </w:p>
        </w:tc>
        <w:tc>
          <w:tcPr>
            <w:tcW w:w="4905" w:type="dxa"/>
            <w:tcBorders>
              <w:top w:val="single" w:sz="6" w:space="0" w:color="000000"/>
              <w:left w:val="single" w:sz="6" w:space="0" w:color="000000"/>
              <w:bottom w:val="single" w:sz="6" w:space="0" w:color="000000"/>
              <w:right w:val="single" w:sz="6" w:space="0" w:color="000000"/>
            </w:tcBorders>
            <w:vAlign w:val="center"/>
          </w:tcPr>
          <w:p w14:paraId="20F7DABD"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All 3 before-after studies demonstrated a reduction in ICU length of stay with focused education. As with other outcomes, the education was often part of a package that included implementation RRT/MET with explicit activation criteria contributing to less certainty about the effect of the education specifically in improving outcomes.</w:t>
            </w:r>
          </w:p>
          <w:p w14:paraId="5F8F40AD" w14:textId="77777777" w:rsidR="006E087E" w:rsidRDefault="006E087E" w:rsidP="00A207C4">
            <w:pPr>
              <w:jc w:val="center"/>
              <w:rPr>
                <w:rFonts w:ascii="Garamond" w:eastAsia="Garamond" w:hAnsi="Garamond" w:cs="Garamond"/>
                <w:sz w:val="18"/>
                <w:szCs w:val="18"/>
              </w:rPr>
            </w:pP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15B119A5"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39"/>
                <w:id w:val="-1662685794"/>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45" w:type="dxa"/>
            <w:tcBorders>
              <w:top w:val="single" w:sz="6" w:space="0" w:color="000000"/>
              <w:left w:val="single" w:sz="6" w:space="0" w:color="000000"/>
              <w:bottom w:val="single" w:sz="6" w:space="0" w:color="000000"/>
              <w:right w:val="single" w:sz="6" w:space="0" w:color="000000"/>
            </w:tcBorders>
            <w:vAlign w:val="center"/>
          </w:tcPr>
          <w:p w14:paraId="46319EE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4A806CD1" w14:textId="77777777" w:rsidTr="00A207C4">
        <w:trPr>
          <w:gridAfter w:val="1"/>
          <w:wAfter w:w="675" w:type="dxa"/>
          <w:cantSplit/>
        </w:trPr>
        <w:tc>
          <w:tcPr>
            <w:tcW w:w="14970" w:type="dxa"/>
            <w:gridSpan w:val="11"/>
            <w:shd w:val="clear" w:color="auto" w:fill="FFFFFF"/>
            <w:tcMar>
              <w:top w:w="75" w:type="dxa"/>
              <w:left w:w="100" w:type="dxa"/>
              <w:bottom w:w="100" w:type="dxa"/>
              <w:right w:w="100" w:type="dxa"/>
            </w:tcMar>
            <w:vAlign w:val="center"/>
          </w:tcPr>
          <w:p w14:paraId="15572057"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Hospital Length of Stay</w:t>
            </w:r>
          </w:p>
        </w:tc>
      </w:tr>
      <w:tr w:rsidR="006E087E" w14:paraId="611F2ED1" w14:textId="77777777" w:rsidTr="00A207C4">
        <w:trPr>
          <w:gridAfter w:val="1"/>
          <w:wAfter w:w="675" w:type="dxa"/>
          <w:cantSplit/>
        </w:trPr>
        <w:tc>
          <w:tcPr>
            <w:tcW w:w="975" w:type="dxa"/>
            <w:tcBorders>
              <w:top w:val="single" w:sz="6" w:space="0" w:color="000000"/>
              <w:left w:val="single" w:sz="6" w:space="0" w:color="000000"/>
              <w:bottom w:val="single" w:sz="6" w:space="0" w:color="000000"/>
              <w:right w:val="single" w:sz="6" w:space="0" w:color="000000"/>
            </w:tcBorders>
            <w:vAlign w:val="center"/>
          </w:tcPr>
          <w:p w14:paraId="3BDB652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AC4006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10" w:type="dxa"/>
            <w:tcBorders>
              <w:top w:val="single" w:sz="6" w:space="0" w:color="000000"/>
              <w:left w:val="single" w:sz="6" w:space="0" w:color="000000"/>
              <w:bottom w:val="single" w:sz="6" w:space="0" w:color="000000"/>
              <w:right w:val="single" w:sz="6" w:space="0" w:color="000000"/>
            </w:tcBorders>
            <w:vAlign w:val="center"/>
          </w:tcPr>
          <w:p w14:paraId="7C503F9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15" w:type="dxa"/>
            <w:tcBorders>
              <w:top w:val="single" w:sz="6" w:space="0" w:color="000000"/>
              <w:left w:val="single" w:sz="6" w:space="0" w:color="000000"/>
              <w:bottom w:val="single" w:sz="6" w:space="0" w:color="000000"/>
              <w:right w:val="single" w:sz="6" w:space="0" w:color="000000"/>
            </w:tcBorders>
            <w:vAlign w:val="center"/>
          </w:tcPr>
          <w:p w14:paraId="2DA46B55"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095" w:type="dxa"/>
            <w:tcBorders>
              <w:top w:val="single" w:sz="6" w:space="0" w:color="000000"/>
              <w:left w:val="single" w:sz="6" w:space="0" w:color="000000"/>
              <w:bottom w:val="single" w:sz="6" w:space="0" w:color="000000"/>
              <w:right w:val="single" w:sz="6" w:space="0" w:color="000000"/>
            </w:tcBorders>
            <w:vAlign w:val="center"/>
          </w:tcPr>
          <w:p w14:paraId="17B66FE0"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080" w:type="dxa"/>
            <w:tcBorders>
              <w:top w:val="single" w:sz="6" w:space="0" w:color="000000"/>
              <w:left w:val="single" w:sz="6" w:space="0" w:color="000000"/>
              <w:bottom w:val="single" w:sz="6" w:space="0" w:color="000000"/>
              <w:right w:val="single" w:sz="6" w:space="0" w:color="000000"/>
            </w:tcBorders>
            <w:vAlign w:val="center"/>
          </w:tcPr>
          <w:p w14:paraId="4CEEAF9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65" w:type="dxa"/>
            <w:tcBorders>
              <w:top w:val="single" w:sz="6" w:space="0" w:color="000000"/>
              <w:left w:val="single" w:sz="6" w:space="0" w:color="000000"/>
              <w:bottom w:val="single" w:sz="6" w:space="0" w:color="000000"/>
              <w:right w:val="single" w:sz="6" w:space="0" w:color="000000"/>
            </w:tcBorders>
            <w:vAlign w:val="center"/>
          </w:tcPr>
          <w:p w14:paraId="7BD38ED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4905" w:type="dxa"/>
            <w:tcBorders>
              <w:top w:val="single" w:sz="6" w:space="0" w:color="000000"/>
              <w:left w:val="single" w:sz="6" w:space="0" w:color="000000"/>
              <w:bottom w:val="single" w:sz="6" w:space="0" w:color="000000"/>
              <w:right w:val="single" w:sz="6" w:space="0" w:color="000000"/>
            </w:tcBorders>
            <w:vAlign w:val="center"/>
          </w:tcPr>
          <w:p w14:paraId="7E1CD860"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 xml:space="preserve">Three of 5 before-after studies reported decreased hospital length of stay post-intervention (2 among all patients, 1 only reported for patients with </w:t>
            </w:r>
            <w:proofErr w:type="gramStart"/>
            <w:r>
              <w:rPr>
                <w:rFonts w:ascii="Garamond" w:eastAsia="Garamond" w:hAnsi="Garamond" w:cs="Garamond"/>
                <w:sz w:val="18"/>
                <w:szCs w:val="18"/>
              </w:rPr>
              <w:t>a</w:t>
            </w:r>
            <w:proofErr w:type="gramEnd"/>
            <w:r>
              <w:rPr>
                <w:rFonts w:ascii="Garamond" w:eastAsia="Garamond" w:hAnsi="Garamond" w:cs="Garamond"/>
                <w:sz w:val="18"/>
                <w:szCs w:val="18"/>
              </w:rPr>
              <w:t xml:space="preserve"> RRT/MET call). One study found no change in hospital length of stay and another study reported increased length of stay, possibly due to decreased mortality in the post-intervention period. The overall effect of focused education on hospital length of stay is uncertain.</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33A5D349"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40"/>
                <w:id w:val="-1768533082"/>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45" w:type="dxa"/>
            <w:tcBorders>
              <w:top w:val="single" w:sz="6" w:space="0" w:color="000000"/>
              <w:left w:val="single" w:sz="6" w:space="0" w:color="000000"/>
              <w:bottom w:val="single" w:sz="6" w:space="0" w:color="000000"/>
              <w:right w:val="single" w:sz="6" w:space="0" w:color="000000"/>
            </w:tcBorders>
            <w:vAlign w:val="center"/>
          </w:tcPr>
          <w:p w14:paraId="7BA76D7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245BC799" w14:textId="77777777" w:rsidTr="00A207C4">
        <w:trPr>
          <w:gridAfter w:val="1"/>
          <w:wAfter w:w="675" w:type="dxa"/>
          <w:cantSplit/>
        </w:trPr>
        <w:tc>
          <w:tcPr>
            <w:tcW w:w="14970" w:type="dxa"/>
            <w:gridSpan w:val="11"/>
            <w:shd w:val="clear" w:color="auto" w:fill="FFFFFF"/>
            <w:tcMar>
              <w:top w:w="75" w:type="dxa"/>
              <w:left w:w="100" w:type="dxa"/>
              <w:bottom w:w="100" w:type="dxa"/>
              <w:right w:w="100" w:type="dxa"/>
            </w:tcMar>
            <w:vAlign w:val="center"/>
          </w:tcPr>
          <w:p w14:paraId="0453F7F3"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Unplanned transfers to ICU</w:t>
            </w:r>
          </w:p>
        </w:tc>
      </w:tr>
      <w:tr w:rsidR="006E087E" w14:paraId="1DA2A19F" w14:textId="77777777" w:rsidTr="00A207C4">
        <w:trPr>
          <w:gridAfter w:val="1"/>
          <w:wAfter w:w="675" w:type="dxa"/>
          <w:cantSplit/>
        </w:trPr>
        <w:tc>
          <w:tcPr>
            <w:tcW w:w="975" w:type="dxa"/>
            <w:tcBorders>
              <w:top w:val="single" w:sz="6" w:space="0" w:color="000000"/>
              <w:left w:val="single" w:sz="6" w:space="0" w:color="000000"/>
              <w:bottom w:val="single" w:sz="6" w:space="0" w:color="000000"/>
              <w:right w:val="single" w:sz="6" w:space="0" w:color="000000"/>
            </w:tcBorders>
            <w:vAlign w:val="center"/>
          </w:tcPr>
          <w:p w14:paraId="7004F36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9</w:t>
            </w:r>
          </w:p>
        </w:tc>
        <w:tc>
          <w:tcPr>
            <w:tcW w:w="1260" w:type="dxa"/>
            <w:tcBorders>
              <w:top w:val="single" w:sz="6" w:space="0" w:color="000000"/>
              <w:left w:val="single" w:sz="6" w:space="0" w:color="000000"/>
              <w:bottom w:val="single" w:sz="6" w:space="0" w:color="000000"/>
              <w:right w:val="single" w:sz="6" w:space="0" w:color="000000"/>
            </w:tcBorders>
            <w:vAlign w:val="center"/>
          </w:tcPr>
          <w:p w14:paraId="08FA807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1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w:t>
            </w:r>
          </w:p>
          <w:p w14:paraId="0D1E80F1" w14:textId="77777777" w:rsidR="006E087E" w:rsidRDefault="006E087E" w:rsidP="00A207C4">
            <w:pPr>
              <w:jc w:val="center"/>
              <w:rPr>
                <w:rFonts w:ascii="Garamond" w:eastAsia="Garamond" w:hAnsi="Garamond" w:cs="Garamond"/>
                <w:sz w:val="18"/>
                <w:szCs w:val="18"/>
              </w:rPr>
            </w:pPr>
          </w:p>
          <w:p w14:paraId="664543C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8</w:t>
            </w:r>
          </w:p>
          <w:p w14:paraId="0A45821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10" w:type="dxa"/>
            <w:tcBorders>
              <w:top w:val="single" w:sz="6" w:space="0" w:color="000000"/>
              <w:left w:val="single" w:sz="6" w:space="0" w:color="000000"/>
              <w:bottom w:val="single" w:sz="6" w:space="0" w:color="000000"/>
              <w:right w:val="single" w:sz="6" w:space="0" w:color="000000"/>
            </w:tcBorders>
            <w:vAlign w:val="center"/>
          </w:tcPr>
          <w:p w14:paraId="279D1FB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15" w:type="dxa"/>
            <w:tcBorders>
              <w:top w:val="single" w:sz="6" w:space="0" w:color="000000"/>
              <w:left w:val="single" w:sz="6" w:space="0" w:color="000000"/>
              <w:bottom w:val="single" w:sz="6" w:space="0" w:color="000000"/>
              <w:right w:val="single" w:sz="6" w:space="0" w:color="000000"/>
            </w:tcBorders>
            <w:vAlign w:val="center"/>
          </w:tcPr>
          <w:p w14:paraId="51D6D4D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095" w:type="dxa"/>
            <w:tcBorders>
              <w:top w:val="single" w:sz="6" w:space="0" w:color="000000"/>
              <w:left w:val="single" w:sz="6" w:space="0" w:color="000000"/>
              <w:bottom w:val="single" w:sz="6" w:space="0" w:color="000000"/>
              <w:right w:val="single" w:sz="6" w:space="0" w:color="000000"/>
            </w:tcBorders>
            <w:vAlign w:val="center"/>
          </w:tcPr>
          <w:p w14:paraId="39B05E1A"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080" w:type="dxa"/>
            <w:tcBorders>
              <w:top w:val="single" w:sz="6" w:space="0" w:color="000000"/>
              <w:left w:val="single" w:sz="6" w:space="0" w:color="000000"/>
              <w:bottom w:val="single" w:sz="6" w:space="0" w:color="000000"/>
              <w:right w:val="single" w:sz="6" w:space="0" w:color="000000"/>
            </w:tcBorders>
            <w:vAlign w:val="center"/>
          </w:tcPr>
          <w:p w14:paraId="3E16DA0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65" w:type="dxa"/>
            <w:tcBorders>
              <w:top w:val="single" w:sz="6" w:space="0" w:color="000000"/>
              <w:left w:val="single" w:sz="6" w:space="0" w:color="000000"/>
              <w:bottom w:val="single" w:sz="6" w:space="0" w:color="000000"/>
              <w:right w:val="single" w:sz="6" w:space="0" w:color="000000"/>
            </w:tcBorders>
            <w:vAlign w:val="center"/>
          </w:tcPr>
          <w:p w14:paraId="0DB7C69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4905" w:type="dxa"/>
            <w:tcBorders>
              <w:top w:val="single" w:sz="6" w:space="0" w:color="000000"/>
              <w:left w:val="single" w:sz="6" w:space="0" w:color="000000"/>
              <w:bottom w:val="single" w:sz="6" w:space="0" w:color="000000"/>
              <w:right w:val="single" w:sz="6" w:space="0" w:color="000000"/>
            </w:tcBorders>
            <w:vAlign w:val="center"/>
          </w:tcPr>
          <w:p w14:paraId="5E4A6C97"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Among 9 studies (1 cluster RCT, 8 before-after studies), 3 reported a decrease in unplanned transfers to ICU, whereas one reported an increase and 5 reported no effect. The cluster RCT (MERIT trial) also failed to demonstrate an impact on ICU transfers. Overall, based on low certainty evidence, there is possibly no effect on transfers to higher level care with focused education.</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6834BF9C"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41"/>
                <w:id w:val="1263111748"/>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45" w:type="dxa"/>
            <w:tcBorders>
              <w:top w:val="single" w:sz="6" w:space="0" w:color="000000"/>
              <w:left w:val="single" w:sz="6" w:space="0" w:color="000000"/>
              <w:bottom w:val="single" w:sz="6" w:space="0" w:color="000000"/>
              <w:right w:val="single" w:sz="6" w:space="0" w:color="000000"/>
            </w:tcBorders>
            <w:vAlign w:val="center"/>
          </w:tcPr>
          <w:p w14:paraId="4AA7ACF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5CE330ED" w14:textId="77777777" w:rsidTr="00A207C4">
        <w:trPr>
          <w:gridAfter w:val="1"/>
          <w:wAfter w:w="675" w:type="dxa"/>
          <w:cantSplit/>
        </w:trPr>
        <w:tc>
          <w:tcPr>
            <w:tcW w:w="14970" w:type="dxa"/>
            <w:gridSpan w:val="11"/>
            <w:shd w:val="clear" w:color="auto" w:fill="FFFFFF"/>
            <w:tcMar>
              <w:top w:w="75" w:type="dxa"/>
              <w:left w:w="100" w:type="dxa"/>
              <w:bottom w:w="100" w:type="dxa"/>
              <w:right w:w="100" w:type="dxa"/>
            </w:tcMar>
            <w:vAlign w:val="center"/>
          </w:tcPr>
          <w:p w14:paraId="031F2536"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Time from recognition to response by RRT/MET</w:t>
            </w:r>
          </w:p>
        </w:tc>
      </w:tr>
      <w:tr w:rsidR="006E087E" w14:paraId="5D6C2CA7" w14:textId="77777777" w:rsidTr="00A207C4">
        <w:trPr>
          <w:gridAfter w:val="1"/>
          <w:wAfter w:w="675" w:type="dxa"/>
          <w:cantSplit/>
        </w:trPr>
        <w:tc>
          <w:tcPr>
            <w:tcW w:w="975" w:type="dxa"/>
            <w:tcBorders>
              <w:top w:val="single" w:sz="6" w:space="0" w:color="000000"/>
              <w:left w:val="single" w:sz="6" w:space="0" w:color="000000"/>
              <w:bottom w:val="single" w:sz="6" w:space="0" w:color="000000"/>
              <w:right w:val="single" w:sz="6" w:space="0" w:color="000000"/>
            </w:tcBorders>
            <w:vAlign w:val="center"/>
          </w:tcPr>
          <w:p w14:paraId="12D8E9A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14:paraId="2688E90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10" w:type="dxa"/>
            <w:tcBorders>
              <w:top w:val="single" w:sz="6" w:space="0" w:color="000000"/>
              <w:left w:val="single" w:sz="6" w:space="0" w:color="000000"/>
              <w:bottom w:val="single" w:sz="6" w:space="0" w:color="000000"/>
              <w:right w:val="single" w:sz="6" w:space="0" w:color="000000"/>
            </w:tcBorders>
            <w:vAlign w:val="center"/>
          </w:tcPr>
          <w:p w14:paraId="6D5FF22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15" w:type="dxa"/>
            <w:tcBorders>
              <w:top w:val="single" w:sz="6" w:space="0" w:color="000000"/>
              <w:left w:val="single" w:sz="6" w:space="0" w:color="000000"/>
              <w:bottom w:val="single" w:sz="6" w:space="0" w:color="000000"/>
              <w:right w:val="single" w:sz="6" w:space="0" w:color="000000"/>
            </w:tcBorders>
            <w:vAlign w:val="center"/>
          </w:tcPr>
          <w:p w14:paraId="14D9A8B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095" w:type="dxa"/>
            <w:tcBorders>
              <w:top w:val="single" w:sz="6" w:space="0" w:color="000000"/>
              <w:left w:val="single" w:sz="6" w:space="0" w:color="000000"/>
              <w:bottom w:val="single" w:sz="6" w:space="0" w:color="000000"/>
              <w:right w:val="single" w:sz="6" w:space="0" w:color="000000"/>
            </w:tcBorders>
            <w:vAlign w:val="center"/>
          </w:tcPr>
          <w:p w14:paraId="7D2B747C"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080" w:type="dxa"/>
            <w:tcBorders>
              <w:top w:val="single" w:sz="6" w:space="0" w:color="000000"/>
              <w:left w:val="single" w:sz="6" w:space="0" w:color="000000"/>
              <w:bottom w:val="single" w:sz="6" w:space="0" w:color="000000"/>
              <w:right w:val="single" w:sz="6" w:space="0" w:color="000000"/>
            </w:tcBorders>
            <w:vAlign w:val="center"/>
          </w:tcPr>
          <w:p w14:paraId="0720B5B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65" w:type="dxa"/>
            <w:tcBorders>
              <w:top w:val="single" w:sz="6" w:space="0" w:color="000000"/>
              <w:left w:val="single" w:sz="6" w:space="0" w:color="000000"/>
              <w:bottom w:val="single" w:sz="6" w:space="0" w:color="000000"/>
              <w:right w:val="single" w:sz="6" w:space="0" w:color="000000"/>
            </w:tcBorders>
            <w:vAlign w:val="center"/>
          </w:tcPr>
          <w:p w14:paraId="0CE8840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4905" w:type="dxa"/>
            <w:tcBorders>
              <w:top w:val="single" w:sz="6" w:space="0" w:color="000000"/>
              <w:left w:val="single" w:sz="6" w:space="0" w:color="000000"/>
              <w:bottom w:val="single" w:sz="6" w:space="0" w:color="000000"/>
              <w:right w:val="single" w:sz="6" w:space="0" w:color="000000"/>
            </w:tcBorders>
            <w:vAlign w:val="center"/>
          </w:tcPr>
          <w:p w14:paraId="4F1CCF43"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One before-after study found decreased time from RRT/MET activation to RRT/MET physician review (pre-intervention: 45 minutes, post-intervention: 30 minutes).</w:t>
            </w: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1F482053"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42"/>
                <w:id w:val="870343244"/>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45" w:type="dxa"/>
            <w:tcBorders>
              <w:top w:val="single" w:sz="6" w:space="0" w:color="000000"/>
              <w:left w:val="single" w:sz="6" w:space="0" w:color="000000"/>
              <w:bottom w:val="single" w:sz="6" w:space="0" w:color="000000"/>
              <w:right w:val="single" w:sz="6" w:space="0" w:color="000000"/>
            </w:tcBorders>
            <w:vAlign w:val="center"/>
          </w:tcPr>
          <w:p w14:paraId="2D0CC19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20E96046" w14:textId="77777777" w:rsidTr="00A207C4">
        <w:trPr>
          <w:gridAfter w:val="1"/>
          <w:wAfter w:w="675" w:type="dxa"/>
          <w:cantSplit/>
        </w:trPr>
        <w:tc>
          <w:tcPr>
            <w:tcW w:w="14970" w:type="dxa"/>
            <w:gridSpan w:val="11"/>
            <w:shd w:val="clear" w:color="auto" w:fill="FFFFFF"/>
            <w:tcMar>
              <w:top w:w="75" w:type="dxa"/>
              <w:left w:w="100" w:type="dxa"/>
              <w:bottom w:w="100" w:type="dxa"/>
              <w:right w:w="100" w:type="dxa"/>
            </w:tcMar>
            <w:vAlign w:val="center"/>
          </w:tcPr>
          <w:p w14:paraId="19F9D83D"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Compliance with applying EWS</w:t>
            </w:r>
          </w:p>
        </w:tc>
      </w:tr>
      <w:tr w:rsidR="006E087E" w14:paraId="12D7723F" w14:textId="77777777" w:rsidTr="00A207C4">
        <w:trPr>
          <w:gridAfter w:val="1"/>
          <w:wAfter w:w="675" w:type="dxa"/>
          <w:cantSplit/>
        </w:trPr>
        <w:tc>
          <w:tcPr>
            <w:tcW w:w="975" w:type="dxa"/>
            <w:tcBorders>
              <w:top w:val="single" w:sz="6" w:space="0" w:color="000000"/>
              <w:left w:val="single" w:sz="6" w:space="0" w:color="000000"/>
              <w:bottom w:val="single" w:sz="6" w:space="0" w:color="000000"/>
              <w:right w:val="single" w:sz="6" w:space="0" w:color="000000"/>
            </w:tcBorders>
            <w:vAlign w:val="center"/>
          </w:tcPr>
          <w:p w14:paraId="341F152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4</w:t>
            </w:r>
          </w:p>
        </w:tc>
        <w:tc>
          <w:tcPr>
            <w:tcW w:w="1260" w:type="dxa"/>
            <w:tcBorders>
              <w:top w:val="single" w:sz="6" w:space="0" w:color="000000"/>
              <w:left w:val="single" w:sz="6" w:space="0" w:color="000000"/>
              <w:bottom w:val="single" w:sz="6" w:space="0" w:color="000000"/>
              <w:right w:val="single" w:sz="6" w:space="0" w:color="000000"/>
            </w:tcBorders>
            <w:vAlign w:val="center"/>
          </w:tcPr>
          <w:p w14:paraId="277C3E9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10" w:type="dxa"/>
            <w:tcBorders>
              <w:top w:val="single" w:sz="6" w:space="0" w:color="000000"/>
              <w:left w:val="single" w:sz="6" w:space="0" w:color="000000"/>
              <w:bottom w:val="single" w:sz="6" w:space="0" w:color="000000"/>
              <w:right w:val="single" w:sz="6" w:space="0" w:color="000000"/>
            </w:tcBorders>
            <w:vAlign w:val="center"/>
          </w:tcPr>
          <w:p w14:paraId="6479AEC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15" w:type="dxa"/>
            <w:tcBorders>
              <w:top w:val="single" w:sz="6" w:space="0" w:color="000000"/>
              <w:left w:val="single" w:sz="6" w:space="0" w:color="000000"/>
              <w:bottom w:val="single" w:sz="6" w:space="0" w:color="000000"/>
              <w:right w:val="single" w:sz="6" w:space="0" w:color="000000"/>
            </w:tcBorders>
            <w:vAlign w:val="center"/>
          </w:tcPr>
          <w:p w14:paraId="2B33ABB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095" w:type="dxa"/>
            <w:tcBorders>
              <w:top w:val="single" w:sz="6" w:space="0" w:color="000000"/>
              <w:left w:val="single" w:sz="6" w:space="0" w:color="000000"/>
              <w:bottom w:val="single" w:sz="6" w:space="0" w:color="000000"/>
              <w:right w:val="single" w:sz="6" w:space="0" w:color="000000"/>
            </w:tcBorders>
            <w:vAlign w:val="center"/>
          </w:tcPr>
          <w:p w14:paraId="784E6822"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080" w:type="dxa"/>
            <w:tcBorders>
              <w:top w:val="single" w:sz="6" w:space="0" w:color="000000"/>
              <w:left w:val="single" w:sz="6" w:space="0" w:color="000000"/>
              <w:bottom w:val="single" w:sz="6" w:space="0" w:color="000000"/>
              <w:right w:val="single" w:sz="6" w:space="0" w:color="000000"/>
            </w:tcBorders>
            <w:vAlign w:val="center"/>
          </w:tcPr>
          <w:p w14:paraId="72FDE17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65" w:type="dxa"/>
            <w:tcBorders>
              <w:top w:val="single" w:sz="6" w:space="0" w:color="000000"/>
              <w:left w:val="single" w:sz="6" w:space="0" w:color="000000"/>
              <w:bottom w:val="single" w:sz="6" w:space="0" w:color="000000"/>
              <w:right w:val="single" w:sz="6" w:space="0" w:color="000000"/>
            </w:tcBorders>
            <w:vAlign w:val="center"/>
          </w:tcPr>
          <w:p w14:paraId="10BEF7C9"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3CA642"/>
                <w:sz w:val="18"/>
                <w:szCs w:val="18"/>
              </w:rPr>
              <w:t>strong association</w:t>
            </w:r>
          </w:p>
        </w:tc>
        <w:tc>
          <w:tcPr>
            <w:tcW w:w="4905" w:type="dxa"/>
            <w:tcBorders>
              <w:top w:val="single" w:sz="6" w:space="0" w:color="000000"/>
              <w:left w:val="single" w:sz="6" w:space="0" w:color="000000"/>
              <w:bottom w:val="single" w:sz="6" w:space="0" w:color="000000"/>
              <w:right w:val="single" w:sz="6" w:space="0" w:color="000000"/>
            </w:tcBorders>
            <w:vAlign w:val="center"/>
          </w:tcPr>
          <w:p w14:paraId="09348901"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Four before-after studies reported increased compliance with early warning score calling criteria.</w:t>
            </w:r>
          </w:p>
          <w:p w14:paraId="3F789A92" w14:textId="77777777" w:rsidR="006E087E" w:rsidRDefault="006E087E" w:rsidP="00A207C4">
            <w:pPr>
              <w:rPr>
                <w:rFonts w:ascii="Garamond" w:eastAsia="Garamond" w:hAnsi="Garamond" w:cs="Garamond"/>
                <w:sz w:val="18"/>
                <w:szCs w:val="18"/>
              </w:rPr>
            </w:pPr>
          </w:p>
        </w:tc>
        <w:tc>
          <w:tcPr>
            <w:tcW w:w="1020" w:type="dxa"/>
            <w:gridSpan w:val="2"/>
            <w:tcBorders>
              <w:top w:val="single" w:sz="6" w:space="0" w:color="000000"/>
              <w:left w:val="single" w:sz="6" w:space="0" w:color="000000"/>
              <w:bottom w:val="single" w:sz="6" w:space="0" w:color="000000"/>
              <w:right w:val="single" w:sz="6" w:space="0" w:color="000000"/>
            </w:tcBorders>
            <w:vAlign w:val="center"/>
          </w:tcPr>
          <w:p w14:paraId="10CE9727"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43"/>
                <w:id w:val="1673294075"/>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45" w:type="dxa"/>
            <w:tcBorders>
              <w:top w:val="single" w:sz="6" w:space="0" w:color="000000"/>
              <w:left w:val="single" w:sz="6" w:space="0" w:color="000000"/>
              <w:bottom w:val="single" w:sz="6" w:space="0" w:color="000000"/>
              <w:right w:val="single" w:sz="6" w:space="0" w:color="000000"/>
            </w:tcBorders>
            <w:vAlign w:val="center"/>
          </w:tcPr>
          <w:p w14:paraId="60896AE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51BD7283" w14:textId="77777777" w:rsidTr="00A207C4">
        <w:trPr>
          <w:cantSplit/>
        </w:trPr>
        <w:tc>
          <w:tcPr>
            <w:tcW w:w="14970" w:type="dxa"/>
            <w:gridSpan w:val="11"/>
            <w:shd w:val="clear" w:color="auto" w:fill="FFFFFF"/>
            <w:tcMar>
              <w:top w:w="75" w:type="dxa"/>
              <w:left w:w="100" w:type="dxa"/>
              <w:bottom w:w="100" w:type="dxa"/>
              <w:right w:w="100" w:type="dxa"/>
            </w:tcMar>
            <w:vAlign w:val="center"/>
          </w:tcPr>
          <w:p w14:paraId="6E468931"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lastRenderedPageBreak/>
              <w:t>Changes in goals of care/ resuscitation status</w:t>
            </w:r>
          </w:p>
        </w:tc>
        <w:tc>
          <w:tcPr>
            <w:tcW w:w="675" w:type="dxa"/>
            <w:shd w:val="clear" w:color="auto" w:fill="FFFFFF"/>
            <w:tcMar>
              <w:top w:w="75" w:type="dxa"/>
              <w:left w:w="100" w:type="dxa"/>
              <w:bottom w:w="100" w:type="dxa"/>
              <w:right w:w="100" w:type="dxa"/>
            </w:tcMar>
            <w:vAlign w:val="center"/>
          </w:tcPr>
          <w:p w14:paraId="230A0062" w14:textId="77777777" w:rsidR="006E087E" w:rsidRDefault="006E087E" w:rsidP="00A207C4">
            <w:pPr>
              <w:widowControl w:val="0"/>
              <w:rPr>
                <w:rFonts w:ascii="Garamond" w:eastAsia="Garamond" w:hAnsi="Garamond" w:cs="Garamond"/>
                <w:b/>
                <w:sz w:val="18"/>
                <w:szCs w:val="18"/>
              </w:rPr>
            </w:pPr>
          </w:p>
        </w:tc>
      </w:tr>
      <w:tr w:rsidR="006E087E" w14:paraId="4F3B8468" w14:textId="77777777" w:rsidTr="00A207C4">
        <w:trPr>
          <w:cantSplit/>
        </w:trPr>
        <w:tc>
          <w:tcPr>
            <w:tcW w:w="975" w:type="dxa"/>
            <w:tcBorders>
              <w:top w:val="single" w:sz="6" w:space="0" w:color="000000"/>
              <w:left w:val="single" w:sz="6" w:space="0" w:color="000000"/>
              <w:bottom w:val="single" w:sz="6" w:space="0" w:color="000000"/>
              <w:right w:val="single" w:sz="6" w:space="0" w:color="000000"/>
            </w:tcBorders>
            <w:vAlign w:val="center"/>
          </w:tcPr>
          <w:p w14:paraId="6BDEED4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14:paraId="6242510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10" w:type="dxa"/>
            <w:tcBorders>
              <w:top w:val="single" w:sz="6" w:space="0" w:color="000000"/>
              <w:left w:val="single" w:sz="6" w:space="0" w:color="000000"/>
              <w:bottom w:val="single" w:sz="6" w:space="0" w:color="000000"/>
              <w:right w:val="single" w:sz="6" w:space="0" w:color="000000"/>
            </w:tcBorders>
            <w:vAlign w:val="center"/>
          </w:tcPr>
          <w:p w14:paraId="252C54D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15" w:type="dxa"/>
            <w:tcBorders>
              <w:top w:val="single" w:sz="6" w:space="0" w:color="000000"/>
              <w:left w:val="single" w:sz="6" w:space="0" w:color="000000"/>
              <w:bottom w:val="single" w:sz="6" w:space="0" w:color="000000"/>
              <w:right w:val="single" w:sz="6" w:space="0" w:color="000000"/>
            </w:tcBorders>
            <w:vAlign w:val="center"/>
          </w:tcPr>
          <w:p w14:paraId="30BF6BE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095" w:type="dxa"/>
            <w:tcBorders>
              <w:top w:val="single" w:sz="6" w:space="0" w:color="000000"/>
              <w:left w:val="single" w:sz="6" w:space="0" w:color="000000"/>
              <w:bottom w:val="single" w:sz="6" w:space="0" w:color="000000"/>
              <w:right w:val="single" w:sz="6" w:space="0" w:color="000000"/>
            </w:tcBorders>
            <w:vAlign w:val="center"/>
          </w:tcPr>
          <w:p w14:paraId="3A9B9F23"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080" w:type="dxa"/>
            <w:tcBorders>
              <w:top w:val="single" w:sz="6" w:space="0" w:color="000000"/>
              <w:left w:val="single" w:sz="6" w:space="0" w:color="000000"/>
              <w:bottom w:val="single" w:sz="6" w:space="0" w:color="000000"/>
              <w:right w:val="single" w:sz="6" w:space="0" w:color="000000"/>
            </w:tcBorders>
            <w:vAlign w:val="center"/>
          </w:tcPr>
          <w:p w14:paraId="7F34E53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365" w:type="dxa"/>
            <w:tcBorders>
              <w:top w:val="single" w:sz="6" w:space="0" w:color="000000"/>
              <w:left w:val="single" w:sz="6" w:space="0" w:color="000000"/>
              <w:bottom w:val="single" w:sz="6" w:space="0" w:color="000000"/>
              <w:right w:val="single" w:sz="6" w:space="0" w:color="000000"/>
            </w:tcBorders>
            <w:vAlign w:val="center"/>
          </w:tcPr>
          <w:p w14:paraId="2B4A7794" w14:textId="77777777" w:rsidR="006E087E" w:rsidRDefault="006E087E" w:rsidP="00A207C4">
            <w:pPr>
              <w:jc w:val="center"/>
              <w:rPr>
                <w:rFonts w:ascii="Garamond" w:eastAsia="Garamond" w:hAnsi="Garamond" w:cs="Garamond"/>
                <w:b/>
                <w:sz w:val="18"/>
                <w:szCs w:val="18"/>
              </w:rPr>
            </w:pPr>
            <w:r>
              <w:rPr>
                <w:rFonts w:ascii="Garamond" w:eastAsia="Garamond" w:hAnsi="Garamond" w:cs="Garamond"/>
                <w:sz w:val="18"/>
                <w:szCs w:val="18"/>
              </w:rPr>
              <w:t>none</w:t>
            </w:r>
          </w:p>
        </w:tc>
        <w:tc>
          <w:tcPr>
            <w:tcW w:w="5010" w:type="dxa"/>
            <w:gridSpan w:val="2"/>
            <w:tcBorders>
              <w:top w:val="single" w:sz="6" w:space="0" w:color="000000"/>
              <w:left w:val="single" w:sz="6" w:space="0" w:color="000000"/>
              <w:bottom w:val="single" w:sz="6" w:space="0" w:color="000000"/>
              <w:right w:val="single" w:sz="6" w:space="0" w:color="000000"/>
            </w:tcBorders>
            <w:vAlign w:val="center"/>
          </w:tcPr>
          <w:p w14:paraId="62DA2156"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One before-after study found no difference in the pre- and post-implementation likelihood of DNAR status among non-survivors with an initial return of spontaneous circulation after cardiac arrest (76% vs. 75%).</w:t>
            </w:r>
          </w:p>
        </w:tc>
        <w:tc>
          <w:tcPr>
            <w:tcW w:w="915" w:type="dxa"/>
            <w:tcBorders>
              <w:top w:val="single" w:sz="6" w:space="0" w:color="000000"/>
              <w:left w:val="single" w:sz="6" w:space="0" w:color="000000"/>
              <w:bottom w:val="single" w:sz="6" w:space="0" w:color="000000"/>
              <w:right w:val="single" w:sz="6" w:space="0" w:color="000000"/>
            </w:tcBorders>
            <w:vAlign w:val="center"/>
          </w:tcPr>
          <w:p w14:paraId="653DBF66"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44"/>
                <w:id w:val="-1269702290"/>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45" w:type="dxa"/>
            <w:tcBorders>
              <w:top w:val="single" w:sz="6" w:space="0" w:color="000000"/>
              <w:left w:val="single" w:sz="6" w:space="0" w:color="000000"/>
              <w:bottom w:val="single" w:sz="6" w:space="0" w:color="000000"/>
              <w:right w:val="single" w:sz="6" w:space="0" w:color="000000"/>
            </w:tcBorders>
            <w:vAlign w:val="center"/>
          </w:tcPr>
          <w:p w14:paraId="0CE4A01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c>
          <w:tcPr>
            <w:tcW w:w="675" w:type="dxa"/>
            <w:shd w:val="clear" w:color="auto" w:fill="FFFFFF"/>
            <w:tcMar>
              <w:top w:w="75" w:type="dxa"/>
              <w:left w:w="100" w:type="dxa"/>
              <w:bottom w:w="100" w:type="dxa"/>
              <w:right w:w="100" w:type="dxa"/>
            </w:tcMar>
            <w:vAlign w:val="center"/>
          </w:tcPr>
          <w:p w14:paraId="39DF869A" w14:textId="77777777" w:rsidR="006E087E" w:rsidRDefault="006E087E" w:rsidP="00A207C4">
            <w:pPr>
              <w:widowControl w:val="0"/>
              <w:rPr>
                <w:rFonts w:ascii="Garamond" w:eastAsia="Garamond" w:hAnsi="Garamond" w:cs="Garamond"/>
                <w:b/>
                <w:sz w:val="18"/>
                <w:szCs w:val="18"/>
              </w:rPr>
            </w:pPr>
          </w:p>
        </w:tc>
      </w:tr>
    </w:tbl>
    <w:p w14:paraId="3953680B" w14:textId="77777777" w:rsidR="006E087E" w:rsidRDefault="006E087E" w:rsidP="006E087E">
      <w:pPr>
        <w:spacing w:line="240" w:lineRule="auto"/>
        <w:rPr>
          <w:rFonts w:ascii="Times New Roman" w:eastAsia="Times New Roman" w:hAnsi="Times New Roman" w:cs="Times New Roman"/>
          <w:b/>
          <w:sz w:val="18"/>
          <w:szCs w:val="18"/>
        </w:rPr>
      </w:pPr>
    </w:p>
    <w:p w14:paraId="4FCB34CD"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b/>
          <w:sz w:val="18"/>
          <w:szCs w:val="18"/>
        </w:rPr>
        <w:t>RCT:</w:t>
      </w:r>
      <w:r>
        <w:rPr>
          <w:rFonts w:ascii="Garamond" w:eastAsia="Garamond" w:hAnsi="Garamond" w:cs="Garamond"/>
          <w:sz w:val="18"/>
          <w:szCs w:val="18"/>
        </w:rPr>
        <w:t xml:space="preserve">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controlled trial; </w:t>
      </w:r>
      <w:r>
        <w:rPr>
          <w:rFonts w:ascii="Garamond" w:eastAsia="Garamond" w:hAnsi="Garamond" w:cs="Garamond"/>
          <w:b/>
          <w:sz w:val="18"/>
          <w:szCs w:val="18"/>
        </w:rPr>
        <w:t>ICU:</w:t>
      </w:r>
      <w:r>
        <w:rPr>
          <w:rFonts w:ascii="Garamond" w:eastAsia="Garamond" w:hAnsi="Garamond" w:cs="Garamond"/>
          <w:sz w:val="18"/>
          <w:szCs w:val="18"/>
        </w:rPr>
        <w:t xml:space="preserve"> Intensive care unit; </w:t>
      </w:r>
      <w:r>
        <w:rPr>
          <w:rFonts w:ascii="Garamond" w:eastAsia="Garamond" w:hAnsi="Garamond" w:cs="Garamond"/>
          <w:b/>
          <w:sz w:val="18"/>
          <w:szCs w:val="18"/>
        </w:rPr>
        <w:t xml:space="preserve">RRT: </w:t>
      </w:r>
      <w:r>
        <w:rPr>
          <w:rFonts w:ascii="Garamond" w:eastAsia="Garamond" w:hAnsi="Garamond" w:cs="Garamond"/>
          <w:sz w:val="18"/>
          <w:szCs w:val="18"/>
        </w:rPr>
        <w:t xml:space="preserve">Rapid response team; </w:t>
      </w:r>
      <w:r>
        <w:rPr>
          <w:rFonts w:ascii="Garamond" w:eastAsia="Garamond" w:hAnsi="Garamond" w:cs="Garamond"/>
          <w:b/>
          <w:sz w:val="18"/>
          <w:szCs w:val="18"/>
        </w:rPr>
        <w:t>MET:</w:t>
      </w:r>
      <w:r>
        <w:rPr>
          <w:rFonts w:ascii="Garamond" w:eastAsia="Garamond" w:hAnsi="Garamond" w:cs="Garamond"/>
          <w:sz w:val="18"/>
          <w:szCs w:val="18"/>
        </w:rPr>
        <w:t xml:space="preserve"> Medical emergency team; </w:t>
      </w:r>
      <w:r>
        <w:rPr>
          <w:rFonts w:ascii="Garamond" w:eastAsia="Garamond" w:hAnsi="Garamond" w:cs="Garamond"/>
          <w:b/>
          <w:sz w:val="18"/>
          <w:szCs w:val="18"/>
        </w:rPr>
        <w:t xml:space="preserve">DNAR: </w:t>
      </w:r>
      <w:r>
        <w:rPr>
          <w:rFonts w:ascii="Garamond" w:eastAsia="Garamond" w:hAnsi="Garamond" w:cs="Garamond"/>
          <w:sz w:val="18"/>
          <w:szCs w:val="18"/>
        </w:rPr>
        <w:t>Do not attempt resuscitation</w:t>
      </w:r>
    </w:p>
    <w:p w14:paraId="41B58F43" w14:textId="77777777" w:rsidR="006E087E" w:rsidRDefault="006E087E" w:rsidP="006E087E">
      <w:pPr>
        <w:pStyle w:val="Heading4"/>
        <w:rPr>
          <w:rFonts w:ascii="Garamond" w:eastAsia="Garamond" w:hAnsi="Garamond" w:cs="Garamond"/>
          <w:i w:val="0"/>
          <w:sz w:val="18"/>
          <w:szCs w:val="18"/>
          <w:u w:val="none"/>
        </w:rPr>
      </w:pPr>
    </w:p>
    <w:p w14:paraId="6D45E1AB" w14:textId="77777777" w:rsidR="006E087E" w:rsidRDefault="006E087E" w:rsidP="006E087E">
      <w:pPr>
        <w:pStyle w:val="Heading4"/>
        <w:rPr>
          <w:rFonts w:ascii="Garamond" w:eastAsia="Garamond" w:hAnsi="Garamond" w:cs="Garamond"/>
          <w:i w:val="0"/>
          <w:sz w:val="18"/>
          <w:szCs w:val="18"/>
          <w:u w:val="none"/>
        </w:rPr>
      </w:pPr>
      <w:bookmarkStart w:id="18" w:name="_heading=h.di2uv4rzvro2" w:colFirst="0" w:colLast="0"/>
      <w:bookmarkEnd w:id="18"/>
      <w:r>
        <w:rPr>
          <w:rFonts w:ascii="Garamond" w:eastAsia="Garamond" w:hAnsi="Garamond" w:cs="Garamond"/>
          <w:i w:val="0"/>
          <w:sz w:val="18"/>
          <w:szCs w:val="18"/>
          <w:u w:val="none"/>
        </w:rPr>
        <w:t>Explanations</w:t>
      </w:r>
    </w:p>
    <w:p w14:paraId="2CEF3F47"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 xml:space="preserve">a. Rated down for inconsistency due to the discrepancy between the lower quality before-after studies and the higher quality RCT. </w:t>
      </w:r>
    </w:p>
    <w:p w14:paraId="715B5ED5"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 xml:space="preserve">b. Rated down for indirectness because the intervention was variable across included studies and was often part of a package that included RRT, EWS, education, and quality improvement/ auditing processes, which makes it difficult to ascertain exactly what effect was related to the educational component. </w:t>
      </w:r>
    </w:p>
    <w:p w14:paraId="5951FBA0"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c. Rated down for inconsistency due to variability in conclusions across studies.</w:t>
      </w:r>
    </w:p>
    <w:p w14:paraId="392F18D8" w14:textId="77777777" w:rsidR="006E087E" w:rsidRDefault="006E087E" w:rsidP="006E087E">
      <w:pPr>
        <w:spacing w:line="240" w:lineRule="auto"/>
        <w:rPr>
          <w:rFonts w:ascii="Times New Roman" w:eastAsia="Times New Roman" w:hAnsi="Times New Roman" w:cs="Times New Roman"/>
          <w:sz w:val="18"/>
          <w:szCs w:val="18"/>
        </w:rPr>
      </w:pPr>
    </w:p>
    <w:p w14:paraId="5ED8E9A3" w14:textId="77777777" w:rsidR="006E087E" w:rsidRDefault="006E087E" w:rsidP="006E087E">
      <w:pPr>
        <w:spacing w:line="240" w:lineRule="auto"/>
        <w:rPr>
          <w:rFonts w:ascii="Garamond" w:eastAsia="Garamond" w:hAnsi="Garamond" w:cs="Garamond"/>
          <w:b/>
          <w:sz w:val="24"/>
          <w:szCs w:val="24"/>
        </w:rPr>
      </w:pPr>
    </w:p>
    <w:p w14:paraId="428803E2" w14:textId="77777777" w:rsidR="006E087E" w:rsidRDefault="006E087E" w:rsidP="006E087E">
      <w:pPr>
        <w:pStyle w:val="Heading1"/>
        <w:keepNext/>
        <w:keepLines/>
        <w:spacing w:after="20" w:line="240" w:lineRule="auto"/>
        <w:rPr>
          <w:rFonts w:ascii="Garamond" w:eastAsia="Garamond" w:hAnsi="Garamond" w:cs="Garamond"/>
        </w:rPr>
      </w:pPr>
      <w:r>
        <w:br w:type="page"/>
      </w:r>
    </w:p>
    <w:p w14:paraId="7709BDA1" w14:textId="77777777" w:rsidR="006E087E" w:rsidRDefault="006E087E" w:rsidP="006E087E">
      <w:pPr>
        <w:pStyle w:val="Heading1"/>
        <w:keepNext/>
        <w:keepLines/>
        <w:spacing w:after="20" w:line="240" w:lineRule="auto"/>
        <w:rPr>
          <w:rFonts w:ascii="Garamond" w:eastAsia="Garamond" w:hAnsi="Garamond" w:cs="Garamond"/>
        </w:rPr>
      </w:pPr>
      <w:bookmarkStart w:id="19" w:name="_heading=h.8rxjoqsgktet" w:colFirst="0" w:colLast="0"/>
      <w:bookmarkEnd w:id="19"/>
      <w:r>
        <w:rPr>
          <w:rFonts w:ascii="Garamond" w:eastAsia="Garamond" w:hAnsi="Garamond" w:cs="Garamond"/>
        </w:rPr>
        <w:lastRenderedPageBreak/>
        <w:t>Summary of Judgements: Focused education on early recognition of clinical deterioration</w:t>
      </w:r>
    </w:p>
    <w:tbl>
      <w:tblPr>
        <w:tblW w:w="15120" w:type="dxa"/>
        <w:tblInd w:w="-5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60"/>
        <w:gridCol w:w="1560"/>
        <w:gridCol w:w="1710"/>
        <w:gridCol w:w="2130"/>
        <w:gridCol w:w="2265"/>
        <w:gridCol w:w="1710"/>
        <w:gridCol w:w="1275"/>
        <w:gridCol w:w="1410"/>
      </w:tblGrid>
      <w:tr w:rsidR="006E087E" w14:paraId="35D40F57" w14:textId="77777777" w:rsidTr="00A207C4">
        <w:trPr>
          <w:tblHeader/>
        </w:trPr>
        <w:tc>
          <w:tcPr>
            <w:tcW w:w="3060" w:type="dxa"/>
            <w:tcBorders>
              <w:top w:val="nil"/>
              <w:left w:val="nil"/>
              <w:bottom w:val="nil"/>
              <w:right w:val="nil"/>
            </w:tcBorders>
            <w:tcMar>
              <w:top w:w="75" w:type="dxa"/>
              <w:left w:w="75" w:type="dxa"/>
              <w:bottom w:w="75" w:type="dxa"/>
              <w:right w:w="75" w:type="dxa"/>
            </w:tcMar>
            <w:vAlign w:val="center"/>
          </w:tcPr>
          <w:p w14:paraId="4BBCC319" w14:textId="77777777" w:rsidR="006E087E" w:rsidRDefault="006E087E" w:rsidP="00A207C4">
            <w:pPr>
              <w:rPr>
                <w:rFonts w:ascii="Garamond" w:eastAsia="Garamond" w:hAnsi="Garamond" w:cs="Garamond"/>
                <w:smallCaps/>
                <w:sz w:val="20"/>
                <w:szCs w:val="20"/>
              </w:rPr>
            </w:pPr>
          </w:p>
        </w:tc>
        <w:tc>
          <w:tcPr>
            <w:tcW w:w="12060" w:type="dxa"/>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2395686E"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JUDGMENT</w:t>
            </w:r>
          </w:p>
        </w:tc>
      </w:tr>
      <w:tr w:rsidR="006E087E" w14:paraId="263C7205"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235D4C1B"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PROBLEM</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3D76E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08817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5BBFD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DBA6D9"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71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529CA374" w14:textId="77777777" w:rsidR="006E087E" w:rsidRDefault="006E087E" w:rsidP="00A207C4">
            <w:pPr>
              <w:rPr>
                <w:rFonts w:ascii="Garamond" w:eastAsia="Garamond" w:hAnsi="Garamond" w:cs="Garamond"/>
                <w:b/>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37841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D23B5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68C78F1E"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77EF00BB"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DESIRABLE EFFECTS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FBFAC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CF521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8E35D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B47D5B"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Large</w:t>
            </w:r>
          </w:p>
        </w:tc>
        <w:tc>
          <w:tcPr>
            <w:tcW w:w="171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0C39D664" w14:textId="77777777" w:rsidR="006E087E" w:rsidRDefault="006E087E" w:rsidP="00A207C4">
            <w:pPr>
              <w:rPr>
                <w:rFonts w:ascii="Garamond" w:eastAsia="Garamond" w:hAnsi="Garamond" w:cs="Garamond"/>
                <w:b/>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E2750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AF3D1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4CD09A95"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ACA6417"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UNDESIRABLE EFFECTS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6E994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FBFBB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F53031"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Small</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4699E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171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0B8BCF93" w14:textId="77777777" w:rsidR="006E087E" w:rsidRDefault="006E087E" w:rsidP="00A207C4">
            <w:pPr>
              <w:rPr>
                <w:rFonts w:ascii="Garamond" w:eastAsia="Garamond" w:hAnsi="Garamond" w:cs="Garamond"/>
                <w:color w:val="AEAAAA"/>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A6EFE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4E3EE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3EAAFBF3"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79C71E77"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E8C15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4E78EF"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Low</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82172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BE309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71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675A13F3" w14:textId="77777777" w:rsidR="006E087E" w:rsidRDefault="006E087E" w:rsidP="00A207C4">
            <w:pPr>
              <w:rPr>
                <w:rFonts w:ascii="Garamond" w:eastAsia="Garamond" w:hAnsi="Garamond" w:cs="Garamond"/>
                <w:color w:val="AEAAAA"/>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05BC32FD" w14:textId="77777777" w:rsidR="006E087E" w:rsidRDefault="006E087E" w:rsidP="00A207C4">
            <w:pPr>
              <w:jc w:val="center"/>
              <w:rPr>
                <w:rFonts w:ascii="Garamond" w:eastAsia="Garamond" w:hAnsi="Garamond" w:cs="Garamond"/>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FCC1F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included studies</w:t>
            </w:r>
          </w:p>
        </w:tc>
      </w:tr>
      <w:tr w:rsidR="006E087E" w14:paraId="5CF21D46" w14:textId="77777777" w:rsidTr="00A207C4">
        <w:trPr>
          <w:trHeight w:val="516"/>
        </w:trPr>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090687A"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VALUES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04E9E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Important uncertainty or variability</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8F58F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Possibly important uncertainty or variability</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546E7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important uncertainty or variability</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1EC5BE"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important uncertainty or variability</w:t>
            </w:r>
          </w:p>
        </w:tc>
        <w:tc>
          <w:tcPr>
            <w:tcW w:w="171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5994BCD3" w14:textId="77777777" w:rsidR="006E087E" w:rsidRDefault="006E087E" w:rsidP="00A207C4">
            <w:pPr>
              <w:rPr>
                <w:rFonts w:ascii="Garamond" w:eastAsia="Garamond" w:hAnsi="Garamond" w:cs="Garamond"/>
                <w:b/>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A1CCA56" w14:textId="77777777" w:rsidR="006E087E" w:rsidRDefault="006E087E" w:rsidP="00A207C4">
            <w:pPr>
              <w:jc w:val="center"/>
              <w:rPr>
                <w:rFonts w:ascii="Garamond" w:eastAsia="Garamond" w:hAnsi="Garamond" w:cs="Garamond"/>
                <w:sz w:val="20"/>
                <w:szCs w:val="20"/>
              </w:rPr>
            </w:pPr>
          </w:p>
        </w:tc>
        <w:tc>
          <w:tcPr>
            <w:tcW w:w="141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D8B1D5B" w14:textId="77777777" w:rsidR="006E087E" w:rsidRDefault="006E087E" w:rsidP="00A207C4">
            <w:pPr>
              <w:jc w:val="center"/>
              <w:rPr>
                <w:rFonts w:ascii="Garamond" w:eastAsia="Garamond" w:hAnsi="Garamond" w:cs="Garamond"/>
                <w:sz w:val="20"/>
                <w:szCs w:val="20"/>
              </w:rPr>
            </w:pPr>
          </w:p>
        </w:tc>
      </w:tr>
      <w:tr w:rsidR="006E087E" w14:paraId="736BE01B"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F59F1F4"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BALANCE OF EFFECTS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A3EA3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5D323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5D74C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56B51D"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favors the intervention</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6EEEC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CC236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7847E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6C0DDDDA"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0C814EA4"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RESOURCES REQUIRED</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B2B38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costs</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9E4CF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costs</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FB4A1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Negligible costs and savings</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5539C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savings</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966BB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savings</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AE74C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C33D27"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Don't know</w:t>
            </w:r>
          </w:p>
        </w:tc>
      </w:tr>
      <w:tr w:rsidR="006E087E" w14:paraId="1882DF27"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6B04E87B"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 OF REQUIRED RESOURCES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57B34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85FA6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Low</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E4C13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D5863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71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389E197" w14:textId="77777777" w:rsidR="006E087E" w:rsidRDefault="006E087E" w:rsidP="00A207C4">
            <w:pPr>
              <w:rPr>
                <w:rFonts w:ascii="Garamond" w:eastAsia="Garamond" w:hAnsi="Garamond" w:cs="Garamond"/>
                <w:color w:val="AEAAAA"/>
                <w:sz w:val="20"/>
                <w:szCs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BA024E2" w14:textId="77777777" w:rsidR="006E087E" w:rsidRDefault="006E087E" w:rsidP="00A207C4">
            <w:pPr>
              <w:jc w:val="center"/>
              <w:rPr>
                <w:rFonts w:ascii="Garamond" w:eastAsia="Garamond" w:hAnsi="Garamond" w:cs="Garamond"/>
                <w:sz w:val="20"/>
                <w:szCs w:val="20"/>
              </w:rPr>
            </w:pP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B3F9CC"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included studies</w:t>
            </w:r>
          </w:p>
        </w:tc>
      </w:tr>
      <w:tr w:rsidR="006E087E" w14:paraId="3E274AFB"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6FB79F0D"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COST EFFECTIVENESS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5DA54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9AF38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7E692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95ADF9"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favors the intervention</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40265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0C8FC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F3D46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included studies</w:t>
            </w:r>
          </w:p>
        </w:tc>
      </w:tr>
      <w:tr w:rsidR="006E087E" w14:paraId="4D1FAFF6"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04744C70"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EQUITY</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A5229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Reduced</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2C62F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reduced</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DD06B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impact</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57F07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increased</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B1492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Increased</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50D02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4E910E"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Don't know</w:t>
            </w:r>
          </w:p>
        </w:tc>
      </w:tr>
      <w:tr w:rsidR="006E087E" w14:paraId="2D301123"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3AE3D18"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ACCEPTABILITY</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6A9B8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DE8E9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12432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A6FD64"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71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B53D772" w14:textId="77777777" w:rsidR="006E087E" w:rsidRDefault="006E087E" w:rsidP="00A207C4">
            <w:pPr>
              <w:rPr>
                <w:rFonts w:ascii="Garamond" w:eastAsia="Garamond" w:hAnsi="Garamond" w:cs="Garamond"/>
                <w:b/>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7CFC6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B693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35C2EDEC" w14:textId="77777777" w:rsidTr="00A207C4">
        <w:tc>
          <w:tcPr>
            <w:tcW w:w="306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280E415C"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FEASIBILITY</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EE318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EDD57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1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23FC0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22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881CF6"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71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6BCBFEB4" w14:textId="77777777" w:rsidR="006E087E" w:rsidRDefault="006E087E" w:rsidP="00A207C4">
            <w:pPr>
              <w:rPr>
                <w:rFonts w:ascii="Garamond" w:eastAsia="Garamond" w:hAnsi="Garamond" w:cs="Garamond"/>
                <w:b/>
                <w:sz w:val="20"/>
                <w:szCs w:val="20"/>
              </w:rPr>
            </w:pP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F72A7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24E07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bl>
    <w:p w14:paraId="122E4A48" w14:textId="77777777" w:rsidR="006E087E" w:rsidRDefault="006E087E" w:rsidP="006E087E">
      <w:pPr>
        <w:pStyle w:val="Heading1"/>
        <w:keepNext/>
        <w:keepLines/>
        <w:spacing w:after="20" w:line="240" w:lineRule="auto"/>
        <w:rPr>
          <w:rFonts w:ascii="Garamond" w:eastAsia="Garamond" w:hAnsi="Garamond" w:cs="Garamond"/>
          <w:smallCaps/>
        </w:rPr>
      </w:pPr>
      <w:bookmarkStart w:id="20" w:name="_heading=h.eppyony2081o" w:colFirst="0" w:colLast="0"/>
      <w:bookmarkEnd w:id="20"/>
      <w:r>
        <w:rPr>
          <w:rFonts w:ascii="Garamond" w:eastAsia="Garamond" w:hAnsi="Garamond" w:cs="Garamond"/>
        </w:rPr>
        <w:t>Type Of Recommendation</w:t>
      </w:r>
    </w:p>
    <w:tbl>
      <w:tblPr>
        <w:tblW w:w="15120" w:type="dxa"/>
        <w:tblInd w:w="-5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85"/>
        <w:gridCol w:w="2970"/>
        <w:gridCol w:w="3360"/>
        <w:gridCol w:w="2970"/>
        <w:gridCol w:w="2835"/>
      </w:tblGrid>
      <w:tr w:rsidR="006E087E" w14:paraId="316049A1" w14:textId="77777777" w:rsidTr="00A207C4">
        <w:tc>
          <w:tcPr>
            <w:tcW w:w="2985" w:type="dxa"/>
            <w:tcBorders>
              <w:top w:val="single" w:sz="6" w:space="0" w:color="000000"/>
              <w:left w:val="single" w:sz="6" w:space="0" w:color="000000"/>
              <w:right w:val="single" w:sz="6" w:space="0" w:color="000000"/>
            </w:tcBorders>
            <w:tcMar>
              <w:top w:w="75" w:type="dxa"/>
              <w:left w:w="0" w:type="dxa"/>
              <w:bottom w:w="0" w:type="dxa"/>
              <w:right w:w="0" w:type="dxa"/>
            </w:tcMar>
          </w:tcPr>
          <w:p w14:paraId="14E473F1"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against the intervention</w:t>
            </w:r>
          </w:p>
        </w:tc>
        <w:tc>
          <w:tcPr>
            <w:tcW w:w="2970" w:type="dxa"/>
            <w:tcBorders>
              <w:top w:val="single" w:sz="6" w:space="0" w:color="000000"/>
              <w:left w:val="single" w:sz="6" w:space="0" w:color="000000"/>
              <w:right w:val="single" w:sz="6" w:space="0" w:color="000000"/>
            </w:tcBorders>
            <w:tcMar>
              <w:top w:w="75" w:type="dxa"/>
              <w:left w:w="0" w:type="dxa"/>
              <w:bottom w:w="0" w:type="dxa"/>
              <w:right w:w="0" w:type="dxa"/>
            </w:tcMar>
          </w:tcPr>
          <w:p w14:paraId="1B40987B"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against the intervention</w:t>
            </w:r>
          </w:p>
        </w:tc>
        <w:tc>
          <w:tcPr>
            <w:tcW w:w="3360" w:type="dxa"/>
            <w:tcBorders>
              <w:top w:val="single" w:sz="6" w:space="0" w:color="000000"/>
              <w:left w:val="single" w:sz="6" w:space="0" w:color="000000"/>
              <w:right w:val="single" w:sz="6" w:space="0" w:color="000000"/>
            </w:tcBorders>
            <w:tcMar>
              <w:top w:w="75" w:type="dxa"/>
              <w:left w:w="0" w:type="dxa"/>
              <w:bottom w:w="0" w:type="dxa"/>
              <w:right w:w="0" w:type="dxa"/>
            </w:tcMar>
          </w:tcPr>
          <w:p w14:paraId="18265571"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for either the intervention or the comparison</w:t>
            </w:r>
          </w:p>
        </w:tc>
        <w:tc>
          <w:tcPr>
            <w:tcW w:w="2970" w:type="dxa"/>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tcPr>
          <w:p w14:paraId="11A890B8" w14:textId="77777777" w:rsidR="006E087E" w:rsidRDefault="006E087E" w:rsidP="00A207C4">
            <w:pPr>
              <w:jc w:val="center"/>
              <w:rPr>
                <w:rFonts w:ascii="Garamond" w:eastAsia="Garamond" w:hAnsi="Garamond" w:cs="Garamond"/>
                <w:b/>
                <w:color w:val="FFFFFF"/>
                <w:sz w:val="20"/>
                <w:szCs w:val="20"/>
              </w:rPr>
            </w:pPr>
            <w:r>
              <w:rPr>
                <w:rFonts w:ascii="Garamond" w:eastAsia="Garamond" w:hAnsi="Garamond" w:cs="Garamond"/>
                <w:b/>
                <w:color w:val="FFFFFF"/>
                <w:sz w:val="20"/>
                <w:szCs w:val="20"/>
              </w:rPr>
              <w:t>Conditional recommendation for the intervention</w:t>
            </w:r>
          </w:p>
        </w:tc>
        <w:tc>
          <w:tcPr>
            <w:tcW w:w="2835" w:type="dxa"/>
            <w:tcBorders>
              <w:top w:val="single" w:sz="6" w:space="0" w:color="000000"/>
              <w:left w:val="single" w:sz="6" w:space="0" w:color="000000"/>
              <w:right w:val="single" w:sz="6" w:space="0" w:color="000000"/>
            </w:tcBorders>
            <w:tcMar>
              <w:top w:w="75" w:type="dxa"/>
              <w:left w:w="0" w:type="dxa"/>
              <w:bottom w:w="0" w:type="dxa"/>
              <w:right w:w="0" w:type="dxa"/>
            </w:tcMar>
          </w:tcPr>
          <w:p w14:paraId="0AC48CF5"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for the intervention</w:t>
            </w:r>
          </w:p>
        </w:tc>
      </w:tr>
      <w:tr w:rsidR="006E087E" w14:paraId="0ACC60C0" w14:textId="77777777" w:rsidTr="00A207C4">
        <w:trPr>
          <w:trHeight w:val="83"/>
        </w:trPr>
        <w:tc>
          <w:tcPr>
            <w:tcW w:w="2985" w:type="dxa"/>
            <w:tcBorders>
              <w:left w:val="single" w:sz="6" w:space="0" w:color="000000"/>
              <w:bottom w:val="single" w:sz="6" w:space="0" w:color="000000"/>
              <w:right w:val="single" w:sz="6" w:space="0" w:color="000000"/>
            </w:tcBorders>
            <w:tcMar>
              <w:top w:w="0" w:type="dxa"/>
              <w:left w:w="0" w:type="dxa"/>
              <w:bottom w:w="75" w:type="dxa"/>
              <w:right w:w="0" w:type="dxa"/>
            </w:tcMar>
          </w:tcPr>
          <w:p w14:paraId="55F568EC"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lastRenderedPageBreak/>
              <w:t xml:space="preserve">○ </w:t>
            </w:r>
          </w:p>
        </w:tc>
        <w:tc>
          <w:tcPr>
            <w:tcW w:w="2970" w:type="dxa"/>
            <w:tcBorders>
              <w:left w:val="single" w:sz="6" w:space="0" w:color="000000"/>
              <w:bottom w:val="single" w:sz="6" w:space="0" w:color="000000"/>
              <w:right w:val="single" w:sz="6" w:space="0" w:color="000000"/>
            </w:tcBorders>
            <w:tcMar>
              <w:top w:w="0" w:type="dxa"/>
              <w:left w:w="0" w:type="dxa"/>
              <w:bottom w:w="75" w:type="dxa"/>
              <w:right w:w="0" w:type="dxa"/>
            </w:tcMar>
          </w:tcPr>
          <w:p w14:paraId="42C711DB"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3360" w:type="dxa"/>
            <w:tcBorders>
              <w:left w:val="single" w:sz="6" w:space="0" w:color="000000"/>
              <w:bottom w:val="single" w:sz="6" w:space="0" w:color="000000"/>
              <w:right w:val="single" w:sz="6" w:space="0" w:color="000000"/>
            </w:tcBorders>
            <w:tcMar>
              <w:top w:w="0" w:type="dxa"/>
              <w:left w:w="0" w:type="dxa"/>
              <w:bottom w:w="75" w:type="dxa"/>
              <w:right w:w="0" w:type="dxa"/>
            </w:tcMar>
          </w:tcPr>
          <w:p w14:paraId="6A04DC84"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2970" w:type="dxa"/>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tcPr>
          <w:p w14:paraId="578CAB9D" w14:textId="77777777" w:rsidR="006E087E" w:rsidRDefault="008E2347" w:rsidP="00A207C4">
            <w:pPr>
              <w:jc w:val="center"/>
              <w:rPr>
                <w:rFonts w:ascii="Garamond" w:eastAsia="Garamond" w:hAnsi="Garamond" w:cs="Garamond"/>
                <w:b/>
                <w:color w:val="FFFFFF"/>
                <w:sz w:val="20"/>
                <w:szCs w:val="20"/>
              </w:rPr>
            </w:pPr>
            <w:sdt>
              <w:sdtPr>
                <w:tag w:val="goog_rdk_45"/>
                <w:id w:val="-1841382570"/>
              </w:sdtPr>
              <w:sdtEndPr/>
              <w:sdtContent>
                <w:r w:rsidR="006E087E">
                  <w:rPr>
                    <w:rFonts w:ascii="Arial Unicode MS" w:eastAsia="Arial Unicode MS" w:hAnsi="Arial Unicode MS" w:cs="Arial Unicode MS"/>
                    <w:b/>
                    <w:color w:val="FFFFFF"/>
                    <w:sz w:val="30"/>
                    <w:szCs w:val="30"/>
                  </w:rPr>
                  <w:t>✓</w:t>
                </w:r>
              </w:sdtContent>
            </w:sdt>
            <w:r w:rsidR="006E087E">
              <w:rPr>
                <w:rFonts w:ascii="Garamond" w:eastAsia="Garamond" w:hAnsi="Garamond" w:cs="Garamond"/>
                <w:b/>
                <w:color w:val="FFFFFF"/>
                <w:sz w:val="20"/>
                <w:szCs w:val="20"/>
              </w:rPr>
              <w:t xml:space="preserve"> </w:t>
            </w:r>
          </w:p>
        </w:tc>
        <w:tc>
          <w:tcPr>
            <w:tcW w:w="2835" w:type="dxa"/>
            <w:tcBorders>
              <w:left w:val="single" w:sz="6" w:space="0" w:color="000000"/>
              <w:bottom w:val="single" w:sz="6" w:space="0" w:color="000000"/>
              <w:right w:val="single" w:sz="6" w:space="0" w:color="000000"/>
            </w:tcBorders>
            <w:tcMar>
              <w:top w:w="0" w:type="dxa"/>
              <w:left w:w="0" w:type="dxa"/>
              <w:bottom w:w="75" w:type="dxa"/>
              <w:right w:w="0" w:type="dxa"/>
            </w:tcMar>
          </w:tcPr>
          <w:p w14:paraId="4AA082F2"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r>
    </w:tbl>
    <w:p w14:paraId="7D439C47" w14:textId="77777777" w:rsidR="00870326" w:rsidRDefault="00870326" w:rsidP="006E087E">
      <w:pPr>
        <w:spacing w:line="240" w:lineRule="auto"/>
      </w:pPr>
      <w:bookmarkStart w:id="21" w:name="bookmark=kix.1mi2ph2e6hsw" w:colFirst="0" w:colLast="0"/>
      <w:bookmarkEnd w:id="21"/>
    </w:p>
    <w:p w14:paraId="1A00849F" w14:textId="77777777" w:rsidR="00870326" w:rsidRDefault="00870326">
      <w:pPr>
        <w:spacing w:line="240" w:lineRule="auto"/>
      </w:pPr>
      <w:r>
        <w:br w:type="page"/>
      </w:r>
    </w:p>
    <w:p w14:paraId="1C0F934B" w14:textId="25CF3A69"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Supplemental Digital Content 10C</w:t>
      </w:r>
    </w:p>
    <w:p w14:paraId="1C9252B4" w14:textId="77777777" w:rsidR="006E087E" w:rsidRDefault="006E087E" w:rsidP="006E087E">
      <w:pPr>
        <w:spacing w:line="240" w:lineRule="auto"/>
        <w:rPr>
          <w:rFonts w:ascii="Times New Roman" w:eastAsia="Times New Roman" w:hAnsi="Times New Roman" w:cs="Times New Roman"/>
          <w:b/>
          <w:sz w:val="24"/>
          <w:szCs w:val="24"/>
        </w:rPr>
      </w:pPr>
    </w:p>
    <w:p w14:paraId="347B8E8B" w14:textId="77777777" w:rsidR="006E087E" w:rsidRDefault="006E087E" w:rsidP="006E087E">
      <w:pPr>
        <w:spacing w:line="240" w:lineRule="auto"/>
        <w:rPr>
          <w:rFonts w:ascii="Garamond" w:eastAsia="Garamond" w:hAnsi="Garamond" w:cs="Garamond"/>
          <w:b/>
          <w:sz w:val="24"/>
          <w:szCs w:val="24"/>
        </w:rPr>
      </w:pPr>
      <w:r>
        <w:rPr>
          <w:rFonts w:ascii="Garamond" w:eastAsia="Garamond" w:hAnsi="Garamond" w:cs="Garamond"/>
          <w:b/>
          <w:sz w:val="24"/>
          <w:szCs w:val="24"/>
        </w:rPr>
        <w:t>Question: Should patient and/ or family activation of rapid response team/ medical emergency team be included as a formal part of an early warning system as compared to no formal inclusion?</w:t>
      </w:r>
    </w:p>
    <w:p w14:paraId="03184B75" w14:textId="77777777" w:rsidR="006E087E" w:rsidRDefault="006E087E" w:rsidP="006E087E">
      <w:pPr>
        <w:spacing w:line="240" w:lineRule="auto"/>
        <w:rPr>
          <w:rFonts w:ascii="Garamond" w:eastAsia="Garamond" w:hAnsi="Garamond" w:cs="Garamond"/>
          <w:b/>
          <w:sz w:val="24"/>
          <w:szCs w:val="24"/>
        </w:rPr>
      </w:pPr>
    </w:p>
    <w:p w14:paraId="56137CA1" w14:textId="77777777" w:rsidR="006E087E" w:rsidRDefault="006E087E" w:rsidP="006E087E">
      <w:pPr>
        <w:pStyle w:val="Heading2"/>
        <w:keepNext/>
        <w:keepLines/>
        <w:spacing w:before="40"/>
        <w:rPr>
          <w:rFonts w:ascii="Garamond" w:eastAsia="Garamond" w:hAnsi="Garamond" w:cs="Garamond"/>
          <w:i w:val="0"/>
        </w:rPr>
      </w:pPr>
      <w:bookmarkStart w:id="22" w:name="_heading=h.7f0knf297s7d" w:colFirst="0" w:colLast="0"/>
      <w:bookmarkEnd w:id="22"/>
      <w:r>
        <w:rPr>
          <w:rFonts w:ascii="Garamond" w:eastAsia="Garamond" w:hAnsi="Garamond" w:cs="Garamond"/>
          <w:i w:val="0"/>
        </w:rPr>
        <w:t>GRADE Evidence Profile</w:t>
      </w:r>
    </w:p>
    <w:tbl>
      <w:tblPr>
        <w:tblW w:w="14850" w:type="dxa"/>
        <w:tblInd w:w="-37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5"/>
        <w:gridCol w:w="1140"/>
        <w:gridCol w:w="855"/>
        <w:gridCol w:w="1275"/>
        <w:gridCol w:w="1140"/>
        <w:gridCol w:w="1140"/>
        <w:gridCol w:w="1275"/>
        <w:gridCol w:w="5250"/>
        <w:gridCol w:w="990"/>
        <w:gridCol w:w="1080"/>
      </w:tblGrid>
      <w:tr w:rsidR="006E087E" w14:paraId="5A9FF170" w14:textId="77777777" w:rsidTr="00A207C4">
        <w:trPr>
          <w:cantSplit/>
          <w:tblHeader/>
        </w:trPr>
        <w:tc>
          <w:tcPr>
            <w:tcW w:w="7530" w:type="dxa"/>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4A0FE03"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 assessment</w:t>
            </w:r>
          </w:p>
        </w:tc>
        <w:tc>
          <w:tcPr>
            <w:tcW w:w="5250" w:type="dxa"/>
            <w:vMerge w:val="restart"/>
            <w:tcBorders>
              <w:top w:val="single" w:sz="12" w:space="0" w:color="FFFFFF"/>
              <w:left w:val="single" w:sz="12" w:space="0" w:color="FFFFFF"/>
              <w:right w:val="single" w:sz="12" w:space="0" w:color="FFFFFF"/>
            </w:tcBorders>
            <w:shd w:val="clear" w:color="auto" w:fill="2F5496"/>
            <w:tcMar>
              <w:top w:w="75" w:type="dxa"/>
              <w:left w:w="75" w:type="dxa"/>
              <w:bottom w:w="75" w:type="dxa"/>
              <w:right w:w="75" w:type="dxa"/>
            </w:tcMar>
            <w:vAlign w:val="center"/>
          </w:tcPr>
          <w:p w14:paraId="6F3D9B8B"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Impact</w:t>
            </w:r>
          </w:p>
        </w:tc>
        <w:tc>
          <w:tcPr>
            <w:tcW w:w="990"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9851743"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w:t>
            </w:r>
          </w:p>
        </w:tc>
        <w:tc>
          <w:tcPr>
            <w:tcW w:w="1080"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1DA313D"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Importance</w:t>
            </w:r>
          </w:p>
        </w:tc>
      </w:tr>
      <w:tr w:rsidR="006E087E" w14:paraId="3CB3269C" w14:textId="77777777" w:rsidTr="00A207C4">
        <w:trPr>
          <w:cantSplit/>
          <w:tblHeader/>
        </w:trPr>
        <w:tc>
          <w:tcPr>
            <w:tcW w:w="70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4FE2E54" w14:textId="77777777" w:rsidR="006E087E" w:rsidRDefault="008E2347" w:rsidP="00A207C4">
            <w:pPr>
              <w:jc w:val="center"/>
              <w:rPr>
                <w:rFonts w:ascii="Garamond" w:eastAsia="Garamond" w:hAnsi="Garamond" w:cs="Garamond"/>
                <w:b/>
                <w:color w:val="FFFFFF"/>
                <w:sz w:val="18"/>
                <w:szCs w:val="18"/>
              </w:rPr>
            </w:pPr>
            <w:sdt>
              <w:sdtPr>
                <w:tag w:val="goog_rdk_46"/>
                <w:id w:val="925696252"/>
              </w:sdtPr>
              <w:sdtEndPr/>
              <w:sdtContent>
                <w:r w:rsidR="006E087E">
                  <w:rPr>
                    <w:rFonts w:ascii="Cardo" w:eastAsia="Cardo" w:hAnsi="Cardo" w:cs="Cardo"/>
                    <w:b/>
                    <w:color w:val="FFFFFF"/>
                    <w:sz w:val="18"/>
                    <w:szCs w:val="18"/>
                  </w:rPr>
                  <w:t>№ of studies</w:t>
                </w:r>
              </w:sdtContent>
            </w:sdt>
          </w:p>
        </w:tc>
        <w:tc>
          <w:tcPr>
            <w:tcW w:w="114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64421C8"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Study design</w:t>
            </w:r>
          </w:p>
        </w:tc>
        <w:tc>
          <w:tcPr>
            <w:tcW w:w="85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ED0EA9E"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Risk of bias</w:t>
            </w:r>
          </w:p>
        </w:tc>
        <w:tc>
          <w:tcPr>
            <w:tcW w:w="127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FC59DF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Inconsistency</w:t>
            </w:r>
          </w:p>
        </w:tc>
        <w:tc>
          <w:tcPr>
            <w:tcW w:w="114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B4AF703"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Indirectness</w:t>
            </w:r>
          </w:p>
        </w:tc>
        <w:tc>
          <w:tcPr>
            <w:tcW w:w="114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5F2EA7B"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Imprecision</w:t>
            </w:r>
          </w:p>
        </w:tc>
        <w:tc>
          <w:tcPr>
            <w:tcW w:w="127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31A59F6"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Other considerations</w:t>
            </w:r>
          </w:p>
        </w:tc>
        <w:tc>
          <w:tcPr>
            <w:tcW w:w="5250" w:type="dxa"/>
            <w:vMerge/>
            <w:tcBorders>
              <w:top w:val="single" w:sz="12" w:space="0" w:color="FFFFFF"/>
              <w:left w:val="single" w:sz="12" w:space="0" w:color="FFFFFF"/>
              <w:right w:val="single" w:sz="12" w:space="0" w:color="FFFFFF"/>
            </w:tcBorders>
            <w:shd w:val="clear" w:color="auto" w:fill="2F5496"/>
            <w:tcMar>
              <w:top w:w="75" w:type="dxa"/>
              <w:left w:w="75" w:type="dxa"/>
              <w:bottom w:w="75" w:type="dxa"/>
              <w:right w:w="75" w:type="dxa"/>
            </w:tcMar>
            <w:vAlign w:val="center"/>
          </w:tcPr>
          <w:p w14:paraId="24F9EDCA"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990"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3241370"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080"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3A0A6AE2"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r>
      <w:tr w:rsidR="006E087E" w14:paraId="1D2C404F" w14:textId="77777777" w:rsidTr="00A207C4">
        <w:trPr>
          <w:cantSplit/>
        </w:trPr>
        <w:tc>
          <w:tcPr>
            <w:tcW w:w="14850" w:type="dxa"/>
            <w:gridSpan w:val="10"/>
            <w:shd w:val="clear" w:color="auto" w:fill="FFFFFF"/>
            <w:tcMar>
              <w:top w:w="75" w:type="dxa"/>
              <w:left w:w="100" w:type="dxa"/>
              <w:bottom w:w="100" w:type="dxa"/>
              <w:right w:w="100" w:type="dxa"/>
            </w:tcMar>
            <w:vAlign w:val="center"/>
          </w:tcPr>
          <w:p w14:paraId="3FDD0597"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Mortality</w:t>
            </w:r>
          </w:p>
        </w:tc>
      </w:tr>
      <w:tr w:rsidR="006E087E" w14:paraId="25FA91DB" w14:textId="77777777" w:rsidTr="00A207C4">
        <w:trPr>
          <w:cantSplit/>
        </w:trPr>
        <w:tc>
          <w:tcPr>
            <w:tcW w:w="705" w:type="dxa"/>
            <w:tcBorders>
              <w:top w:val="single" w:sz="6" w:space="0" w:color="000000"/>
              <w:left w:val="single" w:sz="6" w:space="0" w:color="000000"/>
              <w:bottom w:val="single" w:sz="6" w:space="0" w:color="000000"/>
              <w:right w:val="single" w:sz="6" w:space="0" w:color="000000"/>
            </w:tcBorders>
          </w:tcPr>
          <w:p w14:paraId="45ABD0F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w:t>
            </w:r>
          </w:p>
        </w:tc>
        <w:tc>
          <w:tcPr>
            <w:tcW w:w="1140" w:type="dxa"/>
            <w:tcBorders>
              <w:top w:val="single" w:sz="6" w:space="0" w:color="000000"/>
              <w:left w:val="single" w:sz="6" w:space="0" w:color="000000"/>
              <w:bottom w:val="single" w:sz="6" w:space="0" w:color="000000"/>
              <w:right w:val="single" w:sz="6" w:space="0" w:color="000000"/>
            </w:tcBorders>
          </w:tcPr>
          <w:p w14:paraId="6B7D864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55" w:type="dxa"/>
            <w:tcBorders>
              <w:top w:val="single" w:sz="6" w:space="0" w:color="000000"/>
              <w:left w:val="single" w:sz="6" w:space="0" w:color="000000"/>
              <w:bottom w:val="single" w:sz="6" w:space="0" w:color="000000"/>
              <w:right w:val="single" w:sz="6" w:space="0" w:color="000000"/>
            </w:tcBorders>
          </w:tcPr>
          <w:p w14:paraId="4994274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53B2D8E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0F39070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19CEF52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339FA4B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250" w:type="dxa"/>
            <w:tcBorders>
              <w:top w:val="single" w:sz="6" w:space="0" w:color="000000"/>
              <w:left w:val="single" w:sz="6" w:space="0" w:color="000000"/>
              <w:bottom w:val="single" w:sz="6" w:space="0" w:color="000000"/>
              <w:right w:val="single" w:sz="6" w:space="0" w:color="000000"/>
            </w:tcBorders>
          </w:tcPr>
          <w:p w14:paraId="0E7E1E1A"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One before-after study (</w:t>
            </w:r>
            <w:proofErr w:type="spellStart"/>
            <w:r>
              <w:rPr>
                <w:rFonts w:ascii="Garamond" w:eastAsia="Garamond" w:hAnsi="Garamond" w:cs="Garamond"/>
                <w:b/>
                <w:sz w:val="18"/>
                <w:szCs w:val="18"/>
              </w:rPr>
              <w:t>Gerdik</w:t>
            </w:r>
            <w:proofErr w:type="spellEnd"/>
            <w:r>
              <w:rPr>
                <w:rFonts w:ascii="Garamond" w:eastAsia="Garamond" w:hAnsi="Garamond" w:cs="Garamond"/>
                <w:b/>
                <w:sz w:val="18"/>
                <w:szCs w:val="18"/>
              </w:rPr>
              <w:t xml:space="preserve"> 2010</w:t>
            </w:r>
            <w:r>
              <w:rPr>
                <w:rFonts w:ascii="Garamond" w:eastAsia="Garamond" w:hAnsi="Garamond" w:cs="Garamond"/>
                <w:b/>
                <w:sz w:val="18"/>
                <w:szCs w:val="18"/>
                <w:vertAlign w:val="superscript"/>
              </w:rPr>
              <w:t>53</w:t>
            </w:r>
            <w:r>
              <w:rPr>
                <w:rFonts w:ascii="Garamond" w:eastAsia="Garamond" w:hAnsi="Garamond" w:cs="Garamond"/>
                <w:sz w:val="18"/>
                <w:szCs w:val="18"/>
              </w:rPr>
              <w:t xml:space="preserve">) reported a decrease in mortality, from 22.9/ 1000 admissions to 9.6/ 1000 admissions (95% CI, 5.4 to 13.8) after the widespread implementation of patient/ family activated RRT/MET at a level 1 trauma </w:t>
            </w:r>
            <w:proofErr w:type="spellStart"/>
            <w:r>
              <w:rPr>
                <w:rFonts w:ascii="Garamond" w:eastAsia="Garamond" w:hAnsi="Garamond" w:cs="Garamond"/>
                <w:sz w:val="18"/>
                <w:szCs w:val="18"/>
              </w:rPr>
              <w:t>centre</w:t>
            </w:r>
            <w:proofErr w:type="spellEnd"/>
            <w:r>
              <w:rPr>
                <w:rFonts w:ascii="Garamond" w:eastAsia="Garamond" w:hAnsi="Garamond" w:cs="Garamond"/>
                <w:sz w:val="18"/>
                <w:szCs w:val="18"/>
              </w:rPr>
              <w:t>.</w:t>
            </w:r>
          </w:p>
        </w:tc>
        <w:tc>
          <w:tcPr>
            <w:tcW w:w="990" w:type="dxa"/>
            <w:tcBorders>
              <w:top w:val="single" w:sz="6" w:space="0" w:color="000000"/>
              <w:left w:val="single" w:sz="6" w:space="0" w:color="000000"/>
              <w:bottom w:val="single" w:sz="6" w:space="0" w:color="000000"/>
              <w:right w:val="single" w:sz="6" w:space="0" w:color="000000"/>
            </w:tcBorders>
          </w:tcPr>
          <w:p w14:paraId="17559255"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47"/>
                <w:id w:val="40799281"/>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080" w:type="dxa"/>
            <w:tcBorders>
              <w:top w:val="single" w:sz="6" w:space="0" w:color="000000"/>
              <w:left w:val="single" w:sz="6" w:space="0" w:color="000000"/>
              <w:bottom w:val="single" w:sz="6" w:space="0" w:color="000000"/>
              <w:right w:val="single" w:sz="6" w:space="0" w:color="000000"/>
            </w:tcBorders>
          </w:tcPr>
          <w:p w14:paraId="48DB73E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30957642" w14:textId="77777777" w:rsidTr="00A207C4">
        <w:trPr>
          <w:cantSplit/>
        </w:trPr>
        <w:tc>
          <w:tcPr>
            <w:tcW w:w="14850" w:type="dxa"/>
            <w:gridSpan w:val="10"/>
            <w:shd w:val="clear" w:color="auto" w:fill="FFFFFF"/>
            <w:tcMar>
              <w:top w:w="75" w:type="dxa"/>
              <w:left w:w="100" w:type="dxa"/>
              <w:bottom w:w="100" w:type="dxa"/>
              <w:right w:w="100" w:type="dxa"/>
            </w:tcMar>
            <w:vAlign w:val="center"/>
          </w:tcPr>
          <w:p w14:paraId="18BA3ABB" w14:textId="77777777" w:rsidR="006E087E" w:rsidRDefault="006E087E" w:rsidP="00A207C4">
            <w:pPr>
              <w:rPr>
                <w:rFonts w:ascii="Garamond" w:eastAsia="Garamond" w:hAnsi="Garamond" w:cs="Garamond"/>
                <w:b/>
                <w:sz w:val="18"/>
                <w:szCs w:val="18"/>
              </w:rPr>
            </w:pPr>
          </w:p>
          <w:p w14:paraId="3B6BC5F1"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Cardiac arrests outside ICU</w:t>
            </w:r>
          </w:p>
        </w:tc>
      </w:tr>
      <w:tr w:rsidR="006E087E" w14:paraId="42251CB2" w14:textId="77777777" w:rsidTr="00A207C4">
        <w:trPr>
          <w:cantSplit/>
        </w:trPr>
        <w:tc>
          <w:tcPr>
            <w:tcW w:w="705" w:type="dxa"/>
            <w:tcBorders>
              <w:top w:val="single" w:sz="6" w:space="0" w:color="000000"/>
              <w:left w:val="single" w:sz="6" w:space="0" w:color="000000"/>
              <w:bottom w:val="single" w:sz="6" w:space="0" w:color="000000"/>
              <w:right w:val="single" w:sz="6" w:space="0" w:color="000000"/>
            </w:tcBorders>
          </w:tcPr>
          <w:p w14:paraId="70E6954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3</w:t>
            </w:r>
          </w:p>
        </w:tc>
        <w:tc>
          <w:tcPr>
            <w:tcW w:w="1140" w:type="dxa"/>
            <w:tcBorders>
              <w:top w:val="single" w:sz="6" w:space="0" w:color="000000"/>
              <w:left w:val="single" w:sz="6" w:space="0" w:color="000000"/>
              <w:bottom w:val="single" w:sz="6" w:space="0" w:color="000000"/>
              <w:right w:val="single" w:sz="6" w:space="0" w:color="000000"/>
            </w:tcBorders>
          </w:tcPr>
          <w:p w14:paraId="58FA5DD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55" w:type="dxa"/>
            <w:tcBorders>
              <w:top w:val="single" w:sz="6" w:space="0" w:color="000000"/>
              <w:left w:val="single" w:sz="6" w:space="0" w:color="000000"/>
              <w:bottom w:val="single" w:sz="6" w:space="0" w:color="000000"/>
              <w:right w:val="single" w:sz="6" w:space="0" w:color="000000"/>
            </w:tcBorders>
          </w:tcPr>
          <w:p w14:paraId="17EF349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4EC02CE9" w14:textId="77777777" w:rsidR="006E087E" w:rsidRDefault="006E087E" w:rsidP="00A207C4">
            <w:pPr>
              <w:jc w:val="center"/>
              <w:rPr>
                <w:rFonts w:ascii="Garamond" w:eastAsia="Garamond" w:hAnsi="Garamond" w:cs="Garamond"/>
                <w:b/>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3D87D41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1EE144D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431A999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250" w:type="dxa"/>
            <w:tcBorders>
              <w:top w:val="single" w:sz="6" w:space="0" w:color="000000"/>
              <w:left w:val="single" w:sz="6" w:space="0" w:color="000000"/>
              <w:bottom w:val="single" w:sz="6" w:space="0" w:color="000000"/>
              <w:right w:val="single" w:sz="6" w:space="0" w:color="000000"/>
            </w:tcBorders>
          </w:tcPr>
          <w:p w14:paraId="6E82F325"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Two before-after studies (</w:t>
            </w:r>
            <w:proofErr w:type="spellStart"/>
            <w:r>
              <w:rPr>
                <w:rFonts w:ascii="Garamond" w:eastAsia="Garamond" w:hAnsi="Garamond" w:cs="Garamond"/>
                <w:b/>
                <w:sz w:val="18"/>
                <w:szCs w:val="18"/>
              </w:rPr>
              <w:t>Gerdik</w:t>
            </w:r>
            <w:proofErr w:type="spellEnd"/>
            <w:r>
              <w:rPr>
                <w:rFonts w:ascii="Garamond" w:eastAsia="Garamond" w:hAnsi="Garamond" w:cs="Garamond"/>
                <w:b/>
                <w:sz w:val="18"/>
                <w:szCs w:val="18"/>
              </w:rPr>
              <w:t xml:space="preserve"> 2010</w:t>
            </w:r>
            <w:r>
              <w:rPr>
                <w:rFonts w:ascii="Garamond" w:eastAsia="Garamond" w:hAnsi="Garamond" w:cs="Garamond"/>
                <w:b/>
                <w:sz w:val="18"/>
                <w:szCs w:val="18"/>
                <w:vertAlign w:val="superscript"/>
              </w:rPr>
              <w:t>53</w:t>
            </w:r>
            <w:r>
              <w:rPr>
                <w:rFonts w:ascii="Garamond" w:eastAsia="Garamond" w:hAnsi="Garamond" w:cs="Garamond"/>
                <w:b/>
                <w:sz w:val="18"/>
                <w:szCs w:val="18"/>
              </w:rPr>
              <w:t>, McCawley 2013</w:t>
            </w:r>
            <w:r>
              <w:rPr>
                <w:rFonts w:ascii="Garamond" w:eastAsia="Garamond" w:hAnsi="Garamond" w:cs="Garamond"/>
                <w:b/>
                <w:sz w:val="18"/>
                <w:szCs w:val="18"/>
                <w:vertAlign w:val="superscript"/>
              </w:rPr>
              <w:t>51</w:t>
            </w:r>
            <w:r>
              <w:rPr>
                <w:rFonts w:ascii="Garamond" w:eastAsia="Garamond" w:hAnsi="Garamond" w:cs="Garamond"/>
                <w:sz w:val="18"/>
                <w:szCs w:val="18"/>
              </w:rPr>
              <w:t xml:space="preserve">) reported a non-statistically significant decrease in rates of cardiac arrest outside ICU (from 4.5 to 3 per 1000 discharges, p &gt; 0.05). Another before-after study performed at a pediatric </w:t>
            </w:r>
            <w:proofErr w:type="spellStart"/>
            <w:r>
              <w:rPr>
                <w:rFonts w:ascii="Garamond" w:eastAsia="Garamond" w:hAnsi="Garamond" w:cs="Garamond"/>
                <w:sz w:val="18"/>
                <w:szCs w:val="18"/>
              </w:rPr>
              <w:t>centre</w:t>
            </w:r>
            <w:proofErr w:type="spellEnd"/>
            <w:r>
              <w:rPr>
                <w:rFonts w:ascii="Garamond" w:eastAsia="Garamond" w:hAnsi="Garamond" w:cs="Garamond"/>
                <w:sz w:val="18"/>
                <w:szCs w:val="18"/>
              </w:rPr>
              <w:t xml:space="preserve"> (</w:t>
            </w:r>
            <w:r>
              <w:rPr>
                <w:rFonts w:ascii="Garamond" w:eastAsia="Garamond" w:hAnsi="Garamond" w:cs="Garamond"/>
                <w:b/>
                <w:sz w:val="18"/>
                <w:szCs w:val="18"/>
              </w:rPr>
              <w:t>Brady 2014</w:t>
            </w:r>
            <w:r>
              <w:rPr>
                <w:rFonts w:ascii="Garamond" w:eastAsia="Garamond" w:hAnsi="Garamond" w:cs="Garamond"/>
                <w:b/>
                <w:sz w:val="18"/>
                <w:szCs w:val="18"/>
                <w:vertAlign w:val="superscript"/>
              </w:rPr>
              <w:t>52</w:t>
            </w:r>
            <w:r>
              <w:rPr>
                <w:rFonts w:ascii="Garamond" w:eastAsia="Garamond" w:hAnsi="Garamond" w:cs="Garamond"/>
                <w:sz w:val="18"/>
                <w:szCs w:val="18"/>
              </w:rPr>
              <w:t>) reported no change in rates of cardiac arrest outside ICU but found that 3 of 8 RRT-preventable codes had a family concern documented in the chart but without an RRT/MET activation.</w:t>
            </w:r>
          </w:p>
        </w:tc>
        <w:tc>
          <w:tcPr>
            <w:tcW w:w="990" w:type="dxa"/>
            <w:tcBorders>
              <w:top w:val="single" w:sz="6" w:space="0" w:color="000000"/>
              <w:left w:val="single" w:sz="6" w:space="0" w:color="000000"/>
              <w:bottom w:val="single" w:sz="6" w:space="0" w:color="000000"/>
              <w:right w:val="single" w:sz="6" w:space="0" w:color="000000"/>
            </w:tcBorders>
          </w:tcPr>
          <w:p w14:paraId="30B6C29C"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48"/>
                <w:id w:val="-1879317345"/>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080" w:type="dxa"/>
            <w:tcBorders>
              <w:top w:val="single" w:sz="6" w:space="0" w:color="000000"/>
              <w:left w:val="single" w:sz="6" w:space="0" w:color="000000"/>
              <w:bottom w:val="single" w:sz="6" w:space="0" w:color="000000"/>
              <w:right w:val="single" w:sz="6" w:space="0" w:color="000000"/>
            </w:tcBorders>
          </w:tcPr>
          <w:p w14:paraId="6E54B15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bl>
    <w:p w14:paraId="24CA9F53" w14:textId="77777777" w:rsidR="006E087E" w:rsidRDefault="006E087E" w:rsidP="006E087E">
      <w:pPr>
        <w:widowControl w:val="0"/>
        <w:rPr>
          <w:rFonts w:ascii="Garamond" w:eastAsia="Garamond" w:hAnsi="Garamond" w:cs="Garamond"/>
          <w:sz w:val="18"/>
          <w:szCs w:val="18"/>
        </w:rPr>
      </w:pPr>
    </w:p>
    <w:tbl>
      <w:tblPr>
        <w:tblW w:w="14880" w:type="dxa"/>
        <w:tblInd w:w="-3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5"/>
        <w:gridCol w:w="1140"/>
        <w:gridCol w:w="855"/>
        <w:gridCol w:w="1275"/>
        <w:gridCol w:w="1140"/>
        <w:gridCol w:w="1140"/>
        <w:gridCol w:w="1275"/>
        <w:gridCol w:w="5250"/>
        <w:gridCol w:w="1020"/>
        <w:gridCol w:w="1080"/>
      </w:tblGrid>
      <w:tr w:rsidR="006E087E" w14:paraId="4B990D26" w14:textId="77777777" w:rsidTr="00A207C4">
        <w:trPr>
          <w:cantSplit/>
        </w:trPr>
        <w:tc>
          <w:tcPr>
            <w:tcW w:w="14880" w:type="dxa"/>
            <w:gridSpan w:val="10"/>
            <w:shd w:val="clear" w:color="auto" w:fill="FFFFFF"/>
            <w:tcMar>
              <w:top w:w="75" w:type="dxa"/>
              <w:left w:w="100" w:type="dxa"/>
              <w:bottom w:w="100" w:type="dxa"/>
              <w:right w:w="100" w:type="dxa"/>
            </w:tcMar>
            <w:vAlign w:val="center"/>
          </w:tcPr>
          <w:p w14:paraId="0C4EF1A5" w14:textId="77777777" w:rsidR="006E087E" w:rsidRDefault="006E087E" w:rsidP="00A207C4">
            <w:pPr>
              <w:rPr>
                <w:rFonts w:ascii="Garamond" w:eastAsia="Garamond" w:hAnsi="Garamond" w:cs="Garamond"/>
                <w:b/>
                <w:color w:val="FF0000"/>
                <w:sz w:val="18"/>
                <w:szCs w:val="18"/>
              </w:rPr>
            </w:pPr>
            <w:r>
              <w:rPr>
                <w:rFonts w:ascii="Garamond" w:eastAsia="Garamond" w:hAnsi="Garamond" w:cs="Garamond"/>
                <w:b/>
                <w:sz w:val="18"/>
                <w:szCs w:val="18"/>
              </w:rPr>
              <w:t>Unsuccessful resuscitations after cardiac arrest</w:t>
            </w:r>
          </w:p>
        </w:tc>
      </w:tr>
      <w:tr w:rsidR="006E087E" w14:paraId="2360EF4A" w14:textId="77777777" w:rsidTr="00A207C4">
        <w:trPr>
          <w:cantSplit/>
        </w:trPr>
        <w:tc>
          <w:tcPr>
            <w:tcW w:w="705" w:type="dxa"/>
            <w:tcBorders>
              <w:top w:val="single" w:sz="6" w:space="0" w:color="000000"/>
              <w:left w:val="single" w:sz="6" w:space="0" w:color="000000"/>
              <w:bottom w:val="single" w:sz="6" w:space="0" w:color="000000"/>
              <w:right w:val="single" w:sz="6" w:space="0" w:color="000000"/>
            </w:tcBorders>
          </w:tcPr>
          <w:p w14:paraId="499A4C3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w:t>
            </w:r>
          </w:p>
        </w:tc>
        <w:tc>
          <w:tcPr>
            <w:tcW w:w="1140" w:type="dxa"/>
            <w:tcBorders>
              <w:top w:val="single" w:sz="6" w:space="0" w:color="000000"/>
              <w:left w:val="single" w:sz="6" w:space="0" w:color="000000"/>
              <w:bottom w:val="single" w:sz="6" w:space="0" w:color="000000"/>
              <w:right w:val="single" w:sz="6" w:space="0" w:color="000000"/>
            </w:tcBorders>
          </w:tcPr>
          <w:p w14:paraId="3F6A928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55" w:type="dxa"/>
            <w:tcBorders>
              <w:top w:val="single" w:sz="6" w:space="0" w:color="000000"/>
              <w:left w:val="single" w:sz="6" w:space="0" w:color="000000"/>
              <w:bottom w:val="single" w:sz="6" w:space="0" w:color="000000"/>
              <w:right w:val="single" w:sz="6" w:space="0" w:color="000000"/>
            </w:tcBorders>
          </w:tcPr>
          <w:p w14:paraId="76850A6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68EC1F4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4579B4C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6917F32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56D905D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250" w:type="dxa"/>
            <w:tcBorders>
              <w:top w:val="single" w:sz="6" w:space="0" w:color="000000"/>
              <w:left w:val="single" w:sz="6" w:space="0" w:color="000000"/>
              <w:bottom w:val="single" w:sz="6" w:space="0" w:color="000000"/>
              <w:right w:val="single" w:sz="6" w:space="0" w:color="000000"/>
            </w:tcBorders>
          </w:tcPr>
          <w:p w14:paraId="5EC24360"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One before-after study (</w:t>
            </w:r>
            <w:proofErr w:type="spellStart"/>
            <w:r>
              <w:rPr>
                <w:rFonts w:ascii="Garamond" w:eastAsia="Garamond" w:hAnsi="Garamond" w:cs="Garamond"/>
                <w:b/>
                <w:sz w:val="18"/>
                <w:szCs w:val="18"/>
              </w:rPr>
              <w:t>Gerdik</w:t>
            </w:r>
            <w:proofErr w:type="spellEnd"/>
            <w:r>
              <w:rPr>
                <w:rFonts w:ascii="Garamond" w:eastAsia="Garamond" w:hAnsi="Garamond" w:cs="Garamond"/>
                <w:b/>
                <w:sz w:val="18"/>
                <w:szCs w:val="18"/>
              </w:rPr>
              <w:t xml:space="preserve"> 2010</w:t>
            </w:r>
            <w:r>
              <w:rPr>
                <w:rFonts w:ascii="Garamond" w:eastAsia="Garamond" w:hAnsi="Garamond" w:cs="Garamond"/>
                <w:b/>
                <w:sz w:val="18"/>
                <w:szCs w:val="18"/>
                <w:vertAlign w:val="superscript"/>
              </w:rPr>
              <w:t>53</w:t>
            </w:r>
            <w:r>
              <w:rPr>
                <w:rFonts w:ascii="Garamond" w:eastAsia="Garamond" w:hAnsi="Garamond" w:cs="Garamond"/>
                <w:sz w:val="18"/>
                <w:szCs w:val="18"/>
              </w:rPr>
              <w:t xml:space="preserve">) reported a decrease in the number of unsuccessful resuscitation events (codes) from 5.9 to 3.1 per month, after the widespread introduction of patient/ family activated RRT/MET at a level 1 trauma </w:t>
            </w:r>
            <w:proofErr w:type="spellStart"/>
            <w:r>
              <w:rPr>
                <w:rFonts w:ascii="Garamond" w:eastAsia="Garamond" w:hAnsi="Garamond" w:cs="Garamond"/>
                <w:sz w:val="18"/>
                <w:szCs w:val="18"/>
              </w:rPr>
              <w:t>centre</w:t>
            </w:r>
            <w:proofErr w:type="spellEnd"/>
            <w:r>
              <w:rPr>
                <w:rFonts w:ascii="Garamond" w:eastAsia="Garamond" w:hAnsi="Garamond" w:cs="Garamond"/>
                <w:sz w:val="18"/>
                <w:szCs w:val="18"/>
              </w:rPr>
              <w:t>.</w:t>
            </w:r>
          </w:p>
        </w:tc>
        <w:tc>
          <w:tcPr>
            <w:tcW w:w="1020" w:type="dxa"/>
            <w:tcBorders>
              <w:top w:val="single" w:sz="6" w:space="0" w:color="000000"/>
              <w:left w:val="single" w:sz="6" w:space="0" w:color="000000"/>
              <w:bottom w:val="single" w:sz="6" w:space="0" w:color="000000"/>
              <w:right w:val="single" w:sz="6" w:space="0" w:color="000000"/>
            </w:tcBorders>
          </w:tcPr>
          <w:p w14:paraId="5D9FA924"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49"/>
                <w:id w:val="105695913"/>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080" w:type="dxa"/>
            <w:tcBorders>
              <w:top w:val="single" w:sz="6" w:space="0" w:color="000000"/>
              <w:left w:val="single" w:sz="6" w:space="0" w:color="000000"/>
              <w:bottom w:val="single" w:sz="6" w:space="0" w:color="000000"/>
              <w:right w:val="single" w:sz="6" w:space="0" w:color="000000"/>
            </w:tcBorders>
          </w:tcPr>
          <w:p w14:paraId="5128C02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bl>
    <w:p w14:paraId="58C8B02A" w14:textId="77777777" w:rsidR="006E087E" w:rsidRDefault="006E087E" w:rsidP="006E087E">
      <w:pPr>
        <w:spacing w:line="240" w:lineRule="auto"/>
        <w:rPr>
          <w:rFonts w:ascii="Garamond" w:eastAsia="Garamond" w:hAnsi="Garamond" w:cs="Garamond"/>
          <w:b/>
          <w:sz w:val="14"/>
          <w:szCs w:val="14"/>
        </w:rPr>
      </w:pPr>
    </w:p>
    <w:tbl>
      <w:tblPr>
        <w:tblW w:w="14895" w:type="dxa"/>
        <w:tblInd w:w="-3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90"/>
        <w:gridCol w:w="1140"/>
        <w:gridCol w:w="855"/>
        <w:gridCol w:w="1275"/>
        <w:gridCol w:w="1140"/>
        <w:gridCol w:w="1140"/>
        <w:gridCol w:w="1275"/>
        <w:gridCol w:w="5265"/>
        <w:gridCol w:w="1020"/>
        <w:gridCol w:w="1095"/>
      </w:tblGrid>
      <w:tr w:rsidR="006E087E" w14:paraId="7A32D8A9" w14:textId="77777777" w:rsidTr="00A207C4">
        <w:trPr>
          <w:cantSplit/>
          <w:trHeight w:val="197"/>
        </w:trPr>
        <w:tc>
          <w:tcPr>
            <w:tcW w:w="14895" w:type="dxa"/>
            <w:gridSpan w:val="10"/>
            <w:shd w:val="clear" w:color="auto" w:fill="FFFFFF"/>
            <w:tcMar>
              <w:top w:w="75" w:type="dxa"/>
              <w:left w:w="100" w:type="dxa"/>
              <w:bottom w:w="100" w:type="dxa"/>
              <w:right w:w="100" w:type="dxa"/>
            </w:tcMar>
            <w:vAlign w:val="center"/>
          </w:tcPr>
          <w:p w14:paraId="261B23A3"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Unplanned transfers to ICU</w:t>
            </w:r>
          </w:p>
        </w:tc>
      </w:tr>
      <w:tr w:rsidR="006E087E" w14:paraId="1B894089" w14:textId="77777777" w:rsidTr="00A207C4">
        <w:trPr>
          <w:cantSplit/>
          <w:trHeight w:val="393"/>
        </w:trPr>
        <w:tc>
          <w:tcPr>
            <w:tcW w:w="690" w:type="dxa"/>
            <w:tcBorders>
              <w:top w:val="single" w:sz="6" w:space="0" w:color="000000"/>
              <w:left w:val="single" w:sz="6" w:space="0" w:color="000000"/>
              <w:bottom w:val="single" w:sz="6" w:space="0" w:color="000000"/>
              <w:right w:val="single" w:sz="6" w:space="0" w:color="000000"/>
            </w:tcBorders>
          </w:tcPr>
          <w:p w14:paraId="0BAED14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w:t>
            </w:r>
          </w:p>
        </w:tc>
        <w:tc>
          <w:tcPr>
            <w:tcW w:w="1140" w:type="dxa"/>
            <w:tcBorders>
              <w:top w:val="single" w:sz="6" w:space="0" w:color="000000"/>
              <w:left w:val="single" w:sz="6" w:space="0" w:color="000000"/>
              <w:bottom w:val="single" w:sz="6" w:space="0" w:color="000000"/>
              <w:right w:val="single" w:sz="6" w:space="0" w:color="000000"/>
            </w:tcBorders>
          </w:tcPr>
          <w:p w14:paraId="4C9FF48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55" w:type="dxa"/>
            <w:tcBorders>
              <w:top w:val="single" w:sz="6" w:space="0" w:color="000000"/>
              <w:left w:val="single" w:sz="6" w:space="0" w:color="000000"/>
              <w:bottom w:val="single" w:sz="6" w:space="0" w:color="000000"/>
              <w:right w:val="single" w:sz="6" w:space="0" w:color="000000"/>
            </w:tcBorders>
          </w:tcPr>
          <w:p w14:paraId="2F73AC9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03AFF6E5" w14:textId="77777777" w:rsidR="006E087E" w:rsidRDefault="006E087E" w:rsidP="00A207C4">
            <w:pPr>
              <w:jc w:val="center"/>
              <w:rPr>
                <w:rFonts w:ascii="Garamond" w:eastAsia="Garamond" w:hAnsi="Garamond" w:cs="Garamond"/>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140" w:type="dxa"/>
            <w:tcBorders>
              <w:top w:val="single" w:sz="6" w:space="0" w:color="000000"/>
              <w:left w:val="single" w:sz="6" w:space="0" w:color="000000"/>
              <w:bottom w:val="single" w:sz="6" w:space="0" w:color="000000"/>
              <w:right w:val="single" w:sz="6" w:space="0" w:color="000000"/>
            </w:tcBorders>
          </w:tcPr>
          <w:p w14:paraId="109F55D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4BAD81E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5A5D88D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265" w:type="dxa"/>
            <w:tcBorders>
              <w:top w:val="single" w:sz="6" w:space="0" w:color="000000"/>
              <w:left w:val="single" w:sz="6" w:space="0" w:color="000000"/>
              <w:bottom w:val="single" w:sz="6" w:space="0" w:color="000000"/>
              <w:right w:val="single" w:sz="6" w:space="0" w:color="000000"/>
            </w:tcBorders>
          </w:tcPr>
          <w:p w14:paraId="51572E44"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One before-after study (</w:t>
            </w:r>
            <w:proofErr w:type="spellStart"/>
            <w:r>
              <w:rPr>
                <w:rFonts w:ascii="Garamond" w:eastAsia="Garamond" w:hAnsi="Garamond" w:cs="Garamond"/>
                <w:b/>
                <w:sz w:val="18"/>
                <w:szCs w:val="18"/>
              </w:rPr>
              <w:t>Gerdik</w:t>
            </w:r>
            <w:proofErr w:type="spellEnd"/>
            <w:r>
              <w:rPr>
                <w:rFonts w:ascii="Garamond" w:eastAsia="Garamond" w:hAnsi="Garamond" w:cs="Garamond"/>
                <w:b/>
                <w:sz w:val="18"/>
                <w:szCs w:val="18"/>
              </w:rPr>
              <w:t xml:space="preserve"> 2010</w:t>
            </w:r>
            <w:r>
              <w:rPr>
                <w:rFonts w:ascii="Garamond" w:eastAsia="Garamond" w:hAnsi="Garamond" w:cs="Garamond"/>
                <w:b/>
                <w:sz w:val="18"/>
                <w:szCs w:val="18"/>
                <w:vertAlign w:val="superscript"/>
              </w:rPr>
              <w:t>53</w:t>
            </w:r>
            <w:r>
              <w:rPr>
                <w:rFonts w:ascii="Garamond" w:eastAsia="Garamond" w:hAnsi="Garamond" w:cs="Garamond"/>
                <w:sz w:val="18"/>
                <w:szCs w:val="18"/>
              </w:rPr>
              <w:t xml:space="preserve">) reported an increase in transfers to higher level of care (12.8 to 45.4 per month, p &lt; 0.05). </w:t>
            </w:r>
            <w:r>
              <w:rPr>
                <w:rFonts w:ascii="Garamond" w:eastAsia="Garamond" w:hAnsi="Garamond" w:cs="Garamond"/>
                <w:b/>
                <w:sz w:val="18"/>
                <w:szCs w:val="18"/>
              </w:rPr>
              <w:t>McCawley (2013)</w:t>
            </w:r>
            <w:r>
              <w:rPr>
                <w:rFonts w:ascii="Garamond" w:eastAsia="Garamond" w:hAnsi="Garamond" w:cs="Garamond"/>
                <w:b/>
                <w:sz w:val="18"/>
                <w:szCs w:val="18"/>
                <w:vertAlign w:val="superscript"/>
              </w:rPr>
              <w:t>51</w:t>
            </w:r>
            <w:r>
              <w:rPr>
                <w:rFonts w:ascii="Garamond" w:eastAsia="Garamond" w:hAnsi="Garamond" w:cs="Garamond"/>
                <w:sz w:val="18"/>
                <w:szCs w:val="18"/>
              </w:rPr>
              <w:t xml:space="preserve"> reported a decrease in the rate of unplanned transfers to ICU (46.8% to 33.8%, p &gt; 0.05).</w:t>
            </w:r>
          </w:p>
        </w:tc>
        <w:tc>
          <w:tcPr>
            <w:tcW w:w="1020" w:type="dxa"/>
            <w:tcBorders>
              <w:top w:val="single" w:sz="6" w:space="0" w:color="000000"/>
              <w:left w:val="single" w:sz="6" w:space="0" w:color="000000"/>
              <w:bottom w:val="single" w:sz="6" w:space="0" w:color="000000"/>
              <w:right w:val="single" w:sz="6" w:space="0" w:color="000000"/>
            </w:tcBorders>
          </w:tcPr>
          <w:p w14:paraId="1896CD35"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50"/>
                <w:id w:val="502945199"/>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095" w:type="dxa"/>
            <w:tcBorders>
              <w:top w:val="single" w:sz="6" w:space="0" w:color="000000"/>
              <w:left w:val="single" w:sz="6" w:space="0" w:color="000000"/>
              <w:bottom w:val="single" w:sz="6" w:space="0" w:color="000000"/>
              <w:right w:val="single" w:sz="6" w:space="0" w:color="000000"/>
            </w:tcBorders>
          </w:tcPr>
          <w:p w14:paraId="6C4B304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bl>
    <w:p w14:paraId="7B7D88BB" w14:textId="77777777" w:rsidR="006E087E" w:rsidRDefault="006E087E" w:rsidP="006E087E">
      <w:pPr>
        <w:spacing w:line="240" w:lineRule="auto"/>
        <w:rPr>
          <w:rFonts w:ascii="Garamond" w:eastAsia="Garamond" w:hAnsi="Garamond" w:cs="Garamond"/>
          <w:b/>
          <w:sz w:val="14"/>
          <w:szCs w:val="14"/>
        </w:rPr>
      </w:pPr>
    </w:p>
    <w:tbl>
      <w:tblPr>
        <w:tblW w:w="14895" w:type="dxa"/>
        <w:tblInd w:w="-37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5"/>
        <w:gridCol w:w="1140"/>
        <w:gridCol w:w="855"/>
        <w:gridCol w:w="1275"/>
        <w:gridCol w:w="1140"/>
        <w:gridCol w:w="1140"/>
        <w:gridCol w:w="1275"/>
        <w:gridCol w:w="5087"/>
        <w:gridCol w:w="992"/>
        <w:gridCol w:w="1286"/>
      </w:tblGrid>
      <w:tr w:rsidR="006E087E" w14:paraId="095AFDE6" w14:textId="77777777" w:rsidTr="00A207C4">
        <w:trPr>
          <w:cantSplit/>
          <w:trHeight w:val="197"/>
          <w:tblHeader/>
        </w:trPr>
        <w:tc>
          <w:tcPr>
            <w:tcW w:w="7530" w:type="dxa"/>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9F35A48"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 assessment</w:t>
            </w:r>
          </w:p>
        </w:tc>
        <w:tc>
          <w:tcPr>
            <w:tcW w:w="5087" w:type="dxa"/>
            <w:vMerge w:val="restart"/>
            <w:tcBorders>
              <w:top w:val="single" w:sz="12" w:space="0" w:color="FFFFFF"/>
              <w:left w:val="single" w:sz="12" w:space="0" w:color="FFFFFF"/>
              <w:right w:val="single" w:sz="12" w:space="0" w:color="FFFFFF"/>
            </w:tcBorders>
            <w:shd w:val="clear" w:color="auto" w:fill="2F5496"/>
            <w:tcMar>
              <w:top w:w="75" w:type="dxa"/>
              <w:left w:w="75" w:type="dxa"/>
              <w:bottom w:w="75" w:type="dxa"/>
              <w:right w:w="75" w:type="dxa"/>
            </w:tcMar>
            <w:vAlign w:val="center"/>
          </w:tcPr>
          <w:p w14:paraId="27DB48C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Impact</w:t>
            </w:r>
          </w:p>
        </w:tc>
        <w:tc>
          <w:tcPr>
            <w:tcW w:w="992"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2850012"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w:t>
            </w:r>
          </w:p>
        </w:tc>
        <w:tc>
          <w:tcPr>
            <w:tcW w:w="1286"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3608855"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Importance</w:t>
            </w:r>
          </w:p>
        </w:tc>
      </w:tr>
      <w:tr w:rsidR="006E087E" w14:paraId="5CD4ECD9" w14:textId="77777777" w:rsidTr="00A207C4">
        <w:trPr>
          <w:cantSplit/>
          <w:trHeight w:val="577"/>
          <w:tblHeader/>
        </w:trPr>
        <w:tc>
          <w:tcPr>
            <w:tcW w:w="70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2CB0BF1" w14:textId="77777777" w:rsidR="006E087E" w:rsidRDefault="008E2347" w:rsidP="00A207C4">
            <w:pPr>
              <w:jc w:val="center"/>
              <w:rPr>
                <w:rFonts w:ascii="Garamond" w:eastAsia="Garamond" w:hAnsi="Garamond" w:cs="Garamond"/>
                <w:b/>
                <w:color w:val="FFFFFF"/>
                <w:sz w:val="18"/>
                <w:szCs w:val="18"/>
              </w:rPr>
            </w:pPr>
            <w:sdt>
              <w:sdtPr>
                <w:tag w:val="goog_rdk_51"/>
                <w:id w:val="2118706966"/>
              </w:sdtPr>
              <w:sdtEndPr/>
              <w:sdtContent>
                <w:r w:rsidR="006E087E">
                  <w:rPr>
                    <w:rFonts w:ascii="Cardo" w:eastAsia="Cardo" w:hAnsi="Cardo" w:cs="Cardo"/>
                    <w:b/>
                    <w:color w:val="FFFFFF"/>
                    <w:sz w:val="18"/>
                    <w:szCs w:val="18"/>
                  </w:rPr>
                  <w:t>№ of studies</w:t>
                </w:r>
              </w:sdtContent>
            </w:sdt>
          </w:p>
        </w:tc>
        <w:tc>
          <w:tcPr>
            <w:tcW w:w="114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295D68C"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Study design</w:t>
            </w:r>
          </w:p>
        </w:tc>
        <w:tc>
          <w:tcPr>
            <w:tcW w:w="85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95482F8"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Risk of bias</w:t>
            </w:r>
          </w:p>
        </w:tc>
        <w:tc>
          <w:tcPr>
            <w:tcW w:w="127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A3120DD"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Inconsistency</w:t>
            </w:r>
          </w:p>
        </w:tc>
        <w:tc>
          <w:tcPr>
            <w:tcW w:w="114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9C67DAD"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Indirectness</w:t>
            </w:r>
          </w:p>
        </w:tc>
        <w:tc>
          <w:tcPr>
            <w:tcW w:w="114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ED022F2"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Imprecision</w:t>
            </w:r>
          </w:p>
        </w:tc>
        <w:tc>
          <w:tcPr>
            <w:tcW w:w="1275"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1D99A98"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Other considerations</w:t>
            </w:r>
          </w:p>
        </w:tc>
        <w:tc>
          <w:tcPr>
            <w:tcW w:w="5087" w:type="dxa"/>
            <w:vMerge/>
            <w:tcBorders>
              <w:top w:val="single" w:sz="12" w:space="0" w:color="FFFFFF"/>
              <w:left w:val="single" w:sz="12" w:space="0" w:color="FFFFFF"/>
              <w:right w:val="single" w:sz="12" w:space="0" w:color="FFFFFF"/>
            </w:tcBorders>
            <w:shd w:val="clear" w:color="auto" w:fill="2F5496"/>
            <w:tcMar>
              <w:top w:w="75" w:type="dxa"/>
              <w:left w:w="75" w:type="dxa"/>
              <w:bottom w:w="75" w:type="dxa"/>
              <w:right w:w="75" w:type="dxa"/>
            </w:tcMar>
            <w:vAlign w:val="center"/>
          </w:tcPr>
          <w:p w14:paraId="540C9CA6"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992"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2E26792"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286"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2AC08A8"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r>
      <w:tr w:rsidR="006E087E" w14:paraId="62C50A36" w14:textId="77777777" w:rsidTr="00A207C4">
        <w:trPr>
          <w:cantSplit/>
          <w:trHeight w:val="380"/>
        </w:trPr>
        <w:tc>
          <w:tcPr>
            <w:tcW w:w="14895" w:type="dxa"/>
            <w:gridSpan w:val="10"/>
            <w:shd w:val="clear" w:color="auto" w:fill="FFFFFF"/>
            <w:tcMar>
              <w:top w:w="75" w:type="dxa"/>
              <w:left w:w="100" w:type="dxa"/>
              <w:bottom w:w="100" w:type="dxa"/>
              <w:right w:w="100" w:type="dxa"/>
            </w:tcMar>
            <w:vAlign w:val="center"/>
          </w:tcPr>
          <w:p w14:paraId="6F8F2D2D"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Number of RRT/MET activations</w:t>
            </w:r>
          </w:p>
        </w:tc>
      </w:tr>
      <w:tr w:rsidR="006E087E" w14:paraId="201F3E36" w14:textId="77777777" w:rsidTr="00A207C4">
        <w:trPr>
          <w:cantSplit/>
          <w:trHeight w:val="3726"/>
        </w:trPr>
        <w:tc>
          <w:tcPr>
            <w:tcW w:w="705" w:type="dxa"/>
            <w:tcBorders>
              <w:top w:val="single" w:sz="6" w:space="0" w:color="000000"/>
              <w:left w:val="single" w:sz="6" w:space="0" w:color="000000"/>
              <w:bottom w:val="single" w:sz="6" w:space="0" w:color="000000"/>
              <w:right w:val="single" w:sz="6" w:space="0" w:color="000000"/>
            </w:tcBorders>
          </w:tcPr>
          <w:p w14:paraId="3C25A4F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4</w:t>
            </w:r>
          </w:p>
        </w:tc>
        <w:tc>
          <w:tcPr>
            <w:tcW w:w="1140" w:type="dxa"/>
            <w:tcBorders>
              <w:top w:val="single" w:sz="6" w:space="0" w:color="000000"/>
              <w:left w:val="single" w:sz="6" w:space="0" w:color="000000"/>
              <w:bottom w:val="single" w:sz="6" w:space="0" w:color="000000"/>
              <w:right w:val="single" w:sz="6" w:space="0" w:color="000000"/>
            </w:tcBorders>
          </w:tcPr>
          <w:p w14:paraId="0B3762E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55" w:type="dxa"/>
            <w:tcBorders>
              <w:top w:val="single" w:sz="6" w:space="0" w:color="000000"/>
              <w:left w:val="single" w:sz="6" w:space="0" w:color="000000"/>
              <w:bottom w:val="single" w:sz="6" w:space="0" w:color="000000"/>
              <w:right w:val="single" w:sz="6" w:space="0" w:color="000000"/>
            </w:tcBorders>
          </w:tcPr>
          <w:p w14:paraId="66DA7F2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674CD455"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140" w:type="dxa"/>
            <w:tcBorders>
              <w:top w:val="single" w:sz="6" w:space="0" w:color="000000"/>
              <w:left w:val="single" w:sz="6" w:space="0" w:color="000000"/>
              <w:bottom w:val="single" w:sz="6" w:space="0" w:color="000000"/>
              <w:right w:val="single" w:sz="6" w:space="0" w:color="000000"/>
            </w:tcBorders>
          </w:tcPr>
          <w:p w14:paraId="097AA09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40" w:type="dxa"/>
            <w:tcBorders>
              <w:top w:val="single" w:sz="6" w:space="0" w:color="000000"/>
              <w:left w:val="single" w:sz="6" w:space="0" w:color="000000"/>
              <w:bottom w:val="single" w:sz="6" w:space="0" w:color="000000"/>
              <w:right w:val="single" w:sz="6" w:space="0" w:color="000000"/>
            </w:tcBorders>
          </w:tcPr>
          <w:p w14:paraId="406E8C6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5" w:type="dxa"/>
            <w:tcBorders>
              <w:top w:val="single" w:sz="6" w:space="0" w:color="000000"/>
              <w:left w:val="single" w:sz="6" w:space="0" w:color="000000"/>
              <w:bottom w:val="single" w:sz="6" w:space="0" w:color="000000"/>
              <w:right w:val="single" w:sz="6" w:space="0" w:color="000000"/>
            </w:tcBorders>
          </w:tcPr>
          <w:p w14:paraId="6C0E22D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087" w:type="dxa"/>
            <w:tcBorders>
              <w:top w:val="single" w:sz="6" w:space="0" w:color="000000"/>
              <w:left w:val="single" w:sz="6" w:space="0" w:color="000000"/>
              <w:bottom w:val="single" w:sz="6" w:space="0" w:color="000000"/>
              <w:right w:val="single" w:sz="6" w:space="0" w:color="000000"/>
            </w:tcBorders>
          </w:tcPr>
          <w:p w14:paraId="755A7102"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Four before-after studies reported RRT/MET calls before and after the introduction of patient/ family RRT/MET activation.</w:t>
            </w:r>
          </w:p>
          <w:p w14:paraId="29AE45DA"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Two studies showed an increase:</w:t>
            </w:r>
          </w:p>
          <w:p w14:paraId="1DBA73DF" w14:textId="77777777" w:rsidR="006E087E" w:rsidRDefault="006E087E" w:rsidP="006E087E">
            <w:pPr>
              <w:numPr>
                <w:ilvl w:val="0"/>
                <w:numId w:val="8"/>
              </w:numPr>
              <w:spacing w:line="240" w:lineRule="auto"/>
              <w:rPr>
                <w:rFonts w:ascii="Garamond" w:eastAsia="Garamond" w:hAnsi="Garamond" w:cs="Garamond"/>
                <w:sz w:val="18"/>
                <w:szCs w:val="18"/>
              </w:rPr>
            </w:pPr>
            <w:proofErr w:type="spellStart"/>
            <w:r>
              <w:rPr>
                <w:rFonts w:ascii="Garamond" w:eastAsia="Garamond" w:hAnsi="Garamond" w:cs="Garamond"/>
                <w:b/>
                <w:sz w:val="18"/>
                <w:szCs w:val="18"/>
              </w:rPr>
              <w:t>Gerdik</w:t>
            </w:r>
            <w:proofErr w:type="spellEnd"/>
            <w:r>
              <w:rPr>
                <w:rFonts w:ascii="Garamond" w:eastAsia="Garamond" w:hAnsi="Garamond" w:cs="Garamond"/>
                <w:b/>
                <w:sz w:val="18"/>
                <w:szCs w:val="18"/>
              </w:rPr>
              <w:t xml:space="preserve"> (2010)</w:t>
            </w:r>
            <w:r>
              <w:rPr>
                <w:rFonts w:ascii="Garamond" w:eastAsia="Garamond" w:hAnsi="Garamond" w:cs="Garamond"/>
                <w:b/>
                <w:sz w:val="18"/>
                <w:szCs w:val="18"/>
                <w:vertAlign w:val="superscript"/>
              </w:rPr>
              <w:t>53</w:t>
            </w:r>
            <w:r>
              <w:rPr>
                <w:rFonts w:ascii="Garamond" w:eastAsia="Garamond" w:hAnsi="Garamond" w:cs="Garamond"/>
                <w:sz w:val="18"/>
                <w:szCs w:val="18"/>
              </w:rPr>
              <w:t xml:space="preserve"> reported an increase from 47 to 193 RRT/MET activations per month.</w:t>
            </w:r>
          </w:p>
          <w:p w14:paraId="14FBE3EB" w14:textId="77777777" w:rsidR="006E087E" w:rsidRDefault="006E087E" w:rsidP="006E087E">
            <w:pPr>
              <w:numPr>
                <w:ilvl w:val="0"/>
                <w:numId w:val="8"/>
              </w:numPr>
              <w:spacing w:line="240" w:lineRule="auto"/>
              <w:rPr>
                <w:rFonts w:ascii="Garamond" w:eastAsia="Garamond" w:hAnsi="Garamond" w:cs="Garamond"/>
                <w:sz w:val="18"/>
                <w:szCs w:val="18"/>
              </w:rPr>
            </w:pPr>
            <w:r>
              <w:rPr>
                <w:rFonts w:ascii="Garamond" w:eastAsia="Garamond" w:hAnsi="Garamond" w:cs="Garamond"/>
                <w:b/>
                <w:sz w:val="18"/>
                <w:szCs w:val="18"/>
              </w:rPr>
              <w:t>McCawley (2013)</w:t>
            </w:r>
            <w:r>
              <w:rPr>
                <w:rFonts w:ascii="Garamond" w:eastAsia="Garamond" w:hAnsi="Garamond" w:cs="Garamond"/>
                <w:b/>
                <w:sz w:val="18"/>
                <w:szCs w:val="18"/>
                <w:vertAlign w:val="superscript"/>
              </w:rPr>
              <w:t>51</w:t>
            </w:r>
            <w:r>
              <w:rPr>
                <w:rFonts w:ascii="Garamond" w:eastAsia="Garamond" w:hAnsi="Garamond" w:cs="Garamond"/>
                <w:sz w:val="18"/>
                <w:szCs w:val="18"/>
              </w:rPr>
              <w:t xml:space="preserve"> reported an increase from 22 to 36 activations per 1000 discharges.</w:t>
            </w:r>
          </w:p>
          <w:p w14:paraId="1E6360CD"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Two studies showed no change:</w:t>
            </w:r>
          </w:p>
          <w:p w14:paraId="65855550" w14:textId="77777777" w:rsidR="006E087E" w:rsidRDefault="006E087E" w:rsidP="006E087E">
            <w:pPr>
              <w:numPr>
                <w:ilvl w:val="0"/>
                <w:numId w:val="12"/>
              </w:numPr>
              <w:spacing w:line="240" w:lineRule="auto"/>
              <w:rPr>
                <w:rFonts w:ascii="Garamond" w:eastAsia="Garamond" w:hAnsi="Garamond" w:cs="Garamond"/>
                <w:sz w:val="18"/>
                <w:szCs w:val="18"/>
              </w:rPr>
            </w:pPr>
            <w:proofErr w:type="spellStart"/>
            <w:r>
              <w:rPr>
                <w:rFonts w:ascii="Garamond" w:eastAsia="Garamond" w:hAnsi="Garamond" w:cs="Garamond"/>
                <w:b/>
                <w:sz w:val="18"/>
                <w:szCs w:val="18"/>
              </w:rPr>
              <w:t>Zix</w:t>
            </w:r>
            <w:proofErr w:type="spellEnd"/>
            <w:r>
              <w:rPr>
                <w:rFonts w:ascii="Garamond" w:eastAsia="Garamond" w:hAnsi="Garamond" w:cs="Garamond"/>
                <w:b/>
                <w:sz w:val="18"/>
                <w:szCs w:val="18"/>
              </w:rPr>
              <w:t xml:space="preserve"> (2012)</w:t>
            </w:r>
            <w:r>
              <w:rPr>
                <w:rFonts w:ascii="Garamond" w:eastAsia="Garamond" w:hAnsi="Garamond" w:cs="Garamond"/>
                <w:b/>
                <w:sz w:val="18"/>
                <w:szCs w:val="18"/>
                <w:vertAlign w:val="superscript"/>
              </w:rPr>
              <w:t>50</w:t>
            </w:r>
            <w:r>
              <w:rPr>
                <w:rFonts w:ascii="Garamond" w:eastAsia="Garamond" w:hAnsi="Garamond" w:cs="Garamond"/>
                <w:sz w:val="18"/>
                <w:szCs w:val="18"/>
              </w:rPr>
              <w:t xml:space="preserve"> reported no change in the number of RRT/MET activations after the implementation of family (parent) RRT/MET activation in a pediatric </w:t>
            </w:r>
            <w:proofErr w:type="spellStart"/>
            <w:r>
              <w:rPr>
                <w:rFonts w:ascii="Garamond" w:eastAsia="Garamond" w:hAnsi="Garamond" w:cs="Garamond"/>
                <w:sz w:val="18"/>
                <w:szCs w:val="18"/>
              </w:rPr>
              <w:t>centre</w:t>
            </w:r>
            <w:proofErr w:type="spellEnd"/>
            <w:r>
              <w:rPr>
                <w:rFonts w:ascii="Garamond" w:eastAsia="Garamond" w:hAnsi="Garamond" w:cs="Garamond"/>
                <w:sz w:val="18"/>
                <w:szCs w:val="18"/>
              </w:rPr>
              <w:t xml:space="preserve"> (numerical change not reported). In this study, family activation accounted for 0.7% of all activations.</w:t>
            </w:r>
          </w:p>
          <w:p w14:paraId="4726CAC9" w14:textId="77777777" w:rsidR="006E087E" w:rsidRDefault="006E087E" w:rsidP="006E087E">
            <w:pPr>
              <w:numPr>
                <w:ilvl w:val="0"/>
                <w:numId w:val="12"/>
              </w:numPr>
              <w:spacing w:line="240" w:lineRule="auto"/>
              <w:rPr>
                <w:rFonts w:ascii="Garamond" w:eastAsia="Garamond" w:hAnsi="Garamond" w:cs="Garamond"/>
                <w:sz w:val="18"/>
                <w:szCs w:val="18"/>
              </w:rPr>
            </w:pPr>
            <w:r>
              <w:rPr>
                <w:rFonts w:ascii="Garamond" w:eastAsia="Garamond" w:hAnsi="Garamond" w:cs="Garamond"/>
                <w:sz w:val="18"/>
                <w:szCs w:val="18"/>
              </w:rPr>
              <w:t xml:space="preserve">Finally, </w:t>
            </w:r>
            <w:proofErr w:type="spellStart"/>
            <w:r>
              <w:rPr>
                <w:rFonts w:ascii="Garamond" w:eastAsia="Garamond" w:hAnsi="Garamond" w:cs="Garamond"/>
                <w:b/>
                <w:sz w:val="18"/>
                <w:szCs w:val="18"/>
              </w:rPr>
              <w:t>Hueckel</w:t>
            </w:r>
            <w:proofErr w:type="spellEnd"/>
            <w:r>
              <w:rPr>
                <w:rFonts w:ascii="Garamond" w:eastAsia="Garamond" w:hAnsi="Garamond" w:cs="Garamond"/>
                <w:b/>
                <w:sz w:val="18"/>
                <w:szCs w:val="18"/>
              </w:rPr>
              <w:t xml:space="preserve"> (2012)</w:t>
            </w:r>
            <w:r>
              <w:rPr>
                <w:rFonts w:ascii="Garamond" w:eastAsia="Garamond" w:hAnsi="Garamond" w:cs="Garamond"/>
                <w:b/>
                <w:sz w:val="18"/>
                <w:szCs w:val="18"/>
                <w:vertAlign w:val="superscript"/>
              </w:rPr>
              <w:t>54</w:t>
            </w:r>
            <w:r>
              <w:rPr>
                <w:rFonts w:ascii="Garamond" w:eastAsia="Garamond" w:hAnsi="Garamond" w:cs="Garamond"/>
                <w:sz w:val="18"/>
                <w:szCs w:val="18"/>
              </w:rPr>
              <w:t xml:space="preserve"> reported an increase from 40 to 47 activations in the 12 weeks before and 12 weeks after the implementation of family RRT/MET activation, but only 2 of 47 RRT/MET calls were activated by family members.</w:t>
            </w:r>
          </w:p>
        </w:tc>
        <w:tc>
          <w:tcPr>
            <w:tcW w:w="992" w:type="dxa"/>
            <w:tcBorders>
              <w:top w:val="single" w:sz="6" w:space="0" w:color="000000"/>
              <w:left w:val="single" w:sz="6" w:space="0" w:color="000000"/>
              <w:bottom w:val="single" w:sz="6" w:space="0" w:color="000000"/>
              <w:right w:val="single" w:sz="6" w:space="0" w:color="000000"/>
            </w:tcBorders>
          </w:tcPr>
          <w:p w14:paraId="363E4A00"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52"/>
                <w:id w:val="-1336301083"/>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86" w:type="dxa"/>
            <w:tcBorders>
              <w:top w:val="single" w:sz="6" w:space="0" w:color="000000"/>
              <w:left w:val="single" w:sz="6" w:space="0" w:color="000000"/>
              <w:bottom w:val="single" w:sz="6" w:space="0" w:color="000000"/>
              <w:right w:val="single" w:sz="6" w:space="0" w:color="000000"/>
            </w:tcBorders>
          </w:tcPr>
          <w:p w14:paraId="0EA9B8B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IMPORTANT</w:t>
            </w:r>
          </w:p>
        </w:tc>
      </w:tr>
    </w:tbl>
    <w:p w14:paraId="69A26446" w14:textId="77777777" w:rsidR="006E087E" w:rsidRDefault="006E087E" w:rsidP="006E087E">
      <w:pPr>
        <w:spacing w:line="240" w:lineRule="auto"/>
        <w:rPr>
          <w:rFonts w:ascii="Garamond" w:eastAsia="Garamond" w:hAnsi="Garamond" w:cs="Garamond"/>
          <w:b/>
          <w:sz w:val="14"/>
          <w:szCs w:val="14"/>
        </w:rPr>
      </w:pPr>
    </w:p>
    <w:p w14:paraId="15EDB649" w14:textId="77777777" w:rsidR="006E087E" w:rsidRDefault="006E087E" w:rsidP="006E087E">
      <w:pPr>
        <w:spacing w:line="240" w:lineRule="auto"/>
        <w:rPr>
          <w:rFonts w:ascii="Garamond" w:eastAsia="Garamond" w:hAnsi="Garamond" w:cs="Garamond"/>
          <w:b/>
          <w:sz w:val="18"/>
          <w:szCs w:val="18"/>
        </w:rPr>
      </w:pPr>
      <w:r>
        <w:rPr>
          <w:rFonts w:ascii="Garamond" w:eastAsia="Garamond" w:hAnsi="Garamond" w:cs="Garamond"/>
          <w:b/>
          <w:sz w:val="18"/>
          <w:szCs w:val="18"/>
        </w:rPr>
        <w:t>Accuracy in recognizing clinical deterioration</w:t>
      </w:r>
    </w:p>
    <w:p w14:paraId="5B76D4BA" w14:textId="77777777" w:rsidR="006E087E" w:rsidRDefault="006E087E" w:rsidP="006E087E">
      <w:pPr>
        <w:spacing w:line="240" w:lineRule="auto"/>
        <w:rPr>
          <w:rFonts w:ascii="Garamond" w:eastAsia="Garamond" w:hAnsi="Garamond" w:cs="Garamond"/>
          <w:b/>
          <w:sz w:val="18"/>
          <w:szCs w:val="18"/>
        </w:rPr>
      </w:pPr>
    </w:p>
    <w:tbl>
      <w:tblPr>
        <w:tblW w:w="14885" w:type="dxa"/>
        <w:tblInd w:w="-3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10"/>
        <w:gridCol w:w="1134"/>
        <w:gridCol w:w="850"/>
        <w:gridCol w:w="1276"/>
        <w:gridCol w:w="1134"/>
        <w:gridCol w:w="1134"/>
        <w:gridCol w:w="1276"/>
        <w:gridCol w:w="5103"/>
        <w:gridCol w:w="992"/>
        <w:gridCol w:w="1276"/>
      </w:tblGrid>
      <w:tr w:rsidR="006E087E" w14:paraId="09E49643" w14:textId="77777777" w:rsidTr="00A207C4">
        <w:trPr>
          <w:cantSplit/>
          <w:trHeight w:val="1417"/>
        </w:trPr>
        <w:tc>
          <w:tcPr>
            <w:tcW w:w="710" w:type="dxa"/>
            <w:tcBorders>
              <w:top w:val="single" w:sz="6" w:space="0" w:color="000000"/>
              <w:left w:val="single" w:sz="6" w:space="0" w:color="000000"/>
              <w:bottom w:val="single" w:sz="6" w:space="0" w:color="000000"/>
              <w:right w:val="single" w:sz="6" w:space="0" w:color="000000"/>
            </w:tcBorders>
          </w:tcPr>
          <w:p w14:paraId="78CBC4F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3</w:t>
            </w:r>
          </w:p>
        </w:tc>
        <w:tc>
          <w:tcPr>
            <w:tcW w:w="1134" w:type="dxa"/>
            <w:tcBorders>
              <w:top w:val="single" w:sz="6" w:space="0" w:color="000000"/>
              <w:left w:val="single" w:sz="6" w:space="0" w:color="000000"/>
              <w:bottom w:val="single" w:sz="6" w:space="0" w:color="000000"/>
              <w:right w:val="single" w:sz="6" w:space="0" w:color="000000"/>
            </w:tcBorders>
          </w:tcPr>
          <w:p w14:paraId="3C5089C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50" w:type="dxa"/>
            <w:tcBorders>
              <w:top w:val="single" w:sz="6" w:space="0" w:color="000000"/>
              <w:left w:val="single" w:sz="6" w:space="0" w:color="000000"/>
              <w:bottom w:val="single" w:sz="6" w:space="0" w:color="000000"/>
              <w:right w:val="single" w:sz="6" w:space="0" w:color="000000"/>
            </w:tcBorders>
          </w:tcPr>
          <w:p w14:paraId="78C1905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34CB7B0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7D3A92B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4B1BE0B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07885267" w14:textId="77777777" w:rsidR="006E087E" w:rsidRDefault="006E087E" w:rsidP="00A207C4">
            <w:pPr>
              <w:jc w:val="center"/>
              <w:rPr>
                <w:rFonts w:ascii="Garamond" w:eastAsia="Garamond" w:hAnsi="Garamond" w:cs="Garamond"/>
                <w:b/>
                <w:color w:val="00A500"/>
                <w:sz w:val="18"/>
                <w:szCs w:val="18"/>
              </w:rPr>
            </w:pPr>
            <w:r>
              <w:rPr>
                <w:rFonts w:ascii="Garamond" w:eastAsia="Garamond" w:hAnsi="Garamond" w:cs="Garamond"/>
                <w:b/>
                <w:color w:val="00A500"/>
                <w:sz w:val="18"/>
                <w:szCs w:val="18"/>
              </w:rPr>
              <w:t>strong association</w:t>
            </w:r>
          </w:p>
        </w:tc>
        <w:tc>
          <w:tcPr>
            <w:tcW w:w="5103" w:type="dxa"/>
            <w:tcBorders>
              <w:top w:val="single" w:sz="6" w:space="0" w:color="000000"/>
              <w:left w:val="single" w:sz="6" w:space="0" w:color="000000"/>
              <w:bottom w:val="single" w:sz="6" w:space="0" w:color="000000"/>
              <w:right w:val="single" w:sz="6" w:space="0" w:color="000000"/>
            </w:tcBorders>
          </w:tcPr>
          <w:p w14:paraId="13CDFA4F"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Three before-after studies reported the proportion of RRT/MET calls that led to transfer to a higher level of care:</w:t>
            </w:r>
          </w:p>
          <w:p w14:paraId="600867B6" w14:textId="77777777" w:rsidR="006E087E" w:rsidRDefault="006E087E" w:rsidP="006E087E">
            <w:pPr>
              <w:numPr>
                <w:ilvl w:val="0"/>
                <w:numId w:val="4"/>
              </w:numPr>
              <w:spacing w:line="240" w:lineRule="auto"/>
              <w:rPr>
                <w:rFonts w:ascii="Garamond" w:eastAsia="Garamond" w:hAnsi="Garamond" w:cs="Garamond"/>
                <w:sz w:val="18"/>
                <w:szCs w:val="18"/>
              </w:rPr>
            </w:pPr>
            <w:proofErr w:type="spellStart"/>
            <w:r>
              <w:rPr>
                <w:rFonts w:ascii="Garamond" w:eastAsia="Garamond" w:hAnsi="Garamond" w:cs="Garamond"/>
                <w:b/>
                <w:sz w:val="18"/>
                <w:szCs w:val="18"/>
              </w:rPr>
              <w:t>Zix</w:t>
            </w:r>
            <w:proofErr w:type="spellEnd"/>
            <w:r>
              <w:rPr>
                <w:rFonts w:ascii="Garamond" w:eastAsia="Garamond" w:hAnsi="Garamond" w:cs="Garamond"/>
                <w:b/>
                <w:sz w:val="18"/>
                <w:szCs w:val="18"/>
              </w:rPr>
              <w:t xml:space="preserve"> (2012)</w:t>
            </w:r>
            <w:r>
              <w:rPr>
                <w:rFonts w:ascii="Garamond" w:eastAsia="Garamond" w:hAnsi="Garamond" w:cs="Garamond"/>
                <w:b/>
                <w:sz w:val="18"/>
                <w:szCs w:val="18"/>
                <w:vertAlign w:val="superscript"/>
              </w:rPr>
              <w:t>50</w:t>
            </w:r>
            <w:r>
              <w:rPr>
                <w:rFonts w:ascii="Garamond" w:eastAsia="Garamond" w:hAnsi="Garamond" w:cs="Garamond"/>
                <w:sz w:val="18"/>
                <w:szCs w:val="18"/>
              </w:rPr>
              <w:t>: 59% for staff activations and 25% for family activations.</w:t>
            </w:r>
          </w:p>
          <w:p w14:paraId="3D7FA81B" w14:textId="77777777" w:rsidR="006E087E" w:rsidRDefault="006E087E" w:rsidP="006E087E">
            <w:pPr>
              <w:numPr>
                <w:ilvl w:val="0"/>
                <w:numId w:val="4"/>
              </w:numPr>
              <w:spacing w:line="240" w:lineRule="auto"/>
              <w:rPr>
                <w:rFonts w:ascii="Garamond" w:eastAsia="Garamond" w:hAnsi="Garamond" w:cs="Garamond"/>
                <w:sz w:val="18"/>
                <w:szCs w:val="18"/>
              </w:rPr>
            </w:pPr>
            <w:r>
              <w:rPr>
                <w:rFonts w:ascii="Garamond" w:eastAsia="Garamond" w:hAnsi="Garamond" w:cs="Garamond"/>
                <w:b/>
                <w:sz w:val="18"/>
                <w:szCs w:val="18"/>
              </w:rPr>
              <w:t>McCawley (2013)</w:t>
            </w:r>
            <w:r>
              <w:rPr>
                <w:rFonts w:ascii="Garamond" w:eastAsia="Garamond" w:hAnsi="Garamond" w:cs="Garamond"/>
                <w:b/>
                <w:sz w:val="18"/>
                <w:szCs w:val="18"/>
                <w:vertAlign w:val="superscript"/>
              </w:rPr>
              <w:t>51</w:t>
            </w:r>
            <w:r>
              <w:rPr>
                <w:rFonts w:ascii="Garamond" w:eastAsia="Garamond" w:hAnsi="Garamond" w:cs="Garamond"/>
                <w:sz w:val="18"/>
                <w:szCs w:val="18"/>
              </w:rPr>
              <w:t>: 46.8% for staff activations and 33.8% for family activations.</w:t>
            </w:r>
          </w:p>
          <w:p w14:paraId="6560D85E" w14:textId="77777777" w:rsidR="006E087E" w:rsidRDefault="006E087E" w:rsidP="006E087E">
            <w:pPr>
              <w:numPr>
                <w:ilvl w:val="0"/>
                <w:numId w:val="4"/>
              </w:numPr>
              <w:spacing w:line="240" w:lineRule="auto"/>
              <w:rPr>
                <w:rFonts w:ascii="Garamond" w:eastAsia="Garamond" w:hAnsi="Garamond" w:cs="Garamond"/>
                <w:sz w:val="18"/>
                <w:szCs w:val="18"/>
              </w:rPr>
            </w:pPr>
            <w:r>
              <w:rPr>
                <w:rFonts w:ascii="Garamond" w:eastAsia="Garamond" w:hAnsi="Garamond" w:cs="Garamond"/>
                <w:b/>
                <w:sz w:val="18"/>
                <w:szCs w:val="18"/>
              </w:rPr>
              <w:t>Brady (2014)</w:t>
            </w:r>
            <w:r>
              <w:rPr>
                <w:rFonts w:ascii="Garamond" w:eastAsia="Garamond" w:hAnsi="Garamond" w:cs="Garamond"/>
                <w:b/>
                <w:sz w:val="18"/>
                <w:szCs w:val="18"/>
                <w:vertAlign w:val="superscript"/>
              </w:rPr>
              <w:t>52</w:t>
            </w:r>
            <w:r>
              <w:rPr>
                <w:rFonts w:ascii="Garamond" w:eastAsia="Garamond" w:hAnsi="Garamond" w:cs="Garamond"/>
                <w:b/>
                <w:sz w:val="18"/>
                <w:szCs w:val="18"/>
              </w:rPr>
              <w:t xml:space="preserve">: </w:t>
            </w:r>
            <w:r>
              <w:rPr>
                <w:rFonts w:ascii="Garamond" w:eastAsia="Garamond" w:hAnsi="Garamond" w:cs="Garamond"/>
                <w:sz w:val="18"/>
                <w:szCs w:val="18"/>
              </w:rPr>
              <w:t>Two independent reviewers adjudicated ‘accuracy’ of activations in identifying clinical deterioration and reported a kappa of 0.67 for family activations and a kappa of 0 (almost perfect correlation) for staff activations.</w:t>
            </w:r>
          </w:p>
        </w:tc>
        <w:tc>
          <w:tcPr>
            <w:tcW w:w="992" w:type="dxa"/>
            <w:tcBorders>
              <w:top w:val="single" w:sz="6" w:space="0" w:color="000000"/>
              <w:left w:val="single" w:sz="6" w:space="0" w:color="000000"/>
              <w:bottom w:val="single" w:sz="6" w:space="0" w:color="000000"/>
              <w:right w:val="single" w:sz="6" w:space="0" w:color="000000"/>
            </w:tcBorders>
          </w:tcPr>
          <w:p w14:paraId="4F596FB4"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53"/>
                <w:id w:val="454291635"/>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Moderate</w:t>
            </w:r>
          </w:p>
        </w:tc>
        <w:tc>
          <w:tcPr>
            <w:tcW w:w="1276" w:type="dxa"/>
            <w:tcBorders>
              <w:top w:val="single" w:sz="6" w:space="0" w:color="000000"/>
              <w:left w:val="single" w:sz="6" w:space="0" w:color="000000"/>
              <w:bottom w:val="single" w:sz="6" w:space="0" w:color="000000"/>
              <w:right w:val="single" w:sz="6" w:space="0" w:color="000000"/>
            </w:tcBorders>
          </w:tcPr>
          <w:p w14:paraId="351F394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IMPORTANT</w:t>
            </w:r>
          </w:p>
        </w:tc>
      </w:tr>
    </w:tbl>
    <w:p w14:paraId="2165306E" w14:textId="77777777" w:rsidR="006E087E" w:rsidRDefault="006E087E" w:rsidP="006E087E">
      <w:pPr>
        <w:spacing w:line="240" w:lineRule="auto"/>
        <w:rPr>
          <w:rFonts w:ascii="Garamond" w:eastAsia="Garamond" w:hAnsi="Garamond" w:cs="Garamond"/>
          <w:b/>
          <w:sz w:val="14"/>
          <w:szCs w:val="14"/>
        </w:rPr>
      </w:pPr>
    </w:p>
    <w:p w14:paraId="41FFA641"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b/>
          <w:sz w:val="18"/>
          <w:szCs w:val="18"/>
        </w:rPr>
        <w:t xml:space="preserve">RRT: </w:t>
      </w:r>
      <w:r>
        <w:rPr>
          <w:rFonts w:ascii="Garamond" w:eastAsia="Garamond" w:hAnsi="Garamond" w:cs="Garamond"/>
          <w:sz w:val="18"/>
          <w:szCs w:val="18"/>
        </w:rPr>
        <w:t xml:space="preserve">Rapid response team; </w:t>
      </w:r>
      <w:r>
        <w:rPr>
          <w:rFonts w:ascii="Garamond" w:eastAsia="Garamond" w:hAnsi="Garamond" w:cs="Garamond"/>
          <w:b/>
          <w:sz w:val="18"/>
          <w:szCs w:val="18"/>
        </w:rPr>
        <w:t>MET:</w:t>
      </w:r>
      <w:r>
        <w:rPr>
          <w:rFonts w:ascii="Garamond" w:eastAsia="Garamond" w:hAnsi="Garamond" w:cs="Garamond"/>
          <w:sz w:val="18"/>
          <w:szCs w:val="18"/>
        </w:rPr>
        <w:t xml:space="preserve"> Medical emergency team; </w:t>
      </w:r>
      <w:r>
        <w:rPr>
          <w:rFonts w:ascii="Garamond" w:eastAsia="Garamond" w:hAnsi="Garamond" w:cs="Garamond"/>
          <w:b/>
          <w:sz w:val="18"/>
          <w:szCs w:val="18"/>
        </w:rPr>
        <w:t>MD:</w:t>
      </w:r>
      <w:r>
        <w:rPr>
          <w:rFonts w:ascii="Garamond" w:eastAsia="Garamond" w:hAnsi="Garamond" w:cs="Garamond"/>
          <w:sz w:val="18"/>
          <w:szCs w:val="18"/>
        </w:rPr>
        <w:t xml:space="preserve"> mean difference; </w:t>
      </w:r>
      <w:r>
        <w:rPr>
          <w:rFonts w:ascii="Garamond" w:eastAsia="Garamond" w:hAnsi="Garamond" w:cs="Garamond"/>
          <w:b/>
          <w:sz w:val="18"/>
          <w:szCs w:val="18"/>
        </w:rPr>
        <w:t>RR:</w:t>
      </w:r>
      <w:r>
        <w:rPr>
          <w:rFonts w:ascii="Garamond" w:eastAsia="Garamond" w:hAnsi="Garamond" w:cs="Garamond"/>
          <w:sz w:val="18"/>
          <w:szCs w:val="18"/>
        </w:rPr>
        <w:t xml:space="preserve"> risk ratio</w:t>
      </w:r>
    </w:p>
    <w:p w14:paraId="0799F198" w14:textId="77777777" w:rsidR="006E087E" w:rsidRDefault="006E087E" w:rsidP="006E087E">
      <w:pPr>
        <w:spacing w:line="240" w:lineRule="auto"/>
        <w:rPr>
          <w:rFonts w:ascii="Garamond" w:eastAsia="Garamond" w:hAnsi="Garamond" w:cs="Garamond"/>
          <w:b/>
          <w:sz w:val="18"/>
          <w:szCs w:val="18"/>
        </w:rPr>
      </w:pPr>
      <w:r>
        <w:rPr>
          <w:rFonts w:ascii="Garamond" w:eastAsia="Garamond" w:hAnsi="Garamond" w:cs="Garamond"/>
          <w:b/>
          <w:sz w:val="24"/>
          <w:szCs w:val="24"/>
        </w:rPr>
        <w:t>Explanations</w:t>
      </w:r>
    </w:p>
    <w:p w14:paraId="37D60FDD"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a. Rated down for inconsistency due to variability in findings across studies.</w:t>
      </w:r>
    </w:p>
    <w:p w14:paraId="2A2B5B3E" w14:textId="77777777" w:rsidR="006E087E" w:rsidRDefault="006E087E" w:rsidP="006E087E">
      <w:pPr>
        <w:pStyle w:val="Heading1"/>
        <w:keepNext/>
        <w:keepLines/>
        <w:spacing w:before="480" w:after="20" w:line="240" w:lineRule="auto"/>
        <w:rPr>
          <w:rFonts w:ascii="Calibri" w:eastAsia="Calibri" w:hAnsi="Calibri" w:cs="Calibri"/>
        </w:rPr>
      </w:pPr>
      <w:bookmarkStart w:id="23" w:name="_heading=h.pdwe73quvklk" w:colFirst="0" w:colLast="0"/>
      <w:bookmarkEnd w:id="23"/>
      <w:r>
        <w:rPr>
          <w:rFonts w:ascii="Garamond" w:eastAsia="Garamond" w:hAnsi="Garamond" w:cs="Garamond"/>
        </w:rPr>
        <w:lastRenderedPageBreak/>
        <w:t>Summary of Judgements: Formal incorporation of patient/ family concerns into early warning systems</w:t>
      </w:r>
    </w:p>
    <w:tbl>
      <w:tblPr>
        <w:tblW w:w="14795" w:type="dxa"/>
        <w:tblInd w:w="-3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36"/>
        <w:gridCol w:w="2143"/>
        <w:gridCol w:w="2126"/>
        <w:gridCol w:w="2126"/>
        <w:gridCol w:w="2126"/>
        <w:gridCol w:w="1276"/>
        <w:gridCol w:w="1134"/>
        <w:gridCol w:w="1328"/>
      </w:tblGrid>
      <w:tr w:rsidR="006E087E" w14:paraId="24E4E83E" w14:textId="77777777" w:rsidTr="00A207C4">
        <w:trPr>
          <w:trHeight w:val="184"/>
          <w:tblHeader/>
        </w:trPr>
        <w:tc>
          <w:tcPr>
            <w:tcW w:w="2536" w:type="dxa"/>
            <w:tcBorders>
              <w:top w:val="nil"/>
              <w:left w:val="nil"/>
              <w:bottom w:val="nil"/>
              <w:right w:val="nil"/>
            </w:tcBorders>
            <w:tcMar>
              <w:top w:w="75" w:type="dxa"/>
              <w:left w:w="75" w:type="dxa"/>
              <w:bottom w:w="75" w:type="dxa"/>
              <w:right w:w="75" w:type="dxa"/>
            </w:tcMar>
            <w:vAlign w:val="center"/>
          </w:tcPr>
          <w:p w14:paraId="5C5817B6" w14:textId="77777777" w:rsidR="006E087E" w:rsidRDefault="006E087E" w:rsidP="00A207C4">
            <w:pPr>
              <w:rPr>
                <w:rFonts w:ascii="Garamond" w:eastAsia="Garamond" w:hAnsi="Garamond" w:cs="Garamond"/>
                <w:smallCaps/>
                <w:sz w:val="20"/>
                <w:szCs w:val="20"/>
              </w:rPr>
            </w:pPr>
          </w:p>
        </w:tc>
        <w:tc>
          <w:tcPr>
            <w:tcW w:w="12259" w:type="dxa"/>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A92982E"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JUDGMENT</w:t>
            </w:r>
          </w:p>
        </w:tc>
      </w:tr>
      <w:tr w:rsidR="006E087E" w14:paraId="404C40FA" w14:textId="77777777" w:rsidTr="00A207C4">
        <w:trPr>
          <w:trHeight w:val="184"/>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7CAE4998"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PROBLEM</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4A397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8B5DC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99631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7AAA30"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27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3DFEEEB" w14:textId="77777777" w:rsidR="006E087E" w:rsidRDefault="006E087E" w:rsidP="00A207C4">
            <w:pPr>
              <w:rPr>
                <w:rFonts w:ascii="Garamond" w:eastAsia="Garamond" w:hAnsi="Garamond" w:cs="Garamond"/>
                <w:b/>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DD946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92DD9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73C7362D" w14:textId="77777777" w:rsidTr="00A207C4">
        <w:trPr>
          <w:trHeight w:val="184"/>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8657D2E"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DESIRABLE EFFECTS</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8016B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F35AF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F6A24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BB8B9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127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1BE773AE" w14:textId="77777777" w:rsidR="006E087E" w:rsidRDefault="006E087E" w:rsidP="00A207C4">
            <w:pPr>
              <w:rPr>
                <w:rFonts w:ascii="Garamond" w:eastAsia="Garamond" w:hAnsi="Garamond" w:cs="Garamond"/>
                <w:color w:val="AEAAAA"/>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4DA0CC"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1E69A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007CCA9E" w14:textId="77777777" w:rsidTr="00A207C4">
        <w:trPr>
          <w:trHeight w:val="368"/>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C7663BE"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UNDESIRABLE EFFECTS</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DD528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B4E5F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E6AFB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EFAC70"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Trivial</w:t>
            </w:r>
          </w:p>
        </w:tc>
        <w:tc>
          <w:tcPr>
            <w:tcW w:w="127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4B71DEE" w14:textId="77777777" w:rsidR="006E087E" w:rsidRDefault="006E087E" w:rsidP="00A207C4">
            <w:pPr>
              <w:rPr>
                <w:rFonts w:ascii="Garamond" w:eastAsia="Garamond" w:hAnsi="Garamond" w:cs="Garamond"/>
                <w:b/>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03F3C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AAE0B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760CACA9" w14:textId="77777777" w:rsidTr="00A207C4">
        <w:trPr>
          <w:trHeight w:val="368"/>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E75D0F6"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DE44B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FFBDA9"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Low</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1BBC4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13FA3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27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372EFD0" w14:textId="77777777" w:rsidR="006E087E" w:rsidRDefault="006E087E" w:rsidP="00A207C4">
            <w:pPr>
              <w:rPr>
                <w:rFonts w:ascii="Garamond" w:eastAsia="Garamond" w:hAnsi="Garamond" w:cs="Garamond"/>
                <w:color w:val="AEAAAA"/>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1B66E49E" w14:textId="77777777" w:rsidR="006E087E" w:rsidRDefault="006E087E" w:rsidP="00A207C4">
            <w:pPr>
              <w:jc w:val="center"/>
              <w:rPr>
                <w:rFonts w:ascii="Garamond" w:eastAsia="Garamond" w:hAnsi="Garamond" w:cs="Garamond"/>
                <w:sz w:val="20"/>
                <w:szCs w:val="20"/>
              </w:rPr>
            </w:pP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D442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included studies</w:t>
            </w:r>
          </w:p>
        </w:tc>
      </w:tr>
      <w:tr w:rsidR="006E087E" w14:paraId="660934F6" w14:textId="77777777" w:rsidTr="00A207C4">
        <w:trPr>
          <w:trHeight w:val="552"/>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F48D271"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VALUES</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BE2D6B"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Important uncertainty or variability</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E118B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Possibly important uncertainty or variability</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7E232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important uncertainty or variability</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18A1D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important uncertainty or variability</w:t>
            </w:r>
          </w:p>
        </w:tc>
        <w:tc>
          <w:tcPr>
            <w:tcW w:w="127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45054777" w14:textId="77777777" w:rsidR="006E087E" w:rsidRDefault="006E087E" w:rsidP="00A207C4">
            <w:pPr>
              <w:rPr>
                <w:rFonts w:ascii="Garamond" w:eastAsia="Garamond" w:hAnsi="Garamond" w:cs="Garamond"/>
                <w:color w:val="AEAAAA"/>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69366F6" w14:textId="77777777" w:rsidR="006E087E" w:rsidRDefault="006E087E" w:rsidP="00A207C4">
            <w:pPr>
              <w:jc w:val="center"/>
              <w:rPr>
                <w:rFonts w:ascii="Garamond" w:eastAsia="Garamond" w:hAnsi="Garamond" w:cs="Garamond"/>
                <w:sz w:val="20"/>
                <w:szCs w:val="20"/>
              </w:rPr>
            </w:pPr>
          </w:p>
        </w:tc>
        <w:tc>
          <w:tcPr>
            <w:tcW w:w="1328"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0FE1D731" w14:textId="77777777" w:rsidR="006E087E" w:rsidRDefault="006E087E" w:rsidP="00A207C4">
            <w:pPr>
              <w:jc w:val="center"/>
              <w:rPr>
                <w:rFonts w:ascii="Garamond" w:eastAsia="Garamond" w:hAnsi="Garamond" w:cs="Garamond"/>
                <w:sz w:val="20"/>
                <w:szCs w:val="20"/>
              </w:rPr>
            </w:pPr>
          </w:p>
        </w:tc>
      </w:tr>
      <w:tr w:rsidR="006E087E" w14:paraId="0CE5BA87" w14:textId="77777777" w:rsidTr="00A207C4">
        <w:trPr>
          <w:trHeight w:val="552"/>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0A41AA1F"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BALANCE OF EFFECTS</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28183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34DAB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803F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7DC267"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favors the intervention</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97937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09F2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E6AF7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44711E21" w14:textId="77777777" w:rsidTr="00A207C4">
        <w:trPr>
          <w:trHeight w:val="349"/>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64318829"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RESOURCES REQUIRED</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4172C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costs</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DDD72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costs</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939AE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Negligible costs and savings</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A98E1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savings</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BC046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savings</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01E8A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46B3EB"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Don't know</w:t>
            </w:r>
          </w:p>
        </w:tc>
      </w:tr>
      <w:tr w:rsidR="006E087E" w14:paraId="095D509B" w14:textId="77777777" w:rsidTr="00A207C4">
        <w:trPr>
          <w:trHeight w:val="552"/>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29DB713"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 OF REQUIRED RESOURCES</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851AA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5BA4A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Low</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C942E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19AC9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27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55FF91B8" w14:textId="77777777" w:rsidR="006E087E" w:rsidRDefault="006E087E" w:rsidP="00A207C4">
            <w:pPr>
              <w:rPr>
                <w:rFonts w:ascii="Garamond" w:eastAsia="Garamond" w:hAnsi="Garamond" w:cs="Garamond"/>
                <w:color w:val="AEAAAA"/>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488630C3" w14:textId="77777777" w:rsidR="006E087E" w:rsidRDefault="006E087E" w:rsidP="00A207C4">
            <w:pPr>
              <w:jc w:val="center"/>
              <w:rPr>
                <w:rFonts w:ascii="Garamond" w:eastAsia="Garamond" w:hAnsi="Garamond" w:cs="Garamond"/>
                <w:sz w:val="20"/>
                <w:szCs w:val="20"/>
              </w:rPr>
            </w:pP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09786A"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included studies</w:t>
            </w:r>
          </w:p>
        </w:tc>
      </w:tr>
      <w:tr w:rsidR="006E087E" w14:paraId="640B43BB" w14:textId="77777777" w:rsidTr="00A207C4">
        <w:trPr>
          <w:trHeight w:val="552"/>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BE9F278"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COST EFFECTIVENESS</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07CD3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8BF3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ABE9E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9562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intervention</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AAED1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56337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0056B5"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included studies</w:t>
            </w:r>
          </w:p>
        </w:tc>
      </w:tr>
      <w:tr w:rsidR="006E087E" w14:paraId="679704B5" w14:textId="77777777" w:rsidTr="00A207C4">
        <w:trPr>
          <w:trHeight w:val="184"/>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1F323F04"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EQUITY</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A84D6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Reduced</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AD3C5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reduced</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F73C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impact</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393AE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increased</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96D20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Increased</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03D293"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B2133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4BD11DD0" w14:textId="77777777" w:rsidTr="00A207C4">
        <w:trPr>
          <w:trHeight w:val="184"/>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279C7FA7"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ACCEPTABILITY</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D9F2B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4180D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F9A06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8CAFC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Yes</w:t>
            </w:r>
          </w:p>
        </w:tc>
        <w:tc>
          <w:tcPr>
            <w:tcW w:w="127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740E70C" w14:textId="77777777" w:rsidR="006E087E" w:rsidRDefault="006E087E" w:rsidP="00A207C4">
            <w:pPr>
              <w:rPr>
                <w:rFonts w:ascii="Garamond" w:eastAsia="Garamond" w:hAnsi="Garamond" w:cs="Garamond"/>
                <w:color w:val="AEAAAA"/>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EC8B33"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A52D8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4C4F985E" w14:textId="77777777" w:rsidTr="00A207C4">
        <w:trPr>
          <w:trHeight w:val="16"/>
        </w:trPr>
        <w:tc>
          <w:tcPr>
            <w:tcW w:w="2536"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071991E"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FEASIBILITY</w:t>
            </w:r>
          </w:p>
        </w:tc>
        <w:tc>
          <w:tcPr>
            <w:tcW w:w="21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0BE49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4D8D1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2B489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8D4F8E"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27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D31CDFA" w14:textId="77777777" w:rsidR="006E087E" w:rsidRDefault="006E087E" w:rsidP="00A207C4">
            <w:pPr>
              <w:rPr>
                <w:rFonts w:ascii="Garamond" w:eastAsia="Garamond" w:hAnsi="Garamond" w:cs="Garamond"/>
                <w:b/>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B7F66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743CD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bl>
    <w:p w14:paraId="24951CE6" w14:textId="77777777" w:rsidR="006E087E" w:rsidRDefault="006E087E" w:rsidP="006E087E">
      <w:pPr>
        <w:pStyle w:val="Heading1"/>
        <w:keepNext/>
        <w:keepLines/>
        <w:spacing w:before="0" w:after="0" w:line="240" w:lineRule="auto"/>
        <w:rPr>
          <w:rFonts w:ascii="Garamond" w:eastAsia="Garamond" w:hAnsi="Garamond" w:cs="Garamond"/>
        </w:rPr>
      </w:pPr>
    </w:p>
    <w:p w14:paraId="078279BA" w14:textId="77777777" w:rsidR="006E087E" w:rsidRDefault="006E087E" w:rsidP="006E087E">
      <w:pPr>
        <w:pStyle w:val="Heading1"/>
        <w:keepNext/>
        <w:keepLines/>
        <w:spacing w:before="0" w:after="0" w:line="240" w:lineRule="auto"/>
        <w:rPr>
          <w:rFonts w:ascii="Calibri" w:eastAsia="Calibri" w:hAnsi="Calibri" w:cs="Calibri"/>
        </w:rPr>
      </w:pPr>
      <w:bookmarkStart w:id="24" w:name="_heading=h.j81ewuxbqdr1" w:colFirst="0" w:colLast="0"/>
      <w:bookmarkEnd w:id="24"/>
      <w:r>
        <w:rPr>
          <w:rFonts w:ascii="Garamond" w:eastAsia="Garamond" w:hAnsi="Garamond" w:cs="Garamond"/>
        </w:rPr>
        <w:t>Type of Recommendation</w:t>
      </w:r>
    </w:p>
    <w:tbl>
      <w:tblPr>
        <w:tblW w:w="14885" w:type="dxa"/>
        <w:tblInd w:w="-29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2981"/>
        <w:gridCol w:w="3109"/>
        <w:gridCol w:w="2983"/>
        <w:gridCol w:w="2977"/>
      </w:tblGrid>
      <w:tr w:rsidR="006E087E" w14:paraId="6E39F96E" w14:textId="77777777" w:rsidTr="00A207C4">
        <w:tc>
          <w:tcPr>
            <w:tcW w:w="2835" w:type="dxa"/>
            <w:tcBorders>
              <w:top w:val="single" w:sz="6" w:space="0" w:color="000000"/>
              <w:left w:val="single" w:sz="6" w:space="0" w:color="000000"/>
              <w:right w:val="single" w:sz="6" w:space="0" w:color="000000"/>
            </w:tcBorders>
            <w:tcMar>
              <w:top w:w="75" w:type="dxa"/>
              <w:left w:w="0" w:type="dxa"/>
              <w:bottom w:w="0" w:type="dxa"/>
              <w:right w:w="0" w:type="dxa"/>
            </w:tcMar>
          </w:tcPr>
          <w:p w14:paraId="338483B4"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against the intervention</w:t>
            </w:r>
          </w:p>
        </w:tc>
        <w:tc>
          <w:tcPr>
            <w:tcW w:w="2981" w:type="dxa"/>
            <w:tcBorders>
              <w:top w:val="single" w:sz="6" w:space="0" w:color="000000"/>
              <w:left w:val="single" w:sz="6" w:space="0" w:color="000000"/>
              <w:right w:val="single" w:sz="6" w:space="0" w:color="000000"/>
            </w:tcBorders>
            <w:tcMar>
              <w:top w:w="75" w:type="dxa"/>
              <w:left w:w="0" w:type="dxa"/>
              <w:bottom w:w="0" w:type="dxa"/>
              <w:right w:w="0" w:type="dxa"/>
            </w:tcMar>
          </w:tcPr>
          <w:p w14:paraId="7DBD4D87"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against the intervention</w:t>
            </w:r>
          </w:p>
        </w:tc>
        <w:tc>
          <w:tcPr>
            <w:tcW w:w="3109" w:type="dxa"/>
            <w:tcBorders>
              <w:top w:val="single" w:sz="6" w:space="0" w:color="000000"/>
              <w:left w:val="single" w:sz="6" w:space="0" w:color="000000"/>
              <w:right w:val="single" w:sz="6" w:space="0" w:color="000000"/>
            </w:tcBorders>
            <w:tcMar>
              <w:top w:w="75" w:type="dxa"/>
              <w:left w:w="0" w:type="dxa"/>
              <w:bottom w:w="0" w:type="dxa"/>
              <w:right w:w="0" w:type="dxa"/>
            </w:tcMar>
          </w:tcPr>
          <w:p w14:paraId="62543CA3"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for either the intervention or the comparison</w:t>
            </w:r>
          </w:p>
        </w:tc>
        <w:tc>
          <w:tcPr>
            <w:tcW w:w="2983" w:type="dxa"/>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tcPr>
          <w:p w14:paraId="54A71826" w14:textId="77777777" w:rsidR="006E087E" w:rsidRDefault="006E087E" w:rsidP="00A207C4">
            <w:pPr>
              <w:jc w:val="center"/>
              <w:rPr>
                <w:rFonts w:ascii="Garamond" w:eastAsia="Garamond" w:hAnsi="Garamond" w:cs="Garamond"/>
                <w:b/>
                <w:color w:val="FFFFFF"/>
                <w:sz w:val="20"/>
                <w:szCs w:val="20"/>
              </w:rPr>
            </w:pPr>
            <w:r>
              <w:rPr>
                <w:rFonts w:ascii="Garamond" w:eastAsia="Garamond" w:hAnsi="Garamond" w:cs="Garamond"/>
                <w:b/>
                <w:color w:val="FFFFFF"/>
                <w:sz w:val="20"/>
                <w:szCs w:val="20"/>
              </w:rPr>
              <w:t>Conditional recommendation for the intervention</w:t>
            </w:r>
          </w:p>
        </w:tc>
        <w:tc>
          <w:tcPr>
            <w:tcW w:w="2977" w:type="dxa"/>
            <w:tcBorders>
              <w:top w:val="single" w:sz="6" w:space="0" w:color="000000"/>
              <w:left w:val="single" w:sz="6" w:space="0" w:color="000000"/>
              <w:right w:val="single" w:sz="6" w:space="0" w:color="000000"/>
            </w:tcBorders>
            <w:tcMar>
              <w:top w:w="75" w:type="dxa"/>
              <w:left w:w="0" w:type="dxa"/>
              <w:bottom w:w="0" w:type="dxa"/>
              <w:right w:w="0" w:type="dxa"/>
            </w:tcMar>
          </w:tcPr>
          <w:p w14:paraId="295648F7"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for the intervention</w:t>
            </w:r>
          </w:p>
        </w:tc>
      </w:tr>
      <w:tr w:rsidR="006E087E" w14:paraId="4A496E6A" w14:textId="77777777" w:rsidTr="00A207C4">
        <w:tc>
          <w:tcPr>
            <w:tcW w:w="2835" w:type="dxa"/>
            <w:tcBorders>
              <w:left w:val="single" w:sz="6" w:space="0" w:color="000000"/>
              <w:bottom w:val="single" w:sz="6" w:space="0" w:color="000000"/>
              <w:right w:val="single" w:sz="6" w:space="0" w:color="000000"/>
            </w:tcBorders>
            <w:tcMar>
              <w:top w:w="0" w:type="dxa"/>
              <w:left w:w="0" w:type="dxa"/>
              <w:bottom w:w="75" w:type="dxa"/>
              <w:right w:w="0" w:type="dxa"/>
            </w:tcMar>
          </w:tcPr>
          <w:p w14:paraId="4122D8A9"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lastRenderedPageBreak/>
              <w:t xml:space="preserve">○ </w:t>
            </w:r>
          </w:p>
        </w:tc>
        <w:tc>
          <w:tcPr>
            <w:tcW w:w="2981" w:type="dxa"/>
            <w:tcBorders>
              <w:left w:val="single" w:sz="6" w:space="0" w:color="000000"/>
              <w:bottom w:val="single" w:sz="6" w:space="0" w:color="000000"/>
              <w:right w:val="single" w:sz="6" w:space="0" w:color="000000"/>
            </w:tcBorders>
            <w:tcMar>
              <w:top w:w="0" w:type="dxa"/>
              <w:left w:w="0" w:type="dxa"/>
              <w:bottom w:w="75" w:type="dxa"/>
              <w:right w:w="0" w:type="dxa"/>
            </w:tcMar>
          </w:tcPr>
          <w:p w14:paraId="70DEB437"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3109" w:type="dxa"/>
            <w:tcBorders>
              <w:left w:val="single" w:sz="6" w:space="0" w:color="000000"/>
              <w:bottom w:val="single" w:sz="6" w:space="0" w:color="000000"/>
              <w:right w:val="single" w:sz="6" w:space="0" w:color="000000"/>
            </w:tcBorders>
            <w:tcMar>
              <w:top w:w="0" w:type="dxa"/>
              <w:left w:w="0" w:type="dxa"/>
              <w:bottom w:w="75" w:type="dxa"/>
              <w:right w:w="0" w:type="dxa"/>
            </w:tcMar>
          </w:tcPr>
          <w:p w14:paraId="2AB4A69B"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2983" w:type="dxa"/>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tcPr>
          <w:p w14:paraId="6F684F43" w14:textId="77777777" w:rsidR="006E087E" w:rsidRDefault="008E2347" w:rsidP="00A207C4">
            <w:pPr>
              <w:jc w:val="center"/>
              <w:rPr>
                <w:rFonts w:ascii="Garamond" w:eastAsia="Garamond" w:hAnsi="Garamond" w:cs="Garamond"/>
                <w:b/>
                <w:color w:val="FFFFFF"/>
                <w:sz w:val="20"/>
                <w:szCs w:val="20"/>
              </w:rPr>
            </w:pPr>
            <w:sdt>
              <w:sdtPr>
                <w:tag w:val="goog_rdk_54"/>
                <w:id w:val="1997600405"/>
              </w:sdtPr>
              <w:sdtEndPr/>
              <w:sdtContent>
                <w:r w:rsidR="006E087E">
                  <w:rPr>
                    <w:rFonts w:ascii="Arial Unicode MS" w:eastAsia="Arial Unicode MS" w:hAnsi="Arial Unicode MS" w:cs="Arial Unicode MS"/>
                    <w:b/>
                    <w:color w:val="FFFFFF"/>
                    <w:sz w:val="20"/>
                    <w:szCs w:val="20"/>
                  </w:rPr>
                  <w:t>✓</w:t>
                </w:r>
              </w:sdtContent>
            </w:sdt>
          </w:p>
        </w:tc>
        <w:tc>
          <w:tcPr>
            <w:tcW w:w="2977" w:type="dxa"/>
            <w:tcBorders>
              <w:left w:val="single" w:sz="6" w:space="0" w:color="000000"/>
              <w:bottom w:val="single" w:sz="6" w:space="0" w:color="000000"/>
              <w:right w:val="single" w:sz="6" w:space="0" w:color="000000"/>
            </w:tcBorders>
            <w:tcMar>
              <w:top w:w="0" w:type="dxa"/>
              <w:left w:w="0" w:type="dxa"/>
              <w:bottom w:w="75" w:type="dxa"/>
              <w:right w:w="0" w:type="dxa"/>
            </w:tcMar>
          </w:tcPr>
          <w:p w14:paraId="0FB5BE12"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r>
    </w:tbl>
    <w:p w14:paraId="7E1DA2FC" w14:textId="32486D8A" w:rsidR="006E087E" w:rsidRDefault="006E087E" w:rsidP="006E087E">
      <w:pPr>
        <w:spacing w:line="240" w:lineRule="auto"/>
        <w:jc w:val="right"/>
        <w:rPr>
          <w:rFonts w:ascii="Times New Roman" w:eastAsia="Times New Roman" w:hAnsi="Times New Roman" w:cs="Times New Roman"/>
          <w:sz w:val="24"/>
          <w:szCs w:val="24"/>
        </w:rPr>
        <w:sectPr w:rsidR="006E087E">
          <w:pgSz w:w="15840" w:h="12240" w:orient="landscape"/>
          <w:pgMar w:top="1080" w:right="1080" w:bottom="1080" w:left="1080" w:header="720" w:footer="720" w:gutter="0"/>
          <w:cols w:space="720"/>
        </w:sectPr>
      </w:pPr>
    </w:p>
    <w:p w14:paraId="52028C84" w14:textId="77777777" w:rsidR="006E087E" w:rsidRDefault="006E087E" w:rsidP="006E087E">
      <w:pPr>
        <w:spacing w:line="240" w:lineRule="auto"/>
        <w:rPr>
          <w:rFonts w:ascii="Times New Roman" w:eastAsia="Times New Roman" w:hAnsi="Times New Roman" w:cs="Times New Roman"/>
          <w:b/>
          <w:sz w:val="24"/>
          <w:szCs w:val="24"/>
        </w:rPr>
      </w:pPr>
      <w:bookmarkStart w:id="25" w:name="bookmark=kix.qjxwrf9a77t" w:colFirst="0" w:colLast="0"/>
      <w:bookmarkEnd w:id="25"/>
      <w:r>
        <w:rPr>
          <w:rFonts w:ascii="Times New Roman" w:eastAsia="Times New Roman" w:hAnsi="Times New Roman" w:cs="Times New Roman"/>
          <w:b/>
          <w:sz w:val="24"/>
          <w:szCs w:val="24"/>
        </w:rPr>
        <w:lastRenderedPageBreak/>
        <w:t>Supplemental Digital Content 10D</w:t>
      </w:r>
    </w:p>
    <w:p w14:paraId="46D57E3E" w14:textId="77777777" w:rsidR="006E087E" w:rsidRDefault="006E087E" w:rsidP="006E087E">
      <w:pPr>
        <w:spacing w:line="240" w:lineRule="auto"/>
        <w:rPr>
          <w:rFonts w:ascii="Times New Roman" w:eastAsia="Times New Roman" w:hAnsi="Times New Roman" w:cs="Times New Roman"/>
          <w:b/>
          <w:sz w:val="24"/>
          <w:szCs w:val="24"/>
        </w:rPr>
      </w:pPr>
    </w:p>
    <w:p w14:paraId="0758E5A5" w14:textId="77777777" w:rsidR="006E087E" w:rsidRDefault="006E087E" w:rsidP="006E087E">
      <w:pPr>
        <w:pStyle w:val="Heading2"/>
        <w:keepNext/>
        <w:keepLines/>
        <w:spacing w:before="40"/>
        <w:rPr>
          <w:rFonts w:ascii="Garamond" w:eastAsia="Garamond" w:hAnsi="Garamond" w:cs="Garamond"/>
          <w:i w:val="0"/>
        </w:rPr>
      </w:pPr>
      <w:bookmarkStart w:id="26" w:name="_heading=h.6sb7rfjt2528" w:colFirst="0" w:colLast="0"/>
      <w:bookmarkEnd w:id="26"/>
      <w:r>
        <w:rPr>
          <w:rFonts w:ascii="Garamond" w:eastAsia="Garamond" w:hAnsi="Garamond" w:cs="Garamond"/>
          <w:i w:val="0"/>
        </w:rPr>
        <w:t>Question: Should we implement explicit activation criteria and rapid response teams to identify and respond to patients deteriorating outside the ICU?</w:t>
      </w:r>
    </w:p>
    <w:p w14:paraId="786EAB9A" w14:textId="77777777" w:rsidR="006E087E" w:rsidRDefault="006E087E" w:rsidP="006E087E">
      <w:pPr>
        <w:spacing w:line="240" w:lineRule="auto"/>
        <w:rPr>
          <w:rFonts w:ascii="Calibri" w:eastAsia="Calibri" w:hAnsi="Calibri" w:cs="Calibri"/>
          <w:sz w:val="24"/>
          <w:szCs w:val="24"/>
        </w:rPr>
      </w:pPr>
    </w:p>
    <w:p w14:paraId="48BA29C8" w14:textId="77777777" w:rsidR="006E087E" w:rsidRDefault="006E087E" w:rsidP="006E087E">
      <w:pPr>
        <w:pStyle w:val="Heading2"/>
        <w:keepNext/>
        <w:keepLines/>
        <w:spacing w:before="40"/>
        <w:rPr>
          <w:rFonts w:ascii="Garamond" w:eastAsia="Garamond" w:hAnsi="Garamond" w:cs="Garamond"/>
          <w:i w:val="0"/>
        </w:rPr>
      </w:pPr>
      <w:bookmarkStart w:id="27" w:name="_heading=h.d3tuwconr476" w:colFirst="0" w:colLast="0"/>
      <w:bookmarkEnd w:id="27"/>
      <w:r>
        <w:rPr>
          <w:rFonts w:ascii="Garamond" w:eastAsia="Garamond" w:hAnsi="Garamond" w:cs="Garamond"/>
          <w:i w:val="0"/>
        </w:rPr>
        <w:t>Forest Plots</w:t>
      </w:r>
    </w:p>
    <w:p w14:paraId="28E1BACB" w14:textId="77777777" w:rsidR="006E087E" w:rsidRDefault="006E087E" w:rsidP="006E087E">
      <w:pP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B3A14A1" wp14:editId="0E36515D">
            <wp:extent cx="9144000" cy="1206500"/>
            <wp:effectExtent l="0" t="0" r="0" b="0"/>
            <wp:docPr id="49" name="image7.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7.png" descr="Calendar&#10;&#10;Description automatically generated"/>
                    <pic:cNvPicPr preferRelativeResize="0"/>
                  </pic:nvPicPr>
                  <pic:blipFill>
                    <a:blip r:embed="rId21"/>
                    <a:srcRect/>
                    <a:stretch>
                      <a:fillRect/>
                    </a:stretch>
                  </pic:blipFill>
                  <pic:spPr>
                    <a:xfrm>
                      <a:off x="0" y="0"/>
                      <a:ext cx="9144000" cy="1206500"/>
                    </a:xfrm>
                    <a:prstGeom prst="rect">
                      <a:avLst/>
                    </a:prstGeom>
                    <a:ln/>
                  </pic:spPr>
                </pic:pic>
              </a:graphicData>
            </a:graphic>
          </wp:inline>
        </w:drawing>
      </w:r>
    </w:p>
    <w:p w14:paraId="76C7CF1D" w14:textId="77777777" w:rsidR="006E087E" w:rsidRDefault="006E087E" w:rsidP="006E087E">
      <w:pPr>
        <w:spacing w:line="240" w:lineRule="auto"/>
        <w:rPr>
          <w:rFonts w:ascii="Calibri" w:eastAsia="Calibri" w:hAnsi="Calibri" w:cs="Calibri"/>
          <w:sz w:val="24"/>
          <w:szCs w:val="24"/>
        </w:rPr>
      </w:pPr>
      <w:r>
        <w:rPr>
          <w:rFonts w:ascii="Calibri" w:eastAsia="Calibri" w:hAnsi="Calibri" w:cs="Calibri"/>
          <w:noProof/>
          <w:sz w:val="24"/>
          <w:szCs w:val="24"/>
        </w:rPr>
        <w:drawing>
          <wp:inline distT="0" distB="0" distL="0" distR="0" wp14:anchorId="54DC0D56" wp14:editId="18F8910F">
            <wp:extent cx="8686800" cy="1219200"/>
            <wp:effectExtent l="0" t="0" r="0" b="0"/>
            <wp:docPr id="52" name="image3.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with medium confidence"/>
                    <pic:cNvPicPr preferRelativeResize="0"/>
                  </pic:nvPicPr>
                  <pic:blipFill>
                    <a:blip r:embed="rId22"/>
                    <a:srcRect/>
                    <a:stretch>
                      <a:fillRect/>
                    </a:stretch>
                  </pic:blipFill>
                  <pic:spPr>
                    <a:xfrm>
                      <a:off x="0" y="0"/>
                      <a:ext cx="8686800" cy="1219200"/>
                    </a:xfrm>
                    <a:prstGeom prst="rect">
                      <a:avLst/>
                    </a:prstGeom>
                    <a:ln/>
                  </pic:spPr>
                </pic:pic>
              </a:graphicData>
            </a:graphic>
          </wp:inline>
        </w:drawing>
      </w:r>
    </w:p>
    <w:p w14:paraId="6A6195C7" w14:textId="77777777" w:rsidR="006E087E" w:rsidRDefault="006E087E" w:rsidP="006E087E">
      <w:pP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2E1A6BF" wp14:editId="75C6ACFF">
            <wp:extent cx="8843963" cy="1179195"/>
            <wp:effectExtent l="0" t="0" r="0" b="0"/>
            <wp:docPr id="51" name="image4.png"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51" name="image4.png" descr="A picture containing calendar&#10;&#10;Description automatically generated"/>
                    <pic:cNvPicPr preferRelativeResize="0"/>
                  </pic:nvPicPr>
                  <pic:blipFill>
                    <a:blip r:embed="rId23"/>
                    <a:srcRect/>
                    <a:stretch>
                      <a:fillRect/>
                    </a:stretch>
                  </pic:blipFill>
                  <pic:spPr>
                    <a:xfrm>
                      <a:off x="0" y="0"/>
                      <a:ext cx="8843963" cy="1179195"/>
                    </a:xfrm>
                    <a:prstGeom prst="rect">
                      <a:avLst/>
                    </a:prstGeom>
                    <a:ln/>
                  </pic:spPr>
                </pic:pic>
              </a:graphicData>
            </a:graphic>
          </wp:inline>
        </w:drawing>
      </w:r>
    </w:p>
    <w:p w14:paraId="3CBBD214" w14:textId="77777777" w:rsidR="006E087E" w:rsidRDefault="006E087E" w:rsidP="006E087E">
      <w:pPr>
        <w:spacing w:line="240" w:lineRule="auto"/>
        <w:rPr>
          <w:rFonts w:ascii="Garamond" w:eastAsia="Garamond" w:hAnsi="Garamond" w:cs="Garamond"/>
        </w:rPr>
      </w:pPr>
      <w:r>
        <w:rPr>
          <w:rFonts w:ascii="Calibri" w:eastAsia="Calibri" w:hAnsi="Calibri" w:cs="Calibri"/>
          <w:noProof/>
          <w:sz w:val="24"/>
          <w:szCs w:val="24"/>
        </w:rPr>
        <w:drawing>
          <wp:inline distT="114300" distB="114300" distL="114300" distR="114300" wp14:anchorId="61E7BB01" wp14:editId="11FE05AF">
            <wp:extent cx="8627942" cy="1152954"/>
            <wp:effectExtent l="0" t="0" r="0" b="0"/>
            <wp:docPr id="53" name="image1.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53" name="image1.png" descr="A picture containing table&#10;&#10;Description automatically generated"/>
                    <pic:cNvPicPr preferRelativeResize="0"/>
                  </pic:nvPicPr>
                  <pic:blipFill>
                    <a:blip r:embed="rId24"/>
                    <a:srcRect/>
                    <a:stretch>
                      <a:fillRect/>
                    </a:stretch>
                  </pic:blipFill>
                  <pic:spPr>
                    <a:xfrm>
                      <a:off x="0" y="0"/>
                      <a:ext cx="8627942" cy="1152954"/>
                    </a:xfrm>
                    <a:prstGeom prst="rect">
                      <a:avLst/>
                    </a:prstGeom>
                    <a:ln/>
                  </pic:spPr>
                </pic:pic>
              </a:graphicData>
            </a:graphic>
          </wp:inline>
        </w:drawing>
      </w:r>
    </w:p>
    <w:p w14:paraId="0C771A7E" w14:textId="77777777" w:rsidR="006E087E" w:rsidRDefault="006E087E" w:rsidP="006E087E">
      <w:pPr>
        <w:spacing w:line="240" w:lineRule="auto"/>
        <w:rPr>
          <w:rFonts w:ascii="Arial Narrow" w:eastAsia="Arial Narrow" w:hAnsi="Arial Narrow" w:cs="Arial Narrow"/>
          <w:sz w:val="14"/>
          <w:szCs w:val="14"/>
        </w:rPr>
      </w:pPr>
    </w:p>
    <w:p w14:paraId="5040035A" w14:textId="77777777" w:rsidR="006E087E" w:rsidRDefault="006E087E" w:rsidP="006E087E">
      <w:pPr>
        <w:pStyle w:val="Heading2"/>
        <w:keepNext/>
        <w:keepLines/>
        <w:spacing w:before="40"/>
        <w:rPr>
          <w:rFonts w:ascii="Garamond" w:eastAsia="Garamond" w:hAnsi="Garamond" w:cs="Garamond"/>
          <w:i w:val="0"/>
        </w:rPr>
      </w:pPr>
      <w:bookmarkStart w:id="28" w:name="_heading=h.qfozkt9c6n84" w:colFirst="0" w:colLast="0"/>
      <w:bookmarkEnd w:id="28"/>
      <w:r>
        <w:rPr>
          <w:rFonts w:ascii="Garamond" w:eastAsia="Garamond" w:hAnsi="Garamond" w:cs="Garamond"/>
          <w:i w:val="0"/>
        </w:rPr>
        <w:lastRenderedPageBreak/>
        <w:t>GRADE Evidence Profile</w:t>
      </w:r>
    </w:p>
    <w:p w14:paraId="42CD7AA6" w14:textId="77777777" w:rsidR="006E087E" w:rsidRDefault="006E087E" w:rsidP="006E087E">
      <w:pPr>
        <w:spacing w:line="240" w:lineRule="auto"/>
        <w:rPr>
          <w:rFonts w:ascii="Arial Narrow" w:eastAsia="Arial Narrow" w:hAnsi="Arial Narrow" w:cs="Arial Narrow"/>
          <w:sz w:val="14"/>
          <w:szCs w:val="14"/>
        </w:rPr>
      </w:pPr>
    </w:p>
    <w:tbl>
      <w:tblPr>
        <w:tblW w:w="15028" w:type="dxa"/>
        <w:tblInd w:w="-5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0"/>
        <w:gridCol w:w="31"/>
        <w:gridCol w:w="1133"/>
        <w:gridCol w:w="1277"/>
        <w:gridCol w:w="1136"/>
        <w:gridCol w:w="1136"/>
        <w:gridCol w:w="1271"/>
        <w:gridCol w:w="9"/>
        <w:gridCol w:w="1118"/>
        <w:gridCol w:w="12"/>
        <w:gridCol w:w="1136"/>
        <w:gridCol w:w="1136"/>
        <w:gridCol w:w="1978"/>
        <w:gridCol w:w="1130"/>
        <w:gridCol w:w="6"/>
        <w:gridCol w:w="1259"/>
      </w:tblGrid>
      <w:tr w:rsidR="006E087E" w14:paraId="523E65A7" w14:textId="77777777" w:rsidTr="00A207C4">
        <w:trPr>
          <w:cantSplit/>
          <w:trHeight w:val="143"/>
          <w:tblHeader/>
        </w:trPr>
        <w:tc>
          <w:tcPr>
            <w:tcW w:w="7253" w:type="dxa"/>
            <w:gridSpan w:val="8"/>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FE6FBC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 assessment</w:t>
            </w:r>
          </w:p>
        </w:tc>
        <w:tc>
          <w:tcPr>
            <w:tcW w:w="2266" w:type="dxa"/>
            <w:gridSpan w:val="3"/>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3B57154F" w14:textId="77777777" w:rsidR="006E087E" w:rsidRDefault="008E2347" w:rsidP="00A207C4">
            <w:pPr>
              <w:jc w:val="center"/>
              <w:rPr>
                <w:rFonts w:ascii="Garamond" w:eastAsia="Garamond" w:hAnsi="Garamond" w:cs="Garamond"/>
                <w:b/>
                <w:color w:val="FFFFFF"/>
                <w:sz w:val="18"/>
                <w:szCs w:val="18"/>
              </w:rPr>
            </w:pPr>
            <w:sdt>
              <w:sdtPr>
                <w:tag w:val="goog_rdk_55"/>
                <w:id w:val="499855729"/>
              </w:sdtPr>
              <w:sdtEndPr/>
              <w:sdtContent>
                <w:r w:rsidR="006E087E">
                  <w:rPr>
                    <w:rFonts w:ascii="Cardo" w:eastAsia="Cardo" w:hAnsi="Cardo" w:cs="Cardo"/>
                    <w:b/>
                    <w:color w:val="FFFFFF"/>
                    <w:sz w:val="18"/>
                    <w:szCs w:val="18"/>
                  </w:rPr>
                  <w:t>№ of units randomized</w:t>
                </w:r>
              </w:sdtContent>
            </w:sdt>
          </w:p>
        </w:tc>
        <w:tc>
          <w:tcPr>
            <w:tcW w:w="3114" w:type="dxa"/>
            <w:gridSpan w:val="2"/>
            <w:vMerge w:val="restart"/>
            <w:tcBorders>
              <w:top w:val="single" w:sz="12" w:space="0" w:color="FFFFFF"/>
              <w:left w:val="single" w:sz="12" w:space="0" w:color="FFFFFF"/>
              <w:right w:val="single" w:sz="12" w:space="0" w:color="FFFFFF"/>
            </w:tcBorders>
            <w:shd w:val="clear" w:color="auto" w:fill="2F5496"/>
            <w:tcMar>
              <w:top w:w="75" w:type="dxa"/>
              <w:left w:w="75" w:type="dxa"/>
              <w:bottom w:w="75" w:type="dxa"/>
              <w:right w:w="75" w:type="dxa"/>
            </w:tcMar>
            <w:vAlign w:val="center"/>
          </w:tcPr>
          <w:p w14:paraId="16D93AC3"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Impact</w:t>
            </w:r>
          </w:p>
        </w:tc>
        <w:tc>
          <w:tcPr>
            <w:tcW w:w="1136" w:type="dxa"/>
            <w:gridSpan w:val="2"/>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6B0141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w:t>
            </w:r>
          </w:p>
        </w:tc>
        <w:tc>
          <w:tcPr>
            <w:tcW w:w="1259"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C00B577"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Importance</w:t>
            </w:r>
          </w:p>
        </w:tc>
      </w:tr>
      <w:tr w:rsidR="006E087E" w14:paraId="2805F87A" w14:textId="77777777" w:rsidTr="00A207C4">
        <w:trPr>
          <w:cantSplit/>
          <w:trHeight w:val="143"/>
          <w:tblHeader/>
        </w:trPr>
        <w:tc>
          <w:tcPr>
            <w:tcW w:w="126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3ECEA630" w14:textId="77777777" w:rsidR="006E087E" w:rsidRDefault="008E2347" w:rsidP="00A207C4">
            <w:pPr>
              <w:jc w:val="center"/>
              <w:rPr>
                <w:rFonts w:ascii="Garamond" w:eastAsia="Garamond" w:hAnsi="Garamond" w:cs="Garamond"/>
                <w:b/>
                <w:color w:val="FFFFFF"/>
                <w:sz w:val="18"/>
                <w:szCs w:val="18"/>
              </w:rPr>
            </w:pPr>
            <w:sdt>
              <w:sdtPr>
                <w:tag w:val="goog_rdk_56"/>
                <w:id w:val="-18397447"/>
              </w:sdtPr>
              <w:sdtEndPr/>
              <w:sdtContent>
                <w:r w:rsidR="006E087E">
                  <w:rPr>
                    <w:rFonts w:ascii="Cardo" w:eastAsia="Cardo" w:hAnsi="Cardo" w:cs="Cardo"/>
                    <w:b/>
                    <w:color w:val="FFFFFF"/>
                    <w:sz w:val="18"/>
                    <w:szCs w:val="18"/>
                  </w:rPr>
                  <w:t>№ of studies</w:t>
                </w:r>
              </w:sdtContent>
            </w:sdt>
          </w:p>
          <w:p w14:paraId="18CA5635"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Study design</w:t>
            </w:r>
          </w:p>
        </w:tc>
        <w:tc>
          <w:tcPr>
            <w:tcW w:w="1164" w:type="dxa"/>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559EFC5"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Risk of bias</w:t>
            </w:r>
          </w:p>
        </w:tc>
        <w:tc>
          <w:tcPr>
            <w:tcW w:w="1277"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6501B1B"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Inconsistency</w:t>
            </w:r>
          </w:p>
        </w:tc>
        <w:tc>
          <w:tcPr>
            <w:tcW w:w="1136"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A2C99AC"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Indirectness</w:t>
            </w:r>
          </w:p>
        </w:tc>
        <w:tc>
          <w:tcPr>
            <w:tcW w:w="1136"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C104489"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Imprecision</w:t>
            </w:r>
          </w:p>
        </w:tc>
        <w:tc>
          <w:tcPr>
            <w:tcW w:w="1280" w:type="dxa"/>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7220893"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Other considerations</w:t>
            </w:r>
          </w:p>
        </w:tc>
        <w:tc>
          <w:tcPr>
            <w:tcW w:w="1130" w:type="dxa"/>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3FAFA9D9"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RRT/ EWS</w:t>
            </w:r>
          </w:p>
        </w:tc>
        <w:tc>
          <w:tcPr>
            <w:tcW w:w="1136"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113B762"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No</w:t>
            </w:r>
          </w:p>
          <w:p w14:paraId="7C6F045D"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RRT/ EWS</w:t>
            </w:r>
          </w:p>
        </w:tc>
        <w:tc>
          <w:tcPr>
            <w:tcW w:w="3114" w:type="dxa"/>
            <w:gridSpan w:val="2"/>
            <w:vMerge/>
            <w:tcBorders>
              <w:top w:val="single" w:sz="12" w:space="0" w:color="FFFFFF"/>
              <w:left w:val="single" w:sz="12" w:space="0" w:color="FFFFFF"/>
              <w:right w:val="single" w:sz="12" w:space="0" w:color="FFFFFF"/>
            </w:tcBorders>
            <w:shd w:val="clear" w:color="auto" w:fill="2F5496"/>
            <w:tcMar>
              <w:top w:w="75" w:type="dxa"/>
              <w:left w:w="75" w:type="dxa"/>
              <w:bottom w:w="75" w:type="dxa"/>
              <w:right w:w="75" w:type="dxa"/>
            </w:tcMar>
            <w:vAlign w:val="center"/>
          </w:tcPr>
          <w:p w14:paraId="4A0754DA"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136" w:type="dxa"/>
            <w:gridSpan w:val="2"/>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64F0CC9"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259"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1AA2979"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r>
      <w:tr w:rsidR="006E087E" w14:paraId="6C8A3E5D" w14:textId="77777777" w:rsidTr="00A207C4">
        <w:trPr>
          <w:cantSplit/>
          <w:trHeight w:val="143"/>
        </w:trPr>
        <w:tc>
          <w:tcPr>
            <w:tcW w:w="15028" w:type="dxa"/>
            <w:gridSpan w:val="16"/>
            <w:shd w:val="clear" w:color="auto" w:fill="FFFFFF"/>
            <w:tcMar>
              <w:top w:w="75" w:type="dxa"/>
              <w:left w:w="100" w:type="dxa"/>
              <w:bottom w:w="100" w:type="dxa"/>
              <w:right w:w="100" w:type="dxa"/>
            </w:tcMar>
            <w:vAlign w:val="center"/>
          </w:tcPr>
          <w:p w14:paraId="081A1AFE"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Unexpected deaths per 1000 admissions - pooled</w:t>
            </w:r>
          </w:p>
        </w:tc>
      </w:tr>
      <w:tr w:rsidR="006E087E" w14:paraId="04D8A605" w14:textId="77777777" w:rsidTr="00A207C4">
        <w:trPr>
          <w:cantSplit/>
          <w:trHeight w:val="589"/>
        </w:trPr>
        <w:tc>
          <w:tcPr>
            <w:tcW w:w="1260" w:type="dxa"/>
            <w:tcBorders>
              <w:top w:val="single" w:sz="6" w:space="0" w:color="000000"/>
              <w:left w:val="single" w:sz="6" w:space="0" w:color="000000"/>
              <w:bottom w:val="single" w:sz="6" w:space="0" w:color="000000"/>
              <w:right w:val="single" w:sz="6" w:space="0" w:color="000000"/>
            </w:tcBorders>
          </w:tcPr>
          <w:p w14:paraId="0E87698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2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tc>
        <w:tc>
          <w:tcPr>
            <w:tcW w:w="1164" w:type="dxa"/>
            <w:gridSpan w:val="2"/>
            <w:tcBorders>
              <w:top w:val="single" w:sz="6" w:space="0" w:color="000000"/>
              <w:left w:val="single" w:sz="6" w:space="0" w:color="000000"/>
              <w:bottom w:val="single" w:sz="6" w:space="0" w:color="000000"/>
              <w:right w:val="single" w:sz="6" w:space="0" w:color="000000"/>
            </w:tcBorders>
          </w:tcPr>
          <w:p w14:paraId="7BE9121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37692F8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595199C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2A851633"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80" w:type="dxa"/>
            <w:gridSpan w:val="2"/>
            <w:tcBorders>
              <w:top w:val="single" w:sz="6" w:space="0" w:color="000000"/>
              <w:left w:val="single" w:sz="6" w:space="0" w:color="000000"/>
              <w:bottom w:val="single" w:sz="6" w:space="0" w:color="000000"/>
              <w:right w:val="single" w:sz="6" w:space="0" w:color="000000"/>
            </w:tcBorders>
          </w:tcPr>
          <w:p w14:paraId="4EB1712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1118" w:type="dxa"/>
            <w:tcBorders>
              <w:top w:val="single" w:sz="6" w:space="0" w:color="000000"/>
              <w:left w:val="single" w:sz="6" w:space="0" w:color="000000"/>
              <w:bottom w:val="single" w:sz="6" w:space="0" w:color="000000"/>
              <w:right w:val="single" w:sz="6" w:space="0" w:color="000000"/>
            </w:tcBorders>
          </w:tcPr>
          <w:p w14:paraId="084DC73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40</w:t>
            </w:r>
          </w:p>
        </w:tc>
        <w:tc>
          <w:tcPr>
            <w:tcW w:w="1148" w:type="dxa"/>
            <w:gridSpan w:val="2"/>
            <w:tcBorders>
              <w:top w:val="single" w:sz="6" w:space="0" w:color="000000"/>
              <w:left w:val="single" w:sz="6" w:space="0" w:color="000000"/>
              <w:bottom w:val="single" w:sz="6" w:space="0" w:color="000000"/>
              <w:right w:val="single" w:sz="6" w:space="0" w:color="000000"/>
            </w:tcBorders>
          </w:tcPr>
          <w:p w14:paraId="2AE08D1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39</w:t>
            </w:r>
          </w:p>
        </w:tc>
        <w:tc>
          <w:tcPr>
            <w:tcW w:w="3114" w:type="dxa"/>
            <w:gridSpan w:val="2"/>
            <w:tcBorders>
              <w:top w:val="single" w:sz="6" w:space="0" w:color="000000"/>
              <w:left w:val="single" w:sz="6" w:space="0" w:color="000000"/>
              <w:bottom w:val="single" w:sz="6" w:space="0" w:color="000000"/>
              <w:right w:val="single" w:sz="6" w:space="0" w:color="000000"/>
            </w:tcBorders>
          </w:tcPr>
          <w:p w14:paraId="03911B0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MD </w:t>
            </w:r>
            <w:r>
              <w:rPr>
                <w:rFonts w:ascii="Garamond" w:eastAsia="Garamond" w:hAnsi="Garamond" w:cs="Garamond"/>
                <w:b/>
                <w:sz w:val="18"/>
                <w:szCs w:val="18"/>
              </w:rPr>
              <w:t>0.14 per 1000 lower</w:t>
            </w:r>
            <w:r>
              <w:rPr>
                <w:rFonts w:ascii="Garamond" w:eastAsia="Garamond" w:hAnsi="Garamond" w:cs="Garamond"/>
                <w:sz w:val="18"/>
                <w:szCs w:val="18"/>
              </w:rPr>
              <w:br/>
              <w:t>(0.43 lower to 0.15 higher)</w:t>
            </w:r>
          </w:p>
          <w:p w14:paraId="70C67817" w14:textId="77777777" w:rsidR="006E087E" w:rsidRDefault="006E087E" w:rsidP="00A207C4">
            <w:pPr>
              <w:rPr>
                <w:rFonts w:ascii="Garamond" w:eastAsia="Garamond" w:hAnsi="Garamond" w:cs="Garamond"/>
                <w:sz w:val="18"/>
                <w:szCs w:val="18"/>
              </w:rPr>
            </w:pPr>
          </w:p>
          <w:p w14:paraId="08F9EC11" w14:textId="77777777" w:rsidR="006E087E" w:rsidRDefault="006E087E" w:rsidP="00A207C4">
            <w:pPr>
              <w:rPr>
                <w:rFonts w:ascii="Garamond" w:eastAsia="Garamond" w:hAnsi="Garamond" w:cs="Garamond"/>
                <w:sz w:val="18"/>
                <w:szCs w:val="18"/>
              </w:rPr>
            </w:pPr>
          </w:p>
        </w:tc>
        <w:tc>
          <w:tcPr>
            <w:tcW w:w="1136" w:type="dxa"/>
            <w:gridSpan w:val="2"/>
            <w:tcBorders>
              <w:top w:val="single" w:sz="6" w:space="0" w:color="000000"/>
              <w:left w:val="single" w:sz="6" w:space="0" w:color="000000"/>
              <w:bottom w:val="single" w:sz="6" w:space="0" w:color="000000"/>
              <w:right w:val="single" w:sz="6" w:space="0" w:color="000000"/>
            </w:tcBorders>
          </w:tcPr>
          <w:p w14:paraId="76E1F641"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57"/>
                <w:id w:val="325794910"/>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Moderate</w:t>
            </w:r>
          </w:p>
        </w:tc>
        <w:tc>
          <w:tcPr>
            <w:tcW w:w="1259" w:type="dxa"/>
            <w:tcBorders>
              <w:top w:val="single" w:sz="6" w:space="0" w:color="000000"/>
              <w:left w:val="single" w:sz="6" w:space="0" w:color="000000"/>
              <w:bottom w:val="single" w:sz="6" w:space="0" w:color="000000"/>
              <w:right w:val="single" w:sz="6" w:space="0" w:color="000000"/>
            </w:tcBorders>
          </w:tcPr>
          <w:p w14:paraId="55B110A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0AC33441" w14:textId="77777777" w:rsidTr="00A207C4">
        <w:trPr>
          <w:cantSplit/>
          <w:trHeight w:val="143"/>
        </w:trPr>
        <w:tc>
          <w:tcPr>
            <w:tcW w:w="15028" w:type="dxa"/>
            <w:gridSpan w:val="16"/>
            <w:shd w:val="clear" w:color="auto" w:fill="FFFFFF"/>
            <w:tcMar>
              <w:top w:w="75" w:type="dxa"/>
              <w:left w:w="100" w:type="dxa"/>
              <w:bottom w:w="100" w:type="dxa"/>
              <w:right w:w="100" w:type="dxa"/>
            </w:tcMar>
            <w:vAlign w:val="center"/>
          </w:tcPr>
          <w:p w14:paraId="0665CF02"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Mortality - pooled</w:t>
            </w:r>
          </w:p>
        </w:tc>
      </w:tr>
      <w:tr w:rsidR="006E087E" w14:paraId="5E2FB0FE" w14:textId="77777777" w:rsidTr="00A207C4">
        <w:trPr>
          <w:cantSplit/>
          <w:trHeight w:val="818"/>
        </w:trPr>
        <w:tc>
          <w:tcPr>
            <w:tcW w:w="1260" w:type="dxa"/>
            <w:tcBorders>
              <w:top w:val="single" w:sz="6" w:space="0" w:color="000000"/>
              <w:left w:val="single" w:sz="6" w:space="0" w:color="000000"/>
              <w:bottom w:val="single" w:sz="6" w:space="0" w:color="000000"/>
              <w:right w:val="single" w:sz="6" w:space="0" w:color="000000"/>
            </w:tcBorders>
          </w:tcPr>
          <w:p w14:paraId="7DB861C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3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tc>
        <w:tc>
          <w:tcPr>
            <w:tcW w:w="1164" w:type="dxa"/>
            <w:gridSpan w:val="2"/>
            <w:tcBorders>
              <w:top w:val="single" w:sz="6" w:space="0" w:color="000000"/>
              <w:left w:val="single" w:sz="6" w:space="0" w:color="000000"/>
              <w:bottom w:val="single" w:sz="6" w:space="0" w:color="000000"/>
              <w:right w:val="single" w:sz="6" w:space="0" w:color="000000"/>
            </w:tcBorders>
          </w:tcPr>
          <w:p w14:paraId="258AEF2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5E063E8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3099AF3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12E29EBB"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280" w:type="dxa"/>
            <w:gridSpan w:val="2"/>
            <w:tcBorders>
              <w:top w:val="single" w:sz="6" w:space="0" w:color="000000"/>
              <w:left w:val="single" w:sz="6" w:space="0" w:color="000000"/>
              <w:bottom w:val="single" w:sz="6" w:space="0" w:color="000000"/>
              <w:right w:val="single" w:sz="6" w:space="0" w:color="000000"/>
            </w:tcBorders>
          </w:tcPr>
          <w:p w14:paraId="1AF01AB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1118" w:type="dxa"/>
            <w:tcBorders>
              <w:top w:val="single" w:sz="6" w:space="0" w:color="000000"/>
              <w:left w:val="single" w:sz="6" w:space="0" w:color="000000"/>
              <w:bottom w:val="single" w:sz="6" w:space="0" w:color="000000"/>
              <w:right w:val="single" w:sz="6" w:space="0" w:color="000000"/>
            </w:tcBorders>
          </w:tcPr>
          <w:p w14:paraId="083CB8F8" w14:textId="77777777" w:rsidR="006E087E" w:rsidRDefault="006E087E" w:rsidP="00A207C4">
            <w:pPr>
              <w:jc w:val="center"/>
              <w:rPr>
                <w:rFonts w:ascii="Garamond" w:eastAsia="Garamond" w:hAnsi="Garamond" w:cs="Garamond"/>
                <w:color w:val="000000"/>
                <w:sz w:val="18"/>
                <w:szCs w:val="18"/>
              </w:rPr>
            </w:pPr>
            <w:r>
              <w:rPr>
                <w:rFonts w:ascii="Garamond" w:eastAsia="Garamond" w:hAnsi="Garamond" w:cs="Garamond"/>
                <w:color w:val="000000"/>
                <w:sz w:val="18"/>
                <w:szCs w:val="18"/>
              </w:rPr>
              <w:t xml:space="preserve">550/14,523 (3.8%) </w:t>
            </w:r>
          </w:p>
        </w:tc>
        <w:tc>
          <w:tcPr>
            <w:tcW w:w="1148" w:type="dxa"/>
            <w:gridSpan w:val="2"/>
            <w:tcBorders>
              <w:top w:val="single" w:sz="6" w:space="0" w:color="000000"/>
              <w:left w:val="single" w:sz="6" w:space="0" w:color="000000"/>
              <w:bottom w:val="single" w:sz="6" w:space="0" w:color="000000"/>
              <w:right w:val="single" w:sz="6" w:space="0" w:color="000000"/>
            </w:tcBorders>
          </w:tcPr>
          <w:p w14:paraId="1C90AC35" w14:textId="77777777" w:rsidR="006E087E" w:rsidRDefault="006E087E" w:rsidP="00A207C4">
            <w:pPr>
              <w:jc w:val="center"/>
              <w:rPr>
                <w:rFonts w:ascii="Garamond" w:eastAsia="Garamond" w:hAnsi="Garamond" w:cs="Garamond"/>
                <w:color w:val="000000"/>
                <w:sz w:val="18"/>
                <w:szCs w:val="18"/>
              </w:rPr>
            </w:pPr>
            <w:r>
              <w:rPr>
                <w:rFonts w:ascii="Garamond" w:eastAsia="Garamond" w:hAnsi="Garamond" w:cs="Garamond"/>
                <w:color w:val="000000"/>
                <w:sz w:val="18"/>
                <w:szCs w:val="18"/>
              </w:rPr>
              <w:t xml:space="preserve">578/11,197 (5.2%) </w:t>
            </w:r>
          </w:p>
        </w:tc>
        <w:tc>
          <w:tcPr>
            <w:tcW w:w="1136" w:type="dxa"/>
            <w:tcBorders>
              <w:top w:val="single" w:sz="6" w:space="0" w:color="000000"/>
              <w:left w:val="single" w:sz="6" w:space="0" w:color="000000"/>
              <w:bottom w:val="single" w:sz="6" w:space="0" w:color="000000"/>
              <w:right w:val="single" w:sz="6" w:space="0" w:color="000000"/>
            </w:tcBorders>
          </w:tcPr>
          <w:p w14:paraId="752B23E0" w14:textId="77777777" w:rsidR="006E087E" w:rsidRDefault="006E087E" w:rsidP="00A207C4">
            <w:pPr>
              <w:jc w:val="center"/>
              <w:rPr>
                <w:rFonts w:ascii="Garamond" w:eastAsia="Garamond" w:hAnsi="Garamond" w:cs="Garamond"/>
                <w:color w:val="000000"/>
                <w:sz w:val="18"/>
                <w:szCs w:val="18"/>
              </w:rPr>
            </w:pPr>
            <w:r>
              <w:rPr>
                <w:rFonts w:ascii="Garamond" w:eastAsia="Garamond" w:hAnsi="Garamond" w:cs="Garamond"/>
                <w:b/>
                <w:color w:val="000000"/>
                <w:sz w:val="18"/>
                <w:szCs w:val="18"/>
              </w:rPr>
              <w:t>RR 0.74</w:t>
            </w:r>
            <w:r>
              <w:rPr>
                <w:rFonts w:ascii="Garamond" w:eastAsia="Garamond" w:hAnsi="Garamond" w:cs="Garamond"/>
                <w:color w:val="000000"/>
                <w:sz w:val="18"/>
                <w:szCs w:val="18"/>
              </w:rPr>
              <w:br/>
              <w:t>(0.66 to 0.83)</w:t>
            </w:r>
          </w:p>
        </w:tc>
        <w:tc>
          <w:tcPr>
            <w:tcW w:w="1978" w:type="dxa"/>
            <w:tcBorders>
              <w:top w:val="single" w:sz="6" w:space="0" w:color="000000"/>
              <w:left w:val="single" w:sz="6" w:space="0" w:color="000000"/>
              <w:bottom w:val="single" w:sz="6" w:space="0" w:color="000000"/>
              <w:right w:val="single" w:sz="6" w:space="0" w:color="000000"/>
            </w:tcBorders>
          </w:tcPr>
          <w:p w14:paraId="130C322D" w14:textId="77777777" w:rsidR="006E087E" w:rsidRDefault="006E087E" w:rsidP="00A207C4">
            <w:pPr>
              <w:jc w:val="center"/>
              <w:rPr>
                <w:rFonts w:ascii="Garamond" w:eastAsia="Garamond" w:hAnsi="Garamond" w:cs="Garamond"/>
                <w:color w:val="000000"/>
                <w:sz w:val="18"/>
                <w:szCs w:val="18"/>
              </w:rPr>
            </w:pPr>
            <w:r>
              <w:rPr>
                <w:rFonts w:ascii="Garamond" w:eastAsia="Garamond" w:hAnsi="Garamond" w:cs="Garamond"/>
                <w:b/>
                <w:color w:val="000000"/>
                <w:sz w:val="18"/>
                <w:szCs w:val="18"/>
              </w:rPr>
              <w:t>13 fewer per 1,000</w:t>
            </w:r>
            <w:r>
              <w:rPr>
                <w:rFonts w:ascii="Garamond" w:eastAsia="Garamond" w:hAnsi="Garamond" w:cs="Garamond"/>
                <w:color w:val="000000"/>
                <w:sz w:val="18"/>
                <w:szCs w:val="18"/>
              </w:rPr>
              <w:br/>
              <w:t>(from 18 fewer to 9 fewer)</w:t>
            </w:r>
          </w:p>
          <w:p w14:paraId="55EDAE1B" w14:textId="77777777" w:rsidR="006E087E" w:rsidRDefault="006E087E" w:rsidP="00A207C4">
            <w:pPr>
              <w:jc w:val="center"/>
              <w:rPr>
                <w:rFonts w:ascii="Garamond" w:eastAsia="Garamond" w:hAnsi="Garamond" w:cs="Garamond"/>
                <w:color w:val="000000"/>
                <w:sz w:val="18"/>
                <w:szCs w:val="18"/>
              </w:rPr>
            </w:pPr>
          </w:p>
          <w:p w14:paraId="1A3D1FC5" w14:textId="77777777" w:rsidR="006E087E" w:rsidRDefault="006E087E" w:rsidP="00A207C4">
            <w:pPr>
              <w:jc w:val="center"/>
              <w:rPr>
                <w:rFonts w:ascii="Garamond" w:eastAsia="Garamond" w:hAnsi="Garamond" w:cs="Garamond"/>
                <w:color w:val="000000"/>
                <w:sz w:val="18"/>
                <w:szCs w:val="18"/>
              </w:rPr>
            </w:pPr>
          </w:p>
        </w:tc>
        <w:tc>
          <w:tcPr>
            <w:tcW w:w="1136" w:type="dxa"/>
            <w:gridSpan w:val="2"/>
            <w:tcBorders>
              <w:top w:val="single" w:sz="6" w:space="0" w:color="000000"/>
              <w:left w:val="single" w:sz="6" w:space="0" w:color="000000"/>
              <w:bottom w:val="single" w:sz="6" w:space="0" w:color="000000"/>
              <w:right w:val="single" w:sz="6" w:space="0" w:color="000000"/>
            </w:tcBorders>
          </w:tcPr>
          <w:p w14:paraId="35F899DD"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58"/>
                <w:id w:val="635453788"/>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Moderate</w:t>
            </w:r>
          </w:p>
        </w:tc>
        <w:tc>
          <w:tcPr>
            <w:tcW w:w="1259" w:type="dxa"/>
            <w:tcBorders>
              <w:top w:val="single" w:sz="6" w:space="0" w:color="000000"/>
              <w:left w:val="single" w:sz="6" w:space="0" w:color="000000"/>
              <w:bottom w:val="single" w:sz="6" w:space="0" w:color="000000"/>
              <w:right w:val="single" w:sz="6" w:space="0" w:color="000000"/>
            </w:tcBorders>
          </w:tcPr>
          <w:p w14:paraId="1D33903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0708D58B" w14:textId="77777777" w:rsidTr="00A207C4">
        <w:trPr>
          <w:cantSplit/>
          <w:trHeight w:val="143"/>
        </w:trPr>
        <w:tc>
          <w:tcPr>
            <w:tcW w:w="15028" w:type="dxa"/>
            <w:gridSpan w:val="16"/>
            <w:shd w:val="clear" w:color="auto" w:fill="FFFFFF"/>
            <w:tcMar>
              <w:top w:w="75" w:type="dxa"/>
              <w:left w:w="100" w:type="dxa"/>
              <w:bottom w:w="100" w:type="dxa"/>
              <w:right w:w="100" w:type="dxa"/>
            </w:tcMar>
            <w:vAlign w:val="center"/>
          </w:tcPr>
          <w:p w14:paraId="66A5F084" w14:textId="77777777" w:rsidR="006E087E" w:rsidRDefault="006E087E" w:rsidP="00A207C4">
            <w:pPr>
              <w:rPr>
                <w:rFonts w:ascii="Garamond" w:eastAsia="Garamond" w:hAnsi="Garamond" w:cs="Garamond"/>
                <w:b/>
                <w:color w:val="000000"/>
                <w:sz w:val="18"/>
                <w:szCs w:val="18"/>
              </w:rPr>
            </w:pPr>
            <w:r>
              <w:rPr>
                <w:rFonts w:ascii="Garamond" w:eastAsia="Garamond" w:hAnsi="Garamond" w:cs="Garamond"/>
                <w:b/>
                <w:color w:val="000000"/>
                <w:sz w:val="18"/>
                <w:szCs w:val="18"/>
              </w:rPr>
              <w:t>Unexpected deaths/ mortality - not pooled</w:t>
            </w:r>
          </w:p>
        </w:tc>
      </w:tr>
      <w:tr w:rsidR="006E087E" w14:paraId="11294ED0" w14:textId="77777777" w:rsidTr="00A207C4">
        <w:trPr>
          <w:cantSplit/>
          <w:trHeight w:val="143"/>
        </w:trPr>
        <w:tc>
          <w:tcPr>
            <w:tcW w:w="1260" w:type="dxa"/>
            <w:tcBorders>
              <w:top w:val="single" w:sz="6" w:space="0" w:color="000000"/>
              <w:left w:val="single" w:sz="6" w:space="0" w:color="000000"/>
              <w:bottom w:val="single" w:sz="6" w:space="0" w:color="000000"/>
              <w:right w:val="single" w:sz="6" w:space="0" w:color="000000"/>
            </w:tcBorders>
          </w:tcPr>
          <w:p w14:paraId="78F4E3F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79 observational studies</w:t>
            </w:r>
          </w:p>
        </w:tc>
        <w:tc>
          <w:tcPr>
            <w:tcW w:w="1164" w:type="dxa"/>
            <w:gridSpan w:val="2"/>
            <w:tcBorders>
              <w:top w:val="single" w:sz="6" w:space="0" w:color="000000"/>
              <w:left w:val="single" w:sz="6" w:space="0" w:color="000000"/>
              <w:bottom w:val="single" w:sz="6" w:space="0" w:color="000000"/>
              <w:right w:val="single" w:sz="6" w:space="0" w:color="000000"/>
            </w:tcBorders>
          </w:tcPr>
          <w:p w14:paraId="65D9D2C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707896C7"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136" w:type="dxa"/>
            <w:tcBorders>
              <w:top w:val="single" w:sz="6" w:space="0" w:color="000000"/>
              <w:left w:val="single" w:sz="6" w:space="0" w:color="000000"/>
              <w:bottom w:val="single" w:sz="6" w:space="0" w:color="000000"/>
              <w:right w:val="single" w:sz="6" w:space="0" w:color="000000"/>
            </w:tcBorders>
          </w:tcPr>
          <w:p w14:paraId="5D3D32B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0FD0BD4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80" w:type="dxa"/>
            <w:gridSpan w:val="2"/>
            <w:tcBorders>
              <w:top w:val="single" w:sz="6" w:space="0" w:color="000000"/>
              <w:left w:val="single" w:sz="6" w:space="0" w:color="000000"/>
              <w:bottom w:val="single" w:sz="6" w:space="0" w:color="000000"/>
              <w:right w:val="single" w:sz="6" w:space="0" w:color="000000"/>
            </w:tcBorders>
          </w:tcPr>
          <w:p w14:paraId="55FB0CB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0" w:type="dxa"/>
            <w:gridSpan w:val="5"/>
            <w:tcBorders>
              <w:top w:val="single" w:sz="6" w:space="0" w:color="000000"/>
              <w:left w:val="single" w:sz="6" w:space="0" w:color="000000"/>
              <w:bottom w:val="single" w:sz="6" w:space="0" w:color="000000"/>
              <w:right w:val="single" w:sz="6" w:space="0" w:color="000000"/>
            </w:tcBorders>
          </w:tcPr>
          <w:p w14:paraId="1B24795E"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Among 79 observational studies, 45 studies (57%) reported a reduction in unexpected deaths/ mortality with implementation of activation criteria/ RRT, 30 studies (41%) reported no change, and 2 reported an increase. Subgroup analysis examining activation criteria only, RRT/MET only, or a combination of these interventions was not possible given the heterogeneity in data.</w:t>
            </w:r>
          </w:p>
          <w:p w14:paraId="6150C24B" w14:textId="77777777" w:rsidR="006E087E" w:rsidRDefault="006E087E" w:rsidP="00A207C4">
            <w:pPr>
              <w:rPr>
                <w:rFonts w:ascii="Garamond" w:eastAsia="Garamond" w:hAnsi="Garamond" w:cs="Garamond"/>
                <w:color w:val="000000"/>
                <w:sz w:val="18"/>
                <w:szCs w:val="18"/>
              </w:rPr>
            </w:pPr>
          </w:p>
        </w:tc>
        <w:tc>
          <w:tcPr>
            <w:tcW w:w="1136" w:type="dxa"/>
            <w:gridSpan w:val="2"/>
            <w:tcBorders>
              <w:top w:val="single" w:sz="6" w:space="0" w:color="000000"/>
              <w:left w:val="single" w:sz="6" w:space="0" w:color="000000"/>
              <w:bottom w:val="single" w:sz="6" w:space="0" w:color="000000"/>
              <w:right w:val="single" w:sz="6" w:space="0" w:color="000000"/>
            </w:tcBorders>
          </w:tcPr>
          <w:p w14:paraId="723AAB75"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59"/>
                <w:id w:val="-1312170058"/>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59" w:type="dxa"/>
            <w:tcBorders>
              <w:top w:val="single" w:sz="6" w:space="0" w:color="000000"/>
              <w:left w:val="single" w:sz="6" w:space="0" w:color="000000"/>
              <w:bottom w:val="single" w:sz="6" w:space="0" w:color="000000"/>
              <w:right w:val="single" w:sz="6" w:space="0" w:color="000000"/>
            </w:tcBorders>
          </w:tcPr>
          <w:p w14:paraId="4FD09D2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29F99154" w14:textId="77777777" w:rsidTr="00A207C4">
        <w:trPr>
          <w:cantSplit/>
          <w:trHeight w:val="143"/>
        </w:trPr>
        <w:tc>
          <w:tcPr>
            <w:tcW w:w="15028" w:type="dxa"/>
            <w:gridSpan w:val="16"/>
            <w:shd w:val="clear" w:color="auto" w:fill="FFFFFF"/>
            <w:tcMar>
              <w:top w:w="75" w:type="dxa"/>
              <w:left w:w="100" w:type="dxa"/>
              <w:bottom w:w="100" w:type="dxa"/>
              <w:right w:w="100" w:type="dxa"/>
            </w:tcMar>
            <w:vAlign w:val="center"/>
          </w:tcPr>
          <w:p w14:paraId="78C14824" w14:textId="77777777" w:rsidR="006E087E" w:rsidRDefault="006E087E" w:rsidP="00A207C4">
            <w:pPr>
              <w:rPr>
                <w:rFonts w:ascii="Garamond" w:eastAsia="Garamond" w:hAnsi="Garamond" w:cs="Garamond"/>
                <w:b/>
                <w:sz w:val="18"/>
                <w:szCs w:val="18"/>
                <w:highlight w:val="yellow"/>
              </w:rPr>
            </w:pPr>
            <w:r>
              <w:rPr>
                <w:rFonts w:ascii="Garamond" w:eastAsia="Garamond" w:hAnsi="Garamond" w:cs="Garamond"/>
                <w:b/>
                <w:sz w:val="18"/>
                <w:szCs w:val="18"/>
              </w:rPr>
              <w:t>Cardiac arrests outside ICU per 1000 admissions - pooled</w:t>
            </w:r>
          </w:p>
        </w:tc>
      </w:tr>
      <w:tr w:rsidR="006E087E" w14:paraId="71768A53" w14:textId="77777777" w:rsidTr="00A207C4">
        <w:trPr>
          <w:cantSplit/>
          <w:trHeight w:val="654"/>
        </w:trPr>
        <w:tc>
          <w:tcPr>
            <w:tcW w:w="1260" w:type="dxa"/>
            <w:tcBorders>
              <w:top w:val="single" w:sz="6" w:space="0" w:color="000000"/>
              <w:left w:val="single" w:sz="6" w:space="0" w:color="000000"/>
              <w:bottom w:val="single" w:sz="6" w:space="0" w:color="000000"/>
              <w:right w:val="single" w:sz="6" w:space="0" w:color="000000"/>
            </w:tcBorders>
          </w:tcPr>
          <w:p w14:paraId="66490DE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2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tc>
        <w:tc>
          <w:tcPr>
            <w:tcW w:w="1164" w:type="dxa"/>
            <w:gridSpan w:val="2"/>
            <w:tcBorders>
              <w:top w:val="single" w:sz="6" w:space="0" w:color="000000"/>
              <w:left w:val="single" w:sz="6" w:space="0" w:color="000000"/>
              <w:bottom w:val="single" w:sz="6" w:space="0" w:color="000000"/>
              <w:right w:val="single" w:sz="6" w:space="0" w:color="000000"/>
            </w:tcBorders>
          </w:tcPr>
          <w:p w14:paraId="1BA7D86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112492D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43225C9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184794FB"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80" w:type="dxa"/>
            <w:gridSpan w:val="2"/>
            <w:tcBorders>
              <w:top w:val="single" w:sz="6" w:space="0" w:color="000000"/>
              <w:left w:val="single" w:sz="6" w:space="0" w:color="000000"/>
              <w:bottom w:val="single" w:sz="6" w:space="0" w:color="000000"/>
              <w:right w:val="single" w:sz="6" w:space="0" w:color="000000"/>
            </w:tcBorders>
          </w:tcPr>
          <w:p w14:paraId="0D2B1F8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1118" w:type="dxa"/>
            <w:tcBorders>
              <w:top w:val="single" w:sz="6" w:space="0" w:color="000000"/>
              <w:left w:val="single" w:sz="6" w:space="0" w:color="000000"/>
              <w:bottom w:val="single" w:sz="6" w:space="0" w:color="000000"/>
              <w:right w:val="single" w:sz="6" w:space="0" w:color="000000"/>
            </w:tcBorders>
          </w:tcPr>
          <w:p w14:paraId="4A65365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40</w:t>
            </w:r>
          </w:p>
        </w:tc>
        <w:tc>
          <w:tcPr>
            <w:tcW w:w="1148" w:type="dxa"/>
            <w:gridSpan w:val="2"/>
            <w:tcBorders>
              <w:top w:val="single" w:sz="6" w:space="0" w:color="000000"/>
              <w:left w:val="single" w:sz="6" w:space="0" w:color="000000"/>
              <w:bottom w:val="single" w:sz="6" w:space="0" w:color="000000"/>
              <w:right w:val="single" w:sz="6" w:space="0" w:color="000000"/>
            </w:tcBorders>
          </w:tcPr>
          <w:p w14:paraId="27E184B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39</w:t>
            </w:r>
          </w:p>
        </w:tc>
        <w:tc>
          <w:tcPr>
            <w:tcW w:w="3114" w:type="dxa"/>
            <w:gridSpan w:val="2"/>
            <w:tcBorders>
              <w:top w:val="single" w:sz="6" w:space="0" w:color="000000"/>
              <w:left w:val="single" w:sz="6" w:space="0" w:color="000000"/>
              <w:bottom w:val="single" w:sz="6" w:space="0" w:color="000000"/>
              <w:right w:val="single" w:sz="6" w:space="0" w:color="000000"/>
            </w:tcBorders>
          </w:tcPr>
          <w:p w14:paraId="11AD184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MD </w:t>
            </w:r>
            <w:r>
              <w:rPr>
                <w:rFonts w:ascii="Garamond" w:eastAsia="Garamond" w:hAnsi="Garamond" w:cs="Garamond"/>
                <w:b/>
                <w:sz w:val="18"/>
                <w:szCs w:val="18"/>
              </w:rPr>
              <w:t>0.43 per 1000 lower</w:t>
            </w:r>
            <w:r>
              <w:rPr>
                <w:rFonts w:ascii="Garamond" w:eastAsia="Garamond" w:hAnsi="Garamond" w:cs="Garamond"/>
                <w:sz w:val="18"/>
                <w:szCs w:val="18"/>
              </w:rPr>
              <w:br/>
              <w:t>(0.88 lower to 0.02 higher)</w:t>
            </w:r>
          </w:p>
          <w:p w14:paraId="388A282D" w14:textId="77777777" w:rsidR="006E087E" w:rsidRDefault="006E087E" w:rsidP="00A207C4">
            <w:pPr>
              <w:jc w:val="center"/>
              <w:rPr>
                <w:rFonts w:ascii="Garamond" w:eastAsia="Garamond" w:hAnsi="Garamond" w:cs="Garamond"/>
                <w:sz w:val="18"/>
                <w:szCs w:val="18"/>
              </w:rPr>
            </w:pPr>
          </w:p>
          <w:p w14:paraId="273416E6" w14:textId="77777777" w:rsidR="006E087E" w:rsidRDefault="006E087E" w:rsidP="00A207C4">
            <w:pPr>
              <w:jc w:val="center"/>
              <w:rPr>
                <w:rFonts w:ascii="Garamond" w:eastAsia="Garamond" w:hAnsi="Garamond" w:cs="Garamond"/>
                <w:sz w:val="18"/>
                <w:szCs w:val="18"/>
              </w:rPr>
            </w:pPr>
          </w:p>
          <w:p w14:paraId="145F3326" w14:textId="77777777" w:rsidR="006E087E" w:rsidRDefault="006E087E" w:rsidP="00A207C4">
            <w:pPr>
              <w:jc w:val="center"/>
              <w:rPr>
                <w:rFonts w:ascii="Garamond" w:eastAsia="Garamond" w:hAnsi="Garamond" w:cs="Garamond"/>
                <w:sz w:val="18"/>
                <w:szCs w:val="18"/>
              </w:rPr>
            </w:pPr>
          </w:p>
          <w:p w14:paraId="2339F81F" w14:textId="77777777" w:rsidR="006E087E" w:rsidRDefault="006E087E" w:rsidP="00A207C4">
            <w:pPr>
              <w:jc w:val="center"/>
              <w:rPr>
                <w:rFonts w:ascii="Garamond" w:eastAsia="Garamond" w:hAnsi="Garamond" w:cs="Garamond"/>
                <w:sz w:val="18"/>
                <w:szCs w:val="18"/>
              </w:rPr>
            </w:pPr>
          </w:p>
          <w:p w14:paraId="01F08366" w14:textId="77777777" w:rsidR="006E087E" w:rsidRDefault="006E087E" w:rsidP="00A207C4">
            <w:pPr>
              <w:jc w:val="center"/>
              <w:rPr>
                <w:rFonts w:ascii="Garamond" w:eastAsia="Garamond" w:hAnsi="Garamond" w:cs="Garamond"/>
                <w:sz w:val="18"/>
                <w:szCs w:val="18"/>
              </w:rPr>
            </w:pPr>
          </w:p>
          <w:p w14:paraId="02ED9422" w14:textId="77777777" w:rsidR="006E087E" w:rsidRDefault="006E087E" w:rsidP="00A207C4">
            <w:pPr>
              <w:jc w:val="center"/>
              <w:rPr>
                <w:rFonts w:ascii="Garamond" w:eastAsia="Garamond" w:hAnsi="Garamond" w:cs="Garamond"/>
                <w:sz w:val="18"/>
                <w:szCs w:val="18"/>
              </w:rPr>
            </w:pPr>
          </w:p>
          <w:p w14:paraId="6F58990B" w14:textId="77777777" w:rsidR="006E087E" w:rsidRDefault="006E087E" w:rsidP="00A207C4">
            <w:pPr>
              <w:jc w:val="center"/>
              <w:rPr>
                <w:rFonts w:ascii="Garamond" w:eastAsia="Garamond" w:hAnsi="Garamond" w:cs="Garamond"/>
                <w:sz w:val="18"/>
                <w:szCs w:val="18"/>
              </w:rPr>
            </w:pPr>
          </w:p>
          <w:p w14:paraId="34F430C8" w14:textId="77777777" w:rsidR="006E087E" w:rsidRDefault="006E087E" w:rsidP="00A207C4">
            <w:pPr>
              <w:jc w:val="center"/>
              <w:rPr>
                <w:rFonts w:ascii="Garamond" w:eastAsia="Garamond" w:hAnsi="Garamond" w:cs="Garamond"/>
                <w:sz w:val="18"/>
                <w:szCs w:val="18"/>
              </w:rPr>
            </w:pPr>
          </w:p>
        </w:tc>
        <w:tc>
          <w:tcPr>
            <w:tcW w:w="1136" w:type="dxa"/>
            <w:gridSpan w:val="2"/>
            <w:tcBorders>
              <w:top w:val="single" w:sz="6" w:space="0" w:color="000000"/>
              <w:left w:val="single" w:sz="6" w:space="0" w:color="000000"/>
              <w:bottom w:val="single" w:sz="6" w:space="0" w:color="000000"/>
              <w:right w:val="single" w:sz="6" w:space="0" w:color="000000"/>
            </w:tcBorders>
          </w:tcPr>
          <w:p w14:paraId="17002952"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60"/>
                <w:id w:val="-1283958385"/>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Moderate</w:t>
            </w:r>
          </w:p>
        </w:tc>
        <w:tc>
          <w:tcPr>
            <w:tcW w:w="1259" w:type="dxa"/>
            <w:tcBorders>
              <w:top w:val="single" w:sz="6" w:space="0" w:color="000000"/>
              <w:left w:val="single" w:sz="6" w:space="0" w:color="000000"/>
              <w:bottom w:val="single" w:sz="6" w:space="0" w:color="000000"/>
              <w:right w:val="single" w:sz="6" w:space="0" w:color="000000"/>
            </w:tcBorders>
          </w:tcPr>
          <w:p w14:paraId="7C3DFF4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4693E558" w14:textId="77777777" w:rsidTr="00A207C4">
        <w:trPr>
          <w:cantSplit/>
          <w:trHeight w:val="143"/>
        </w:trPr>
        <w:tc>
          <w:tcPr>
            <w:tcW w:w="15028" w:type="dxa"/>
            <w:gridSpan w:val="16"/>
            <w:shd w:val="clear" w:color="auto" w:fill="FFFFFF"/>
            <w:tcMar>
              <w:top w:w="75" w:type="dxa"/>
              <w:left w:w="100" w:type="dxa"/>
              <w:bottom w:w="100" w:type="dxa"/>
              <w:right w:w="100" w:type="dxa"/>
            </w:tcMar>
            <w:vAlign w:val="center"/>
          </w:tcPr>
          <w:p w14:paraId="6BA57C06"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lastRenderedPageBreak/>
              <w:t>Cardiac arrests outside ICU - not pooled</w:t>
            </w:r>
          </w:p>
        </w:tc>
      </w:tr>
      <w:tr w:rsidR="006E087E" w14:paraId="0D7419F9" w14:textId="77777777" w:rsidTr="00A207C4">
        <w:trPr>
          <w:cantSplit/>
          <w:trHeight w:val="143"/>
        </w:trPr>
        <w:tc>
          <w:tcPr>
            <w:tcW w:w="1260" w:type="dxa"/>
            <w:tcBorders>
              <w:top w:val="single" w:sz="6" w:space="0" w:color="000000"/>
              <w:left w:val="single" w:sz="6" w:space="0" w:color="000000"/>
              <w:bottom w:val="single" w:sz="6" w:space="0" w:color="000000"/>
              <w:right w:val="single" w:sz="6" w:space="0" w:color="000000"/>
            </w:tcBorders>
          </w:tcPr>
          <w:p w14:paraId="32D241D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2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p w14:paraId="47351CB7" w14:textId="77777777" w:rsidR="006E087E" w:rsidRDefault="006E087E" w:rsidP="00A207C4">
            <w:pPr>
              <w:jc w:val="center"/>
              <w:rPr>
                <w:rFonts w:ascii="Garamond" w:eastAsia="Garamond" w:hAnsi="Garamond" w:cs="Garamond"/>
                <w:sz w:val="18"/>
                <w:szCs w:val="18"/>
              </w:rPr>
            </w:pPr>
          </w:p>
          <w:p w14:paraId="5B9B6E1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67 observational studies</w:t>
            </w:r>
          </w:p>
        </w:tc>
        <w:tc>
          <w:tcPr>
            <w:tcW w:w="1164" w:type="dxa"/>
            <w:gridSpan w:val="2"/>
            <w:tcBorders>
              <w:top w:val="single" w:sz="6" w:space="0" w:color="000000"/>
              <w:left w:val="single" w:sz="6" w:space="0" w:color="000000"/>
              <w:bottom w:val="single" w:sz="6" w:space="0" w:color="000000"/>
              <w:right w:val="single" w:sz="6" w:space="0" w:color="000000"/>
            </w:tcBorders>
          </w:tcPr>
          <w:p w14:paraId="74DC8CB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4C0EAF61"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136" w:type="dxa"/>
            <w:tcBorders>
              <w:top w:val="single" w:sz="6" w:space="0" w:color="000000"/>
              <w:left w:val="single" w:sz="6" w:space="0" w:color="000000"/>
              <w:bottom w:val="single" w:sz="6" w:space="0" w:color="000000"/>
              <w:right w:val="single" w:sz="6" w:space="0" w:color="000000"/>
            </w:tcBorders>
          </w:tcPr>
          <w:p w14:paraId="6A6AFBE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254F64D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80" w:type="dxa"/>
            <w:gridSpan w:val="2"/>
            <w:tcBorders>
              <w:top w:val="single" w:sz="6" w:space="0" w:color="000000"/>
              <w:left w:val="single" w:sz="6" w:space="0" w:color="000000"/>
              <w:bottom w:val="single" w:sz="6" w:space="0" w:color="000000"/>
              <w:right w:val="single" w:sz="6" w:space="0" w:color="000000"/>
            </w:tcBorders>
          </w:tcPr>
          <w:p w14:paraId="71DCCA0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0" w:type="dxa"/>
            <w:gridSpan w:val="5"/>
            <w:tcBorders>
              <w:top w:val="single" w:sz="6" w:space="0" w:color="000000"/>
              <w:left w:val="single" w:sz="6" w:space="0" w:color="000000"/>
              <w:bottom w:val="single" w:sz="6" w:space="0" w:color="000000"/>
              <w:right w:val="single" w:sz="6" w:space="0" w:color="000000"/>
            </w:tcBorders>
          </w:tcPr>
          <w:p w14:paraId="3E4019CF"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Two additional RCTs (</w:t>
            </w:r>
            <w:proofErr w:type="spellStart"/>
            <w:r>
              <w:rPr>
                <w:rFonts w:ascii="Garamond" w:eastAsia="Garamond" w:hAnsi="Garamond" w:cs="Garamond"/>
                <w:color w:val="000000"/>
                <w:sz w:val="18"/>
                <w:szCs w:val="18"/>
              </w:rPr>
              <w:t>Jeddian</w:t>
            </w:r>
            <w:proofErr w:type="spellEnd"/>
            <w:r>
              <w:rPr>
                <w:rFonts w:ascii="Garamond" w:eastAsia="Garamond" w:hAnsi="Garamond" w:cs="Garamond"/>
                <w:color w:val="000000"/>
                <w:sz w:val="18"/>
                <w:szCs w:val="18"/>
              </w:rPr>
              <w:t xml:space="preserve"> et al., 2016</w:t>
            </w:r>
            <w:r>
              <w:rPr>
                <w:rFonts w:ascii="Garamond" w:eastAsia="Garamond" w:hAnsi="Garamond" w:cs="Garamond"/>
                <w:color w:val="000000"/>
                <w:sz w:val="18"/>
                <w:szCs w:val="18"/>
                <w:vertAlign w:val="superscript"/>
              </w:rPr>
              <w:t>60</w:t>
            </w:r>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YekeFallah</w:t>
            </w:r>
            <w:proofErr w:type="spellEnd"/>
            <w:r>
              <w:rPr>
                <w:rFonts w:ascii="Garamond" w:eastAsia="Garamond" w:hAnsi="Garamond" w:cs="Garamond"/>
                <w:color w:val="000000"/>
                <w:sz w:val="18"/>
                <w:szCs w:val="18"/>
              </w:rPr>
              <w:t xml:space="preserve"> et al., 2018</w:t>
            </w:r>
            <w:r>
              <w:rPr>
                <w:rFonts w:ascii="Garamond" w:eastAsia="Garamond" w:hAnsi="Garamond" w:cs="Garamond"/>
                <w:color w:val="000000"/>
                <w:sz w:val="18"/>
                <w:szCs w:val="18"/>
                <w:vertAlign w:val="superscript"/>
              </w:rPr>
              <w:t>58</w:t>
            </w:r>
            <w:r>
              <w:rPr>
                <w:rFonts w:ascii="Garamond" w:eastAsia="Garamond" w:hAnsi="Garamond" w:cs="Garamond"/>
                <w:color w:val="000000"/>
                <w:sz w:val="18"/>
                <w:szCs w:val="18"/>
              </w:rPr>
              <w:t>) showed no effect on cardiac arrest rates with the implementation of RRT/MET.</w:t>
            </w:r>
          </w:p>
          <w:p w14:paraId="3C2ADFF5" w14:textId="77777777" w:rsidR="006E087E" w:rsidRDefault="006E087E" w:rsidP="00A207C4">
            <w:pPr>
              <w:rPr>
                <w:rFonts w:ascii="Garamond" w:eastAsia="Garamond" w:hAnsi="Garamond" w:cs="Garamond"/>
                <w:color w:val="000000"/>
                <w:sz w:val="18"/>
                <w:szCs w:val="18"/>
              </w:rPr>
            </w:pPr>
          </w:p>
          <w:p w14:paraId="53DE97F7"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Amongst 67 observational studies, 41 studies (61%) reported a reduction in cardiac arrest with implementation of activation criteria +/- RRT/MET, whereas 26 (39%) reported no change. No studies reported an increase in cardiac arrest rates. Subgroup analysis examining activation criteria only, RRT/MET only, or a combination of these interventions was not possible given the heterogeneity in data.</w:t>
            </w:r>
          </w:p>
        </w:tc>
        <w:tc>
          <w:tcPr>
            <w:tcW w:w="1136" w:type="dxa"/>
            <w:gridSpan w:val="2"/>
            <w:tcBorders>
              <w:top w:val="single" w:sz="6" w:space="0" w:color="000000"/>
              <w:left w:val="single" w:sz="6" w:space="0" w:color="000000"/>
              <w:bottom w:val="single" w:sz="6" w:space="0" w:color="000000"/>
              <w:right w:val="single" w:sz="6" w:space="0" w:color="000000"/>
            </w:tcBorders>
          </w:tcPr>
          <w:p w14:paraId="1D78B008"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61"/>
                <w:id w:val="420383246"/>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59" w:type="dxa"/>
            <w:tcBorders>
              <w:top w:val="single" w:sz="6" w:space="0" w:color="000000"/>
              <w:left w:val="single" w:sz="6" w:space="0" w:color="000000"/>
              <w:bottom w:val="single" w:sz="6" w:space="0" w:color="000000"/>
              <w:right w:val="single" w:sz="6" w:space="0" w:color="000000"/>
            </w:tcBorders>
          </w:tcPr>
          <w:p w14:paraId="3A05D97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59C5D3D4" w14:textId="77777777" w:rsidTr="00A207C4">
        <w:trPr>
          <w:cantSplit/>
          <w:trHeight w:val="143"/>
        </w:trPr>
        <w:tc>
          <w:tcPr>
            <w:tcW w:w="15028" w:type="dxa"/>
            <w:gridSpan w:val="16"/>
            <w:shd w:val="clear" w:color="auto" w:fill="FFFFFF"/>
            <w:tcMar>
              <w:top w:w="75" w:type="dxa"/>
              <w:left w:w="100" w:type="dxa"/>
              <w:bottom w:w="100" w:type="dxa"/>
              <w:right w:w="100" w:type="dxa"/>
            </w:tcMar>
            <w:vAlign w:val="center"/>
          </w:tcPr>
          <w:p w14:paraId="3A152F56" w14:textId="77777777" w:rsidR="006E087E" w:rsidRDefault="006E087E" w:rsidP="00A207C4">
            <w:pPr>
              <w:rPr>
                <w:rFonts w:ascii="Garamond" w:eastAsia="Garamond" w:hAnsi="Garamond" w:cs="Garamond"/>
                <w:b/>
                <w:color w:val="000000"/>
                <w:sz w:val="18"/>
                <w:szCs w:val="18"/>
              </w:rPr>
            </w:pPr>
            <w:r>
              <w:rPr>
                <w:rFonts w:ascii="Garamond" w:eastAsia="Garamond" w:hAnsi="Garamond" w:cs="Garamond"/>
                <w:b/>
                <w:color w:val="000000"/>
                <w:sz w:val="18"/>
                <w:szCs w:val="18"/>
              </w:rPr>
              <w:t>Quality of life - not pooled</w:t>
            </w:r>
          </w:p>
        </w:tc>
      </w:tr>
      <w:tr w:rsidR="006E087E" w14:paraId="2AC8F4C2" w14:textId="77777777" w:rsidTr="00A207C4">
        <w:trPr>
          <w:cantSplit/>
          <w:trHeight w:val="143"/>
        </w:trPr>
        <w:tc>
          <w:tcPr>
            <w:tcW w:w="1260" w:type="dxa"/>
            <w:tcBorders>
              <w:top w:val="single" w:sz="6" w:space="0" w:color="000000"/>
              <w:left w:val="single" w:sz="6" w:space="0" w:color="000000"/>
              <w:bottom w:val="single" w:sz="6" w:space="0" w:color="000000"/>
              <w:right w:val="single" w:sz="6" w:space="0" w:color="000000"/>
            </w:tcBorders>
          </w:tcPr>
          <w:p w14:paraId="155C40D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 observational study</w:t>
            </w:r>
          </w:p>
        </w:tc>
        <w:tc>
          <w:tcPr>
            <w:tcW w:w="1164" w:type="dxa"/>
            <w:gridSpan w:val="2"/>
            <w:tcBorders>
              <w:top w:val="single" w:sz="6" w:space="0" w:color="000000"/>
              <w:left w:val="single" w:sz="6" w:space="0" w:color="000000"/>
              <w:bottom w:val="single" w:sz="6" w:space="0" w:color="000000"/>
              <w:right w:val="single" w:sz="6" w:space="0" w:color="000000"/>
            </w:tcBorders>
          </w:tcPr>
          <w:p w14:paraId="0F301CE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43D15E2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5215B34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258C15C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80" w:type="dxa"/>
            <w:gridSpan w:val="2"/>
            <w:tcBorders>
              <w:top w:val="single" w:sz="6" w:space="0" w:color="000000"/>
              <w:left w:val="single" w:sz="6" w:space="0" w:color="000000"/>
              <w:bottom w:val="single" w:sz="6" w:space="0" w:color="000000"/>
              <w:right w:val="single" w:sz="6" w:space="0" w:color="000000"/>
            </w:tcBorders>
          </w:tcPr>
          <w:p w14:paraId="0A2BF20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0" w:type="dxa"/>
            <w:gridSpan w:val="5"/>
            <w:tcBorders>
              <w:top w:val="single" w:sz="6" w:space="0" w:color="000000"/>
              <w:left w:val="single" w:sz="6" w:space="0" w:color="000000"/>
              <w:bottom w:val="single" w:sz="6" w:space="0" w:color="000000"/>
              <w:right w:val="single" w:sz="6" w:space="0" w:color="000000"/>
            </w:tcBorders>
          </w:tcPr>
          <w:p w14:paraId="52F08048"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One observational study (</w:t>
            </w:r>
            <w:proofErr w:type="spellStart"/>
            <w:r>
              <w:rPr>
                <w:rFonts w:ascii="Garamond" w:eastAsia="Garamond" w:hAnsi="Garamond" w:cs="Garamond"/>
                <w:color w:val="000000"/>
                <w:sz w:val="18"/>
                <w:szCs w:val="18"/>
              </w:rPr>
              <w:t>Simmes</w:t>
            </w:r>
            <w:proofErr w:type="spellEnd"/>
            <w:r>
              <w:rPr>
                <w:rFonts w:ascii="Garamond" w:eastAsia="Garamond" w:hAnsi="Garamond" w:cs="Garamond"/>
                <w:color w:val="000000"/>
                <w:sz w:val="18"/>
                <w:szCs w:val="18"/>
              </w:rPr>
              <w:t xml:space="preserve"> et al., 2013)</w:t>
            </w:r>
            <w:r>
              <w:rPr>
                <w:rFonts w:ascii="Garamond" w:eastAsia="Garamond" w:hAnsi="Garamond" w:cs="Garamond"/>
                <w:color w:val="000000"/>
                <w:sz w:val="18"/>
                <w:szCs w:val="18"/>
                <w:vertAlign w:val="superscript"/>
              </w:rPr>
              <w:t>143</w:t>
            </w:r>
            <w:r>
              <w:rPr>
                <w:rFonts w:ascii="Garamond" w:eastAsia="Garamond" w:hAnsi="Garamond" w:cs="Garamond"/>
                <w:color w:val="000000"/>
                <w:sz w:val="18"/>
                <w:szCs w:val="18"/>
              </w:rPr>
              <w:t xml:space="preserve"> reported no change in health-related quality of life with implementation of RRT/MET among surgical patients at 3 and 6 months.</w:t>
            </w:r>
          </w:p>
        </w:tc>
        <w:tc>
          <w:tcPr>
            <w:tcW w:w="1136" w:type="dxa"/>
            <w:gridSpan w:val="2"/>
            <w:tcBorders>
              <w:top w:val="single" w:sz="6" w:space="0" w:color="000000"/>
              <w:left w:val="single" w:sz="6" w:space="0" w:color="000000"/>
              <w:bottom w:val="single" w:sz="6" w:space="0" w:color="000000"/>
              <w:right w:val="single" w:sz="6" w:space="0" w:color="000000"/>
            </w:tcBorders>
          </w:tcPr>
          <w:p w14:paraId="6F763B85"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62"/>
                <w:id w:val="-1950388077"/>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59" w:type="dxa"/>
            <w:tcBorders>
              <w:top w:val="single" w:sz="6" w:space="0" w:color="000000"/>
              <w:left w:val="single" w:sz="6" w:space="0" w:color="000000"/>
              <w:bottom w:val="single" w:sz="6" w:space="0" w:color="000000"/>
              <w:right w:val="single" w:sz="6" w:space="0" w:color="000000"/>
            </w:tcBorders>
          </w:tcPr>
          <w:p w14:paraId="25D656B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30EB74BF" w14:textId="77777777" w:rsidTr="00A207C4">
        <w:trPr>
          <w:cantSplit/>
          <w:trHeight w:val="143"/>
        </w:trPr>
        <w:tc>
          <w:tcPr>
            <w:tcW w:w="15028" w:type="dxa"/>
            <w:gridSpan w:val="16"/>
            <w:shd w:val="clear" w:color="auto" w:fill="FFFFFF"/>
            <w:tcMar>
              <w:top w:w="75" w:type="dxa"/>
              <w:left w:w="100" w:type="dxa"/>
              <w:bottom w:w="100" w:type="dxa"/>
              <w:right w:w="100" w:type="dxa"/>
            </w:tcMar>
            <w:vAlign w:val="center"/>
          </w:tcPr>
          <w:p w14:paraId="7A62873F" w14:textId="77777777" w:rsidR="006E087E" w:rsidRDefault="006E087E" w:rsidP="00A207C4">
            <w:pPr>
              <w:rPr>
                <w:rFonts w:ascii="Garamond" w:eastAsia="Garamond" w:hAnsi="Garamond" w:cs="Garamond"/>
                <w:b/>
                <w:color w:val="000000"/>
                <w:sz w:val="18"/>
                <w:szCs w:val="18"/>
              </w:rPr>
            </w:pPr>
            <w:r>
              <w:rPr>
                <w:rFonts w:ascii="Garamond" w:eastAsia="Garamond" w:hAnsi="Garamond" w:cs="Garamond"/>
                <w:b/>
                <w:color w:val="000000"/>
                <w:sz w:val="18"/>
                <w:szCs w:val="18"/>
              </w:rPr>
              <w:t>Discharge to assisted living - not pooled</w:t>
            </w:r>
          </w:p>
        </w:tc>
      </w:tr>
      <w:tr w:rsidR="006E087E" w14:paraId="3B7FAD84" w14:textId="77777777" w:rsidTr="00A207C4">
        <w:trPr>
          <w:cantSplit/>
          <w:trHeight w:val="143"/>
        </w:trPr>
        <w:tc>
          <w:tcPr>
            <w:tcW w:w="1260" w:type="dxa"/>
            <w:tcBorders>
              <w:top w:val="single" w:sz="6" w:space="0" w:color="000000"/>
              <w:left w:val="single" w:sz="6" w:space="0" w:color="000000"/>
              <w:bottom w:val="single" w:sz="6" w:space="0" w:color="000000"/>
              <w:right w:val="single" w:sz="6" w:space="0" w:color="000000"/>
            </w:tcBorders>
          </w:tcPr>
          <w:p w14:paraId="53EA9CC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 observational studies</w:t>
            </w:r>
          </w:p>
        </w:tc>
        <w:tc>
          <w:tcPr>
            <w:tcW w:w="1164" w:type="dxa"/>
            <w:gridSpan w:val="2"/>
            <w:tcBorders>
              <w:top w:val="single" w:sz="6" w:space="0" w:color="000000"/>
              <w:left w:val="single" w:sz="6" w:space="0" w:color="000000"/>
              <w:bottom w:val="single" w:sz="6" w:space="0" w:color="000000"/>
              <w:right w:val="single" w:sz="6" w:space="0" w:color="000000"/>
            </w:tcBorders>
          </w:tcPr>
          <w:p w14:paraId="6A8D4C8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49BD561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7F9BBC8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149BF4D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80" w:type="dxa"/>
            <w:gridSpan w:val="2"/>
            <w:tcBorders>
              <w:top w:val="single" w:sz="6" w:space="0" w:color="000000"/>
              <w:left w:val="single" w:sz="6" w:space="0" w:color="000000"/>
              <w:bottom w:val="single" w:sz="6" w:space="0" w:color="000000"/>
              <w:right w:val="single" w:sz="6" w:space="0" w:color="000000"/>
            </w:tcBorders>
          </w:tcPr>
          <w:p w14:paraId="3E0C8A5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0" w:type="dxa"/>
            <w:gridSpan w:val="5"/>
            <w:tcBorders>
              <w:top w:val="single" w:sz="6" w:space="0" w:color="000000"/>
              <w:left w:val="single" w:sz="6" w:space="0" w:color="000000"/>
              <w:bottom w:val="single" w:sz="6" w:space="0" w:color="000000"/>
              <w:right w:val="single" w:sz="6" w:space="0" w:color="000000"/>
            </w:tcBorders>
          </w:tcPr>
          <w:p w14:paraId="0223E1DC"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Two observational studies (Angel et al., 2016</w:t>
            </w:r>
            <w:r>
              <w:rPr>
                <w:rFonts w:ascii="Garamond" w:eastAsia="Garamond" w:hAnsi="Garamond" w:cs="Garamond"/>
                <w:color w:val="000000"/>
                <w:sz w:val="18"/>
                <w:szCs w:val="18"/>
                <w:vertAlign w:val="superscript"/>
              </w:rPr>
              <w:t>68</w:t>
            </w:r>
            <w:r>
              <w:rPr>
                <w:rFonts w:ascii="Garamond" w:eastAsia="Garamond" w:hAnsi="Garamond" w:cs="Garamond"/>
                <w:color w:val="000000"/>
                <w:sz w:val="18"/>
                <w:szCs w:val="18"/>
              </w:rPr>
              <w:t>; Umscheid et al., 2015</w:t>
            </w:r>
            <w:r>
              <w:rPr>
                <w:rFonts w:ascii="Garamond" w:eastAsia="Garamond" w:hAnsi="Garamond" w:cs="Garamond"/>
                <w:color w:val="000000"/>
                <w:sz w:val="18"/>
                <w:szCs w:val="18"/>
                <w:vertAlign w:val="superscript"/>
              </w:rPr>
              <w:t>153</w:t>
            </w:r>
            <w:r>
              <w:rPr>
                <w:rFonts w:ascii="Garamond" w:eastAsia="Garamond" w:hAnsi="Garamond" w:cs="Garamond"/>
                <w:color w:val="000000"/>
                <w:sz w:val="18"/>
                <w:szCs w:val="18"/>
              </w:rPr>
              <w:t>) reported no change in rates of discharge to assisted living with implementation of RRT/MET with or without activation criteria.</w:t>
            </w:r>
          </w:p>
        </w:tc>
        <w:tc>
          <w:tcPr>
            <w:tcW w:w="1136" w:type="dxa"/>
            <w:gridSpan w:val="2"/>
            <w:tcBorders>
              <w:top w:val="single" w:sz="6" w:space="0" w:color="000000"/>
              <w:left w:val="single" w:sz="6" w:space="0" w:color="000000"/>
              <w:bottom w:val="single" w:sz="6" w:space="0" w:color="000000"/>
              <w:right w:val="single" w:sz="6" w:space="0" w:color="000000"/>
            </w:tcBorders>
          </w:tcPr>
          <w:p w14:paraId="359C5584"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63"/>
                <w:id w:val="120885824"/>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59" w:type="dxa"/>
            <w:tcBorders>
              <w:top w:val="single" w:sz="6" w:space="0" w:color="000000"/>
              <w:left w:val="single" w:sz="6" w:space="0" w:color="000000"/>
              <w:bottom w:val="single" w:sz="6" w:space="0" w:color="000000"/>
              <w:right w:val="single" w:sz="6" w:space="0" w:color="000000"/>
            </w:tcBorders>
          </w:tcPr>
          <w:p w14:paraId="4989835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5AE38F6B" w14:textId="77777777" w:rsidTr="00A207C4">
        <w:trPr>
          <w:cantSplit/>
          <w:trHeight w:val="143"/>
        </w:trPr>
        <w:tc>
          <w:tcPr>
            <w:tcW w:w="15028" w:type="dxa"/>
            <w:gridSpan w:val="16"/>
            <w:shd w:val="clear" w:color="auto" w:fill="FFFFFF"/>
            <w:tcMar>
              <w:top w:w="75" w:type="dxa"/>
              <w:left w:w="100" w:type="dxa"/>
              <w:bottom w:w="100" w:type="dxa"/>
              <w:right w:w="100" w:type="dxa"/>
            </w:tcMar>
            <w:vAlign w:val="center"/>
          </w:tcPr>
          <w:p w14:paraId="2C307ACB" w14:textId="77777777" w:rsidR="006E087E" w:rsidRDefault="006E087E" w:rsidP="00A207C4">
            <w:pPr>
              <w:rPr>
                <w:rFonts w:ascii="Garamond" w:eastAsia="Garamond" w:hAnsi="Garamond" w:cs="Garamond"/>
                <w:b/>
                <w:color w:val="000000"/>
                <w:sz w:val="18"/>
                <w:szCs w:val="18"/>
                <w:highlight w:val="yellow"/>
              </w:rPr>
            </w:pPr>
            <w:r>
              <w:rPr>
                <w:rFonts w:ascii="Garamond" w:eastAsia="Garamond" w:hAnsi="Garamond" w:cs="Garamond"/>
                <w:b/>
                <w:color w:val="000000"/>
                <w:sz w:val="18"/>
                <w:szCs w:val="18"/>
              </w:rPr>
              <w:t>Unplanned transfers to ICU per 1000 admissions - pooled data</w:t>
            </w:r>
          </w:p>
        </w:tc>
      </w:tr>
      <w:tr w:rsidR="006E087E" w14:paraId="7E865068" w14:textId="77777777" w:rsidTr="00A207C4">
        <w:trPr>
          <w:cantSplit/>
          <w:trHeight w:val="585"/>
        </w:trPr>
        <w:tc>
          <w:tcPr>
            <w:tcW w:w="1260" w:type="dxa"/>
            <w:tcBorders>
              <w:top w:val="single" w:sz="6" w:space="0" w:color="000000"/>
              <w:left w:val="single" w:sz="6" w:space="0" w:color="000000"/>
              <w:bottom w:val="single" w:sz="6" w:space="0" w:color="000000"/>
              <w:right w:val="single" w:sz="6" w:space="0" w:color="000000"/>
            </w:tcBorders>
          </w:tcPr>
          <w:p w14:paraId="6701D54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2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tc>
        <w:tc>
          <w:tcPr>
            <w:tcW w:w="1164" w:type="dxa"/>
            <w:gridSpan w:val="2"/>
            <w:tcBorders>
              <w:top w:val="single" w:sz="6" w:space="0" w:color="000000"/>
              <w:left w:val="single" w:sz="6" w:space="0" w:color="000000"/>
              <w:bottom w:val="single" w:sz="6" w:space="0" w:color="000000"/>
              <w:right w:val="single" w:sz="6" w:space="0" w:color="000000"/>
            </w:tcBorders>
          </w:tcPr>
          <w:p w14:paraId="4C5F3991"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d</w:t>
            </w:r>
          </w:p>
        </w:tc>
        <w:tc>
          <w:tcPr>
            <w:tcW w:w="1277" w:type="dxa"/>
            <w:tcBorders>
              <w:top w:val="single" w:sz="6" w:space="0" w:color="000000"/>
              <w:left w:val="single" w:sz="6" w:space="0" w:color="000000"/>
              <w:bottom w:val="single" w:sz="6" w:space="0" w:color="000000"/>
              <w:right w:val="single" w:sz="6" w:space="0" w:color="000000"/>
            </w:tcBorders>
          </w:tcPr>
          <w:p w14:paraId="7C303B6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6164B6F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6FCAF638"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e</w:t>
            </w:r>
          </w:p>
        </w:tc>
        <w:tc>
          <w:tcPr>
            <w:tcW w:w="1280" w:type="dxa"/>
            <w:gridSpan w:val="2"/>
            <w:tcBorders>
              <w:top w:val="single" w:sz="6" w:space="0" w:color="000000"/>
              <w:left w:val="single" w:sz="6" w:space="0" w:color="000000"/>
              <w:bottom w:val="single" w:sz="6" w:space="0" w:color="000000"/>
              <w:right w:val="single" w:sz="6" w:space="0" w:color="000000"/>
            </w:tcBorders>
          </w:tcPr>
          <w:p w14:paraId="5854A4C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1118" w:type="dxa"/>
            <w:tcBorders>
              <w:top w:val="single" w:sz="6" w:space="0" w:color="000000"/>
              <w:left w:val="single" w:sz="6" w:space="0" w:color="000000"/>
              <w:bottom w:val="single" w:sz="6" w:space="0" w:color="000000"/>
              <w:right w:val="single" w:sz="6" w:space="0" w:color="000000"/>
            </w:tcBorders>
          </w:tcPr>
          <w:p w14:paraId="42431A06" w14:textId="77777777" w:rsidR="006E087E" w:rsidRDefault="006E087E" w:rsidP="00A207C4">
            <w:pPr>
              <w:jc w:val="center"/>
              <w:rPr>
                <w:rFonts w:ascii="Garamond" w:eastAsia="Garamond" w:hAnsi="Garamond" w:cs="Garamond"/>
                <w:color w:val="000000"/>
                <w:sz w:val="18"/>
                <w:szCs w:val="18"/>
              </w:rPr>
            </w:pPr>
            <w:r>
              <w:rPr>
                <w:rFonts w:ascii="Garamond" w:eastAsia="Garamond" w:hAnsi="Garamond" w:cs="Garamond"/>
                <w:color w:val="000000"/>
                <w:sz w:val="18"/>
                <w:szCs w:val="18"/>
              </w:rPr>
              <w:t>40</w:t>
            </w:r>
          </w:p>
        </w:tc>
        <w:tc>
          <w:tcPr>
            <w:tcW w:w="1148" w:type="dxa"/>
            <w:gridSpan w:val="2"/>
            <w:tcBorders>
              <w:top w:val="single" w:sz="6" w:space="0" w:color="000000"/>
              <w:left w:val="single" w:sz="6" w:space="0" w:color="000000"/>
              <w:bottom w:val="single" w:sz="6" w:space="0" w:color="000000"/>
              <w:right w:val="single" w:sz="6" w:space="0" w:color="000000"/>
            </w:tcBorders>
          </w:tcPr>
          <w:p w14:paraId="234A31F2" w14:textId="77777777" w:rsidR="006E087E" w:rsidRDefault="006E087E" w:rsidP="00A207C4">
            <w:pPr>
              <w:jc w:val="center"/>
              <w:rPr>
                <w:rFonts w:ascii="Garamond" w:eastAsia="Garamond" w:hAnsi="Garamond" w:cs="Garamond"/>
                <w:color w:val="000000"/>
                <w:sz w:val="18"/>
                <w:szCs w:val="18"/>
              </w:rPr>
            </w:pPr>
            <w:r>
              <w:rPr>
                <w:rFonts w:ascii="Garamond" w:eastAsia="Garamond" w:hAnsi="Garamond" w:cs="Garamond"/>
                <w:color w:val="000000"/>
                <w:sz w:val="18"/>
                <w:szCs w:val="18"/>
              </w:rPr>
              <w:t>39</w:t>
            </w:r>
          </w:p>
        </w:tc>
        <w:tc>
          <w:tcPr>
            <w:tcW w:w="3114" w:type="dxa"/>
            <w:gridSpan w:val="2"/>
            <w:tcBorders>
              <w:top w:val="single" w:sz="6" w:space="0" w:color="000000"/>
              <w:left w:val="single" w:sz="6" w:space="0" w:color="000000"/>
              <w:bottom w:val="single" w:sz="6" w:space="0" w:color="000000"/>
              <w:right w:val="single" w:sz="6" w:space="0" w:color="000000"/>
            </w:tcBorders>
          </w:tcPr>
          <w:p w14:paraId="706ADB9D" w14:textId="77777777" w:rsidR="006E087E" w:rsidRDefault="006E087E" w:rsidP="00A207C4">
            <w:pPr>
              <w:jc w:val="center"/>
              <w:rPr>
                <w:rFonts w:ascii="Garamond" w:eastAsia="Garamond" w:hAnsi="Garamond" w:cs="Garamond"/>
                <w:color w:val="000000"/>
                <w:sz w:val="18"/>
                <w:szCs w:val="18"/>
              </w:rPr>
            </w:pPr>
            <w:r>
              <w:rPr>
                <w:rFonts w:ascii="Garamond" w:eastAsia="Garamond" w:hAnsi="Garamond" w:cs="Garamond"/>
                <w:color w:val="000000"/>
                <w:sz w:val="18"/>
                <w:szCs w:val="18"/>
              </w:rPr>
              <w:t xml:space="preserve">MD </w:t>
            </w:r>
            <w:r>
              <w:rPr>
                <w:rFonts w:ascii="Garamond" w:eastAsia="Garamond" w:hAnsi="Garamond" w:cs="Garamond"/>
                <w:b/>
                <w:color w:val="000000"/>
                <w:sz w:val="18"/>
                <w:szCs w:val="18"/>
              </w:rPr>
              <w:t>0.59 per 1000 higher</w:t>
            </w:r>
            <w:r>
              <w:rPr>
                <w:rFonts w:ascii="Garamond" w:eastAsia="Garamond" w:hAnsi="Garamond" w:cs="Garamond"/>
                <w:color w:val="000000"/>
                <w:sz w:val="18"/>
                <w:szCs w:val="18"/>
              </w:rPr>
              <w:br/>
              <w:t>(2.57 lower to 3.74 higher)</w:t>
            </w:r>
          </w:p>
        </w:tc>
        <w:tc>
          <w:tcPr>
            <w:tcW w:w="1136" w:type="dxa"/>
            <w:gridSpan w:val="2"/>
            <w:tcBorders>
              <w:top w:val="single" w:sz="6" w:space="0" w:color="000000"/>
              <w:left w:val="single" w:sz="6" w:space="0" w:color="000000"/>
              <w:bottom w:val="single" w:sz="6" w:space="0" w:color="000000"/>
              <w:right w:val="single" w:sz="6" w:space="0" w:color="000000"/>
            </w:tcBorders>
          </w:tcPr>
          <w:p w14:paraId="4E7819E9"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64"/>
                <w:id w:val="-121467451"/>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59" w:type="dxa"/>
            <w:tcBorders>
              <w:top w:val="single" w:sz="6" w:space="0" w:color="000000"/>
              <w:left w:val="single" w:sz="6" w:space="0" w:color="000000"/>
              <w:bottom w:val="single" w:sz="6" w:space="0" w:color="000000"/>
              <w:right w:val="single" w:sz="6" w:space="0" w:color="000000"/>
            </w:tcBorders>
          </w:tcPr>
          <w:p w14:paraId="7086CD7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643FFA65" w14:textId="77777777" w:rsidTr="00A207C4">
        <w:trPr>
          <w:cantSplit/>
          <w:trHeight w:val="143"/>
        </w:trPr>
        <w:tc>
          <w:tcPr>
            <w:tcW w:w="15028" w:type="dxa"/>
            <w:gridSpan w:val="16"/>
            <w:shd w:val="clear" w:color="auto" w:fill="FFFFFF"/>
            <w:tcMar>
              <w:top w:w="75" w:type="dxa"/>
              <w:left w:w="100" w:type="dxa"/>
              <w:bottom w:w="100" w:type="dxa"/>
              <w:right w:w="100" w:type="dxa"/>
            </w:tcMar>
            <w:vAlign w:val="center"/>
          </w:tcPr>
          <w:p w14:paraId="01C7ACE2" w14:textId="77777777" w:rsidR="006E087E" w:rsidRDefault="006E087E" w:rsidP="00A207C4">
            <w:pPr>
              <w:rPr>
                <w:rFonts w:ascii="Garamond" w:eastAsia="Garamond" w:hAnsi="Garamond" w:cs="Garamond"/>
                <w:b/>
                <w:color w:val="000000"/>
                <w:sz w:val="18"/>
                <w:szCs w:val="18"/>
              </w:rPr>
            </w:pPr>
            <w:r>
              <w:rPr>
                <w:rFonts w:ascii="Garamond" w:eastAsia="Garamond" w:hAnsi="Garamond" w:cs="Garamond"/>
                <w:b/>
                <w:color w:val="000000"/>
                <w:sz w:val="18"/>
                <w:szCs w:val="18"/>
              </w:rPr>
              <w:t>Unplanned transfers to ICU - not pooled</w:t>
            </w:r>
          </w:p>
        </w:tc>
      </w:tr>
      <w:tr w:rsidR="006E087E" w14:paraId="037F4307" w14:textId="77777777" w:rsidTr="00A207C4">
        <w:trPr>
          <w:cantSplit/>
          <w:trHeight w:val="143"/>
        </w:trPr>
        <w:tc>
          <w:tcPr>
            <w:tcW w:w="1260" w:type="dxa"/>
            <w:tcBorders>
              <w:top w:val="single" w:sz="6" w:space="0" w:color="000000"/>
              <w:left w:val="single" w:sz="6" w:space="0" w:color="000000"/>
              <w:bottom w:val="single" w:sz="6" w:space="0" w:color="000000"/>
              <w:right w:val="single" w:sz="6" w:space="0" w:color="000000"/>
            </w:tcBorders>
          </w:tcPr>
          <w:p w14:paraId="0575D98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lastRenderedPageBreak/>
              <w:t xml:space="preserve">3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p w14:paraId="1527AD13" w14:textId="77777777" w:rsidR="006E087E" w:rsidRDefault="006E087E" w:rsidP="00A207C4">
            <w:pPr>
              <w:jc w:val="center"/>
              <w:rPr>
                <w:rFonts w:ascii="Garamond" w:eastAsia="Garamond" w:hAnsi="Garamond" w:cs="Garamond"/>
                <w:sz w:val="18"/>
                <w:szCs w:val="18"/>
              </w:rPr>
            </w:pPr>
          </w:p>
          <w:p w14:paraId="2E2763E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40 observational studies</w:t>
            </w:r>
          </w:p>
        </w:tc>
        <w:tc>
          <w:tcPr>
            <w:tcW w:w="1164" w:type="dxa"/>
            <w:gridSpan w:val="2"/>
            <w:tcBorders>
              <w:top w:val="single" w:sz="6" w:space="0" w:color="000000"/>
              <w:left w:val="single" w:sz="6" w:space="0" w:color="000000"/>
              <w:bottom w:val="single" w:sz="6" w:space="0" w:color="000000"/>
              <w:right w:val="single" w:sz="6" w:space="0" w:color="000000"/>
            </w:tcBorders>
          </w:tcPr>
          <w:p w14:paraId="382F8E7F"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d</w:t>
            </w:r>
          </w:p>
        </w:tc>
        <w:tc>
          <w:tcPr>
            <w:tcW w:w="1277" w:type="dxa"/>
            <w:tcBorders>
              <w:top w:val="single" w:sz="6" w:space="0" w:color="000000"/>
              <w:left w:val="single" w:sz="6" w:space="0" w:color="000000"/>
              <w:bottom w:val="single" w:sz="6" w:space="0" w:color="000000"/>
              <w:right w:val="single" w:sz="6" w:space="0" w:color="000000"/>
            </w:tcBorders>
          </w:tcPr>
          <w:p w14:paraId="137A7D39"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136" w:type="dxa"/>
            <w:tcBorders>
              <w:top w:val="single" w:sz="6" w:space="0" w:color="000000"/>
              <w:left w:val="single" w:sz="6" w:space="0" w:color="000000"/>
              <w:bottom w:val="single" w:sz="6" w:space="0" w:color="000000"/>
              <w:right w:val="single" w:sz="6" w:space="0" w:color="000000"/>
            </w:tcBorders>
          </w:tcPr>
          <w:p w14:paraId="5D22BA7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1857468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80" w:type="dxa"/>
            <w:gridSpan w:val="2"/>
            <w:tcBorders>
              <w:top w:val="single" w:sz="6" w:space="0" w:color="000000"/>
              <w:left w:val="single" w:sz="6" w:space="0" w:color="000000"/>
              <w:bottom w:val="single" w:sz="6" w:space="0" w:color="000000"/>
              <w:right w:val="single" w:sz="6" w:space="0" w:color="000000"/>
            </w:tcBorders>
          </w:tcPr>
          <w:p w14:paraId="6738D1A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0" w:type="dxa"/>
            <w:gridSpan w:val="5"/>
            <w:tcBorders>
              <w:top w:val="single" w:sz="6" w:space="0" w:color="000000"/>
              <w:left w:val="single" w:sz="6" w:space="0" w:color="000000"/>
              <w:bottom w:val="single" w:sz="6" w:space="0" w:color="000000"/>
              <w:right w:val="single" w:sz="6" w:space="0" w:color="000000"/>
            </w:tcBorders>
          </w:tcPr>
          <w:p w14:paraId="09D0BBA2"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Among 3 additional RCTs, 2 showed a decrease in rates of transfers to ICU (</w:t>
            </w:r>
            <w:proofErr w:type="spellStart"/>
            <w:r>
              <w:rPr>
                <w:rFonts w:ascii="Garamond" w:eastAsia="Garamond" w:hAnsi="Garamond" w:cs="Garamond"/>
                <w:color w:val="000000"/>
                <w:sz w:val="18"/>
                <w:szCs w:val="18"/>
              </w:rPr>
              <w:t>Ludikhuize</w:t>
            </w:r>
            <w:proofErr w:type="spellEnd"/>
            <w:r>
              <w:rPr>
                <w:rFonts w:ascii="Garamond" w:eastAsia="Garamond" w:hAnsi="Garamond" w:cs="Garamond"/>
                <w:color w:val="000000"/>
                <w:sz w:val="18"/>
                <w:szCs w:val="18"/>
              </w:rPr>
              <w:t xml:space="preserve"> et al., 2014</w:t>
            </w:r>
            <w:r>
              <w:rPr>
                <w:rFonts w:ascii="Garamond" w:eastAsia="Garamond" w:hAnsi="Garamond" w:cs="Garamond"/>
                <w:color w:val="000000"/>
                <w:sz w:val="18"/>
                <w:szCs w:val="18"/>
                <w:vertAlign w:val="superscript"/>
              </w:rPr>
              <w:t>56</w:t>
            </w:r>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YekeFallah</w:t>
            </w:r>
            <w:proofErr w:type="spellEnd"/>
            <w:r>
              <w:rPr>
                <w:rFonts w:ascii="Garamond" w:eastAsia="Garamond" w:hAnsi="Garamond" w:cs="Garamond"/>
                <w:color w:val="000000"/>
                <w:sz w:val="18"/>
                <w:szCs w:val="18"/>
              </w:rPr>
              <w:t xml:space="preserve"> et al., 2018</w:t>
            </w:r>
            <w:r>
              <w:rPr>
                <w:rFonts w:ascii="Garamond" w:eastAsia="Garamond" w:hAnsi="Garamond" w:cs="Garamond"/>
                <w:color w:val="000000"/>
                <w:sz w:val="18"/>
                <w:szCs w:val="18"/>
                <w:vertAlign w:val="superscript"/>
              </w:rPr>
              <w:t>58</w:t>
            </w:r>
            <w:r>
              <w:rPr>
                <w:rFonts w:ascii="Garamond" w:eastAsia="Garamond" w:hAnsi="Garamond" w:cs="Garamond"/>
                <w:color w:val="000000"/>
                <w:sz w:val="18"/>
                <w:szCs w:val="18"/>
              </w:rPr>
              <w:t>) and one showed no effect (</w:t>
            </w:r>
            <w:proofErr w:type="spellStart"/>
            <w:r>
              <w:rPr>
                <w:rFonts w:ascii="Garamond" w:eastAsia="Garamond" w:hAnsi="Garamond" w:cs="Garamond"/>
                <w:color w:val="000000"/>
                <w:sz w:val="18"/>
                <w:szCs w:val="18"/>
              </w:rPr>
              <w:t>Jeddian</w:t>
            </w:r>
            <w:proofErr w:type="spellEnd"/>
            <w:r>
              <w:rPr>
                <w:rFonts w:ascii="Garamond" w:eastAsia="Garamond" w:hAnsi="Garamond" w:cs="Garamond"/>
                <w:color w:val="000000"/>
                <w:sz w:val="18"/>
                <w:szCs w:val="18"/>
              </w:rPr>
              <w:t xml:space="preserve"> et al., 2016</w:t>
            </w:r>
            <w:r>
              <w:rPr>
                <w:rFonts w:ascii="Garamond" w:eastAsia="Garamond" w:hAnsi="Garamond" w:cs="Garamond"/>
                <w:color w:val="000000"/>
                <w:sz w:val="18"/>
                <w:szCs w:val="18"/>
                <w:vertAlign w:val="superscript"/>
              </w:rPr>
              <w:t>87</w:t>
            </w:r>
            <w:r>
              <w:rPr>
                <w:rFonts w:ascii="Garamond" w:eastAsia="Garamond" w:hAnsi="Garamond" w:cs="Garamond"/>
                <w:color w:val="000000"/>
                <w:sz w:val="18"/>
                <w:szCs w:val="18"/>
              </w:rPr>
              <w:t>) with the implementation of activation criteria and/ or RRT/MET.</w:t>
            </w:r>
          </w:p>
          <w:p w14:paraId="27BAEAE7" w14:textId="77777777" w:rsidR="006E087E" w:rsidRDefault="006E087E" w:rsidP="00A207C4">
            <w:pPr>
              <w:rPr>
                <w:rFonts w:ascii="Garamond" w:eastAsia="Garamond" w:hAnsi="Garamond" w:cs="Garamond"/>
                <w:color w:val="000000"/>
                <w:sz w:val="18"/>
                <w:szCs w:val="18"/>
              </w:rPr>
            </w:pPr>
          </w:p>
          <w:p w14:paraId="48D26A79"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Amongst 40 observational studies, 16 studies (40%) reported a decrease in transfers to ICU, whereas 5 studies (12%) reported an increase and 19 (48%) reported no change. Subgroup analysis examining activation criteria only, RRT only, or a combination of these interventions was not possible given the heterogeneity in data.</w:t>
            </w:r>
          </w:p>
        </w:tc>
        <w:tc>
          <w:tcPr>
            <w:tcW w:w="1136" w:type="dxa"/>
            <w:gridSpan w:val="2"/>
            <w:tcBorders>
              <w:top w:val="single" w:sz="6" w:space="0" w:color="000000"/>
              <w:left w:val="single" w:sz="6" w:space="0" w:color="000000"/>
              <w:bottom w:val="single" w:sz="6" w:space="0" w:color="000000"/>
              <w:right w:val="single" w:sz="6" w:space="0" w:color="000000"/>
            </w:tcBorders>
          </w:tcPr>
          <w:p w14:paraId="4B4B7388"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65"/>
                <w:id w:val="601774725"/>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59" w:type="dxa"/>
            <w:tcBorders>
              <w:top w:val="single" w:sz="6" w:space="0" w:color="000000"/>
              <w:left w:val="single" w:sz="6" w:space="0" w:color="000000"/>
              <w:bottom w:val="single" w:sz="6" w:space="0" w:color="000000"/>
              <w:right w:val="single" w:sz="6" w:space="0" w:color="000000"/>
            </w:tcBorders>
          </w:tcPr>
          <w:p w14:paraId="289BFE8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2BFFD4B2" w14:textId="77777777" w:rsidTr="00A207C4">
        <w:trPr>
          <w:cantSplit/>
          <w:trHeight w:val="205"/>
        </w:trPr>
        <w:tc>
          <w:tcPr>
            <w:tcW w:w="15028" w:type="dxa"/>
            <w:gridSpan w:val="16"/>
            <w:shd w:val="clear" w:color="auto" w:fill="FFFFFF"/>
            <w:tcMar>
              <w:top w:w="75" w:type="dxa"/>
              <w:left w:w="100" w:type="dxa"/>
              <w:bottom w:w="100" w:type="dxa"/>
              <w:right w:w="100" w:type="dxa"/>
            </w:tcMar>
            <w:vAlign w:val="center"/>
          </w:tcPr>
          <w:p w14:paraId="443B24CE"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Changes in goals of care/ comfort care orders - not pooled</w:t>
            </w:r>
          </w:p>
        </w:tc>
      </w:tr>
      <w:tr w:rsidR="006E087E" w14:paraId="3A4B1258" w14:textId="77777777" w:rsidTr="00A207C4">
        <w:trPr>
          <w:cantSplit/>
          <w:trHeight w:val="826"/>
        </w:trPr>
        <w:tc>
          <w:tcPr>
            <w:tcW w:w="1291" w:type="dxa"/>
            <w:gridSpan w:val="2"/>
            <w:tcBorders>
              <w:top w:val="single" w:sz="6" w:space="0" w:color="000000"/>
              <w:left w:val="single" w:sz="6" w:space="0" w:color="000000"/>
              <w:bottom w:val="single" w:sz="6" w:space="0" w:color="000000"/>
              <w:right w:val="single" w:sz="6" w:space="0" w:color="000000"/>
            </w:tcBorders>
          </w:tcPr>
          <w:p w14:paraId="108F6CA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5 observational studies</w:t>
            </w:r>
          </w:p>
        </w:tc>
        <w:tc>
          <w:tcPr>
            <w:tcW w:w="1133" w:type="dxa"/>
            <w:tcBorders>
              <w:top w:val="single" w:sz="6" w:space="0" w:color="000000"/>
              <w:left w:val="single" w:sz="6" w:space="0" w:color="000000"/>
              <w:bottom w:val="single" w:sz="6" w:space="0" w:color="000000"/>
              <w:right w:val="single" w:sz="6" w:space="0" w:color="000000"/>
            </w:tcBorders>
          </w:tcPr>
          <w:p w14:paraId="69493C0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398FE8AD"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136" w:type="dxa"/>
            <w:tcBorders>
              <w:top w:val="single" w:sz="6" w:space="0" w:color="000000"/>
              <w:left w:val="single" w:sz="6" w:space="0" w:color="000000"/>
              <w:bottom w:val="single" w:sz="6" w:space="0" w:color="000000"/>
              <w:right w:val="single" w:sz="6" w:space="0" w:color="000000"/>
            </w:tcBorders>
          </w:tcPr>
          <w:p w14:paraId="60DE076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40CF742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1" w:type="dxa"/>
            <w:tcBorders>
              <w:top w:val="single" w:sz="6" w:space="0" w:color="000000"/>
              <w:left w:val="single" w:sz="6" w:space="0" w:color="000000"/>
              <w:bottom w:val="single" w:sz="6" w:space="0" w:color="000000"/>
              <w:right w:val="single" w:sz="6" w:space="0" w:color="000000"/>
            </w:tcBorders>
          </w:tcPr>
          <w:p w14:paraId="71A7E5A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9" w:type="dxa"/>
            <w:gridSpan w:val="6"/>
            <w:tcBorders>
              <w:top w:val="single" w:sz="6" w:space="0" w:color="000000"/>
              <w:left w:val="single" w:sz="6" w:space="0" w:color="000000"/>
              <w:bottom w:val="single" w:sz="6" w:space="0" w:color="000000"/>
              <w:right w:val="single" w:sz="6" w:space="0" w:color="000000"/>
            </w:tcBorders>
          </w:tcPr>
          <w:p w14:paraId="5122A15E"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Amongst 5 observational studies, 2 reported an increase in rates of change in goal of care and 3 reported no change with the implementation of activation criteria and/ or RRT/MET.</w:t>
            </w:r>
          </w:p>
        </w:tc>
        <w:tc>
          <w:tcPr>
            <w:tcW w:w="1130" w:type="dxa"/>
            <w:tcBorders>
              <w:top w:val="single" w:sz="6" w:space="0" w:color="000000"/>
              <w:left w:val="single" w:sz="6" w:space="0" w:color="000000"/>
              <w:bottom w:val="single" w:sz="6" w:space="0" w:color="000000"/>
              <w:right w:val="single" w:sz="6" w:space="0" w:color="000000"/>
            </w:tcBorders>
          </w:tcPr>
          <w:p w14:paraId="389581AB"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66"/>
                <w:id w:val="68238922"/>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65" w:type="dxa"/>
            <w:gridSpan w:val="2"/>
            <w:tcBorders>
              <w:top w:val="single" w:sz="6" w:space="0" w:color="000000"/>
              <w:left w:val="single" w:sz="6" w:space="0" w:color="000000"/>
              <w:bottom w:val="single" w:sz="6" w:space="0" w:color="000000"/>
              <w:right w:val="single" w:sz="6" w:space="0" w:color="000000"/>
            </w:tcBorders>
          </w:tcPr>
          <w:p w14:paraId="5A9C53E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6CB44617" w14:textId="77777777" w:rsidTr="00A207C4">
        <w:trPr>
          <w:cantSplit/>
          <w:trHeight w:val="205"/>
        </w:trPr>
        <w:tc>
          <w:tcPr>
            <w:tcW w:w="15028" w:type="dxa"/>
            <w:gridSpan w:val="16"/>
            <w:shd w:val="clear" w:color="auto" w:fill="FFFFFF"/>
            <w:tcMar>
              <w:top w:w="75" w:type="dxa"/>
              <w:left w:w="100" w:type="dxa"/>
              <w:bottom w:w="100" w:type="dxa"/>
              <w:right w:w="100" w:type="dxa"/>
            </w:tcMar>
            <w:vAlign w:val="center"/>
          </w:tcPr>
          <w:p w14:paraId="6D0B7C81" w14:textId="77777777" w:rsidR="006E087E" w:rsidRDefault="006E087E" w:rsidP="00A207C4">
            <w:pPr>
              <w:rPr>
                <w:rFonts w:ascii="Garamond" w:eastAsia="Garamond" w:hAnsi="Garamond" w:cs="Garamond"/>
                <w:b/>
                <w:color w:val="000000"/>
                <w:sz w:val="18"/>
                <w:szCs w:val="18"/>
              </w:rPr>
            </w:pPr>
            <w:r>
              <w:rPr>
                <w:rFonts w:ascii="Garamond" w:eastAsia="Garamond" w:hAnsi="Garamond" w:cs="Garamond"/>
                <w:b/>
                <w:color w:val="000000"/>
                <w:sz w:val="18"/>
                <w:szCs w:val="18"/>
              </w:rPr>
              <w:t>Spiritual care/Chaplain visits during hospital stay - not pooled</w:t>
            </w:r>
          </w:p>
        </w:tc>
      </w:tr>
      <w:tr w:rsidR="006E087E" w14:paraId="584408C7" w14:textId="77777777" w:rsidTr="00A207C4">
        <w:trPr>
          <w:cantSplit/>
          <w:trHeight w:val="537"/>
        </w:trPr>
        <w:tc>
          <w:tcPr>
            <w:tcW w:w="1291" w:type="dxa"/>
            <w:gridSpan w:val="2"/>
            <w:tcBorders>
              <w:top w:val="single" w:sz="6" w:space="0" w:color="000000"/>
              <w:left w:val="single" w:sz="6" w:space="0" w:color="000000"/>
              <w:bottom w:val="single" w:sz="6" w:space="0" w:color="000000"/>
              <w:right w:val="single" w:sz="6" w:space="0" w:color="000000"/>
            </w:tcBorders>
          </w:tcPr>
          <w:p w14:paraId="5AF1C97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 observational studies</w:t>
            </w:r>
          </w:p>
        </w:tc>
        <w:tc>
          <w:tcPr>
            <w:tcW w:w="1133" w:type="dxa"/>
            <w:tcBorders>
              <w:top w:val="single" w:sz="6" w:space="0" w:color="000000"/>
              <w:left w:val="single" w:sz="6" w:space="0" w:color="000000"/>
              <w:bottom w:val="single" w:sz="6" w:space="0" w:color="000000"/>
              <w:right w:val="single" w:sz="6" w:space="0" w:color="000000"/>
            </w:tcBorders>
          </w:tcPr>
          <w:p w14:paraId="08CB478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7983E9B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54A941D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7C4F5F1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1" w:type="dxa"/>
            <w:tcBorders>
              <w:top w:val="single" w:sz="6" w:space="0" w:color="000000"/>
              <w:left w:val="single" w:sz="6" w:space="0" w:color="000000"/>
              <w:bottom w:val="single" w:sz="6" w:space="0" w:color="000000"/>
              <w:right w:val="single" w:sz="6" w:space="0" w:color="000000"/>
            </w:tcBorders>
          </w:tcPr>
          <w:p w14:paraId="0BFF157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9" w:type="dxa"/>
            <w:gridSpan w:val="6"/>
            <w:tcBorders>
              <w:top w:val="single" w:sz="6" w:space="0" w:color="000000"/>
              <w:left w:val="single" w:sz="6" w:space="0" w:color="000000"/>
              <w:bottom w:val="single" w:sz="6" w:space="0" w:color="000000"/>
              <w:right w:val="single" w:sz="6" w:space="0" w:color="000000"/>
            </w:tcBorders>
          </w:tcPr>
          <w:p w14:paraId="53E6A36F" w14:textId="77777777" w:rsidR="006E087E" w:rsidRDefault="006E087E" w:rsidP="00A207C4">
            <w:pPr>
              <w:rPr>
                <w:rFonts w:ascii="Garamond" w:eastAsia="Garamond" w:hAnsi="Garamond" w:cs="Garamond"/>
                <w:color w:val="000000"/>
                <w:sz w:val="18"/>
                <w:szCs w:val="18"/>
                <w:highlight w:val="yellow"/>
              </w:rPr>
            </w:pPr>
            <w:r>
              <w:rPr>
                <w:rFonts w:ascii="Garamond" w:eastAsia="Garamond" w:hAnsi="Garamond" w:cs="Garamond"/>
                <w:color w:val="000000"/>
                <w:sz w:val="18"/>
                <w:szCs w:val="18"/>
              </w:rPr>
              <w:t>One study (Vazquez et al., 2009</w:t>
            </w:r>
            <w:r>
              <w:rPr>
                <w:rFonts w:ascii="Garamond" w:eastAsia="Garamond" w:hAnsi="Garamond" w:cs="Garamond"/>
                <w:color w:val="000000"/>
                <w:sz w:val="18"/>
                <w:szCs w:val="18"/>
                <w:vertAlign w:val="superscript"/>
              </w:rPr>
              <w:t>154</w:t>
            </w:r>
            <w:r>
              <w:rPr>
                <w:rFonts w:ascii="Garamond" w:eastAsia="Garamond" w:hAnsi="Garamond" w:cs="Garamond"/>
                <w:color w:val="000000"/>
                <w:sz w:val="18"/>
                <w:szCs w:val="18"/>
              </w:rPr>
              <w:t xml:space="preserve"> reported increased rates of spiritual care visits and another study (</w:t>
            </w:r>
            <w:proofErr w:type="spellStart"/>
            <w:r>
              <w:rPr>
                <w:rFonts w:ascii="Garamond" w:eastAsia="Garamond" w:hAnsi="Garamond" w:cs="Garamond"/>
                <w:color w:val="000000"/>
                <w:sz w:val="18"/>
                <w:szCs w:val="18"/>
              </w:rPr>
              <w:t>Downar</w:t>
            </w:r>
            <w:proofErr w:type="spellEnd"/>
            <w:r>
              <w:rPr>
                <w:rFonts w:ascii="Garamond" w:eastAsia="Garamond" w:hAnsi="Garamond" w:cs="Garamond"/>
                <w:color w:val="000000"/>
                <w:sz w:val="18"/>
                <w:szCs w:val="18"/>
              </w:rPr>
              <w:t xml:space="preserve"> et al., 2013</w:t>
            </w:r>
            <w:r>
              <w:rPr>
                <w:rFonts w:ascii="Garamond" w:eastAsia="Garamond" w:hAnsi="Garamond" w:cs="Garamond"/>
                <w:color w:val="000000"/>
                <w:sz w:val="18"/>
                <w:szCs w:val="18"/>
                <w:vertAlign w:val="superscript"/>
              </w:rPr>
              <w:t>158</w:t>
            </w:r>
            <w:r>
              <w:rPr>
                <w:rFonts w:ascii="Garamond" w:eastAsia="Garamond" w:hAnsi="Garamond" w:cs="Garamond"/>
                <w:color w:val="000000"/>
                <w:sz w:val="18"/>
                <w:szCs w:val="18"/>
              </w:rPr>
              <w:t>) reported decreased rates after the implementation of RRT/MET.</w:t>
            </w:r>
          </w:p>
        </w:tc>
        <w:tc>
          <w:tcPr>
            <w:tcW w:w="1130" w:type="dxa"/>
            <w:tcBorders>
              <w:top w:val="single" w:sz="6" w:space="0" w:color="000000"/>
              <w:left w:val="single" w:sz="6" w:space="0" w:color="000000"/>
              <w:bottom w:val="single" w:sz="6" w:space="0" w:color="000000"/>
              <w:right w:val="single" w:sz="6" w:space="0" w:color="000000"/>
            </w:tcBorders>
          </w:tcPr>
          <w:p w14:paraId="5218BE2D"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67"/>
                <w:id w:val="-508138763"/>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65" w:type="dxa"/>
            <w:gridSpan w:val="2"/>
            <w:tcBorders>
              <w:top w:val="single" w:sz="6" w:space="0" w:color="000000"/>
              <w:left w:val="single" w:sz="6" w:space="0" w:color="000000"/>
              <w:bottom w:val="single" w:sz="6" w:space="0" w:color="000000"/>
              <w:right w:val="single" w:sz="6" w:space="0" w:color="000000"/>
            </w:tcBorders>
          </w:tcPr>
          <w:p w14:paraId="1A44B0E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4F30253B" w14:textId="77777777" w:rsidTr="00A207C4">
        <w:trPr>
          <w:cantSplit/>
          <w:trHeight w:val="205"/>
        </w:trPr>
        <w:tc>
          <w:tcPr>
            <w:tcW w:w="15028" w:type="dxa"/>
            <w:gridSpan w:val="16"/>
            <w:shd w:val="clear" w:color="auto" w:fill="FFFFFF"/>
            <w:tcMar>
              <w:top w:w="75" w:type="dxa"/>
              <w:left w:w="100" w:type="dxa"/>
              <w:bottom w:w="100" w:type="dxa"/>
              <w:right w:w="100" w:type="dxa"/>
            </w:tcMar>
            <w:vAlign w:val="center"/>
          </w:tcPr>
          <w:p w14:paraId="4511993A" w14:textId="77777777" w:rsidR="006E087E" w:rsidRDefault="006E087E" w:rsidP="00A207C4">
            <w:pPr>
              <w:rPr>
                <w:rFonts w:ascii="Garamond" w:eastAsia="Garamond" w:hAnsi="Garamond" w:cs="Garamond"/>
                <w:b/>
                <w:color w:val="000000"/>
                <w:sz w:val="18"/>
                <w:szCs w:val="18"/>
              </w:rPr>
            </w:pPr>
            <w:r>
              <w:rPr>
                <w:rFonts w:ascii="Garamond" w:eastAsia="Garamond" w:hAnsi="Garamond" w:cs="Garamond"/>
                <w:b/>
                <w:color w:val="000000"/>
                <w:sz w:val="18"/>
                <w:szCs w:val="18"/>
              </w:rPr>
              <w:t>Hospital length of stay - not pooled</w:t>
            </w:r>
          </w:p>
        </w:tc>
      </w:tr>
      <w:tr w:rsidR="006E087E" w14:paraId="703796EA" w14:textId="77777777" w:rsidTr="00A207C4">
        <w:trPr>
          <w:cantSplit/>
          <w:trHeight w:val="1139"/>
        </w:trPr>
        <w:tc>
          <w:tcPr>
            <w:tcW w:w="1291" w:type="dxa"/>
            <w:gridSpan w:val="2"/>
            <w:tcBorders>
              <w:top w:val="single" w:sz="6" w:space="0" w:color="000000"/>
              <w:left w:val="single" w:sz="6" w:space="0" w:color="000000"/>
              <w:bottom w:val="single" w:sz="6" w:space="0" w:color="000000"/>
              <w:right w:val="single" w:sz="6" w:space="0" w:color="000000"/>
            </w:tcBorders>
          </w:tcPr>
          <w:p w14:paraId="0511162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3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trials</w:t>
            </w:r>
          </w:p>
          <w:p w14:paraId="7B8AFE0D" w14:textId="77777777" w:rsidR="006E087E" w:rsidRDefault="006E087E" w:rsidP="00A207C4">
            <w:pPr>
              <w:jc w:val="center"/>
              <w:rPr>
                <w:rFonts w:ascii="Garamond" w:eastAsia="Garamond" w:hAnsi="Garamond" w:cs="Garamond"/>
                <w:sz w:val="18"/>
                <w:szCs w:val="18"/>
              </w:rPr>
            </w:pPr>
          </w:p>
          <w:p w14:paraId="1E41218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13 observational studies</w:t>
            </w:r>
          </w:p>
        </w:tc>
        <w:tc>
          <w:tcPr>
            <w:tcW w:w="1133" w:type="dxa"/>
            <w:tcBorders>
              <w:top w:val="single" w:sz="6" w:space="0" w:color="000000"/>
              <w:left w:val="single" w:sz="6" w:space="0" w:color="000000"/>
              <w:bottom w:val="single" w:sz="6" w:space="0" w:color="000000"/>
              <w:right w:val="single" w:sz="6" w:space="0" w:color="000000"/>
            </w:tcBorders>
          </w:tcPr>
          <w:p w14:paraId="43B0D63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7" w:type="dxa"/>
            <w:tcBorders>
              <w:top w:val="single" w:sz="6" w:space="0" w:color="000000"/>
              <w:left w:val="single" w:sz="6" w:space="0" w:color="000000"/>
              <w:bottom w:val="single" w:sz="6" w:space="0" w:color="000000"/>
              <w:right w:val="single" w:sz="6" w:space="0" w:color="000000"/>
            </w:tcBorders>
          </w:tcPr>
          <w:p w14:paraId="721609F0"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136" w:type="dxa"/>
            <w:tcBorders>
              <w:top w:val="single" w:sz="6" w:space="0" w:color="000000"/>
              <w:left w:val="single" w:sz="6" w:space="0" w:color="000000"/>
              <w:bottom w:val="single" w:sz="6" w:space="0" w:color="000000"/>
              <w:right w:val="single" w:sz="6" w:space="0" w:color="000000"/>
            </w:tcBorders>
          </w:tcPr>
          <w:p w14:paraId="52882AD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6" w:type="dxa"/>
            <w:tcBorders>
              <w:top w:val="single" w:sz="6" w:space="0" w:color="000000"/>
              <w:left w:val="single" w:sz="6" w:space="0" w:color="000000"/>
              <w:bottom w:val="single" w:sz="6" w:space="0" w:color="000000"/>
              <w:right w:val="single" w:sz="6" w:space="0" w:color="000000"/>
            </w:tcBorders>
          </w:tcPr>
          <w:p w14:paraId="4CE0F85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1" w:type="dxa"/>
            <w:tcBorders>
              <w:top w:val="single" w:sz="6" w:space="0" w:color="000000"/>
              <w:left w:val="single" w:sz="6" w:space="0" w:color="000000"/>
              <w:bottom w:val="single" w:sz="6" w:space="0" w:color="000000"/>
              <w:right w:val="single" w:sz="6" w:space="0" w:color="000000"/>
            </w:tcBorders>
          </w:tcPr>
          <w:p w14:paraId="6DA3E0D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9" w:type="dxa"/>
            <w:gridSpan w:val="6"/>
            <w:tcBorders>
              <w:top w:val="single" w:sz="6" w:space="0" w:color="000000"/>
              <w:left w:val="single" w:sz="6" w:space="0" w:color="000000"/>
              <w:bottom w:val="single" w:sz="6" w:space="0" w:color="000000"/>
              <w:right w:val="single" w:sz="6" w:space="0" w:color="000000"/>
            </w:tcBorders>
          </w:tcPr>
          <w:p w14:paraId="42F5A3FF"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Three RCTs showed no effect on hospital length of stay (</w:t>
            </w:r>
            <w:proofErr w:type="spellStart"/>
            <w:r>
              <w:rPr>
                <w:rFonts w:ascii="Garamond" w:eastAsia="Garamond" w:hAnsi="Garamond" w:cs="Garamond"/>
                <w:color w:val="000000"/>
                <w:sz w:val="18"/>
                <w:szCs w:val="18"/>
              </w:rPr>
              <w:t>Ludikhuize</w:t>
            </w:r>
            <w:proofErr w:type="spellEnd"/>
            <w:r>
              <w:rPr>
                <w:rFonts w:ascii="Garamond" w:eastAsia="Garamond" w:hAnsi="Garamond" w:cs="Garamond"/>
                <w:color w:val="000000"/>
                <w:sz w:val="18"/>
                <w:szCs w:val="18"/>
              </w:rPr>
              <w:t xml:space="preserve"> et al., 2014</w:t>
            </w:r>
            <w:r>
              <w:rPr>
                <w:rFonts w:ascii="Garamond" w:eastAsia="Garamond" w:hAnsi="Garamond" w:cs="Garamond"/>
                <w:color w:val="000000"/>
                <w:sz w:val="18"/>
                <w:szCs w:val="18"/>
                <w:vertAlign w:val="superscript"/>
              </w:rPr>
              <w:t>56</w:t>
            </w:r>
            <w:r>
              <w:rPr>
                <w:rFonts w:ascii="Garamond" w:eastAsia="Garamond" w:hAnsi="Garamond" w:cs="Garamond"/>
                <w:color w:val="000000"/>
                <w:sz w:val="18"/>
                <w:szCs w:val="18"/>
              </w:rPr>
              <w:t>; Priestley et al., 2004</w:t>
            </w:r>
            <w:r>
              <w:rPr>
                <w:rFonts w:ascii="Garamond" w:eastAsia="Garamond" w:hAnsi="Garamond" w:cs="Garamond"/>
                <w:color w:val="000000"/>
                <w:sz w:val="18"/>
                <w:szCs w:val="18"/>
                <w:vertAlign w:val="superscript"/>
              </w:rPr>
              <w:t>59</w:t>
            </w:r>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Jeddian</w:t>
            </w:r>
            <w:proofErr w:type="spellEnd"/>
            <w:r>
              <w:rPr>
                <w:rFonts w:ascii="Garamond" w:eastAsia="Garamond" w:hAnsi="Garamond" w:cs="Garamond"/>
                <w:color w:val="000000"/>
                <w:sz w:val="18"/>
                <w:szCs w:val="18"/>
              </w:rPr>
              <w:t xml:space="preserve"> et al., 2016</w:t>
            </w:r>
            <w:r>
              <w:rPr>
                <w:rFonts w:ascii="Garamond" w:eastAsia="Garamond" w:hAnsi="Garamond" w:cs="Garamond"/>
                <w:color w:val="000000"/>
                <w:sz w:val="18"/>
                <w:szCs w:val="18"/>
                <w:vertAlign w:val="superscript"/>
              </w:rPr>
              <w:t>60</w:t>
            </w:r>
            <w:r>
              <w:rPr>
                <w:rFonts w:ascii="Garamond" w:eastAsia="Garamond" w:hAnsi="Garamond" w:cs="Garamond"/>
                <w:color w:val="000000"/>
                <w:sz w:val="18"/>
                <w:szCs w:val="18"/>
              </w:rPr>
              <w:t>) with the implementation of activation criteria and/ or RRT/MET.</w:t>
            </w:r>
          </w:p>
          <w:p w14:paraId="64A14C45" w14:textId="77777777" w:rsidR="006E087E" w:rsidRDefault="006E087E" w:rsidP="00A207C4">
            <w:pPr>
              <w:rPr>
                <w:rFonts w:ascii="Garamond" w:eastAsia="Garamond" w:hAnsi="Garamond" w:cs="Garamond"/>
                <w:color w:val="000000"/>
                <w:sz w:val="18"/>
                <w:szCs w:val="18"/>
              </w:rPr>
            </w:pPr>
          </w:p>
          <w:p w14:paraId="1AF7DCB8" w14:textId="77777777" w:rsidR="006E087E" w:rsidRDefault="006E087E" w:rsidP="00A207C4">
            <w:pPr>
              <w:rPr>
                <w:rFonts w:ascii="Garamond" w:eastAsia="Garamond" w:hAnsi="Garamond" w:cs="Garamond"/>
                <w:color w:val="000000"/>
                <w:sz w:val="18"/>
                <w:szCs w:val="18"/>
              </w:rPr>
            </w:pPr>
            <w:r>
              <w:rPr>
                <w:rFonts w:ascii="Garamond" w:eastAsia="Garamond" w:hAnsi="Garamond" w:cs="Garamond"/>
                <w:color w:val="000000"/>
                <w:sz w:val="18"/>
                <w:szCs w:val="18"/>
              </w:rPr>
              <w:t>Amongst the 13 before-after cohort studies examining this outcome, 3 reported a reduction, 2 reported an increase, and 8 reported no change in hospital length of stay. Subgroup analysis examining activation criteria only, RRT only, or a combination of these interventions was not possible given the heterogeneity in data.</w:t>
            </w:r>
          </w:p>
        </w:tc>
        <w:tc>
          <w:tcPr>
            <w:tcW w:w="1130" w:type="dxa"/>
            <w:tcBorders>
              <w:top w:val="single" w:sz="6" w:space="0" w:color="000000"/>
              <w:left w:val="single" w:sz="6" w:space="0" w:color="000000"/>
              <w:bottom w:val="single" w:sz="6" w:space="0" w:color="000000"/>
              <w:right w:val="single" w:sz="6" w:space="0" w:color="000000"/>
            </w:tcBorders>
          </w:tcPr>
          <w:p w14:paraId="31DB36AB"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68"/>
                <w:id w:val="-1680966759"/>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65" w:type="dxa"/>
            <w:gridSpan w:val="2"/>
            <w:tcBorders>
              <w:top w:val="single" w:sz="6" w:space="0" w:color="000000"/>
              <w:left w:val="single" w:sz="6" w:space="0" w:color="000000"/>
              <w:bottom w:val="single" w:sz="6" w:space="0" w:color="000000"/>
              <w:right w:val="single" w:sz="6" w:space="0" w:color="000000"/>
            </w:tcBorders>
          </w:tcPr>
          <w:p w14:paraId="41CCFDF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bl>
    <w:p w14:paraId="1FA572F7" w14:textId="77777777" w:rsidR="006E087E" w:rsidRDefault="006E087E" w:rsidP="006E087E">
      <w:pPr>
        <w:spacing w:line="240" w:lineRule="auto"/>
        <w:rPr>
          <w:rFonts w:ascii="Garamond" w:eastAsia="Garamond" w:hAnsi="Garamond" w:cs="Garamond"/>
          <w:b/>
          <w:sz w:val="18"/>
          <w:szCs w:val="18"/>
        </w:rPr>
      </w:pPr>
    </w:p>
    <w:p w14:paraId="29382D32"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b/>
          <w:sz w:val="18"/>
          <w:szCs w:val="18"/>
        </w:rPr>
        <w:t>MD:</w:t>
      </w:r>
      <w:r>
        <w:rPr>
          <w:rFonts w:ascii="Garamond" w:eastAsia="Garamond" w:hAnsi="Garamond" w:cs="Garamond"/>
          <w:sz w:val="18"/>
          <w:szCs w:val="18"/>
        </w:rPr>
        <w:t xml:space="preserve"> mean difference; </w:t>
      </w:r>
      <w:r>
        <w:rPr>
          <w:rFonts w:ascii="Garamond" w:eastAsia="Garamond" w:hAnsi="Garamond" w:cs="Garamond"/>
          <w:b/>
          <w:sz w:val="18"/>
          <w:szCs w:val="18"/>
        </w:rPr>
        <w:t>RR:</w:t>
      </w:r>
      <w:r>
        <w:rPr>
          <w:rFonts w:ascii="Garamond" w:eastAsia="Garamond" w:hAnsi="Garamond" w:cs="Garamond"/>
          <w:sz w:val="18"/>
          <w:szCs w:val="18"/>
        </w:rPr>
        <w:t xml:space="preserve"> risk ratio; </w:t>
      </w:r>
      <w:r>
        <w:rPr>
          <w:rFonts w:ascii="Garamond" w:eastAsia="Garamond" w:hAnsi="Garamond" w:cs="Garamond"/>
          <w:b/>
          <w:sz w:val="18"/>
          <w:szCs w:val="18"/>
        </w:rPr>
        <w:t>RCT:</w:t>
      </w:r>
      <w:r>
        <w:rPr>
          <w:rFonts w:ascii="Garamond" w:eastAsia="Garamond" w:hAnsi="Garamond" w:cs="Garamond"/>
          <w:sz w:val="18"/>
          <w:szCs w:val="18"/>
        </w:rPr>
        <w:t xml:space="preserve"> </w:t>
      </w:r>
      <w:proofErr w:type="spellStart"/>
      <w:r>
        <w:rPr>
          <w:rFonts w:ascii="Garamond" w:eastAsia="Garamond" w:hAnsi="Garamond" w:cs="Garamond"/>
          <w:sz w:val="18"/>
          <w:szCs w:val="18"/>
        </w:rPr>
        <w:t>randomised</w:t>
      </w:r>
      <w:proofErr w:type="spellEnd"/>
      <w:r>
        <w:rPr>
          <w:rFonts w:ascii="Garamond" w:eastAsia="Garamond" w:hAnsi="Garamond" w:cs="Garamond"/>
          <w:sz w:val="18"/>
          <w:szCs w:val="18"/>
        </w:rPr>
        <w:t xml:space="preserve"> controlled trial; </w:t>
      </w:r>
      <w:r>
        <w:rPr>
          <w:rFonts w:ascii="Garamond" w:eastAsia="Garamond" w:hAnsi="Garamond" w:cs="Garamond"/>
          <w:b/>
          <w:sz w:val="18"/>
          <w:szCs w:val="18"/>
        </w:rPr>
        <w:t>ICU:</w:t>
      </w:r>
      <w:r>
        <w:rPr>
          <w:rFonts w:ascii="Garamond" w:eastAsia="Garamond" w:hAnsi="Garamond" w:cs="Garamond"/>
          <w:sz w:val="18"/>
          <w:szCs w:val="18"/>
        </w:rPr>
        <w:t xml:space="preserve"> Intensive care unit; </w:t>
      </w:r>
      <w:r>
        <w:rPr>
          <w:rFonts w:ascii="Garamond" w:eastAsia="Garamond" w:hAnsi="Garamond" w:cs="Garamond"/>
          <w:b/>
          <w:sz w:val="18"/>
          <w:szCs w:val="18"/>
        </w:rPr>
        <w:t xml:space="preserve">RRT: </w:t>
      </w:r>
      <w:r>
        <w:rPr>
          <w:rFonts w:ascii="Garamond" w:eastAsia="Garamond" w:hAnsi="Garamond" w:cs="Garamond"/>
          <w:sz w:val="18"/>
          <w:szCs w:val="18"/>
        </w:rPr>
        <w:t xml:space="preserve">Rapid response team; </w:t>
      </w:r>
      <w:r>
        <w:rPr>
          <w:rFonts w:ascii="Garamond" w:eastAsia="Garamond" w:hAnsi="Garamond" w:cs="Garamond"/>
          <w:b/>
          <w:sz w:val="18"/>
          <w:szCs w:val="18"/>
        </w:rPr>
        <w:t>MET:</w:t>
      </w:r>
      <w:r>
        <w:rPr>
          <w:rFonts w:ascii="Garamond" w:eastAsia="Garamond" w:hAnsi="Garamond" w:cs="Garamond"/>
          <w:sz w:val="18"/>
          <w:szCs w:val="18"/>
        </w:rPr>
        <w:t xml:space="preserve"> Medical emergency team</w:t>
      </w:r>
    </w:p>
    <w:p w14:paraId="6B2AAB3B" w14:textId="77777777" w:rsidR="006E087E" w:rsidRDefault="006E087E" w:rsidP="006E087E">
      <w:pPr>
        <w:spacing w:line="240" w:lineRule="auto"/>
        <w:rPr>
          <w:rFonts w:ascii="Garamond" w:eastAsia="Garamond" w:hAnsi="Garamond" w:cs="Garamond"/>
          <w:sz w:val="18"/>
          <w:szCs w:val="18"/>
        </w:rPr>
      </w:pPr>
    </w:p>
    <w:p w14:paraId="5EF7EEFE" w14:textId="77777777" w:rsidR="006E087E" w:rsidRDefault="006E087E" w:rsidP="006E087E">
      <w:pPr>
        <w:pStyle w:val="Heading4"/>
        <w:rPr>
          <w:rFonts w:ascii="Garamond" w:eastAsia="Garamond" w:hAnsi="Garamond" w:cs="Garamond"/>
          <w:i w:val="0"/>
          <w:sz w:val="18"/>
          <w:szCs w:val="18"/>
          <w:u w:val="none"/>
        </w:rPr>
      </w:pPr>
      <w:bookmarkStart w:id="29" w:name="_heading=h.86ll9b74kmwd" w:colFirst="0" w:colLast="0"/>
      <w:bookmarkEnd w:id="29"/>
      <w:r>
        <w:rPr>
          <w:rFonts w:ascii="Garamond" w:eastAsia="Garamond" w:hAnsi="Garamond" w:cs="Garamond"/>
          <w:i w:val="0"/>
          <w:sz w:val="18"/>
          <w:szCs w:val="18"/>
          <w:u w:val="none"/>
        </w:rPr>
        <w:t>Explanations</w:t>
      </w:r>
    </w:p>
    <w:p w14:paraId="68986A27"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a. Rated down for imprecision due to relatively small sample sizes (small number of hospitals).</w:t>
      </w:r>
    </w:p>
    <w:p w14:paraId="3A2D38E1"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b. Rated down for imprecision due to small event rates across studies.</w:t>
      </w:r>
    </w:p>
    <w:p w14:paraId="73EBD9FD"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lastRenderedPageBreak/>
        <w:t>c. Rated down for inconsistency due to variability in findings across studies.</w:t>
      </w:r>
    </w:p>
    <w:p w14:paraId="3A16BF57"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d. Rated down for risk of bias due to outcome measurement as decisions to transfer to ICU may be subjective and vary by practitioners/ local practice.</w:t>
      </w:r>
    </w:p>
    <w:p w14:paraId="15B72CF9"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e. Rated down for imprecision due to wide confidence interval.</w:t>
      </w:r>
    </w:p>
    <w:p w14:paraId="2F45010F" w14:textId="77777777" w:rsidR="006E087E" w:rsidRDefault="006E087E" w:rsidP="006E087E">
      <w:pPr>
        <w:spacing w:line="240" w:lineRule="auto"/>
        <w:rPr>
          <w:rFonts w:ascii="Arial Narrow" w:eastAsia="Arial Narrow" w:hAnsi="Arial Narrow" w:cs="Arial Narrow"/>
          <w:sz w:val="14"/>
          <w:szCs w:val="14"/>
        </w:rPr>
      </w:pPr>
    </w:p>
    <w:p w14:paraId="0546638F" w14:textId="77777777" w:rsidR="006E087E" w:rsidRDefault="006E087E" w:rsidP="006E087E">
      <w:pPr>
        <w:spacing w:line="240" w:lineRule="auto"/>
        <w:rPr>
          <w:rFonts w:ascii="Arial Narrow" w:eastAsia="Arial Narrow" w:hAnsi="Arial Narrow" w:cs="Arial Narrow"/>
          <w:sz w:val="14"/>
          <w:szCs w:val="14"/>
        </w:rPr>
      </w:pPr>
    </w:p>
    <w:p w14:paraId="786626E2" w14:textId="77777777" w:rsidR="006E087E" w:rsidRDefault="006E087E" w:rsidP="006E087E">
      <w:pPr>
        <w:spacing w:line="240" w:lineRule="auto"/>
        <w:rPr>
          <w:rFonts w:ascii="Arial Narrow" w:eastAsia="Arial Narrow" w:hAnsi="Arial Narrow" w:cs="Arial Narrow"/>
          <w:sz w:val="14"/>
          <w:szCs w:val="14"/>
        </w:rPr>
      </w:pPr>
    </w:p>
    <w:p w14:paraId="01EEA650" w14:textId="77777777" w:rsidR="006E087E" w:rsidRDefault="006E087E" w:rsidP="006E087E">
      <w:pPr>
        <w:spacing w:line="240" w:lineRule="auto"/>
        <w:rPr>
          <w:rFonts w:ascii="Garamond" w:eastAsia="Garamond" w:hAnsi="Garamond" w:cs="Garamond"/>
          <w:b/>
          <w:sz w:val="24"/>
          <w:szCs w:val="24"/>
        </w:rPr>
      </w:pPr>
      <w:r>
        <w:br w:type="page"/>
      </w:r>
    </w:p>
    <w:p w14:paraId="3B6F086E" w14:textId="77777777" w:rsidR="006E087E" w:rsidRDefault="006E087E" w:rsidP="006E087E">
      <w:pPr>
        <w:pStyle w:val="Heading1"/>
        <w:keepNext/>
        <w:keepLines/>
        <w:spacing w:after="20" w:line="240" w:lineRule="auto"/>
        <w:rPr>
          <w:rFonts w:ascii="Calibri" w:eastAsia="Calibri" w:hAnsi="Calibri" w:cs="Calibri"/>
        </w:rPr>
      </w:pPr>
      <w:bookmarkStart w:id="30" w:name="_heading=h.pmed55rxtxf2" w:colFirst="0" w:colLast="0"/>
      <w:bookmarkEnd w:id="30"/>
      <w:r>
        <w:rPr>
          <w:rFonts w:ascii="Garamond" w:eastAsia="Garamond" w:hAnsi="Garamond" w:cs="Garamond"/>
        </w:rPr>
        <w:lastRenderedPageBreak/>
        <w:t>Summary of Judgements: Explicit activation criteria/ rapid response teams</w:t>
      </w:r>
    </w:p>
    <w:tbl>
      <w:tblPr>
        <w:tblW w:w="14430" w:type="dxa"/>
        <w:tblInd w:w="-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75"/>
        <w:gridCol w:w="1335"/>
        <w:gridCol w:w="1710"/>
        <w:gridCol w:w="1995"/>
        <w:gridCol w:w="1800"/>
        <w:gridCol w:w="1605"/>
        <w:gridCol w:w="1140"/>
        <w:gridCol w:w="1770"/>
      </w:tblGrid>
      <w:tr w:rsidR="006E087E" w14:paraId="30BDD75C" w14:textId="77777777" w:rsidTr="00A207C4">
        <w:trPr>
          <w:tblHeader/>
        </w:trPr>
        <w:tc>
          <w:tcPr>
            <w:tcW w:w="3075" w:type="dxa"/>
            <w:tcBorders>
              <w:top w:val="nil"/>
              <w:left w:val="nil"/>
              <w:bottom w:val="nil"/>
              <w:right w:val="nil"/>
            </w:tcBorders>
            <w:tcMar>
              <w:top w:w="75" w:type="dxa"/>
              <w:left w:w="75" w:type="dxa"/>
              <w:bottom w:w="75" w:type="dxa"/>
              <w:right w:w="75" w:type="dxa"/>
            </w:tcMar>
            <w:vAlign w:val="center"/>
          </w:tcPr>
          <w:p w14:paraId="2DA334BD" w14:textId="77777777" w:rsidR="006E087E" w:rsidRDefault="006E087E" w:rsidP="00A207C4">
            <w:pPr>
              <w:rPr>
                <w:rFonts w:ascii="Garamond" w:eastAsia="Garamond" w:hAnsi="Garamond" w:cs="Garamond"/>
                <w:smallCaps/>
                <w:sz w:val="20"/>
                <w:szCs w:val="20"/>
              </w:rPr>
            </w:pPr>
          </w:p>
        </w:tc>
        <w:tc>
          <w:tcPr>
            <w:tcW w:w="11355" w:type="dxa"/>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692AF9CB"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JUDGMENT</w:t>
            </w:r>
          </w:p>
        </w:tc>
      </w:tr>
      <w:tr w:rsidR="006E087E" w14:paraId="4144F6A1"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7DFBAC80"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PROBLEM</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15A0A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C15E7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51EAB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A69FD6"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6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04EAC69" w14:textId="77777777" w:rsidR="006E087E" w:rsidRDefault="006E087E" w:rsidP="00A207C4">
            <w:pPr>
              <w:rPr>
                <w:rFonts w:ascii="Garamond" w:eastAsia="Garamond" w:hAnsi="Garamond" w:cs="Garamond"/>
                <w:b/>
                <w:sz w:val="20"/>
                <w:szCs w:val="20"/>
              </w:rPr>
            </w:pP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38FF8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0A20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283EBCBA"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0DB663A5"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DESIRABLE EFFECTS</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196CA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6A605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DE3DC"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Moderate</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1B3FF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16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0972E1A5" w14:textId="77777777" w:rsidR="006E087E" w:rsidRDefault="006E087E" w:rsidP="00A207C4">
            <w:pPr>
              <w:rPr>
                <w:rFonts w:ascii="Garamond" w:eastAsia="Garamond" w:hAnsi="Garamond" w:cs="Garamond"/>
                <w:color w:val="AEAAAA"/>
                <w:sz w:val="20"/>
                <w:szCs w:val="20"/>
              </w:rPr>
            </w:pP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473FC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6657B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3556DD1C"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09DAF17B"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UNDESIRABLE EFFECTS</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6EC13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F74A6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EE08B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D13045"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Trivial</w:t>
            </w:r>
          </w:p>
        </w:tc>
        <w:tc>
          <w:tcPr>
            <w:tcW w:w="16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1358E19" w14:textId="77777777" w:rsidR="006E087E" w:rsidRDefault="006E087E" w:rsidP="00A207C4">
            <w:pPr>
              <w:rPr>
                <w:rFonts w:ascii="Garamond" w:eastAsia="Garamond" w:hAnsi="Garamond" w:cs="Garamond"/>
                <w:b/>
                <w:sz w:val="20"/>
                <w:szCs w:val="20"/>
              </w:rPr>
            </w:pP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99366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9588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22090895"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606D4460"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E5027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9CAF8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Low</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05AFA4"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Moderate</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30273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6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F5DD7A1" w14:textId="77777777" w:rsidR="006E087E" w:rsidRDefault="006E087E" w:rsidP="00A207C4">
            <w:pPr>
              <w:rPr>
                <w:rFonts w:ascii="Garamond" w:eastAsia="Garamond" w:hAnsi="Garamond" w:cs="Garamond"/>
                <w:color w:val="AEAAAA"/>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E26031F" w14:textId="77777777" w:rsidR="006E087E" w:rsidRDefault="006E087E" w:rsidP="00A207C4">
            <w:pPr>
              <w:jc w:val="center"/>
              <w:rPr>
                <w:rFonts w:ascii="Garamond" w:eastAsia="Garamond" w:hAnsi="Garamond" w:cs="Garamond"/>
                <w:sz w:val="20"/>
                <w:szCs w:val="20"/>
              </w:rPr>
            </w:pP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52941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included studies</w:t>
            </w:r>
          </w:p>
        </w:tc>
      </w:tr>
      <w:tr w:rsidR="006E087E" w14:paraId="69FD315F"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F9B131F"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VALUES</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3961A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Important uncertainty or variability</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652CC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Possibly important uncertainty or variability</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7281B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important uncertainty or variability</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E80E26"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important uncertainty or variability</w:t>
            </w:r>
          </w:p>
        </w:tc>
        <w:tc>
          <w:tcPr>
            <w:tcW w:w="16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1B737D28" w14:textId="77777777" w:rsidR="006E087E" w:rsidRDefault="006E087E" w:rsidP="00A207C4">
            <w:pPr>
              <w:rPr>
                <w:rFonts w:ascii="Garamond" w:eastAsia="Garamond" w:hAnsi="Garamond" w:cs="Garamond"/>
                <w:b/>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8952799" w14:textId="77777777" w:rsidR="006E087E" w:rsidRDefault="006E087E" w:rsidP="00A207C4">
            <w:pPr>
              <w:jc w:val="center"/>
              <w:rPr>
                <w:rFonts w:ascii="Garamond" w:eastAsia="Garamond" w:hAnsi="Garamond" w:cs="Garamond"/>
                <w:sz w:val="20"/>
                <w:szCs w:val="20"/>
              </w:rPr>
            </w:pPr>
          </w:p>
        </w:tc>
        <w:tc>
          <w:tcPr>
            <w:tcW w:w="177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4D1CEEAD" w14:textId="77777777" w:rsidR="006E087E" w:rsidRDefault="006E087E" w:rsidP="00A207C4">
            <w:pPr>
              <w:jc w:val="center"/>
              <w:rPr>
                <w:rFonts w:ascii="Garamond" w:eastAsia="Garamond" w:hAnsi="Garamond" w:cs="Garamond"/>
                <w:sz w:val="20"/>
                <w:szCs w:val="20"/>
              </w:rPr>
            </w:pPr>
          </w:p>
        </w:tc>
      </w:tr>
      <w:tr w:rsidR="006E087E" w14:paraId="73BABAC5"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15BF124"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BALANCE OF EFFECTS</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3EAD9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959C6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9EA1A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ACED1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intervention</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0F9E1B"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Favors the intervention</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31787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E6E3B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362B24EC"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D9C08DB"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RESOURCES REQUIRED</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0CABF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costs</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2E574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costs</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D8421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Negligible costs and savings</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6C8F2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savings</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BD7FE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savings</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DF75A3"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B0D01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55BDFDCF"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034382B"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 OF REQUIRED RESOURCES</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B999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1F489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Low</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3168F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94423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6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56BD0F45" w14:textId="77777777" w:rsidR="006E087E" w:rsidRDefault="006E087E" w:rsidP="00A207C4">
            <w:pPr>
              <w:rPr>
                <w:rFonts w:ascii="Garamond" w:eastAsia="Garamond" w:hAnsi="Garamond" w:cs="Garamond"/>
                <w:color w:val="AEAAAA"/>
                <w:sz w:val="20"/>
                <w:szCs w:val="20"/>
              </w:rPr>
            </w:pPr>
          </w:p>
        </w:tc>
        <w:tc>
          <w:tcPr>
            <w:tcW w:w="114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DFFBB5C"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3847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included studies</w:t>
            </w:r>
          </w:p>
        </w:tc>
      </w:tr>
      <w:tr w:rsidR="006E087E" w14:paraId="1692C80F"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74BEBE98"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COST EFFECTIVENESS</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A2C99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1CE08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DD7A3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A7A45E"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favors the intervention</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59900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F81DC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9A8FF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included studies</w:t>
            </w:r>
          </w:p>
        </w:tc>
      </w:tr>
      <w:tr w:rsidR="006E087E" w14:paraId="4EF920BF"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1811B7B3"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EQUITY</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C1161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Reduced</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9FFF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reduced</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5DB82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impact</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6F12C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increased</w:t>
            </w:r>
          </w:p>
        </w:tc>
        <w:tc>
          <w:tcPr>
            <w:tcW w:w="16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2F346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Increased</w:t>
            </w: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F944E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D53FB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6AD28BD6" w14:textId="77777777" w:rsidTr="00A207C4">
        <w:trPr>
          <w:trHeight w:val="83"/>
        </w:trPr>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66A291C"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ACCEPTABILITY</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B7FC5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57DE3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F574C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8E7725"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6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A7DB9C2" w14:textId="77777777" w:rsidR="006E087E" w:rsidRDefault="006E087E" w:rsidP="00A207C4">
            <w:pPr>
              <w:rPr>
                <w:rFonts w:ascii="Garamond" w:eastAsia="Garamond" w:hAnsi="Garamond" w:cs="Garamond"/>
                <w:b/>
                <w:sz w:val="20"/>
                <w:szCs w:val="20"/>
              </w:rPr>
            </w:pP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4C0FF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0C101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2DD2782C" w14:textId="77777777" w:rsidTr="00A207C4">
        <w:tc>
          <w:tcPr>
            <w:tcW w:w="3075"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2A4B7B38"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FEASIBILITY</w:t>
            </w:r>
          </w:p>
        </w:tc>
        <w:tc>
          <w:tcPr>
            <w:tcW w:w="1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C2CB2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F8F07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19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2DAF6B"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yes</w:t>
            </w:r>
          </w:p>
        </w:tc>
        <w:tc>
          <w:tcPr>
            <w:tcW w:w="18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F597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Yes</w:t>
            </w:r>
          </w:p>
        </w:tc>
        <w:tc>
          <w:tcPr>
            <w:tcW w:w="160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7D07E98B" w14:textId="77777777" w:rsidR="006E087E" w:rsidRDefault="006E087E" w:rsidP="00A207C4">
            <w:pPr>
              <w:rPr>
                <w:rFonts w:ascii="Garamond" w:eastAsia="Garamond" w:hAnsi="Garamond" w:cs="Garamond"/>
                <w:color w:val="AEAAAA"/>
                <w:sz w:val="20"/>
                <w:szCs w:val="20"/>
              </w:rPr>
            </w:pPr>
          </w:p>
        </w:tc>
        <w:tc>
          <w:tcPr>
            <w:tcW w:w="11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9765F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7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309BB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bl>
    <w:p w14:paraId="7E590EC4" w14:textId="77777777" w:rsidR="006E087E" w:rsidRDefault="006E087E" w:rsidP="006E087E">
      <w:pPr>
        <w:pStyle w:val="Heading1"/>
        <w:keepNext/>
        <w:keepLines/>
        <w:spacing w:after="20" w:line="240" w:lineRule="auto"/>
        <w:rPr>
          <w:rFonts w:ascii="Garamond" w:eastAsia="Garamond" w:hAnsi="Garamond" w:cs="Garamond"/>
          <w:smallCaps/>
        </w:rPr>
      </w:pPr>
      <w:bookmarkStart w:id="31" w:name="_heading=h.mfkw0uogbt0i" w:colFirst="0" w:colLast="0"/>
      <w:bookmarkEnd w:id="31"/>
      <w:r>
        <w:rPr>
          <w:rFonts w:ascii="Garamond" w:eastAsia="Garamond" w:hAnsi="Garamond" w:cs="Garamond"/>
        </w:rPr>
        <w:t>Type of Recommendation</w:t>
      </w:r>
    </w:p>
    <w:tbl>
      <w:tblPr>
        <w:tblW w:w="145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20"/>
        <w:gridCol w:w="2955"/>
        <w:gridCol w:w="2985"/>
        <w:gridCol w:w="2910"/>
        <w:gridCol w:w="2895"/>
      </w:tblGrid>
      <w:tr w:rsidR="006E087E" w14:paraId="5478F80B" w14:textId="77777777" w:rsidTr="00A207C4">
        <w:trPr>
          <w:trHeight w:val="902"/>
        </w:trPr>
        <w:tc>
          <w:tcPr>
            <w:tcW w:w="2820" w:type="dxa"/>
            <w:tcBorders>
              <w:top w:val="single" w:sz="6" w:space="0" w:color="000000"/>
              <w:left w:val="single" w:sz="6" w:space="0" w:color="000000"/>
              <w:right w:val="single" w:sz="6" w:space="0" w:color="000000"/>
            </w:tcBorders>
            <w:tcMar>
              <w:top w:w="75" w:type="dxa"/>
              <w:left w:w="0" w:type="dxa"/>
              <w:bottom w:w="0" w:type="dxa"/>
              <w:right w:w="0" w:type="dxa"/>
            </w:tcMar>
          </w:tcPr>
          <w:p w14:paraId="39986CCA"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against the intervention</w:t>
            </w:r>
          </w:p>
        </w:tc>
        <w:tc>
          <w:tcPr>
            <w:tcW w:w="2955" w:type="dxa"/>
            <w:tcBorders>
              <w:top w:val="single" w:sz="6" w:space="0" w:color="000000"/>
              <w:left w:val="single" w:sz="6" w:space="0" w:color="000000"/>
              <w:right w:val="single" w:sz="6" w:space="0" w:color="000000"/>
            </w:tcBorders>
            <w:tcMar>
              <w:top w:w="75" w:type="dxa"/>
              <w:left w:w="0" w:type="dxa"/>
              <w:bottom w:w="0" w:type="dxa"/>
              <w:right w:w="0" w:type="dxa"/>
            </w:tcMar>
          </w:tcPr>
          <w:p w14:paraId="27925754"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against the intervention</w:t>
            </w:r>
          </w:p>
        </w:tc>
        <w:tc>
          <w:tcPr>
            <w:tcW w:w="2985" w:type="dxa"/>
            <w:tcBorders>
              <w:top w:val="single" w:sz="6" w:space="0" w:color="000000"/>
              <w:left w:val="single" w:sz="6" w:space="0" w:color="000000"/>
              <w:right w:val="single" w:sz="6" w:space="0" w:color="000000"/>
            </w:tcBorders>
            <w:tcMar>
              <w:top w:w="75" w:type="dxa"/>
              <w:left w:w="0" w:type="dxa"/>
              <w:bottom w:w="0" w:type="dxa"/>
              <w:right w:w="0" w:type="dxa"/>
            </w:tcMar>
          </w:tcPr>
          <w:p w14:paraId="342CF21B"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for either the intervention or the comparison</w:t>
            </w:r>
          </w:p>
        </w:tc>
        <w:tc>
          <w:tcPr>
            <w:tcW w:w="2910" w:type="dxa"/>
            <w:tcBorders>
              <w:top w:val="single" w:sz="6" w:space="0" w:color="000000"/>
              <w:left w:val="single" w:sz="6" w:space="0" w:color="000000"/>
              <w:right w:val="single" w:sz="6" w:space="0" w:color="000000"/>
            </w:tcBorders>
            <w:tcMar>
              <w:top w:w="75" w:type="dxa"/>
              <w:left w:w="0" w:type="dxa"/>
              <w:bottom w:w="0" w:type="dxa"/>
              <w:right w:w="0" w:type="dxa"/>
            </w:tcMar>
          </w:tcPr>
          <w:p w14:paraId="3B50BF50"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for the intervention</w:t>
            </w:r>
          </w:p>
        </w:tc>
        <w:tc>
          <w:tcPr>
            <w:tcW w:w="2895" w:type="dxa"/>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tcPr>
          <w:p w14:paraId="23C8412C" w14:textId="77777777" w:rsidR="006E087E" w:rsidRDefault="006E087E" w:rsidP="00A207C4">
            <w:pPr>
              <w:jc w:val="center"/>
              <w:rPr>
                <w:rFonts w:ascii="Garamond" w:eastAsia="Garamond" w:hAnsi="Garamond" w:cs="Garamond"/>
                <w:b/>
                <w:color w:val="FFFFFF"/>
                <w:sz w:val="20"/>
                <w:szCs w:val="20"/>
              </w:rPr>
            </w:pPr>
            <w:r>
              <w:rPr>
                <w:rFonts w:ascii="Garamond" w:eastAsia="Garamond" w:hAnsi="Garamond" w:cs="Garamond"/>
                <w:b/>
                <w:color w:val="FFFFFF"/>
                <w:sz w:val="20"/>
                <w:szCs w:val="20"/>
              </w:rPr>
              <w:t>Strong recommendation for the intervention</w:t>
            </w:r>
          </w:p>
        </w:tc>
      </w:tr>
      <w:tr w:rsidR="006E087E" w14:paraId="76ABBC0B" w14:textId="77777777" w:rsidTr="00A207C4">
        <w:trPr>
          <w:trHeight w:val="476"/>
        </w:trPr>
        <w:tc>
          <w:tcPr>
            <w:tcW w:w="2820" w:type="dxa"/>
            <w:tcBorders>
              <w:left w:val="single" w:sz="6" w:space="0" w:color="000000"/>
              <w:bottom w:val="single" w:sz="6" w:space="0" w:color="000000"/>
              <w:right w:val="single" w:sz="6" w:space="0" w:color="000000"/>
            </w:tcBorders>
            <w:tcMar>
              <w:top w:w="0" w:type="dxa"/>
              <w:left w:w="0" w:type="dxa"/>
              <w:bottom w:w="75" w:type="dxa"/>
              <w:right w:w="0" w:type="dxa"/>
            </w:tcMar>
          </w:tcPr>
          <w:p w14:paraId="3FD0ADA4"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lastRenderedPageBreak/>
              <w:t xml:space="preserve">○ </w:t>
            </w:r>
          </w:p>
        </w:tc>
        <w:tc>
          <w:tcPr>
            <w:tcW w:w="2955" w:type="dxa"/>
            <w:tcBorders>
              <w:left w:val="single" w:sz="6" w:space="0" w:color="000000"/>
              <w:bottom w:val="single" w:sz="6" w:space="0" w:color="000000"/>
              <w:right w:val="single" w:sz="6" w:space="0" w:color="000000"/>
            </w:tcBorders>
            <w:tcMar>
              <w:top w:w="0" w:type="dxa"/>
              <w:left w:w="0" w:type="dxa"/>
              <w:bottom w:w="75" w:type="dxa"/>
              <w:right w:w="0" w:type="dxa"/>
            </w:tcMar>
          </w:tcPr>
          <w:p w14:paraId="43A238C8"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2985" w:type="dxa"/>
            <w:tcBorders>
              <w:left w:val="single" w:sz="6" w:space="0" w:color="000000"/>
              <w:bottom w:val="single" w:sz="6" w:space="0" w:color="000000"/>
              <w:right w:val="single" w:sz="6" w:space="0" w:color="000000"/>
            </w:tcBorders>
            <w:tcMar>
              <w:top w:w="0" w:type="dxa"/>
              <w:left w:w="0" w:type="dxa"/>
              <w:bottom w:w="75" w:type="dxa"/>
              <w:right w:w="0" w:type="dxa"/>
            </w:tcMar>
          </w:tcPr>
          <w:p w14:paraId="41692015"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2910" w:type="dxa"/>
            <w:tcBorders>
              <w:left w:val="single" w:sz="6" w:space="0" w:color="000000"/>
              <w:bottom w:val="single" w:sz="6" w:space="0" w:color="000000"/>
              <w:right w:val="single" w:sz="6" w:space="0" w:color="000000"/>
            </w:tcBorders>
            <w:tcMar>
              <w:top w:w="0" w:type="dxa"/>
              <w:left w:w="0" w:type="dxa"/>
              <w:bottom w:w="75" w:type="dxa"/>
              <w:right w:w="0" w:type="dxa"/>
            </w:tcMar>
          </w:tcPr>
          <w:p w14:paraId="79008DC8"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 xml:space="preserve">○ </w:t>
            </w:r>
          </w:p>
        </w:tc>
        <w:tc>
          <w:tcPr>
            <w:tcW w:w="2895" w:type="dxa"/>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tcPr>
          <w:p w14:paraId="254C2ECA" w14:textId="77777777" w:rsidR="006E087E" w:rsidRDefault="008E2347" w:rsidP="00A207C4">
            <w:pPr>
              <w:jc w:val="center"/>
              <w:rPr>
                <w:rFonts w:ascii="Garamond" w:eastAsia="Garamond" w:hAnsi="Garamond" w:cs="Garamond"/>
                <w:b/>
                <w:color w:val="FFFFFF"/>
                <w:sz w:val="20"/>
                <w:szCs w:val="20"/>
              </w:rPr>
            </w:pPr>
            <w:sdt>
              <w:sdtPr>
                <w:tag w:val="goog_rdk_69"/>
                <w:id w:val="-54474192"/>
              </w:sdtPr>
              <w:sdtEndPr/>
              <w:sdtContent>
                <w:r w:rsidR="006E087E">
                  <w:rPr>
                    <w:rFonts w:ascii="Arial Unicode MS" w:eastAsia="Arial Unicode MS" w:hAnsi="Arial Unicode MS" w:cs="Arial Unicode MS"/>
                    <w:b/>
                    <w:color w:val="FFFFFF"/>
                    <w:sz w:val="30"/>
                    <w:szCs w:val="30"/>
                  </w:rPr>
                  <w:t>✓</w:t>
                </w:r>
              </w:sdtContent>
            </w:sdt>
          </w:p>
        </w:tc>
      </w:tr>
    </w:tbl>
    <w:p w14:paraId="2B8E4157" w14:textId="77777777" w:rsidR="00870326" w:rsidRDefault="00870326" w:rsidP="006E087E">
      <w:pPr>
        <w:spacing w:line="240" w:lineRule="auto"/>
      </w:pPr>
      <w:bookmarkStart w:id="32" w:name="bookmark=kix.w7pv5ykgjppu" w:colFirst="0" w:colLast="0"/>
      <w:bookmarkEnd w:id="32"/>
    </w:p>
    <w:p w14:paraId="0366C145" w14:textId="77777777" w:rsidR="00870326" w:rsidRDefault="00870326">
      <w:pPr>
        <w:spacing w:line="240" w:lineRule="auto"/>
      </w:pPr>
      <w:r>
        <w:br w:type="page"/>
      </w:r>
    </w:p>
    <w:p w14:paraId="55461084" w14:textId="0B6D83D2" w:rsidR="006E087E" w:rsidRDefault="006E087E" w:rsidP="006E087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Supplemental Digital Content 10E</w:t>
      </w:r>
    </w:p>
    <w:p w14:paraId="7BF46952" w14:textId="77777777" w:rsidR="006E087E" w:rsidRDefault="006E087E" w:rsidP="006E087E">
      <w:pPr>
        <w:spacing w:line="240" w:lineRule="auto"/>
        <w:rPr>
          <w:rFonts w:ascii="Times New Roman" w:eastAsia="Times New Roman" w:hAnsi="Times New Roman" w:cs="Times New Roman"/>
          <w:b/>
          <w:sz w:val="24"/>
          <w:szCs w:val="24"/>
        </w:rPr>
      </w:pPr>
    </w:p>
    <w:p w14:paraId="6A797908" w14:textId="77777777" w:rsidR="006E087E" w:rsidRDefault="006E087E" w:rsidP="006E087E">
      <w:pPr>
        <w:pStyle w:val="Heading2"/>
        <w:keepNext/>
        <w:keepLines/>
        <w:spacing w:before="40"/>
        <w:rPr>
          <w:rFonts w:ascii="Garamond" w:eastAsia="Garamond" w:hAnsi="Garamond" w:cs="Garamond"/>
          <w:i w:val="0"/>
        </w:rPr>
      </w:pPr>
      <w:bookmarkStart w:id="33" w:name="_heading=h.b8eest8bjoji" w:colFirst="0" w:colLast="0"/>
      <w:bookmarkEnd w:id="33"/>
      <w:r>
        <w:rPr>
          <w:rFonts w:ascii="Garamond" w:eastAsia="Garamond" w:hAnsi="Garamond" w:cs="Garamond"/>
          <w:i w:val="0"/>
        </w:rPr>
        <w:t>Question A: Should rapid response teams/ medical emergency teams be led by a ‘prescribing’ as compared to a ‘non-prescribing’ clinician?</w:t>
      </w:r>
    </w:p>
    <w:p w14:paraId="512506B1" w14:textId="77777777" w:rsidR="006E087E" w:rsidRDefault="006E087E" w:rsidP="006E087E">
      <w:pPr>
        <w:spacing w:line="240" w:lineRule="auto"/>
        <w:rPr>
          <w:rFonts w:ascii="Garamond" w:eastAsia="Garamond" w:hAnsi="Garamond" w:cs="Garamond"/>
          <w:sz w:val="24"/>
          <w:szCs w:val="24"/>
        </w:rPr>
      </w:pPr>
    </w:p>
    <w:p w14:paraId="147E8587" w14:textId="77777777" w:rsidR="006E087E" w:rsidRDefault="006E087E" w:rsidP="006E087E">
      <w:pPr>
        <w:pStyle w:val="Heading2"/>
        <w:keepNext/>
        <w:keepLines/>
        <w:spacing w:before="40"/>
        <w:rPr>
          <w:rFonts w:ascii="Garamond" w:eastAsia="Garamond" w:hAnsi="Garamond" w:cs="Garamond"/>
          <w:i w:val="0"/>
        </w:rPr>
      </w:pPr>
      <w:bookmarkStart w:id="34" w:name="_heading=h.1qmo17pr5brm" w:colFirst="0" w:colLast="0"/>
      <w:bookmarkEnd w:id="34"/>
      <w:r>
        <w:rPr>
          <w:rFonts w:ascii="Garamond" w:eastAsia="Garamond" w:hAnsi="Garamond" w:cs="Garamond"/>
          <w:i w:val="0"/>
        </w:rPr>
        <w:t>GRADE Evidence Profile</w:t>
      </w:r>
    </w:p>
    <w:tbl>
      <w:tblPr>
        <w:tblW w:w="15057" w:type="dxa"/>
        <w:tblInd w:w="-5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40"/>
        <w:gridCol w:w="1134"/>
        <w:gridCol w:w="992"/>
        <w:gridCol w:w="1276"/>
        <w:gridCol w:w="1134"/>
        <w:gridCol w:w="1134"/>
        <w:gridCol w:w="1276"/>
        <w:gridCol w:w="5103"/>
        <w:gridCol w:w="992"/>
        <w:gridCol w:w="1276"/>
      </w:tblGrid>
      <w:tr w:rsidR="006E087E" w14:paraId="016FEE19" w14:textId="77777777" w:rsidTr="00A207C4">
        <w:trPr>
          <w:cantSplit/>
          <w:tblHeader/>
        </w:trPr>
        <w:tc>
          <w:tcPr>
            <w:tcW w:w="7686" w:type="dxa"/>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4D53B9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 assessment</w:t>
            </w:r>
          </w:p>
        </w:tc>
        <w:tc>
          <w:tcPr>
            <w:tcW w:w="5103"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35D29B7"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 xml:space="preserve">Impact </w:t>
            </w:r>
          </w:p>
        </w:tc>
        <w:tc>
          <w:tcPr>
            <w:tcW w:w="992"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8161AFB"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w:t>
            </w:r>
          </w:p>
        </w:tc>
        <w:tc>
          <w:tcPr>
            <w:tcW w:w="1276"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31616A8"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Importance</w:t>
            </w:r>
          </w:p>
        </w:tc>
      </w:tr>
      <w:tr w:rsidR="006E087E" w14:paraId="76D67448" w14:textId="77777777" w:rsidTr="00A207C4">
        <w:trPr>
          <w:cantSplit/>
          <w:tblHeader/>
        </w:trPr>
        <w:tc>
          <w:tcPr>
            <w:tcW w:w="74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3E0DD800" w14:textId="77777777" w:rsidR="006E087E" w:rsidRDefault="008E2347" w:rsidP="00A207C4">
            <w:pPr>
              <w:jc w:val="center"/>
              <w:rPr>
                <w:rFonts w:ascii="Garamond" w:eastAsia="Garamond" w:hAnsi="Garamond" w:cs="Garamond"/>
                <w:b/>
                <w:color w:val="FFFFFF"/>
                <w:sz w:val="18"/>
                <w:szCs w:val="18"/>
              </w:rPr>
            </w:pPr>
            <w:sdt>
              <w:sdtPr>
                <w:tag w:val="goog_rdk_70"/>
                <w:id w:val="-271775087"/>
              </w:sdtPr>
              <w:sdtEndPr/>
              <w:sdtContent>
                <w:r w:rsidR="006E087E">
                  <w:rPr>
                    <w:rFonts w:ascii="Cardo" w:eastAsia="Cardo" w:hAnsi="Cardo" w:cs="Cardo"/>
                    <w:b/>
                    <w:color w:val="FFFFFF"/>
                    <w:sz w:val="18"/>
                    <w:szCs w:val="18"/>
                  </w:rPr>
                  <w:t>№ of studies</w:t>
                </w:r>
              </w:sdtContent>
            </w:sdt>
          </w:p>
        </w:tc>
        <w:tc>
          <w:tcPr>
            <w:tcW w:w="1134"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34245B33"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Study design</w:t>
            </w:r>
          </w:p>
        </w:tc>
        <w:tc>
          <w:tcPr>
            <w:tcW w:w="992"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1CB8D24"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Risk of bias</w:t>
            </w:r>
          </w:p>
        </w:tc>
        <w:tc>
          <w:tcPr>
            <w:tcW w:w="1276"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28F28136"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Inconsistency</w:t>
            </w:r>
          </w:p>
        </w:tc>
        <w:tc>
          <w:tcPr>
            <w:tcW w:w="1134"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A53B414"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Indirectness</w:t>
            </w:r>
          </w:p>
        </w:tc>
        <w:tc>
          <w:tcPr>
            <w:tcW w:w="1134"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8305DB2"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Imprecision</w:t>
            </w:r>
          </w:p>
        </w:tc>
        <w:tc>
          <w:tcPr>
            <w:tcW w:w="1276"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2876E5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Other considerations</w:t>
            </w:r>
          </w:p>
        </w:tc>
        <w:tc>
          <w:tcPr>
            <w:tcW w:w="5103"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0A22454"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992"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758810E"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276"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95BEE6C"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r>
      <w:tr w:rsidR="006E087E" w14:paraId="26A0C9B0" w14:textId="77777777" w:rsidTr="00A207C4">
        <w:trPr>
          <w:cantSplit/>
        </w:trPr>
        <w:tc>
          <w:tcPr>
            <w:tcW w:w="15057" w:type="dxa"/>
            <w:gridSpan w:val="10"/>
            <w:shd w:val="clear" w:color="auto" w:fill="FFFFFF"/>
            <w:tcMar>
              <w:top w:w="75" w:type="dxa"/>
              <w:left w:w="100" w:type="dxa"/>
              <w:bottom w:w="100" w:type="dxa"/>
              <w:right w:w="100" w:type="dxa"/>
            </w:tcMar>
            <w:vAlign w:val="center"/>
          </w:tcPr>
          <w:p w14:paraId="1C37E033"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Hospital mortality</w:t>
            </w:r>
          </w:p>
        </w:tc>
      </w:tr>
      <w:tr w:rsidR="006E087E" w14:paraId="462FBEC1" w14:textId="77777777" w:rsidTr="00A207C4">
        <w:trPr>
          <w:cantSplit/>
        </w:trPr>
        <w:tc>
          <w:tcPr>
            <w:tcW w:w="740" w:type="dxa"/>
            <w:tcBorders>
              <w:top w:val="single" w:sz="6" w:space="0" w:color="000000"/>
              <w:left w:val="single" w:sz="6" w:space="0" w:color="000000"/>
              <w:bottom w:val="single" w:sz="6" w:space="0" w:color="000000"/>
              <w:right w:val="single" w:sz="6" w:space="0" w:color="000000"/>
            </w:tcBorders>
          </w:tcPr>
          <w:p w14:paraId="0166318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w:t>
            </w:r>
          </w:p>
        </w:tc>
        <w:tc>
          <w:tcPr>
            <w:tcW w:w="1134" w:type="dxa"/>
            <w:tcBorders>
              <w:top w:val="single" w:sz="6" w:space="0" w:color="000000"/>
              <w:left w:val="single" w:sz="6" w:space="0" w:color="000000"/>
              <w:bottom w:val="single" w:sz="6" w:space="0" w:color="000000"/>
              <w:right w:val="single" w:sz="6" w:space="0" w:color="000000"/>
            </w:tcBorders>
          </w:tcPr>
          <w:p w14:paraId="488660D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992" w:type="dxa"/>
            <w:tcBorders>
              <w:top w:val="single" w:sz="6" w:space="0" w:color="000000"/>
              <w:left w:val="single" w:sz="6" w:space="0" w:color="000000"/>
              <w:bottom w:val="single" w:sz="6" w:space="0" w:color="000000"/>
              <w:right w:val="single" w:sz="6" w:space="0" w:color="000000"/>
            </w:tcBorders>
          </w:tcPr>
          <w:p w14:paraId="663E8B7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not serious </w:t>
            </w:r>
          </w:p>
        </w:tc>
        <w:tc>
          <w:tcPr>
            <w:tcW w:w="1276" w:type="dxa"/>
            <w:tcBorders>
              <w:top w:val="single" w:sz="6" w:space="0" w:color="000000"/>
              <w:left w:val="single" w:sz="6" w:space="0" w:color="000000"/>
              <w:bottom w:val="single" w:sz="6" w:space="0" w:color="000000"/>
              <w:right w:val="single" w:sz="6" w:space="0" w:color="000000"/>
            </w:tcBorders>
          </w:tcPr>
          <w:p w14:paraId="08798511"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38F28410"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4AC13E11" w14:textId="77777777" w:rsidR="006E087E" w:rsidRDefault="006E087E" w:rsidP="00A207C4">
            <w:pPr>
              <w:jc w:val="center"/>
              <w:rPr>
                <w:rFonts w:ascii="Garamond" w:eastAsia="Garamond" w:hAnsi="Garamond" w:cs="Garamond"/>
                <w:b/>
                <w:sz w:val="18"/>
                <w:szCs w:val="18"/>
                <w:vertAlign w:val="superscript"/>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76" w:type="dxa"/>
            <w:tcBorders>
              <w:top w:val="single" w:sz="6" w:space="0" w:color="000000"/>
              <w:left w:val="single" w:sz="6" w:space="0" w:color="000000"/>
              <w:bottom w:val="single" w:sz="6" w:space="0" w:color="000000"/>
              <w:right w:val="single" w:sz="6" w:space="0" w:color="000000"/>
            </w:tcBorders>
          </w:tcPr>
          <w:p w14:paraId="7276ED5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103" w:type="dxa"/>
            <w:tcBorders>
              <w:top w:val="single" w:sz="6" w:space="0" w:color="000000"/>
              <w:left w:val="single" w:sz="6" w:space="0" w:color="000000"/>
              <w:bottom w:val="single" w:sz="6" w:space="0" w:color="000000"/>
              <w:right w:val="single" w:sz="6" w:space="0" w:color="000000"/>
            </w:tcBorders>
          </w:tcPr>
          <w:p w14:paraId="577CE4CC"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One before-after study (</w:t>
            </w:r>
            <w:proofErr w:type="spellStart"/>
            <w:r>
              <w:rPr>
                <w:rFonts w:ascii="Garamond" w:eastAsia="Garamond" w:hAnsi="Garamond" w:cs="Garamond"/>
                <w:b/>
                <w:sz w:val="18"/>
                <w:szCs w:val="18"/>
              </w:rPr>
              <w:t>Chassan</w:t>
            </w:r>
            <w:proofErr w:type="spellEnd"/>
            <w:r>
              <w:rPr>
                <w:rFonts w:ascii="Garamond" w:eastAsia="Garamond" w:hAnsi="Garamond" w:cs="Garamond"/>
                <w:b/>
                <w:sz w:val="18"/>
                <w:szCs w:val="18"/>
              </w:rPr>
              <w:t xml:space="preserve"> et al., 2013*)</w:t>
            </w:r>
            <w:r>
              <w:rPr>
                <w:rFonts w:ascii="Garamond" w:eastAsia="Garamond" w:hAnsi="Garamond" w:cs="Garamond"/>
                <w:b/>
                <w:sz w:val="18"/>
                <w:szCs w:val="18"/>
                <w:vertAlign w:val="superscript"/>
              </w:rPr>
              <w:t>161</w:t>
            </w:r>
            <w:r>
              <w:rPr>
                <w:rFonts w:ascii="Garamond" w:eastAsia="Garamond" w:hAnsi="Garamond" w:cs="Garamond"/>
                <w:sz w:val="18"/>
                <w:szCs w:val="18"/>
              </w:rPr>
              <w:t xml:space="preserve"> of 50 RN-led to 50 ACNP-led RRT/MET calls, in which patients were matched on age, comorbidities, and illness severity, found survival to hospital discharge was higher in RN-led (94%) compared to ACNP-led (82%) RRT/MET call patients. </w:t>
            </w:r>
            <w:r>
              <w:rPr>
                <w:rFonts w:ascii="Garamond" w:eastAsia="Garamond" w:hAnsi="Garamond" w:cs="Garamond"/>
                <w:b/>
                <w:sz w:val="18"/>
                <w:szCs w:val="18"/>
              </w:rPr>
              <w:t>However, imprecision, low numbers, and confounding led to an uncertain effect overall on hospital mortality.</w:t>
            </w:r>
          </w:p>
        </w:tc>
        <w:tc>
          <w:tcPr>
            <w:tcW w:w="992" w:type="dxa"/>
            <w:tcBorders>
              <w:top w:val="single" w:sz="6" w:space="0" w:color="000000"/>
              <w:left w:val="single" w:sz="6" w:space="0" w:color="000000"/>
              <w:bottom w:val="single" w:sz="6" w:space="0" w:color="000000"/>
              <w:right w:val="single" w:sz="6" w:space="0" w:color="000000"/>
            </w:tcBorders>
          </w:tcPr>
          <w:p w14:paraId="6D62420B"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71"/>
                <w:id w:val="-1306310226"/>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76" w:type="dxa"/>
            <w:tcBorders>
              <w:top w:val="single" w:sz="6" w:space="0" w:color="000000"/>
              <w:left w:val="single" w:sz="6" w:space="0" w:color="000000"/>
              <w:bottom w:val="single" w:sz="6" w:space="0" w:color="000000"/>
              <w:right w:val="single" w:sz="6" w:space="0" w:color="000000"/>
            </w:tcBorders>
          </w:tcPr>
          <w:p w14:paraId="6D8C9B5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CRITICAL </w:t>
            </w:r>
          </w:p>
        </w:tc>
      </w:tr>
      <w:tr w:rsidR="006E087E" w14:paraId="4B4C8B11" w14:textId="77777777" w:rsidTr="00A207C4">
        <w:trPr>
          <w:cantSplit/>
        </w:trPr>
        <w:tc>
          <w:tcPr>
            <w:tcW w:w="15057" w:type="dxa"/>
            <w:gridSpan w:val="10"/>
            <w:shd w:val="clear" w:color="auto" w:fill="FFFFFF"/>
            <w:tcMar>
              <w:top w:w="75" w:type="dxa"/>
              <w:left w:w="100" w:type="dxa"/>
              <w:bottom w:w="100" w:type="dxa"/>
              <w:right w:w="100" w:type="dxa"/>
            </w:tcMar>
            <w:vAlign w:val="center"/>
          </w:tcPr>
          <w:p w14:paraId="30B5D8D7"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Hospital Length of Stay</w:t>
            </w:r>
          </w:p>
        </w:tc>
      </w:tr>
      <w:tr w:rsidR="006E087E" w14:paraId="11B46D4B" w14:textId="77777777" w:rsidTr="00A207C4">
        <w:trPr>
          <w:cantSplit/>
        </w:trPr>
        <w:tc>
          <w:tcPr>
            <w:tcW w:w="740" w:type="dxa"/>
            <w:tcBorders>
              <w:top w:val="single" w:sz="6" w:space="0" w:color="000000"/>
              <w:left w:val="single" w:sz="6" w:space="0" w:color="000000"/>
              <w:bottom w:val="single" w:sz="6" w:space="0" w:color="000000"/>
              <w:right w:val="single" w:sz="6" w:space="0" w:color="000000"/>
            </w:tcBorders>
          </w:tcPr>
          <w:p w14:paraId="527FF8A5"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 xml:space="preserve">1 </w:t>
            </w:r>
          </w:p>
        </w:tc>
        <w:tc>
          <w:tcPr>
            <w:tcW w:w="1134" w:type="dxa"/>
            <w:tcBorders>
              <w:top w:val="single" w:sz="6" w:space="0" w:color="000000"/>
              <w:left w:val="single" w:sz="6" w:space="0" w:color="000000"/>
              <w:bottom w:val="single" w:sz="6" w:space="0" w:color="000000"/>
              <w:right w:val="single" w:sz="6" w:space="0" w:color="000000"/>
            </w:tcBorders>
          </w:tcPr>
          <w:p w14:paraId="1272BA3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992" w:type="dxa"/>
            <w:tcBorders>
              <w:top w:val="single" w:sz="6" w:space="0" w:color="000000"/>
              <w:left w:val="single" w:sz="6" w:space="0" w:color="000000"/>
              <w:bottom w:val="single" w:sz="6" w:space="0" w:color="000000"/>
              <w:right w:val="single" w:sz="6" w:space="0" w:color="000000"/>
            </w:tcBorders>
          </w:tcPr>
          <w:p w14:paraId="565FB05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not serious </w:t>
            </w:r>
          </w:p>
        </w:tc>
        <w:tc>
          <w:tcPr>
            <w:tcW w:w="1276" w:type="dxa"/>
            <w:tcBorders>
              <w:top w:val="single" w:sz="6" w:space="0" w:color="000000"/>
              <w:left w:val="single" w:sz="6" w:space="0" w:color="000000"/>
              <w:bottom w:val="single" w:sz="6" w:space="0" w:color="000000"/>
              <w:right w:val="single" w:sz="6" w:space="0" w:color="000000"/>
            </w:tcBorders>
          </w:tcPr>
          <w:p w14:paraId="2FFDE9CE"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3AFF4DA4"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6F526331" w14:textId="77777777" w:rsidR="006E087E" w:rsidRDefault="006E087E" w:rsidP="00A207C4">
            <w:pPr>
              <w:jc w:val="center"/>
              <w:rPr>
                <w:rFonts w:ascii="Garamond" w:eastAsia="Garamond" w:hAnsi="Garamond" w:cs="Garamond"/>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76" w:type="dxa"/>
            <w:tcBorders>
              <w:top w:val="single" w:sz="6" w:space="0" w:color="000000"/>
              <w:left w:val="single" w:sz="6" w:space="0" w:color="000000"/>
              <w:bottom w:val="single" w:sz="6" w:space="0" w:color="000000"/>
              <w:right w:val="single" w:sz="6" w:space="0" w:color="000000"/>
            </w:tcBorders>
          </w:tcPr>
          <w:p w14:paraId="46B44E1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103" w:type="dxa"/>
            <w:tcBorders>
              <w:top w:val="single" w:sz="6" w:space="0" w:color="000000"/>
              <w:left w:val="single" w:sz="6" w:space="0" w:color="000000"/>
              <w:bottom w:val="single" w:sz="6" w:space="0" w:color="000000"/>
              <w:right w:val="single" w:sz="6" w:space="0" w:color="000000"/>
            </w:tcBorders>
          </w:tcPr>
          <w:p w14:paraId="0E252CAA" w14:textId="77777777" w:rsidR="006E087E" w:rsidRDefault="006E087E" w:rsidP="00A207C4">
            <w:pPr>
              <w:rPr>
                <w:rFonts w:ascii="Garamond" w:eastAsia="Garamond" w:hAnsi="Garamond" w:cs="Garamond"/>
                <w:color w:val="C00000"/>
                <w:sz w:val="18"/>
                <w:szCs w:val="18"/>
              </w:rPr>
            </w:pPr>
            <w:proofErr w:type="spellStart"/>
            <w:r>
              <w:rPr>
                <w:rFonts w:ascii="Garamond" w:eastAsia="Garamond" w:hAnsi="Garamond" w:cs="Garamond"/>
                <w:b/>
                <w:sz w:val="18"/>
                <w:szCs w:val="18"/>
              </w:rPr>
              <w:t>Chassan</w:t>
            </w:r>
            <w:proofErr w:type="spellEnd"/>
            <w:r>
              <w:rPr>
                <w:rFonts w:ascii="Garamond" w:eastAsia="Garamond" w:hAnsi="Garamond" w:cs="Garamond"/>
                <w:b/>
                <w:sz w:val="18"/>
                <w:szCs w:val="18"/>
              </w:rPr>
              <w:t xml:space="preserve"> et al., 2013*</w:t>
            </w:r>
            <w:r>
              <w:rPr>
                <w:rFonts w:ascii="Garamond" w:eastAsia="Garamond" w:hAnsi="Garamond" w:cs="Garamond"/>
                <w:b/>
                <w:sz w:val="18"/>
                <w:szCs w:val="18"/>
                <w:vertAlign w:val="superscript"/>
              </w:rPr>
              <w:t>161</w:t>
            </w:r>
            <w:r>
              <w:rPr>
                <w:rFonts w:ascii="Garamond" w:eastAsia="Garamond" w:hAnsi="Garamond" w:cs="Garamond"/>
                <w:sz w:val="18"/>
                <w:szCs w:val="18"/>
              </w:rPr>
              <w:t xml:space="preserve"> of 50 RN-led to 50 ACNP-led RRT/MET calls, in which patients were matched on age, comorbidities, and illness severity, reported no difference in hospital length of stay between ACNP-led (</w:t>
            </w:r>
            <w:r>
              <w:rPr>
                <w:rFonts w:ascii="Garamond" w:eastAsia="Garamond" w:hAnsi="Garamond" w:cs="Garamond"/>
                <w:color w:val="2A2A2A"/>
                <w:sz w:val="18"/>
                <w:szCs w:val="18"/>
              </w:rPr>
              <w:t>9 +/- 9 days</w:t>
            </w:r>
            <w:r>
              <w:rPr>
                <w:rFonts w:ascii="Garamond" w:eastAsia="Garamond" w:hAnsi="Garamond" w:cs="Garamond"/>
                <w:sz w:val="18"/>
                <w:szCs w:val="18"/>
              </w:rPr>
              <w:t>) compared with RN-led (</w:t>
            </w:r>
            <w:r>
              <w:rPr>
                <w:rFonts w:ascii="Garamond" w:eastAsia="Garamond" w:hAnsi="Garamond" w:cs="Garamond"/>
                <w:color w:val="2A2A2A"/>
                <w:sz w:val="18"/>
                <w:szCs w:val="18"/>
              </w:rPr>
              <w:t>7 +/- 6 days</w:t>
            </w:r>
            <w:r>
              <w:rPr>
                <w:rFonts w:ascii="Garamond" w:eastAsia="Garamond" w:hAnsi="Garamond" w:cs="Garamond"/>
                <w:sz w:val="18"/>
                <w:szCs w:val="18"/>
              </w:rPr>
              <w:t>) RRT/MET call patients.</w:t>
            </w:r>
          </w:p>
        </w:tc>
        <w:tc>
          <w:tcPr>
            <w:tcW w:w="992" w:type="dxa"/>
            <w:tcBorders>
              <w:top w:val="single" w:sz="6" w:space="0" w:color="000000"/>
              <w:left w:val="single" w:sz="6" w:space="0" w:color="000000"/>
              <w:bottom w:val="single" w:sz="6" w:space="0" w:color="000000"/>
              <w:right w:val="single" w:sz="6" w:space="0" w:color="000000"/>
            </w:tcBorders>
          </w:tcPr>
          <w:p w14:paraId="432F3AD8"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72"/>
                <w:id w:val="-185681423"/>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76" w:type="dxa"/>
            <w:tcBorders>
              <w:top w:val="single" w:sz="6" w:space="0" w:color="000000"/>
              <w:left w:val="single" w:sz="6" w:space="0" w:color="000000"/>
              <w:bottom w:val="single" w:sz="6" w:space="0" w:color="000000"/>
              <w:right w:val="single" w:sz="6" w:space="0" w:color="000000"/>
            </w:tcBorders>
          </w:tcPr>
          <w:p w14:paraId="05F1361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IMPORTANT </w:t>
            </w:r>
          </w:p>
        </w:tc>
      </w:tr>
      <w:tr w:rsidR="006E087E" w14:paraId="6E91D065" w14:textId="77777777" w:rsidTr="00A207C4">
        <w:trPr>
          <w:cantSplit/>
        </w:trPr>
        <w:tc>
          <w:tcPr>
            <w:tcW w:w="15057" w:type="dxa"/>
            <w:gridSpan w:val="10"/>
            <w:shd w:val="clear" w:color="auto" w:fill="FFFFFF"/>
            <w:tcMar>
              <w:top w:w="75" w:type="dxa"/>
              <w:left w:w="100" w:type="dxa"/>
              <w:bottom w:w="100" w:type="dxa"/>
              <w:right w:w="100" w:type="dxa"/>
            </w:tcMar>
            <w:vAlign w:val="center"/>
          </w:tcPr>
          <w:p w14:paraId="51D1896C"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Unplanned transfers (escalations) to higher level of care</w:t>
            </w:r>
          </w:p>
        </w:tc>
      </w:tr>
      <w:tr w:rsidR="006E087E" w14:paraId="063B205C" w14:textId="77777777" w:rsidTr="00A207C4">
        <w:trPr>
          <w:cantSplit/>
        </w:trPr>
        <w:tc>
          <w:tcPr>
            <w:tcW w:w="740" w:type="dxa"/>
            <w:tcBorders>
              <w:top w:val="single" w:sz="6" w:space="0" w:color="000000"/>
              <w:left w:val="single" w:sz="6" w:space="0" w:color="000000"/>
              <w:bottom w:val="single" w:sz="6" w:space="0" w:color="000000"/>
              <w:right w:val="single" w:sz="6" w:space="0" w:color="000000"/>
            </w:tcBorders>
          </w:tcPr>
          <w:p w14:paraId="6AF49C9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1 </w:t>
            </w:r>
          </w:p>
        </w:tc>
        <w:tc>
          <w:tcPr>
            <w:tcW w:w="1134" w:type="dxa"/>
            <w:tcBorders>
              <w:top w:val="single" w:sz="6" w:space="0" w:color="000000"/>
              <w:left w:val="single" w:sz="6" w:space="0" w:color="000000"/>
              <w:bottom w:val="single" w:sz="6" w:space="0" w:color="000000"/>
              <w:right w:val="single" w:sz="6" w:space="0" w:color="000000"/>
            </w:tcBorders>
          </w:tcPr>
          <w:p w14:paraId="4527337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992" w:type="dxa"/>
            <w:tcBorders>
              <w:top w:val="single" w:sz="6" w:space="0" w:color="000000"/>
              <w:left w:val="single" w:sz="6" w:space="0" w:color="000000"/>
              <w:bottom w:val="single" w:sz="6" w:space="0" w:color="000000"/>
              <w:right w:val="single" w:sz="6" w:space="0" w:color="000000"/>
            </w:tcBorders>
          </w:tcPr>
          <w:p w14:paraId="0BEEB035" w14:textId="77777777" w:rsidR="006E087E" w:rsidRDefault="006E087E" w:rsidP="00A207C4">
            <w:pPr>
              <w:jc w:val="center"/>
              <w:rPr>
                <w:rFonts w:ascii="Garamond" w:eastAsia="Garamond" w:hAnsi="Garamond" w:cs="Garamond"/>
                <w:b/>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r>
              <w:rPr>
                <w:rFonts w:ascii="Garamond" w:eastAsia="Garamond" w:hAnsi="Garamond" w:cs="Garamond"/>
                <w:b/>
                <w:color w:val="C00000"/>
                <w:sz w:val="18"/>
                <w:szCs w:val="18"/>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5EEA8F68"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c</w:t>
            </w:r>
          </w:p>
        </w:tc>
        <w:tc>
          <w:tcPr>
            <w:tcW w:w="1134" w:type="dxa"/>
            <w:tcBorders>
              <w:top w:val="single" w:sz="6" w:space="0" w:color="000000"/>
              <w:left w:val="single" w:sz="6" w:space="0" w:color="000000"/>
              <w:bottom w:val="single" w:sz="6" w:space="0" w:color="000000"/>
              <w:right w:val="single" w:sz="6" w:space="0" w:color="000000"/>
            </w:tcBorders>
          </w:tcPr>
          <w:p w14:paraId="678C84C9"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d</w:t>
            </w:r>
          </w:p>
        </w:tc>
        <w:tc>
          <w:tcPr>
            <w:tcW w:w="1134" w:type="dxa"/>
            <w:tcBorders>
              <w:top w:val="single" w:sz="6" w:space="0" w:color="000000"/>
              <w:left w:val="single" w:sz="6" w:space="0" w:color="000000"/>
              <w:bottom w:val="single" w:sz="6" w:space="0" w:color="000000"/>
              <w:right w:val="single" w:sz="6" w:space="0" w:color="000000"/>
            </w:tcBorders>
          </w:tcPr>
          <w:p w14:paraId="14CF047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not serious </w:t>
            </w:r>
          </w:p>
        </w:tc>
        <w:tc>
          <w:tcPr>
            <w:tcW w:w="1276" w:type="dxa"/>
            <w:tcBorders>
              <w:top w:val="single" w:sz="6" w:space="0" w:color="000000"/>
              <w:left w:val="single" w:sz="6" w:space="0" w:color="000000"/>
              <w:bottom w:val="single" w:sz="6" w:space="0" w:color="000000"/>
              <w:right w:val="single" w:sz="6" w:space="0" w:color="000000"/>
            </w:tcBorders>
          </w:tcPr>
          <w:p w14:paraId="64EAFCD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103" w:type="dxa"/>
            <w:tcBorders>
              <w:top w:val="single" w:sz="6" w:space="0" w:color="000000"/>
              <w:left w:val="single" w:sz="6" w:space="0" w:color="000000"/>
              <w:bottom w:val="single" w:sz="6" w:space="0" w:color="000000"/>
              <w:right w:val="single" w:sz="6" w:space="0" w:color="000000"/>
            </w:tcBorders>
          </w:tcPr>
          <w:p w14:paraId="25F33D2B" w14:textId="77777777" w:rsidR="006E087E" w:rsidRDefault="006E087E" w:rsidP="00A207C4">
            <w:pPr>
              <w:rPr>
                <w:rFonts w:ascii="Garamond" w:eastAsia="Garamond" w:hAnsi="Garamond" w:cs="Garamond"/>
                <w:sz w:val="18"/>
                <w:szCs w:val="18"/>
              </w:rPr>
            </w:pPr>
            <w:proofErr w:type="spellStart"/>
            <w:r>
              <w:rPr>
                <w:rFonts w:ascii="Garamond" w:eastAsia="Garamond" w:hAnsi="Garamond" w:cs="Garamond"/>
                <w:b/>
                <w:sz w:val="18"/>
                <w:szCs w:val="18"/>
              </w:rPr>
              <w:t>Chassan</w:t>
            </w:r>
            <w:proofErr w:type="spellEnd"/>
            <w:r>
              <w:rPr>
                <w:rFonts w:ascii="Garamond" w:eastAsia="Garamond" w:hAnsi="Garamond" w:cs="Garamond"/>
                <w:b/>
                <w:sz w:val="18"/>
                <w:szCs w:val="18"/>
              </w:rPr>
              <w:t xml:space="preserve"> et al., 2013*</w:t>
            </w:r>
            <w:r>
              <w:rPr>
                <w:rFonts w:ascii="Garamond" w:eastAsia="Garamond" w:hAnsi="Garamond" w:cs="Garamond"/>
                <w:b/>
                <w:sz w:val="18"/>
                <w:szCs w:val="18"/>
                <w:vertAlign w:val="superscript"/>
              </w:rPr>
              <w:t>161</w:t>
            </w:r>
            <w:r>
              <w:rPr>
                <w:rFonts w:ascii="Garamond" w:eastAsia="Garamond" w:hAnsi="Garamond" w:cs="Garamond"/>
                <w:sz w:val="18"/>
                <w:szCs w:val="18"/>
              </w:rPr>
              <w:t xml:space="preserve"> reported more ICU transfers after introduction of an ACNP-led RRT/MET. Conversely, </w:t>
            </w:r>
            <w:proofErr w:type="spellStart"/>
            <w:r>
              <w:rPr>
                <w:rFonts w:ascii="Garamond" w:eastAsia="Garamond" w:hAnsi="Garamond" w:cs="Garamond"/>
                <w:b/>
                <w:sz w:val="18"/>
                <w:szCs w:val="18"/>
              </w:rPr>
              <w:t>Hatlem</w:t>
            </w:r>
            <w:proofErr w:type="spellEnd"/>
            <w:r>
              <w:rPr>
                <w:rFonts w:ascii="Garamond" w:eastAsia="Garamond" w:hAnsi="Garamond" w:cs="Garamond"/>
                <w:b/>
                <w:sz w:val="18"/>
                <w:szCs w:val="18"/>
              </w:rPr>
              <w:t xml:space="preserve"> et al., 2011**</w:t>
            </w:r>
            <w:r>
              <w:rPr>
                <w:rFonts w:ascii="Garamond" w:eastAsia="Garamond" w:hAnsi="Garamond" w:cs="Garamond"/>
                <w:b/>
                <w:sz w:val="18"/>
                <w:szCs w:val="18"/>
                <w:vertAlign w:val="superscript"/>
              </w:rPr>
              <w:t>93</w:t>
            </w:r>
            <w:r>
              <w:rPr>
                <w:rFonts w:ascii="Garamond" w:eastAsia="Garamond" w:hAnsi="Garamond" w:cs="Garamond"/>
                <w:sz w:val="18"/>
                <w:szCs w:val="18"/>
              </w:rPr>
              <w:t xml:space="preserve"> found that unplanned ICU transfers were 25% higher before the introduction of a ‘Rounding RN’ as an extension of the RRT/MET (which included a hospitalist without a ‘Rounding RN’).</w:t>
            </w:r>
          </w:p>
        </w:tc>
        <w:tc>
          <w:tcPr>
            <w:tcW w:w="992" w:type="dxa"/>
            <w:tcBorders>
              <w:top w:val="single" w:sz="6" w:space="0" w:color="000000"/>
              <w:left w:val="single" w:sz="6" w:space="0" w:color="000000"/>
              <w:bottom w:val="single" w:sz="6" w:space="0" w:color="000000"/>
              <w:right w:val="single" w:sz="6" w:space="0" w:color="000000"/>
            </w:tcBorders>
          </w:tcPr>
          <w:p w14:paraId="7F7E6BC4" w14:textId="77777777" w:rsidR="006E087E" w:rsidRDefault="006E087E" w:rsidP="00A207C4">
            <w:pPr>
              <w:jc w:val="center"/>
              <w:rPr>
                <w:rFonts w:ascii="Garamond" w:eastAsia="Garamond" w:hAnsi="Garamond" w:cs="Garamond"/>
                <w:i/>
                <w:color w:val="C00000"/>
                <w:sz w:val="18"/>
                <w:szCs w:val="18"/>
              </w:rPr>
            </w:pPr>
            <w:r>
              <w:rPr>
                <w:rFonts w:ascii="Cambria Math" w:eastAsia="Cambria Math" w:hAnsi="Cambria Math" w:cs="Cambria Math"/>
                <w:sz w:val="18"/>
                <w:szCs w:val="18"/>
              </w:rPr>
              <w:t>⨁</w:t>
            </w:r>
            <w:sdt>
              <w:sdtPr>
                <w:tag w:val="goog_rdk_73"/>
                <w:id w:val="-1272310036"/>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76" w:type="dxa"/>
            <w:tcBorders>
              <w:top w:val="single" w:sz="6" w:space="0" w:color="000000"/>
              <w:left w:val="single" w:sz="6" w:space="0" w:color="000000"/>
              <w:bottom w:val="single" w:sz="6" w:space="0" w:color="000000"/>
              <w:right w:val="single" w:sz="6" w:space="0" w:color="000000"/>
            </w:tcBorders>
          </w:tcPr>
          <w:p w14:paraId="2FF9338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IMPORTANT </w:t>
            </w:r>
          </w:p>
        </w:tc>
      </w:tr>
    </w:tbl>
    <w:p w14:paraId="25551A21" w14:textId="77777777" w:rsidR="006E087E" w:rsidRDefault="006E087E" w:rsidP="006E087E">
      <w:pPr>
        <w:spacing w:line="240" w:lineRule="auto"/>
        <w:rPr>
          <w:rFonts w:ascii="Garamond" w:eastAsia="Garamond" w:hAnsi="Garamond" w:cs="Garamond"/>
          <w:b/>
          <w:sz w:val="18"/>
          <w:szCs w:val="18"/>
        </w:rPr>
      </w:pPr>
    </w:p>
    <w:p w14:paraId="4CD81A03"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b/>
          <w:sz w:val="18"/>
          <w:szCs w:val="18"/>
        </w:rPr>
        <w:t xml:space="preserve">ACNP: </w:t>
      </w:r>
      <w:r>
        <w:rPr>
          <w:rFonts w:ascii="Garamond" w:eastAsia="Garamond" w:hAnsi="Garamond" w:cs="Garamond"/>
          <w:sz w:val="18"/>
          <w:szCs w:val="18"/>
        </w:rPr>
        <w:t xml:space="preserve">Advanced Care Nurse Practitioner; </w:t>
      </w:r>
      <w:r>
        <w:rPr>
          <w:rFonts w:ascii="Garamond" w:eastAsia="Garamond" w:hAnsi="Garamond" w:cs="Garamond"/>
          <w:b/>
          <w:sz w:val="18"/>
          <w:szCs w:val="18"/>
        </w:rPr>
        <w:t xml:space="preserve">RRT: </w:t>
      </w:r>
      <w:r>
        <w:rPr>
          <w:rFonts w:ascii="Garamond" w:eastAsia="Garamond" w:hAnsi="Garamond" w:cs="Garamond"/>
          <w:sz w:val="18"/>
          <w:szCs w:val="18"/>
        </w:rPr>
        <w:t xml:space="preserve">Rapid response team; </w:t>
      </w:r>
      <w:r>
        <w:rPr>
          <w:rFonts w:ascii="Garamond" w:eastAsia="Garamond" w:hAnsi="Garamond" w:cs="Garamond"/>
          <w:b/>
          <w:sz w:val="18"/>
          <w:szCs w:val="18"/>
        </w:rPr>
        <w:t>MET:</w:t>
      </w:r>
      <w:r>
        <w:rPr>
          <w:rFonts w:ascii="Garamond" w:eastAsia="Garamond" w:hAnsi="Garamond" w:cs="Garamond"/>
          <w:sz w:val="18"/>
          <w:szCs w:val="18"/>
        </w:rPr>
        <w:t xml:space="preserve"> Medical emergency team; </w:t>
      </w:r>
      <w:r>
        <w:rPr>
          <w:rFonts w:ascii="Garamond" w:eastAsia="Garamond" w:hAnsi="Garamond" w:cs="Garamond"/>
          <w:b/>
          <w:sz w:val="18"/>
          <w:szCs w:val="18"/>
        </w:rPr>
        <w:t xml:space="preserve">RN: </w:t>
      </w:r>
      <w:r>
        <w:rPr>
          <w:rFonts w:ascii="Garamond" w:eastAsia="Garamond" w:hAnsi="Garamond" w:cs="Garamond"/>
          <w:sz w:val="18"/>
          <w:szCs w:val="18"/>
        </w:rPr>
        <w:t>Registered Nurse</w:t>
      </w:r>
    </w:p>
    <w:p w14:paraId="196ABD82" w14:textId="77777777" w:rsidR="006E087E" w:rsidRDefault="006E087E" w:rsidP="006E087E">
      <w:pPr>
        <w:pStyle w:val="Heading4"/>
        <w:rPr>
          <w:rFonts w:ascii="Garamond" w:eastAsia="Garamond" w:hAnsi="Garamond" w:cs="Garamond"/>
          <w:b w:val="0"/>
          <w:i w:val="0"/>
          <w:sz w:val="18"/>
          <w:szCs w:val="18"/>
          <w:u w:val="none"/>
        </w:rPr>
      </w:pPr>
      <w:bookmarkStart w:id="35" w:name="_heading=h.t52wiz5udue7" w:colFirst="0" w:colLast="0"/>
      <w:bookmarkEnd w:id="35"/>
      <w:r>
        <w:rPr>
          <w:rFonts w:ascii="Garamond" w:eastAsia="Garamond" w:hAnsi="Garamond" w:cs="Garamond"/>
          <w:i w:val="0"/>
          <w:sz w:val="18"/>
          <w:szCs w:val="18"/>
          <w:u w:val="none"/>
        </w:rPr>
        <w:t xml:space="preserve">* </w:t>
      </w:r>
      <w:proofErr w:type="spellStart"/>
      <w:r>
        <w:rPr>
          <w:rFonts w:ascii="Garamond" w:eastAsia="Garamond" w:hAnsi="Garamond" w:cs="Garamond"/>
          <w:i w:val="0"/>
          <w:sz w:val="18"/>
          <w:szCs w:val="18"/>
          <w:u w:val="none"/>
        </w:rPr>
        <w:t>Chassen</w:t>
      </w:r>
      <w:proofErr w:type="spellEnd"/>
      <w:r>
        <w:rPr>
          <w:rFonts w:ascii="Garamond" w:eastAsia="Garamond" w:hAnsi="Garamond" w:cs="Garamond"/>
          <w:i w:val="0"/>
          <w:sz w:val="18"/>
          <w:szCs w:val="18"/>
          <w:u w:val="none"/>
        </w:rPr>
        <w:t xml:space="preserve"> et al. (2013)</w:t>
      </w:r>
      <w:r>
        <w:rPr>
          <w:rFonts w:ascii="Garamond" w:eastAsia="Garamond" w:hAnsi="Garamond" w:cs="Garamond"/>
          <w:i w:val="0"/>
          <w:sz w:val="18"/>
          <w:szCs w:val="18"/>
          <w:u w:val="none"/>
          <w:vertAlign w:val="superscript"/>
        </w:rPr>
        <w:t>161</w:t>
      </w:r>
      <w:r>
        <w:rPr>
          <w:rFonts w:ascii="Garamond" w:eastAsia="Garamond" w:hAnsi="Garamond" w:cs="Garamond"/>
          <w:b w:val="0"/>
          <w:i w:val="0"/>
          <w:sz w:val="18"/>
          <w:szCs w:val="18"/>
          <w:u w:val="none"/>
        </w:rPr>
        <w:t xml:space="preserve"> also reported more code status discussions, more interventions documented, and fewer &gt; 1 RRT calls during the hospital stay in ACNP-led calls.</w:t>
      </w:r>
    </w:p>
    <w:p w14:paraId="2EF4E497" w14:textId="77777777" w:rsidR="006E087E" w:rsidRDefault="006E087E" w:rsidP="006E087E">
      <w:pPr>
        <w:pStyle w:val="Heading4"/>
        <w:rPr>
          <w:rFonts w:ascii="Garamond" w:eastAsia="Garamond" w:hAnsi="Garamond" w:cs="Garamond"/>
          <w:b w:val="0"/>
          <w:i w:val="0"/>
          <w:sz w:val="18"/>
          <w:szCs w:val="18"/>
          <w:u w:val="none"/>
        </w:rPr>
      </w:pPr>
      <w:bookmarkStart w:id="36" w:name="_heading=h.hnogqz3lqd5g" w:colFirst="0" w:colLast="0"/>
      <w:bookmarkEnd w:id="36"/>
      <w:r>
        <w:rPr>
          <w:rFonts w:ascii="Garamond" w:eastAsia="Garamond" w:hAnsi="Garamond" w:cs="Garamond"/>
          <w:i w:val="0"/>
          <w:sz w:val="18"/>
          <w:szCs w:val="18"/>
          <w:u w:val="none"/>
        </w:rPr>
        <w:t xml:space="preserve">** </w:t>
      </w:r>
      <w:proofErr w:type="spellStart"/>
      <w:r>
        <w:rPr>
          <w:rFonts w:ascii="Garamond" w:eastAsia="Garamond" w:hAnsi="Garamond" w:cs="Garamond"/>
          <w:i w:val="0"/>
          <w:sz w:val="18"/>
          <w:szCs w:val="18"/>
          <w:u w:val="none"/>
        </w:rPr>
        <w:t>Hatlem</w:t>
      </w:r>
      <w:proofErr w:type="spellEnd"/>
      <w:r>
        <w:rPr>
          <w:rFonts w:ascii="Garamond" w:eastAsia="Garamond" w:hAnsi="Garamond" w:cs="Garamond"/>
          <w:i w:val="0"/>
          <w:sz w:val="18"/>
          <w:szCs w:val="18"/>
          <w:u w:val="none"/>
        </w:rPr>
        <w:t xml:space="preserve"> et al. (2011)</w:t>
      </w:r>
      <w:r>
        <w:rPr>
          <w:rFonts w:ascii="Garamond" w:eastAsia="Garamond" w:hAnsi="Garamond" w:cs="Garamond"/>
          <w:i w:val="0"/>
          <w:sz w:val="18"/>
          <w:szCs w:val="18"/>
          <w:u w:val="none"/>
          <w:vertAlign w:val="superscript"/>
        </w:rPr>
        <w:t>93</w:t>
      </w:r>
      <w:r>
        <w:rPr>
          <w:rFonts w:ascii="Garamond" w:eastAsia="Garamond" w:hAnsi="Garamond" w:cs="Garamond"/>
          <w:b w:val="0"/>
          <w:i w:val="0"/>
          <w:sz w:val="18"/>
          <w:szCs w:val="18"/>
          <w:u w:val="none"/>
        </w:rPr>
        <w:t xml:space="preserve"> compared an RRT that consisted of an ICU RN, a hospitalist, a respiratory therapist, and an RN Clinical Administrator (‘before’ group) with the addition of a ‘Rounding RN’ as an extension of the existing RRT working synergistically with the RRT with the goal of increasing RRT utilization by having a non-MD as the first point of contact (‘after’ group).</w:t>
      </w:r>
    </w:p>
    <w:p w14:paraId="03F24FD3" w14:textId="77777777" w:rsidR="006E087E" w:rsidRDefault="006E087E" w:rsidP="006E087E">
      <w:pPr>
        <w:pStyle w:val="Heading4"/>
        <w:rPr>
          <w:rFonts w:ascii="Garamond" w:eastAsia="Garamond" w:hAnsi="Garamond" w:cs="Garamond"/>
          <w:b w:val="0"/>
          <w:i w:val="0"/>
          <w:sz w:val="18"/>
          <w:szCs w:val="18"/>
          <w:u w:val="none"/>
        </w:rPr>
      </w:pPr>
    </w:p>
    <w:p w14:paraId="01ECF266" w14:textId="77777777" w:rsidR="006E087E" w:rsidRDefault="006E087E" w:rsidP="006E087E">
      <w:pPr>
        <w:pStyle w:val="Heading4"/>
        <w:rPr>
          <w:rFonts w:ascii="Garamond" w:eastAsia="Garamond" w:hAnsi="Garamond" w:cs="Garamond"/>
          <w:i w:val="0"/>
          <w:sz w:val="18"/>
          <w:szCs w:val="18"/>
          <w:u w:val="none"/>
        </w:rPr>
      </w:pPr>
      <w:bookmarkStart w:id="37" w:name="_heading=h.844lqoi8w2dc" w:colFirst="0" w:colLast="0"/>
      <w:bookmarkEnd w:id="37"/>
      <w:r>
        <w:rPr>
          <w:rFonts w:ascii="Garamond" w:eastAsia="Garamond" w:hAnsi="Garamond" w:cs="Garamond"/>
          <w:i w:val="0"/>
          <w:sz w:val="18"/>
          <w:szCs w:val="18"/>
          <w:u w:val="none"/>
        </w:rPr>
        <w:t>Explanations</w:t>
      </w:r>
    </w:p>
    <w:p w14:paraId="7A1BF4FD" w14:textId="77777777" w:rsidR="006E087E" w:rsidRDefault="006E087E" w:rsidP="006E087E">
      <w:pPr>
        <w:pStyle w:val="Heading2"/>
        <w:keepNext/>
        <w:keepLines/>
        <w:rPr>
          <w:rFonts w:ascii="Garamond" w:eastAsia="Garamond" w:hAnsi="Garamond" w:cs="Garamond"/>
          <w:b w:val="0"/>
          <w:i w:val="0"/>
          <w:sz w:val="18"/>
          <w:szCs w:val="18"/>
        </w:rPr>
      </w:pPr>
      <w:bookmarkStart w:id="38" w:name="_heading=h.zbqfwr6nxlar" w:colFirst="0" w:colLast="0"/>
      <w:bookmarkEnd w:id="38"/>
      <w:r>
        <w:rPr>
          <w:rFonts w:ascii="Garamond" w:eastAsia="Garamond" w:hAnsi="Garamond" w:cs="Garamond"/>
          <w:b w:val="0"/>
          <w:i w:val="0"/>
          <w:sz w:val="18"/>
          <w:szCs w:val="18"/>
        </w:rPr>
        <w:lastRenderedPageBreak/>
        <w:t>a. Rated down for imprecision due to the small numbers.</w:t>
      </w:r>
    </w:p>
    <w:p w14:paraId="1D92881F" w14:textId="77777777" w:rsidR="006E087E" w:rsidRDefault="006E087E" w:rsidP="006E087E">
      <w:pPr>
        <w:pStyle w:val="Heading2"/>
        <w:keepNext/>
        <w:keepLines/>
        <w:spacing w:before="40"/>
        <w:rPr>
          <w:rFonts w:ascii="Garamond" w:eastAsia="Garamond" w:hAnsi="Garamond" w:cs="Garamond"/>
          <w:i w:val="0"/>
        </w:rPr>
      </w:pPr>
      <w:bookmarkStart w:id="39" w:name="_heading=h.mxmuqvf424yv" w:colFirst="0" w:colLast="0"/>
      <w:bookmarkEnd w:id="39"/>
      <w:r>
        <w:rPr>
          <w:rFonts w:ascii="Garamond" w:eastAsia="Garamond" w:hAnsi="Garamond" w:cs="Garamond"/>
          <w:b w:val="0"/>
          <w:i w:val="0"/>
          <w:sz w:val="18"/>
          <w:szCs w:val="18"/>
        </w:rPr>
        <w:t>b. Rated down for risk of bias due to lack of adjustment for potential baseline differences between the pre and post cohorts.</w:t>
      </w:r>
    </w:p>
    <w:p w14:paraId="197CE18F"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c. Rated down for inconsistency in findings between the two studies.</w:t>
      </w:r>
    </w:p>
    <w:p w14:paraId="66E5EBAF" w14:textId="77777777" w:rsidR="006E087E" w:rsidRDefault="006E087E" w:rsidP="006E087E">
      <w:pPr>
        <w:pStyle w:val="Heading2"/>
        <w:keepNext/>
        <w:keepLines/>
        <w:shd w:val="clear" w:color="auto" w:fill="FFFFFF"/>
        <w:rPr>
          <w:rFonts w:ascii="Garamond" w:eastAsia="Garamond" w:hAnsi="Garamond" w:cs="Garamond"/>
          <w:b w:val="0"/>
          <w:i w:val="0"/>
          <w:sz w:val="18"/>
          <w:szCs w:val="18"/>
        </w:rPr>
      </w:pPr>
      <w:bookmarkStart w:id="40" w:name="_heading=h.d79c50fjrhio" w:colFirst="0" w:colLast="0"/>
      <w:bookmarkEnd w:id="40"/>
      <w:r>
        <w:rPr>
          <w:rFonts w:ascii="Garamond" w:eastAsia="Garamond" w:hAnsi="Garamond" w:cs="Garamond"/>
          <w:b w:val="0"/>
          <w:i w:val="0"/>
          <w:sz w:val="18"/>
          <w:szCs w:val="18"/>
        </w:rPr>
        <w:t>d. Rated down for indirectness because the groups compared were related to the existence of a ‘Rounding RN’ as the first point of contact, rather than a prescribing vs. non-prescribing provider led-RRT.</w:t>
      </w:r>
    </w:p>
    <w:p w14:paraId="1D8F9662" w14:textId="77777777" w:rsidR="006E087E" w:rsidRDefault="006E087E" w:rsidP="006E087E">
      <w:pPr>
        <w:pStyle w:val="Heading2"/>
        <w:keepNext/>
        <w:keepLines/>
        <w:spacing w:before="40"/>
        <w:rPr>
          <w:rFonts w:ascii="Garamond" w:eastAsia="Garamond" w:hAnsi="Garamond" w:cs="Garamond"/>
          <w:i w:val="0"/>
        </w:rPr>
      </w:pPr>
      <w:bookmarkStart w:id="41" w:name="_heading=h.d43zulu6glgp" w:colFirst="0" w:colLast="0"/>
      <w:bookmarkEnd w:id="41"/>
      <w:r>
        <w:br w:type="page"/>
      </w:r>
      <w:r>
        <w:rPr>
          <w:rFonts w:ascii="Garamond" w:eastAsia="Garamond" w:hAnsi="Garamond" w:cs="Garamond"/>
          <w:i w:val="0"/>
          <w:sz w:val="26"/>
          <w:szCs w:val="26"/>
        </w:rPr>
        <w:lastRenderedPageBreak/>
        <w:t xml:space="preserve">Question B: </w:t>
      </w:r>
      <w:r>
        <w:rPr>
          <w:rFonts w:ascii="Garamond" w:eastAsia="Garamond" w:hAnsi="Garamond" w:cs="Garamond"/>
          <w:i w:val="0"/>
        </w:rPr>
        <w:t>Should rapid response teams/medical emergency teams be led by a physician as compared to a non-physician?</w:t>
      </w:r>
    </w:p>
    <w:p w14:paraId="2888E01B" w14:textId="77777777" w:rsidR="006E087E" w:rsidRDefault="006E087E" w:rsidP="006E087E">
      <w:pPr>
        <w:spacing w:line="240" w:lineRule="auto"/>
        <w:rPr>
          <w:rFonts w:ascii="Garamond" w:eastAsia="Garamond" w:hAnsi="Garamond" w:cs="Garamond"/>
          <w:sz w:val="24"/>
          <w:szCs w:val="24"/>
        </w:rPr>
      </w:pPr>
    </w:p>
    <w:p w14:paraId="260A2F9F" w14:textId="77777777" w:rsidR="006E087E" w:rsidRDefault="006E087E" w:rsidP="006E087E">
      <w:pPr>
        <w:pStyle w:val="Heading2"/>
        <w:keepNext/>
        <w:keepLines/>
        <w:spacing w:before="40"/>
        <w:rPr>
          <w:rFonts w:ascii="Garamond" w:eastAsia="Garamond" w:hAnsi="Garamond" w:cs="Garamond"/>
          <w:i w:val="0"/>
        </w:rPr>
      </w:pPr>
      <w:bookmarkStart w:id="42" w:name="_heading=h.qcsxh2k6y2zv" w:colFirst="0" w:colLast="0"/>
      <w:bookmarkEnd w:id="42"/>
      <w:r>
        <w:rPr>
          <w:rFonts w:ascii="Garamond" w:eastAsia="Garamond" w:hAnsi="Garamond" w:cs="Garamond"/>
          <w:i w:val="0"/>
        </w:rPr>
        <w:t>GRADE Evidence Profile</w:t>
      </w:r>
    </w:p>
    <w:tbl>
      <w:tblPr>
        <w:tblW w:w="15026" w:type="dxa"/>
        <w:tblInd w:w="-37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10"/>
        <w:gridCol w:w="1134"/>
        <w:gridCol w:w="850"/>
        <w:gridCol w:w="1276"/>
        <w:gridCol w:w="1134"/>
        <w:gridCol w:w="1134"/>
        <w:gridCol w:w="1276"/>
        <w:gridCol w:w="5244"/>
        <w:gridCol w:w="993"/>
        <w:gridCol w:w="1275"/>
      </w:tblGrid>
      <w:tr w:rsidR="006E087E" w14:paraId="65ADEB15" w14:textId="77777777" w:rsidTr="00A207C4">
        <w:trPr>
          <w:cantSplit/>
          <w:tblHeader/>
        </w:trPr>
        <w:tc>
          <w:tcPr>
            <w:tcW w:w="7514" w:type="dxa"/>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FD1A8F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 assessment</w:t>
            </w:r>
          </w:p>
        </w:tc>
        <w:tc>
          <w:tcPr>
            <w:tcW w:w="5244"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94D2E5B"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 xml:space="preserve">Impact </w:t>
            </w:r>
          </w:p>
        </w:tc>
        <w:tc>
          <w:tcPr>
            <w:tcW w:w="993"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0F82C4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w:t>
            </w:r>
          </w:p>
        </w:tc>
        <w:tc>
          <w:tcPr>
            <w:tcW w:w="1275"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BC87E9B"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Importance</w:t>
            </w:r>
          </w:p>
        </w:tc>
      </w:tr>
      <w:tr w:rsidR="006E087E" w14:paraId="76E0487B" w14:textId="77777777" w:rsidTr="00A207C4">
        <w:trPr>
          <w:cantSplit/>
          <w:tblHeader/>
        </w:trPr>
        <w:tc>
          <w:tcPr>
            <w:tcW w:w="71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C2063B6" w14:textId="77777777" w:rsidR="006E087E" w:rsidRDefault="008E2347" w:rsidP="00A207C4">
            <w:pPr>
              <w:jc w:val="center"/>
              <w:rPr>
                <w:rFonts w:ascii="Garamond" w:eastAsia="Garamond" w:hAnsi="Garamond" w:cs="Garamond"/>
                <w:b/>
                <w:color w:val="FFFFFF"/>
                <w:sz w:val="18"/>
                <w:szCs w:val="18"/>
              </w:rPr>
            </w:pPr>
            <w:sdt>
              <w:sdtPr>
                <w:tag w:val="goog_rdk_74"/>
                <w:id w:val="-1761981897"/>
              </w:sdtPr>
              <w:sdtEndPr/>
              <w:sdtContent>
                <w:r w:rsidR="006E087E">
                  <w:rPr>
                    <w:rFonts w:ascii="Cardo" w:eastAsia="Cardo" w:hAnsi="Cardo" w:cs="Cardo"/>
                    <w:b/>
                    <w:color w:val="FFFFFF"/>
                    <w:sz w:val="18"/>
                    <w:szCs w:val="18"/>
                  </w:rPr>
                  <w:t>№ of studies</w:t>
                </w:r>
              </w:sdtContent>
            </w:sdt>
          </w:p>
        </w:tc>
        <w:tc>
          <w:tcPr>
            <w:tcW w:w="1134"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19E2A36"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Study design</w:t>
            </w:r>
          </w:p>
        </w:tc>
        <w:tc>
          <w:tcPr>
            <w:tcW w:w="85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BC64571"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Risk of bias</w:t>
            </w:r>
          </w:p>
        </w:tc>
        <w:tc>
          <w:tcPr>
            <w:tcW w:w="1276"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062C223"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Inconsistency</w:t>
            </w:r>
          </w:p>
        </w:tc>
        <w:tc>
          <w:tcPr>
            <w:tcW w:w="1134"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7BE9A7E"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Indirectness</w:t>
            </w:r>
          </w:p>
        </w:tc>
        <w:tc>
          <w:tcPr>
            <w:tcW w:w="1134"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639D58C"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Imprecision</w:t>
            </w:r>
          </w:p>
        </w:tc>
        <w:tc>
          <w:tcPr>
            <w:tcW w:w="1276"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3C24CC7"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Other considerations</w:t>
            </w:r>
          </w:p>
        </w:tc>
        <w:tc>
          <w:tcPr>
            <w:tcW w:w="5244"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0083DDD"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373A43BE"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275"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1459E8C"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r>
      <w:tr w:rsidR="006E087E" w14:paraId="4461E673" w14:textId="77777777" w:rsidTr="00A207C4">
        <w:trPr>
          <w:cantSplit/>
        </w:trPr>
        <w:tc>
          <w:tcPr>
            <w:tcW w:w="15026" w:type="dxa"/>
            <w:gridSpan w:val="10"/>
            <w:shd w:val="clear" w:color="auto" w:fill="FFFFFF"/>
            <w:tcMar>
              <w:top w:w="75" w:type="dxa"/>
              <w:left w:w="100" w:type="dxa"/>
              <w:bottom w:w="100" w:type="dxa"/>
              <w:right w:w="100" w:type="dxa"/>
            </w:tcMar>
            <w:vAlign w:val="center"/>
          </w:tcPr>
          <w:p w14:paraId="15499EE8"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Hospital mortality</w:t>
            </w:r>
          </w:p>
        </w:tc>
      </w:tr>
      <w:tr w:rsidR="006E087E" w14:paraId="770731F0" w14:textId="77777777" w:rsidTr="00A207C4">
        <w:trPr>
          <w:cantSplit/>
          <w:trHeight w:val="2242"/>
        </w:trPr>
        <w:tc>
          <w:tcPr>
            <w:tcW w:w="710" w:type="dxa"/>
            <w:tcBorders>
              <w:top w:val="single" w:sz="6" w:space="0" w:color="000000"/>
              <w:left w:val="single" w:sz="6" w:space="0" w:color="000000"/>
              <w:bottom w:val="single" w:sz="6" w:space="0" w:color="000000"/>
              <w:right w:val="single" w:sz="6" w:space="0" w:color="000000"/>
            </w:tcBorders>
          </w:tcPr>
          <w:p w14:paraId="7AD29E25"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w:t>
            </w:r>
          </w:p>
        </w:tc>
        <w:tc>
          <w:tcPr>
            <w:tcW w:w="1134" w:type="dxa"/>
            <w:tcBorders>
              <w:top w:val="single" w:sz="6" w:space="0" w:color="000000"/>
              <w:left w:val="single" w:sz="6" w:space="0" w:color="000000"/>
              <w:bottom w:val="single" w:sz="6" w:space="0" w:color="000000"/>
              <w:right w:val="single" w:sz="6" w:space="0" w:color="000000"/>
            </w:tcBorders>
          </w:tcPr>
          <w:p w14:paraId="7D09DF8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50" w:type="dxa"/>
            <w:tcBorders>
              <w:top w:val="single" w:sz="6" w:space="0" w:color="000000"/>
              <w:left w:val="single" w:sz="6" w:space="0" w:color="000000"/>
              <w:bottom w:val="single" w:sz="6" w:space="0" w:color="000000"/>
              <w:right w:val="single" w:sz="6" w:space="0" w:color="000000"/>
            </w:tcBorders>
          </w:tcPr>
          <w:p w14:paraId="7ED077FB"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76" w:type="dxa"/>
            <w:tcBorders>
              <w:top w:val="single" w:sz="6" w:space="0" w:color="000000"/>
              <w:left w:val="single" w:sz="6" w:space="0" w:color="000000"/>
              <w:bottom w:val="single" w:sz="6" w:space="0" w:color="000000"/>
              <w:right w:val="single" w:sz="6" w:space="0" w:color="000000"/>
            </w:tcBorders>
          </w:tcPr>
          <w:p w14:paraId="1E97DED5" w14:textId="77777777" w:rsidR="006E087E" w:rsidRDefault="006E087E" w:rsidP="00A207C4">
            <w:pPr>
              <w:jc w:val="center"/>
              <w:rPr>
                <w:rFonts w:ascii="Garamond" w:eastAsia="Garamond" w:hAnsi="Garamond" w:cs="Garamond"/>
                <w:b/>
                <w:sz w:val="18"/>
                <w:szCs w:val="18"/>
                <w:vertAlign w:val="superscript"/>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134" w:type="dxa"/>
            <w:tcBorders>
              <w:top w:val="single" w:sz="6" w:space="0" w:color="000000"/>
              <w:left w:val="single" w:sz="6" w:space="0" w:color="000000"/>
              <w:bottom w:val="single" w:sz="6" w:space="0" w:color="000000"/>
              <w:right w:val="single" w:sz="6" w:space="0" w:color="000000"/>
            </w:tcBorders>
          </w:tcPr>
          <w:p w14:paraId="434C5497"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6255FC12"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 xml:space="preserve">not serious </w:t>
            </w:r>
          </w:p>
        </w:tc>
        <w:tc>
          <w:tcPr>
            <w:tcW w:w="1276" w:type="dxa"/>
            <w:tcBorders>
              <w:top w:val="single" w:sz="6" w:space="0" w:color="000000"/>
              <w:left w:val="single" w:sz="6" w:space="0" w:color="000000"/>
              <w:bottom w:val="single" w:sz="6" w:space="0" w:color="000000"/>
              <w:right w:val="single" w:sz="6" w:space="0" w:color="000000"/>
            </w:tcBorders>
          </w:tcPr>
          <w:p w14:paraId="17B428D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244" w:type="dxa"/>
            <w:tcBorders>
              <w:top w:val="single" w:sz="6" w:space="0" w:color="000000"/>
              <w:left w:val="single" w:sz="6" w:space="0" w:color="000000"/>
              <w:bottom w:val="single" w:sz="6" w:space="0" w:color="000000"/>
              <w:right w:val="single" w:sz="6" w:space="0" w:color="000000"/>
            </w:tcBorders>
          </w:tcPr>
          <w:p w14:paraId="75907675"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One cohort study (</w:t>
            </w:r>
            <w:r>
              <w:rPr>
                <w:rFonts w:ascii="Garamond" w:eastAsia="Garamond" w:hAnsi="Garamond" w:cs="Garamond"/>
                <w:b/>
                <w:sz w:val="18"/>
                <w:szCs w:val="18"/>
              </w:rPr>
              <w:t>Gupta et al., 2021</w:t>
            </w:r>
            <w:r>
              <w:rPr>
                <w:rFonts w:ascii="Garamond" w:eastAsia="Garamond" w:hAnsi="Garamond" w:cs="Garamond"/>
                <w:sz w:val="18"/>
                <w:szCs w:val="18"/>
              </w:rPr>
              <w:t>)</w:t>
            </w:r>
            <w:r>
              <w:rPr>
                <w:rFonts w:ascii="Garamond" w:eastAsia="Garamond" w:hAnsi="Garamond" w:cs="Garamond"/>
                <w:sz w:val="18"/>
                <w:szCs w:val="18"/>
                <w:vertAlign w:val="superscript"/>
              </w:rPr>
              <w:t>162</w:t>
            </w:r>
            <w:r>
              <w:rPr>
                <w:rFonts w:ascii="Garamond" w:eastAsia="Garamond" w:hAnsi="Garamond" w:cs="Garamond"/>
                <w:sz w:val="18"/>
                <w:szCs w:val="18"/>
              </w:rPr>
              <w:t xml:space="preserve"> of 1343 RRT/MET activations found higher hospital mortality among patients who had an ICU Registrar-led (20.5%) vs. NP-led (12.5%) RRT/MET, including in propensity-score matched analysis. The same study also reported a lower proportion of patients ‘discharged home’ in patients with Registrar-led (45.6%) vs. NP-led (56.2%) in propensity-score matched analysis. Conversely, another cohort study (</w:t>
            </w:r>
            <w:r>
              <w:rPr>
                <w:rFonts w:ascii="Garamond" w:eastAsia="Garamond" w:hAnsi="Garamond" w:cs="Garamond"/>
                <w:b/>
                <w:sz w:val="18"/>
                <w:szCs w:val="18"/>
              </w:rPr>
              <w:t>Scherr et al., 2012</w:t>
            </w:r>
            <w:r>
              <w:rPr>
                <w:rFonts w:ascii="Garamond" w:eastAsia="Garamond" w:hAnsi="Garamond" w:cs="Garamond"/>
                <w:sz w:val="18"/>
                <w:szCs w:val="18"/>
              </w:rPr>
              <w:t>)</w:t>
            </w:r>
            <w:r>
              <w:rPr>
                <w:rFonts w:ascii="Garamond" w:eastAsia="Garamond" w:hAnsi="Garamond" w:cs="Garamond"/>
                <w:sz w:val="18"/>
                <w:szCs w:val="18"/>
                <w:vertAlign w:val="superscript"/>
              </w:rPr>
              <w:t>137</w:t>
            </w:r>
            <w:r>
              <w:rPr>
                <w:rFonts w:ascii="Garamond" w:eastAsia="Garamond" w:hAnsi="Garamond" w:cs="Garamond"/>
                <w:sz w:val="18"/>
                <w:szCs w:val="18"/>
              </w:rPr>
              <w:t xml:space="preserve"> found no difference in patient deaths between intensivist-led (1 of 25) and NP-led RRT/MET (2 of 178). </w:t>
            </w:r>
            <w:r>
              <w:rPr>
                <w:rFonts w:ascii="Garamond" w:eastAsia="Garamond" w:hAnsi="Garamond" w:cs="Garamond"/>
                <w:b/>
                <w:sz w:val="18"/>
                <w:szCs w:val="18"/>
              </w:rPr>
              <w:t xml:space="preserve">Overall, given the inconsistency and issues related to risk of bias, we are uncertain about the effect of having a </w:t>
            </w:r>
            <w:proofErr w:type="gramStart"/>
            <w:r>
              <w:rPr>
                <w:rFonts w:ascii="Garamond" w:eastAsia="Garamond" w:hAnsi="Garamond" w:cs="Garamond"/>
                <w:b/>
                <w:sz w:val="18"/>
                <w:szCs w:val="18"/>
              </w:rPr>
              <w:t>physician-led</w:t>
            </w:r>
            <w:proofErr w:type="gramEnd"/>
            <w:r>
              <w:rPr>
                <w:rFonts w:ascii="Garamond" w:eastAsia="Garamond" w:hAnsi="Garamond" w:cs="Garamond"/>
                <w:b/>
                <w:sz w:val="18"/>
                <w:szCs w:val="18"/>
              </w:rPr>
              <w:t xml:space="preserve"> RRT/MET on mortality.</w:t>
            </w:r>
          </w:p>
        </w:tc>
        <w:tc>
          <w:tcPr>
            <w:tcW w:w="993" w:type="dxa"/>
            <w:tcBorders>
              <w:top w:val="single" w:sz="6" w:space="0" w:color="000000"/>
              <w:left w:val="single" w:sz="6" w:space="0" w:color="000000"/>
              <w:bottom w:val="single" w:sz="6" w:space="0" w:color="000000"/>
              <w:right w:val="single" w:sz="6" w:space="0" w:color="000000"/>
            </w:tcBorders>
          </w:tcPr>
          <w:p w14:paraId="421D4DFB" w14:textId="77777777" w:rsidR="006E087E" w:rsidRDefault="006E087E" w:rsidP="00A207C4">
            <w:pPr>
              <w:jc w:val="center"/>
              <w:rPr>
                <w:rFonts w:ascii="Garamond" w:eastAsia="Garamond" w:hAnsi="Garamond" w:cs="Garamond"/>
                <w:color w:val="C00000"/>
                <w:sz w:val="18"/>
                <w:szCs w:val="18"/>
              </w:rPr>
            </w:pPr>
            <w:r>
              <w:rPr>
                <w:rFonts w:ascii="Cambria Math" w:eastAsia="Cambria Math" w:hAnsi="Cambria Math" w:cs="Cambria Math"/>
                <w:sz w:val="18"/>
                <w:szCs w:val="18"/>
              </w:rPr>
              <w:t>⨁</w:t>
            </w:r>
            <w:sdt>
              <w:sdtPr>
                <w:tag w:val="goog_rdk_75"/>
                <w:id w:val="2028522086"/>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 xml:space="preserve">Very Low </w:t>
            </w:r>
          </w:p>
        </w:tc>
        <w:tc>
          <w:tcPr>
            <w:tcW w:w="1275" w:type="dxa"/>
            <w:tcBorders>
              <w:top w:val="single" w:sz="6" w:space="0" w:color="000000"/>
              <w:left w:val="single" w:sz="6" w:space="0" w:color="000000"/>
              <w:bottom w:val="single" w:sz="6" w:space="0" w:color="000000"/>
              <w:right w:val="single" w:sz="6" w:space="0" w:color="000000"/>
            </w:tcBorders>
          </w:tcPr>
          <w:p w14:paraId="79456A2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CRITICAL </w:t>
            </w:r>
          </w:p>
        </w:tc>
      </w:tr>
      <w:tr w:rsidR="006E087E" w14:paraId="0FBEABFB" w14:textId="77777777" w:rsidTr="00A207C4">
        <w:trPr>
          <w:cantSplit/>
        </w:trPr>
        <w:tc>
          <w:tcPr>
            <w:tcW w:w="15026" w:type="dxa"/>
            <w:gridSpan w:val="10"/>
            <w:shd w:val="clear" w:color="auto" w:fill="FFFFFF"/>
            <w:tcMar>
              <w:top w:w="75" w:type="dxa"/>
              <w:left w:w="100" w:type="dxa"/>
              <w:bottom w:w="100" w:type="dxa"/>
              <w:right w:w="100" w:type="dxa"/>
            </w:tcMar>
            <w:vAlign w:val="center"/>
          </w:tcPr>
          <w:p w14:paraId="6A13AC1C"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Cardiac arrests</w:t>
            </w:r>
          </w:p>
        </w:tc>
      </w:tr>
      <w:tr w:rsidR="006E087E" w14:paraId="603A9D19"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20D86EB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3</w:t>
            </w:r>
          </w:p>
        </w:tc>
        <w:tc>
          <w:tcPr>
            <w:tcW w:w="1134" w:type="dxa"/>
            <w:tcBorders>
              <w:top w:val="single" w:sz="6" w:space="0" w:color="000000"/>
              <w:left w:val="single" w:sz="6" w:space="0" w:color="000000"/>
              <w:bottom w:val="single" w:sz="6" w:space="0" w:color="000000"/>
              <w:right w:val="single" w:sz="6" w:space="0" w:color="000000"/>
            </w:tcBorders>
          </w:tcPr>
          <w:p w14:paraId="2A1B19C0"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observational studies </w:t>
            </w:r>
          </w:p>
        </w:tc>
        <w:tc>
          <w:tcPr>
            <w:tcW w:w="850" w:type="dxa"/>
            <w:tcBorders>
              <w:top w:val="single" w:sz="6" w:space="0" w:color="000000"/>
              <w:left w:val="single" w:sz="6" w:space="0" w:color="000000"/>
              <w:bottom w:val="single" w:sz="6" w:space="0" w:color="000000"/>
              <w:right w:val="single" w:sz="6" w:space="0" w:color="000000"/>
            </w:tcBorders>
          </w:tcPr>
          <w:p w14:paraId="6CB79CFC"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76" w:type="dxa"/>
            <w:tcBorders>
              <w:top w:val="single" w:sz="6" w:space="0" w:color="000000"/>
              <w:left w:val="single" w:sz="6" w:space="0" w:color="000000"/>
              <w:bottom w:val="single" w:sz="6" w:space="0" w:color="000000"/>
              <w:right w:val="single" w:sz="6" w:space="0" w:color="000000"/>
            </w:tcBorders>
          </w:tcPr>
          <w:p w14:paraId="5B0E5F43"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 xml:space="preserve">not serious </w:t>
            </w:r>
          </w:p>
        </w:tc>
        <w:tc>
          <w:tcPr>
            <w:tcW w:w="1134" w:type="dxa"/>
            <w:tcBorders>
              <w:top w:val="single" w:sz="6" w:space="0" w:color="000000"/>
              <w:left w:val="single" w:sz="6" w:space="0" w:color="000000"/>
              <w:bottom w:val="single" w:sz="6" w:space="0" w:color="000000"/>
              <w:right w:val="single" w:sz="6" w:space="0" w:color="000000"/>
            </w:tcBorders>
          </w:tcPr>
          <w:p w14:paraId="516986F3"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586AEA8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not serious </w:t>
            </w:r>
          </w:p>
        </w:tc>
        <w:tc>
          <w:tcPr>
            <w:tcW w:w="1276" w:type="dxa"/>
            <w:tcBorders>
              <w:top w:val="single" w:sz="6" w:space="0" w:color="000000"/>
              <w:left w:val="single" w:sz="6" w:space="0" w:color="000000"/>
              <w:bottom w:val="single" w:sz="6" w:space="0" w:color="000000"/>
              <w:right w:val="single" w:sz="6" w:space="0" w:color="000000"/>
            </w:tcBorders>
          </w:tcPr>
          <w:p w14:paraId="18B4E7A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none </w:t>
            </w:r>
          </w:p>
        </w:tc>
        <w:tc>
          <w:tcPr>
            <w:tcW w:w="5244" w:type="dxa"/>
            <w:tcBorders>
              <w:top w:val="single" w:sz="6" w:space="0" w:color="000000"/>
              <w:left w:val="single" w:sz="6" w:space="0" w:color="000000"/>
              <w:bottom w:val="single" w:sz="6" w:space="0" w:color="000000"/>
              <w:right w:val="single" w:sz="6" w:space="0" w:color="000000"/>
            </w:tcBorders>
          </w:tcPr>
          <w:p w14:paraId="6F270578"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A before-after study (</w:t>
            </w:r>
            <w:proofErr w:type="spellStart"/>
            <w:r>
              <w:rPr>
                <w:rFonts w:ascii="Garamond" w:eastAsia="Garamond" w:hAnsi="Garamond" w:cs="Garamond"/>
                <w:b/>
                <w:sz w:val="18"/>
                <w:szCs w:val="18"/>
              </w:rPr>
              <w:t>Rubis</w:t>
            </w:r>
            <w:proofErr w:type="spellEnd"/>
            <w:r>
              <w:rPr>
                <w:rFonts w:ascii="Garamond" w:eastAsia="Garamond" w:hAnsi="Garamond" w:cs="Garamond"/>
                <w:b/>
                <w:sz w:val="18"/>
                <w:szCs w:val="18"/>
              </w:rPr>
              <w:t xml:space="preserve"> et al., 2013</w:t>
            </w:r>
            <w:r>
              <w:rPr>
                <w:rFonts w:ascii="Garamond" w:eastAsia="Garamond" w:hAnsi="Garamond" w:cs="Garamond"/>
                <w:sz w:val="18"/>
                <w:szCs w:val="18"/>
              </w:rPr>
              <w:t>) that compared physician-led vs. ACNP-led RRTs reported no difference in rates of cardiac arrest. A cohort study (</w:t>
            </w:r>
            <w:r>
              <w:rPr>
                <w:rFonts w:ascii="Garamond" w:eastAsia="Garamond" w:hAnsi="Garamond" w:cs="Garamond"/>
                <w:b/>
                <w:sz w:val="18"/>
                <w:szCs w:val="18"/>
              </w:rPr>
              <w:t>Gupta et al., 2021</w:t>
            </w:r>
            <w:r>
              <w:rPr>
                <w:rFonts w:ascii="Garamond" w:eastAsia="Garamond" w:hAnsi="Garamond" w:cs="Garamond"/>
                <w:sz w:val="18"/>
                <w:szCs w:val="18"/>
              </w:rPr>
              <w:t>)</w:t>
            </w:r>
            <w:r>
              <w:rPr>
                <w:rFonts w:ascii="Garamond" w:eastAsia="Garamond" w:hAnsi="Garamond" w:cs="Garamond"/>
                <w:sz w:val="18"/>
                <w:szCs w:val="18"/>
                <w:vertAlign w:val="superscript"/>
              </w:rPr>
              <w:t>162</w:t>
            </w:r>
            <w:r>
              <w:rPr>
                <w:rFonts w:ascii="Garamond" w:eastAsia="Garamond" w:hAnsi="Garamond" w:cs="Garamond"/>
                <w:sz w:val="18"/>
                <w:szCs w:val="18"/>
              </w:rPr>
              <w:t xml:space="preserve"> of 1343 MET activations found no difference in cardiac arrest among patients who had an ICU Registrar-led (0.4%) vs. NP-led RRT (0.3%), although the number of overall events was low (n = 4). Another cohort study (</w:t>
            </w:r>
            <w:r>
              <w:rPr>
                <w:rFonts w:ascii="Garamond" w:eastAsia="Garamond" w:hAnsi="Garamond" w:cs="Garamond"/>
                <w:b/>
                <w:sz w:val="18"/>
                <w:szCs w:val="18"/>
              </w:rPr>
              <w:t>Scherr et al., 2012</w:t>
            </w:r>
            <w:r>
              <w:rPr>
                <w:rFonts w:ascii="Garamond" w:eastAsia="Garamond" w:hAnsi="Garamond" w:cs="Garamond"/>
                <w:sz w:val="18"/>
                <w:szCs w:val="18"/>
              </w:rPr>
              <w:t>)</w:t>
            </w:r>
            <w:r>
              <w:rPr>
                <w:rFonts w:ascii="Garamond" w:eastAsia="Garamond" w:hAnsi="Garamond" w:cs="Garamond"/>
                <w:sz w:val="18"/>
                <w:szCs w:val="18"/>
                <w:vertAlign w:val="superscript"/>
              </w:rPr>
              <w:t>137</w:t>
            </w:r>
            <w:r>
              <w:rPr>
                <w:rFonts w:ascii="Garamond" w:eastAsia="Garamond" w:hAnsi="Garamond" w:cs="Garamond"/>
                <w:sz w:val="18"/>
                <w:szCs w:val="18"/>
              </w:rPr>
              <w:t xml:space="preserve"> found no difference in cardiac arrest rates between intensivist-led (0 of 25) and NP-led RRTs (4 of 178). </w:t>
            </w:r>
            <w:r>
              <w:rPr>
                <w:rFonts w:ascii="Garamond" w:eastAsia="Garamond" w:hAnsi="Garamond" w:cs="Garamond"/>
                <w:b/>
                <w:sz w:val="18"/>
                <w:szCs w:val="18"/>
              </w:rPr>
              <w:t xml:space="preserve">Overall, given the high risk of bias across studies, we are uncertain about the effect of having a </w:t>
            </w:r>
            <w:proofErr w:type="gramStart"/>
            <w:r>
              <w:rPr>
                <w:rFonts w:ascii="Garamond" w:eastAsia="Garamond" w:hAnsi="Garamond" w:cs="Garamond"/>
                <w:b/>
                <w:sz w:val="18"/>
                <w:szCs w:val="18"/>
              </w:rPr>
              <w:t>physician-led</w:t>
            </w:r>
            <w:proofErr w:type="gramEnd"/>
            <w:r>
              <w:rPr>
                <w:rFonts w:ascii="Garamond" w:eastAsia="Garamond" w:hAnsi="Garamond" w:cs="Garamond"/>
                <w:b/>
                <w:sz w:val="18"/>
                <w:szCs w:val="18"/>
              </w:rPr>
              <w:t xml:space="preserve"> RRT/MET on cardiac arrests.</w:t>
            </w:r>
          </w:p>
        </w:tc>
        <w:tc>
          <w:tcPr>
            <w:tcW w:w="993" w:type="dxa"/>
            <w:tcBorders>
              <w:top w:val="single" w:sz="6" w:space="0" w:color="000000"/>
              <w:left w:val="single" w:sz="6" w:space="0" w:color="000000"/>
              <w:bottom w:val="single" w:sz="6" w:space="0" w:color="000000"/>
              <w:right w:val="single" w:sz="6" w:space="0" w:color="000000"/>
            </w:tcBorders>
          </w:tcPr>
          <w:p w14:paraId="4709C1B5" w14:textId="77777777" w:rsidR="006E087E" w:rsidRDefault="006E087E" w:rsidP="00A207C4">
            <w:pPr>
              <w:jc w:val="center"/>
              <w:rPr>
                <w:rFonts w:ascii="Garamond" w:eastAsia="Garamond" w:hAnsi="Garamond" w:cs="Garamond"/>
                <w:i/>
                <w:color w:val="C00000"/>
                <w:sz w:val="18"/>
                <w:szCs w:val="18"/>
              </w:rPr>
            </w:pPr>
            <w:r>
              <w:rPr>
                <w:rFonts w:ascii="Cambria Math" w:eastAsia="Cambria Math" w:hAnsi="Cambria Math" w:cs="Cambria Math"/>
                <w:sz w:val="18"/>
                <w:szCs w:val="18"/>
              </w:rPr>
              <w:t>⨁</w:t>
            </w:r>
            <w:sdt>
              <w:sdtPr>
                <w:tag w:val="goog_rdk_76"/>
                <w:id w:val="420375397"/>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75" w:type="dxa"/>
            <w:tcBorders>
              <w:top w:val="single" w:sz="6" w:space="0" w:color="000000"/>
              <w:left w:val="single" w:sz="6" w:space="0" w:color="000000"/>
              <w:bottom w:val="single" w:sz="6" w:space="0" w:color="000000"/>
              <w:right w:val="single" w:sz="6" w:space="0" w:color="000000"/>
            </w:tcBorders>
          </w:tcPr>
          <w:p w14:paraId="5C5912F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CRITICAL</w:t>
            </w:r>
          </w:p>
        </w:tc>
      </w:tr>
      <w:tr w:rsidR="006E087E" w14:paraId="5E8A62D6" w14:textId="77777777" w:rsidTr="00A207C4">
        <w:trPr>
          <w:cantSplit/>
        </w:trPr>
        <w:tc>
          <w:tcPr>
            <w:tcW w:w="15026" w:type="dxa"/>
            <w:gridSpan w:val="10"/>
            <w:shd w:val="clear" w:color="auto" w:fill="FFFFFF"/>
            <w:tcMar>
              <w:top w:w="75" w:type="dxa"/>
              <w:left w:w="100" w:type="dxa"/>
              <w:bottom w:w="100" w:type="dxa"/>
              <w:right w:w="100" w:type="dxa"/>
            </w:tcMar>
            <w:vAlign w:val="center"/>
          </w:tcPr>
          <w:p w14:paraId="43A9A777"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Hospital Length of Stay</w:t>
            </w:r>
          </w:p>
        </w:tc>
      </w:tr>
      <w:tr w:rsidR="006E087E" w14:paraId="7F6F8692"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7DFE871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w:t>
            </w:r>
          </w:p>
        </w:tc>
        <w:tc>
          <w:tcPr>
            <w:tcW w:w="1134" w:type="dxa"/>
            <w:tcBorders>
              <w:top w:val="single" w:sz="6" w:space="0" w:color="000000"/>
              <w:left w:val="single" w:sz="6" w:space="0" w:color="000000"/>
              <w:bottom w:val="single" w:sz="6" w:space="0" w:color="000000"/>
              <w:right w:val="single" w:sz="6" w:space="0" w:color="000000"/>
            </w:tcBorders>
          </w:tcPr>
          <w:p w14:paraId="2890F43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50" w:type="dxa"/>
            <w:tcBorders>
              <w:top w:val="single" w:sz="6" w:space="0" w:color="000000"/>
              <w:left w:val="single" w:sz="6" w:space="0" w:color="000000"/>
              <w:bottom w:val="single" w:sz="6" w:space="0" w:color="000000"/>
              <w:right w:val="single" w:sz="6" w:space="0" w:color="000000"/>
            </w:tcBorders>
          </w:tcPr>
          <w:p w14:paraId="5BF5B5D3"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76" w:type="dxa"/>
            <w:tcBorders>
              <w:top w:val="single" w:sz="6" w:space="0" w:color="000000"/>
              <w:left w:val="single" w:sz="6" w:space="0" w:color="000000"/>
              <w:bottom w:val="single" w:sz="6" w:space="0" w:color="000000"/>
              <w:right w:val="single" w:sz="6" w:space="0" w:color="000000"/>
            </w:tcBorders>
          </w:tcPr>
          <w:p w14:paraId="7C4D434E"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3B1BF781"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3AF2E68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not serious </w:t>
            </w:r>
          </w:p>
        </w:tc>
        <w:tc>
          <w:tcPr>
            <w:tcW w:w="1276" w:type="dxa"/>
            <w:tcBorders>
              <w:top w:val="single" w:sz="6" w:space="0" w:color="000000"/>
              <w:left w:val="single" w:sz="6" w:space="0" w:color="000000"/>
              <w:bottom w:val="single" w:sz="6" w:space="0" w:color="000000"/>
              <w:right w:val="single" w:sz="6" w:space="0" w:color="000000"/>
            </w:tcBorders>
          </w:tcPr>
          <w:p w14:paraId="1383B57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244" w:type="dxa"/>
            <w:tcBorders>
              <w:top w:val="single" w:sz="6" w:space="0" w:color="000000"/>
              <w:left w:val="single" w:sz="6" w:space="0" w:color="000000"/>
              <w:bottom w:val="single" w:sz="6" w:space="0" w:color="000000"/>
              <w:right w:val="single" w:sz="6" w:space="0" w:color="000000"/>
            </w:tcBorders>
          </w:tcPr>
          <w:p w14:paraId="3ED68FCB" w14:textId="77777777" w:rsidR="006E087E" w:rsidRDefault="006E087E" w:rsidP="00A207C4">
            <w:pPr>
              <w:rPr>
                <w:rFonts w:ascii="Garamond" w:eastAsia="Garamond" w:hAnsi="Garamond" w:cs="Garamond"/>
                <w:b/>
                <w:sz w:val="18"/>
                <w:szCs w:val="18"/>
              </w:rPr>
            </w:pPr>
            <w:r>
              <w:rPr>
                <w:rFonts w:ascii="Garamond" w:eastAsia="Garamond" w:hAnsi="Garamond" w:cs="Garamond"/>
                <w:sz w:val="18"/>
                <w:szCs w:val="18"/>
              </w:rPr>
              <w:t>One cohort study (</w:t>
            </w:r>
            <w:r>
              <w:rPr>
                <w:rFonts w:ascii="Garamond" w:eastAsia="Garamond" w:hAnsi="Garamond" w:cs="Garamond"/>
                <w:b/>
                <w:sz w:val="18"/>
                <w:szCs w:val="18"/>
              </w:rPr>
              <w:t>Gupta et al., 2021</w:t>
            </w:r>
            <w:r>
              <w:rPr>
                <w:rFonts w:ascii="Garamond" w:eastAsia="Garamond" w:hAnsi="Garamond" w:cs="Garamond"/>
                <w:sz w:val="18"/>
                <w:szCs w:val="18"/>
              </w:rPr>
              <w:t>)</w:t>
            </w:r>
            <w:r>
              <w:rPr>
                <w:rFonts w:ascii="Garamond" w:eastAsia="Garamond" w:hAnsi="Garamond" w:cs="Garamond"/>
                <w:sz w:val="18"/>
                <w:szCs w:val="18"/>
                <w:vertAlign w:val="superscript"/>
              </w:rPr>
              <w:t>162</w:t>
            </w:r>
            <w:r>
              <w:rPr>
                <w:rFonts w:ascii="Garamond" w:eastAsia="Garamond" w:hAnsi="Garamond" w:cs="Garamond"/>
                <w:sz w:val="18"/>
                <w:szCs w:val="18"/>
              </w:rPr>
              <w:t xml:space="preserve"> of 1,343 MET activations found no difference in hospital length of stay among patients who had an ICU Registrar-led vs. NP-led RRT. </w:t>
            </w:r>
            <w:r>
              <w:rPr>
                <w:rFonts w:ascii="Garamond" w:eastAsia="Garamond" w:hAnsi="Garamond" w:cs="Garamond"/>
                <w:b/>
                <w:sz w:val="18"/>
                <w:szCs w:val="18"/>
              </w:rPr>
              <w:t xml:space="preserve">We are uncertain about the effect of having a </w:t>
            </w:r>
            <w:proofErr w:type="gramStart"/>
            <w:r>
              <w:rPr>
                <w:rFonts w:ascii="Garamond" w:eastAsia="Garamond" w:hAnsi="Garamond" w:cs="Garamond"/>
                <w:b/>
                <w:sz w:val="18"/>
                <w:szCs w:val="18"/>
              </w:rPr>
              <w:t>physician-led</w:t>
            </w:r>
            <w:proofErr w:type="gramEnd"/>
            <w:r>
              <w:rPr>
                <w:rFonts w:ascii="Garamond" w:eastAsia="Garamond" w:hAnsi="Garamond" w:cs="Garamond"/>
                <w:b/>
                <w:sz w:val="18"/>
                <w:szCs w:val="18"/>
              </w:rPr>
              <w:t xml:space="preserve"> RRT/MET on hospital length of stay.</w:t>
            </w:r>
          </w:p>
        </w:tc>
        <w:tc>
          <w:tcPr>
            <w:tcW w:w="993" w:type="dxa"/>
            <w:tcBorders>
              <w:top w:val="single" w:sz="6" w:space="0" w:color="000000"/>
              <w:left w:val="single" w:sz="6" w:space="0" w:color="000000"/>
              <w:bottom w:val="single" w:sz="6" w:space="0" w:color="000000"/>
              <w:right w:val="single" w:sz="6" w:space="0" w:color="000000"/>
            </w:tcBorders>
          </w:tcPr>
          <w:p w14:paraId="48574399" w14:textId="77777777" w:rsidR="006E087E" w:rsidRDefault="006E087E" w:rsidP="00A207C4">
            <w:pPr>
              <w:jc w:val="center"/>
              <w:rPr>
                <w:rFonts w:ascii="Garamond" w:eastAsia="Garamond" w:hAnsi="Garamond" w:cs="Garamond"/>
                <w:color w:val="C00000"/>
                <w:sz w:val="18"/>
                <w:szCs w:val="18"/>
              </w:rPr>
            </w:pPr>
            <w:r>
              <w:rPr>
                <w:rFonts w:ascii="Cambria Math" w:eastAsia="Cambria Math" w:hAnsi="Cambria Math" w:cs="Cambria Math"/>
                <w:sz w:val="18"/>
                <w:szCs w:val="18"/>
              </w:rPr>
              <w:t>⨁</w:t>
            </w:r>
            <w:sdt>
              <w:sdtPr>
                <w:tag w:val="goog_rdk_77"/>
                <w:id w:val="1842432665"/>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 xml:space="preserve">Very Low </w:t>
            </w:r>
          </w:p>
        </w:tc>
        <w:tc>
          <w:tcPr>
            <w:tcW w:w="1275" w:type="dxa"/>
            <w:tcBorders>
              <w:top w:val="single" w:sz="6" w:space="0" w:color="000000"/>
              <w:left w:val="single" w:sz="6" w:space="0" w:color="000000"/>
              <w:bottom w:val="single" w:sz="6" w:space="0" w:color="000000"/>
              <w:right w:val="single" w:sz="6" w:space="0" w:color="000000"/>
            </w:tcBorders>
          </w:tcPr>
          <w:p w14:paraId="56C9312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IMPORTANT </w:t>
            </w:r>
          </w:p>
        </w:tc>
      </w:tr>
      <w:tr w:rsidR="006E087E" w14:paraId="0369867B" w14:textId="77777777" w:rsidTr="00A207C4">
        <w:trPr>
          <w:cantSplit/>
        </w:trPr>
        <w:tc>
          <w:tcPr>
            <w:tcW w:w="15026" w:type="dxa"/>
            <w:gridSpan w:val="10"/>
            <w:shd w:val="clear" w:color="auto" w:fill="FFFFFF"/>
            <w:tcMar>
              <w:top w:w="75" w:type="dxa"/>
              <w:left w:w="100" w:type="dxa"/>
              <w:bottom w:w="100" w:type="dxa"/>
              <w:right w:w="100" w:type="dxa"/>
            </w:tcMar>
            <w:vAlign w:val="center"/>
          </w:tcPr>
          <w:p w14:paraId="748A9455"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lastRenderedPageBreak/>
              <w:t>ICU Length of Stay</w:t>
            </w:r>
          </w:p>
        </w:tc>
      </w:tr>
      <w:tr w:rsidR="006E087E" w14:paraId="28C92926"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0258CB1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1 </w:t>
            </w:r>
          </w:p>
        </w:tc>
        <w:tc>
          <w:tcPr>
            <w:tcW w:w="1134" w:type="dxa"/>
            <w:tcBorders>
              <w:top w:val="single" w:sz="6" w:space="0" w:color="000000"/>
              <w:left w:val="single" w:sz="6" w:space="0" w:color="000000"/>
              <w:bottom w:val="single" w:sz="6" w:space="0" w:color="000000"/>
              <w:right w:val="single" w:sz="6" w:space="0" w:color="000000"/>
            </w:tcBorders>
          </w:tcPr>
          <w:p w14:paraId="23730F5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50" w:type="dxa"/>
            <w:tcBorders>
              <w:top w:val="single" w:sz="6" w:space="0" w:color="000000"/>
              <w:left w:val="single" w:sz="6" w:space="0" w:color="000000"/>
              <w:bottom w:val="single" w:sz="6" w:space="0" w:color="000000"/>
              <w:right w:val="single" w:sz="6" w:space="0" w:color="000000"/>
            </w:tcBorders>
          </w:tcPr>
          <w:p w14:paraId="10212181"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76" w:type="dxa"/>
            <w:tcBorders>
              <w:top w:val="single" w:sz="6" w:space="0" w:color="000000"/>
              <w:left w:val="single" w:sz="6" w:space="0" w:color="000000"/>
              <w:bottom w:val="single" w:sz="6" w:space="0" w:color="000000"/>
              <w:right w:val="single" w:sz="6" w:space="0" w:color="000000"/>
            </w:tcBorders>
          </w:tcPr>
          <w:p w14:paraId="620F1D9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78F0025F"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2A97FDC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not serious </w:t>
            </w:r>
          </w:p>
        </w:tc>
        <w:tc>
          <w:tcPr>
            <w:tcW w:w="1276" w:type="dxa"/>
            <w:tcBorders>
              <w:top w:val="single" w:sz="6" w:space="0" w:color="000000"/>
              <w:left w:val="single" w:sz="6" w:space="0" w:color="000000"/>
              <w:bottom w:val="single" w:sz="6" w:space="0" w:color="000000"/>
              <w:right w:val="single" w:sz="6" w:space="0" w:color="000000"/>
            </w:tcBorders>
          </w:tcPr>
          <w:p w14:paraId="23EED01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244" w:type="dxa"/>
            <w:tcBorders>
              <w:top w:val="single" w:sz="6" w:space="0" w:color="000000"/>
              <w:left w:val="single" w:sz="6" w:space="0" w:color="000000"/>
              <w:bottom w:val="single" w:sz="6" w:space="0" w:color="000000"/>
              <w:right w:val="single" w:sz="6" w:space="0" w:color="000000"/>
            </w:tcBorders>
          </w:tcPr>
          <w:p w14:paraId="1BB11F27" w14:textId="77777777" w:rsidR="006E087E" w:rsidRDefault="006E087E" w:rsidP="00A207C4">
            <w:pPr>
              <w:rPr>
                <w:rFonts w:ascii="Garamond" w:eastAsia="Garamond" w:hAnsi="Garamond" w:cs="Garamond"/>
                <w:b/>
                <w:sz w:val="18"/>
                <w:szCs w:val="18"/>
              </w:rPr>
            </w:pPr>
            <w:r>
              <w:rPr>
                <w:rFonts w:ascii="Garamond" w:eastAsia="Garamond" w:hAnsi="Garamond" w:cs="Garamond"/>
                <w:sz w:val="18"/>
                <w:szCs w:val="18"/>
              </w:rPr>
              <w:t>One cohort study (</w:t>
            </w:r>
            <w:r>
              <w:rPr>
                <w:rFonts w:ascii="Garamond" w:eastAsia="Garamond" w:hAnsi="Garamond" w:cs="Garamond"/>
                <w:b/>
                <w:sz w:val="18"/>
                <w:szCs w:val="18"/>
              </w:rPr>
              <w:t>Gupta et al., 2021</w:t>
            </w:r>
            <w:r>
              <w:rPr>
                <w:rFonts w:ascii="Garamond" w:eastAsia="Garamond" w:hAnsi="Garamond" w:cs="Garamond"/>
                <w:sz w:val="18"/>
                <w:szCs w:val="18"/>
              </w:rPr>
              <w:t>)</w:t>
            </w:r>
            <w:r>
              <w:rPr>
                <w:rFonts w:ascii="Garamond" w:eastAsia="Garamond" w:hAnsi="Garamond" w:cs="Garamond"/>
                <w:sz w:val="18"/>
                <w:szCs w:val="18"/>
                <w:vertAlign w:val="superscript"/>
              </w:rPr>
              <w:t>162</w:t>
            </w:r>
            <w:r>
              <w:rPr>
                <w:rFonts w:ascii="Garamond" w:eastAsia="Garamond" w:hAnsi="Garamond" w:cs="Garamond"/>
                <w:sz w:val="18"/>
                <w:szCs w:val="18"/>
              </w:rPr>
              <w:t xml:space="preserve"> of 1,343 MET activations found no difference in ICU length of stay among patients who had an ICU Registrar-led vs. NP-led RRT/MET. </w:t>
            </w:r>
            <w:r>
              <w:rPr>
                <w:rFonts w:ascii="Garamond" w:eastAsia="Garamond" w:hAnsi="Garamond" w:cs="Garamond"/>
                <w:b/>
                <w:sz w:val="18"/>
                <w:szCs w:val="18"/>
              </w:rPr>
              <w:t xml:space="preserve">We are uncertain about the effect of having a </w:t>
            </w:r>
            <w:proofErr w:type="gramStart"/>
            <w:r>
              <w:rPr>
                <w:rFonts w:ascii="Garamond" w:eastAsia="Garamond" w:hAnsi="Garamond" w:cs="Garamond"/>
                <w:b/>
                <w:sz w:val="18"/>
                <w:szCs w:val="18"/>
              </w:rPr>
              <w:t>physician-led</w:t>
            </w:r>
            <w:proofErr w:type="gramEnd"/>
            <w:r>
              <w:rPr>
                <w:rFonts w:ascii="Garamond" w:eastAsia="Garamond" w:hAnsi="Garamond" w:cs="Garamond"/>
                <w:b/>
                <w:sz w:val="18"/>
                <w:szCs w:val="18"/>
              </w:rPr>
              <w:t xml:space="preserve"> RRT/MET on ICU length of stay.</w:t>
            </w:r>
          </w:p>
        </w:tc>
        <w:tc>
          <w:tcPr>
            <w:tcW w:w="993" w:type="dxa"/>
            <w:tcBorders>
              <w:top w:val="single" w:sz="6" w:space="0" w:color="000000"/>
              <w:left w:val="single" w:sz="6" w:space="0" w:color="000000"/>
              <w:bottom w:val="single" w:sz="6" w:space="0" w:color="000000"/>
              <w:right w:val="single" w:sz="6" w:space="0" w:color="000000"/>
            </w:tcBorders>
          </w:tcPr>
          <w:p w14:paraId="7504E21F" w14:textId="77777777" w:rsidR="006E087E" w:rsidRDefault="006E087E" w:rsidP="00A207C4">
            <w:pPr>
              <w:jc w:val="center"/>
              <w:rPr>
                <w:rFonts w:ascii="Garamond" w:eastAsia="Garamond" w:hAnsi="Garamond" w:cs="Garamond"/>
                <w:i/>
                <w:color w:val="C00000"/>
                <w:sz w:val="18"/>
                <w:szCs w:val="18"/>
              </w:rPr>
            </w:pPr>
            <w:r>
              <w:rPr>
                <w:rFonts w:ascii="Cambria Math" w:eastAsia="Cambria Math" w:hAnsi="Cambria Math" w:cs="Cambria Math"/>
                <w:sz w:val="18"/>
                <w:szCs w:val="18"/>
              </w:rPr>
              <w:t>⨁</w:t>
            </w:r>
            <w:sdt>
              <w:sdtPr>
                <w:tag w:val="goog_rdk_78"/>
                <w:id w:val="636073849"/>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75" w:type="dxa"/>
            <w:tcBorders>
              <w:top w:val="single" w:sz="6" w:space="0" w:color="000000"/>
              <w:left w:val="single" w:sz="6" w:space="0" w:color="000000"/>
              <w:bottom w:val="single" w:sz="6" w:space="0" w:color="000000"/>
              <w:right w:val="single" w:sz="6" w:space="0" w:color="000000"/>
            </w:tcBorders>
          </w:tcPr>
          <w:p w14:paraId="5763BFF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IMPORTANT </w:t>
            </w:r>
          </w:p>
        </w:tc>
      </w:tr>
      <w:tr w:rsidR="006E087E" w14:paraId="222B03D7" w14:textId="77777777" w:rsidTr="00A207C4">
        <w:trPr>
          <w:cantSplit/>
        </w:trPr>
        <w:tc>
          <w:tcPr>
            <w:tcW w:w="15026" w:type="dxa"/>
            <w:gridSpan w:val="10"/>
            <w:shd w:val="clear" w:color="auto" w:fill="FFFFFF"/>
            <w:tcMar>
              <w:top w:w="75" w:type="dxa"/>
              <w:left w:w="100" w:type="dxa"/>
              <w:bottom w:w="100" w:type="dxa"/>
              <w:right w:w="100" w:type="dxa"/>
            </w:tcMar>
            <w:vAlign w:val="center"/>
          </w:tcPr>
          <w:p w14:paraId="483C6149" w14:textId="77777777" w:rsidR="006E087E" w:rsidRDefault="006E087E" w:rsidP="00A207C4">
            <w:pPr>
              <w:rPr>
                <w:rFonts w:ascii="Garamond" w:eastAsia="Garamond" w:hAnsi="Garamond" w:cs="Garamond"/>
                <w:b/>
                <w:sz w:val="18"/>
                <w:szCs w:val="18"/>
                <w:u w:val="single"/>
              </w:rPr>
            </w:pPr>
          </w:p>
          <w:p w14:paraId="4F6CF620"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Unplanned ICU admissions</w:t>
            </w:r>
          </w:p>
        </w:tc>
      </w:tr>
      <w:tr w:rsidR="006E087E" w14:paraId="6576DC77"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673F1D4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3</w:t>
            </w:r>
          </w:p>
        </w:tc>
        <w:tc>
          <w:tcPr>
            <w:tcW w:w="1134" w:type="dxa"/>
            <w:tcBorders>
              <w:top w:val="single" w:sz="6" w:space="0" w:color="000000"/>
              <w:left w:val="single" w:sz="6" w:space="0" w:color="000000"/>
              <w:bottom w:val="single" w:sz="6" w:space="0" w:color="000000"/>
              <w:right w:val="single" w:sz="6" w:space="0" w:color="000000"/>
            </w:tcBorders>
          </w:tcPr>
          <w:p w14:paraId="7B5231C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studies</w:t>
            </w:r>
          </w:p>
        </w:tc>
        <w:tc>
          <w:tcPr>
            <w:tcW w:w="850" w:type="dxa"/>
            <w:tcBorders>
              <w:top w:val="single" w:sz="6" w:space="0" w:color="000000"/>
              <w:left w:val="single" w:sz="6" w:space="0" w:color="000000"/>
              <w:bottom w:val="single" w:sz="6" w:space="0" w:color="000000"/>
              <w:right w:val="single" w:sz="6" w:space="0" w:color="000000"/>
            </w:tcBorders>
          </w:tcPr>
          <w:p w14:paraId="1B4BD5F1"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76" w:type="dxa"/>
            <w:tcBorders>
              <w:top w:val="single" w:sz="6" w:space="0" w:color="000000"/>
              <w:left w:val="single" w:sz="6" w:space="0" w:color="000000"/>
              <w:bottom w:val="single" w:sz="6" w:space="0" w:color="000000"/>
              <w:right w:val="single" w:sz="6" w:space="0" w:color="000000"/>
            </w:tcBorders>
          </w:tcPr>
          <w:p w14:paraId="475B38C5"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134" w:type="dxa"/>
            <w:tcBorders>
              <w:top w:val="single" w:sz="6" w:space="0" w:color="000000"/>
              <w:left w:val="single" w:sz="6" w:space="0" w:color="000000"/>
              <w:bottom w:val="single" w:sz="6" w:space="0" w:color="000000"/>
              <w:right w:val="single" w:sz="6" w:space="0" w:color="000000"/>
            </w:tcBorders>
          </w:tcPr>
          <w:p w14:paraId="119DBC94"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6B58398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not serious </w:t>
            </w:r>
          </w:p>
        </w:tc>
        <w:tc>
          <w:tcPr>
            <w:tcW w:w="1276" w:type="dxa"/>
            <w:tcBorders>
              <w:top w:val="single" w:sz="6" w:space="0" w:color="000000"/>
              <w:left w:val="single" w:sz="6" w:space="0" w:color="000000"/>
              <w:bottom w:val="single" w:sz="6" w:space="0" w:color="000000"/>
              <w:right w:val="single" w:sz="6" w:space="0" w:color="000000"/>
            </w:tcBorders>
          </w:tcPr>
          <w:p w14:paraId="32A3DFF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244" w:type="dxa"/>
            <w:tcBorders>
              <w:top w:val="single" w:sz="6" w:space="0" w:color="000000"/>
              <w:left w:val="single" w:sz="6" w:space="0" w:color="000000"/>
              <w:bottom w:val="single" w:sz="6" w:space="0" w:color="000000"/>
              <w:right w:val="single" w:sz="6" w:space="0" w:color="000000"/>
            </w:tcBorders>
          </w:tcPr>
          <w:p w14:paraId="53D4AEC5"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A before-after study (</w:t>
            </w:r>
            <w:proofErr w:type="spellStart"/>
            <w:r>
              <w:rPr>
                <w:rFonts w:ascii="Garamond" w:eastAsia="Garamond" w:hAnsi="Garamond" w:cs="Garamond"/>
                <w:b/>
                <w:sz w:val="18"/>
                <w:szCs w:val="18"/>
              </w:rPr>
              <w:t>Rubis</w:t>
            </w:r>
            <w:proofErr w:type="spellEnd"/>
            <w:r>
              <w:rPr>
                <w:rFonts w:ascii="Garamond" w:eastAsia="Garamond" w:hAnsi="Garamond" w:cs="Garamond"/>
                <w:b/>
                <w:sz w:val="18"/>
                <w:szCs w:val="18"/>
              </w:rPr>
              <w:t xml:space="preserve"> et al., 2013</w:t>
            </w:r>
            <w:r>
              <w:rPr>
                <w:rFonts w:ascii="Garamond" w:eastAsia="Garamond" w:hAnsi="Garamond" w:cs="Garamond"/>
                <w:sz w:val="18"/>
                <w:szCs w:val="18"/>
              </w:rPr>
              <w:t>)</w:t>
            </w:r>
            <w:r>
              <w:rPr>
                <w:rFonts w:ascii="Garamond" w:eastAsia="Garamond" w:hAnsi="Garamond" w:cs="Garamond"/>
                <w:sz w:val="18"/>
                <w:szCs w:val="18"/>
                <w:vertAlign w:val="superscript"/>
              </w:rPr>
              <w:t>163</w:t>
            </w:r>
            <w:r>
              <w:rPr>
                <w:rFonts w:ascii="Garamond" w:eastAsia="Garamond" w:hAnsi="Garamond" w:cs="Garamond"/>
                <w:sz w:val="18"/>
                <w:szCs w:val="18"/>
              </w:rPr>
              <w:t xml:space="preserve"> that compared physician-led vs. ACNP-led RRTs reported no difference in rates of unplanned ICU admissions. A cohort study (</w:t>
            </w:r>
            <w:r>
              <w:rPr>
                <w:rFonts w:ascii="Garamond" w:eastAsia="Garamond" w:hAnsi="Garamond" w:cs="Garamond"/>
                <w:b/>
                <w:sz w:val="18"/>
                <w:szCs w:val="18"/>
              </w:rPr>
              <w:t>Scherr et al., 2012</w:t>
            </w:r>
            <w:r>
              <w:rPr>
                <w:rFonts w:ascii="Garamond" w:eastAsia="Garamond" w:hAnsi="Garamond" w:cs="Garamond"/>
                <w:sz w:val="18"/>
                <w:szCs w:val="18"/>
              </w:rPr>
              <w:t>)</w:t>
            </w:r>
            <w:r>
              <w:rPr>
                <w:rFonts w:ascii="Garamond" w:eastAsia="Garamond" w:hAnsi="Garamond" w:cs="Garamond"/>
                <w:sz w:val="18"/>
                <w:szCs w:val="18"/>
                <w:vertAlign w:val="superscript"/>
              </w:rPr>
              <w:t>137</w:t>
            </w:r>
            <w:r>
              <w:rPr>
                <w:rFonts w:ascii="Garamond" w:eastAsia="Garamond" w:hAnsi="Garamond" w:cs="Garamond"/>
                <w:sz w:val="18"/>
                <w:szCs w:val="18"/>
              </w:rPr>
              <w:t xml:space="preserve"> found no difference in unplanned ICU transfers between intensivist intensivist-led and NP-led RRT/MET calls. Conversely, a cohort study (</w:t>
            </w:r>
            <w:r>
              <w:rPr>
                <w:rFonts w:ascii="Garamond" w:eastAsia="Garamond" w:hAnsi="Garamond" w:cs="Garamond"/>
                <w:b/>
                <w:sz w:val="18"/>
                <w:szCs w:val="18"/>
              </w:rPr>
              <w:t>Gupta et al., 2021</w:t>
            </w:r>
            <w:r>
              <w:rPr>
                <w:rFonts w:ascii="Garamond" w:eastAsia="Garamond" w:hAnsi="Garamond" w:cs="Garamond"/>
                <w:sz w:val="18"/>
                <w:szCs w:val="18"/>
              </w:rPr>
              <w:t>)</w:t>
            </w:r>
            <w:r>
              <w:rPr>
                <w:rFonts w:ascii="Garamond" w:eastAsia="Garamond" w:hAnsi="Garamond" w:cs="Garamond"/>
                <w:sz w:val="18"/>
                <w:szCs w:val="18"/>
                <w:vertAlign w:val="superscript"/>
              </w:rPr>
              <w:t>162</w:t>
            </w:r>
            <w:r>
              <w:rPr>
                <w:rFonts w:ascii="Garamond" w:eastAsia="Garamond" w:hAnsi="Garamond" w:cs="Garamond"/>
                <w:sz w:val="18"/>
                <w:szCs w:val="18"/>
              </w:rPr>
              <w:t xml:space="preserve"> of 1343 RRT/MET activations found higher rates of ICU admission within 24h of the index RRT/MET call among patients who had an ICU Registrar-led (15%) vs. NP-led (7.7%) RRTs. </w:t>
            </w:r>
            <w:r>
              <w:rPr>
                <w:rFonts w:ascii="Garamond" w:eastAsia="Garamond" w:hAnsi="Garamond" w:cs="Garamond"/>
                <w:b/>
                <w:sz w:val="18"/>
                <w:szCs w:val="18"/>
              </w:rPr>
              <w:t xml:space="preserve">Overall, given the inconsistency and issues related to risk of bias, we are uncertain about the effect of having a </w:t>
            </w:r>
            <w:proofErr w:type="gramStart"/>
            <w:r>
              <w:rPr>
                <w:rFonts w:ascii="Garamond" w:eastAsia="Garamond" w:hAnsi="Garamond" w:cs="Garamond"/>
                <w:b/>
                <w:sz w:val="18"/>
                <w:szCs w:val="18"/>
              </w:rPr>
              <w:t>physician-led</w:t>
            </w:r>
            <w:proofErr w:type="gramEnd"/>
            <w:r>
              <w:rPr>
                <w:rFonts w:ascii="Garamond" w:eastAsia="Garamond" w:hAnsi="Garamond" w:cs="Garamond"/>
                <w:b/>
                <w:sz w:val="18"/>
                <w:szCs w:val="18"/>
              </w:rPr>
              <w:t xml:space="preserve"> RRT/MET on unplanned ICU admissions.</w:t>
            </w:r>
          </w:p>
        </w:tc>
        <w:tc>
          <w:tcPr>
            <w:tcW w:w="993" w:type="dxa"/>
            <w:tcBorders>
              <w:top w:val="single" w:sz="6" w:space="0" w:color="000000"/>
              <w:left w:val="single" w:sz="6" w:space="0" w:color="000000"/>
              <w:bottom w:val="single" w:sz="6" w:space="0" w:color="000000"/>
              <w:right w:val="single" w:sz="6" w:space="0" w:color="000000"/>
            </w:tcBorders>
          </w:tcPr>
          <w:p w14:paraId="2141AECF" w14:textId="77777777" w:rsidR="006E087E" w:rsidRDefault="006E087E" w:rsidP="00A207C4">
            <w:pPr>
              <w:jc w:val="center"/>
              <w:rPr>
                <w:rFonts w:ascii="Garamond" w:eastAsia="Garamond" w:hAnsi="Garamond" w:cs="Garamond"/>
                <w:i/>
                <w:color w:val="C00000"/>
                <w:sz w:val="18"/>
                <w:szCs w:val="18"/>
              </w:rPr>
            </w:pPr>
            <w:r>
              <w:rPr>
                <w:rFonts w:ascii="Cambria Math" w:eastAsia="Cambria Math" w:hAnsi="Cambria Math" w:cs="Cambria Math"/>
                <w:sz w:val="18"/>
                <w:szCs w:val="18"/>
              </w:rPr>
              <w:t>⨁</w:t>
            </w:r>
            <w:sdt>
              <w:sdtPr>
                <w:tag w:val="goog_rdk_79"/>
                <w:id w:val="254413750"/>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75" w:type="dxa"/>
            <w:tcBorders>
              <w:top w:val="single" w:sz="6" w:space="0" w:color="000000"/>
              <w:left w:val="single" w:sz="6" w:space="0" w:color="000000"/>
              <w:bottom w:val="single" w:sz="6" w:space="0" w:color="000000"/>
              <w:right w:val="single" w:sz="6" w:space="0" w:color="000000"/>
            </w:tcBorders>
          </w:tcPr>
          <w:p w14:paraId="6FDBFC9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IMPORTANT </w:t>
            </w:r>
          </w:p>
        </w:tc>
      </w:tr>
      <w:tr w:rsidR="006E087E" w14:paraId="11F952B2" w14:textId="77777777" w:rsidTr="00A207C4">
        <w:trPr>
          <w:cantSplit/>
        </w:trPr>
        <w:tc>
          <w:tcPr>
            <w:tcW w:w="15026" w:type="dxa"/>
            <w:gridSpan w:val="10"/>
            <w:shd w:val="clear" w:color="auto" w:fill="FFFFFF"/>
            <w:tcMar>
              <w:top w:w="75" w:type="dxa"/>
              <w:left w:w="100" w:type="dxa"/>
              <w:bottom w:w="100" w:type="dxa"/>
              <w:right w:w="100" w:type="dxa"/>
            </w:tcMar>
            <w:vAlign w:val="center"/>
          </w:tcPr>
          <w:p w14:paraId="1BF49B5F"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Changes in goals of care/ resuscitation status</w:t>
            </w:r>
          </w:p>
        </w:tc>
      </w:tr>
      <w:tr w:rsidR="006E087E" w14:paraId="54CF49A3"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24E63F9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w:t>
            </w:r>
          </w:p>
        </w:tc>
        <w:tc>
          <w:tcPr>
            <w:tcW w:w="1134" w:type="dxa"/>
            <w:tcBorders>
              <w:top w:val="single" w:sz="6" w:space="0" w:color="000000"/>
              <w:left w:val="single" w:sz="6" w:space="0" w:color="000000"/>
              <w:bottom w:val="single" w:sz="6" w:space="0" w:color="000000"/>
              <w:right w:val="single" w:sz="6" w:space="0" w:color="000000"/>
            </w:tcBorders>
          </w:tcPr>
          <w:p w14:paraId="302193C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50" w:type="dxa"/>
            <w:tcBorders>
              <w:top w:val="single" w:sz="6" w:space="0" w:color="000000"/>
              <w:left w:val="single" w:sz="6" w:space="0" w:color="000000"/>
              <w:bottom w:val="single" w:sz="6" w:space="0" w:color="000000"/>
              <w:right w:val="single" w:sz="6" w:space="0" w:color="000000"/>
            </w:tcBorders>
          </w:tcPr>
          <w:p w14:paraId="132E83DF"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276" w:type="dxa"/>
            <w:tcBorders>
              <w:top w:val="single" w:sz="6" w:space="0" w:color="000000"/>
              <w:left w:val="single" w:sz="6" w:space="0" w:color="000000"/>
              <w:bottom w:val="single" w:sz="6" w:space="0" w:color="000000"/>
              <w:right w:val="single" w:sz="6" w:space="0" w:color="000000"/>
            </w:tcBorders>
          </w:tcPr>
          <w:p w14:paraId="7A85C84B"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 xml:space="preserve">not serious </w:t>
            </w:r>
          </w:p>
        </w:tc>
        <w:tc>
          <w:tcPr>
            <w:tcW w:w="1134" w:type="dxa"/>
            <w:tcBorders>
              <w:top w:val="single" w:sz="6" w:space="0" w:color="000000"/>
              <w:left w:val="single" w:sz="6" w:space="0" w:color="000000"/>
              <w:bottom w:val="single" w:sz="6" w:space="0" w:color="000000"/>
              <w:right w:val="single" w:sz="6" w:space="0" w:color="000000"/>
            </w:tcBorders>
          </w:tcPr>
          <w:p w14:paraId="7961CD9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381A27A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not serious </w:t>
            </w:r>
          </w:p>
        </w:tc>
        <w:tc>
          <w:tcPr>
            <w:tcW w:w="1276" w:type="dxa"/>
            <w:tcBorders>
              <w:top w:val="single" w:sz="6" w:space="0" w:color="000000"/>
              <w:left w:val="single" w:sz="6" w:space="0" w:color="000000"/>
              <w:bottom w:val="single" w:sz="6" w:space="0" w:color="000000"/>
              <w:right w:val="single" w:sz="6" w:space="0" w:color="000000"/>
            </w:tcBorders>
          </w:tcPr>
          <w:p w14:paraId="5E6FF1E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none </w:t>
            </w:r>
          </w:p>
        </w:tc>
        <w:tc>
          <w:tcPr>
            <w:tcW w:w="5244" w:type="dxa"/>
            <w:tcBorders>
              <w:top w:val="single" w:sz="6" w:space="0" w:color="000000"/>
              <w:left w:val="single" w:sz="6" w:space="0" w:color="000000"/>
              <w:bottom w:val="single" w:sz="6" w:space="0" w:color="000000"/>
              <w:right w:val="single" w:sz="6" w:space="0" w:color="000000"/>
            </w:tcBorders>
          </w:tcPr>
          <w:p w14:paraId="079F3822"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One cohort study (</w:t>
            </w:r>
            <w:r>
              <w:rPr>
                <w:rFonts w:ascii="Garamond" w:eastAsia="Garamond" w:hAnsi="Garamond" w:cs="Garamond"/>
                <w:b/>
                <w:sz w:val="18"/>
                <w:szCs w:val="18"/>
              </w:rPr>
              <w:t>Gupta et al., 2021</w:t>
            </w:r>
            <w:r>
              <w:rPr>
                <w:rFonts w:ascii="Garamond" w:eastAsia="Garamond" w:hAnsi="Garamond" w:cs="Garamond"/>
                <w:sz w:val="18"/>
                <w:szCs w:val="18"/>
              </w:rPr>
              <w:t>)</w:t>
            </w:r>
            <w:r>
              <w:rPr>
                <w:rFonts w:ascii="Garamond" w:eastAsia="Garamond" w:hAnsi="Garamond" w:cs="Garamond"/>
                <w:sz w:val="18"/>
                <w:szCs w:val="18"/>
                <w:vertAlign w:val="superscript"/>
              </w:rPr>
              <w:t>162</w:t>
            </w:r>
            <w:r>
              <w:rPr>
                <w:rFonts w:ascii="Garamond" w:eastAsia="Garamond" w:hAnsi="Garamond" w:cs="Garamond"/>
                <w:sz w:val="18"/>
                <w:szCs w:val="18"/>
              </w:rPr>
              <w:t xml:space="preserve"> of 1343 RRT/MET activations found no difference in changes in resuscitation status among patients who had an ICU Registrar-led (13.6%) vs. NP-led RRT/MET (16.2%). </w:t>
            </w:r>
            <w:r>
              <w:rPr>
                <w:rFonts w:ascii="Garamond" w:eastAsia="Garamond" w:hAnsi="Garamond" w:cs="Garamond"/>
                <w:b/>
                <w:sz w:val="18"/>
                <w:szCs w:val="18"/>
              </w:rPr>
              <w:t xml:space="preserve">We are uncertain about the effect of having a </w:t>
            </w:r>
            <w:proofErr w:type="gramStart"/>
            <w:r>
              <w:rPr>
                <w:rFonts w:ascii="Garamond" w:eastAsia="Garamond" w:hAnsi="Garamond" w:cs="Garamond"/>
                <w:b/>
                <w:sz w:val="18"/>
                <w:szCs w:val="18"/>
              </w:rPr>
              <w:t>physician-led</w:t>
            </w:r>
            <w:proofErr w:type="gramEnd"/>
            <w:r>
              <w:rPr>
                <w:rFonts w:ascii="Garamond" w:eastAsia="Garamond" w:hAnsi="Garamond" w:cs="Garamond"/>
                <w:b/>
                <w:sz w:val="18"/>
                <w:szCs w:val="18"/>
              </w:rPr>
              <w:t xml:space="preserve"> RRT/MET on changes in GOC.</w:t>
            </w:r>
          </w:p>
        </w:tc>
        <w:tc>
          <w:tcPr>
            <w:tcW w:w="993" w:type="dxa"/>
            <w:tcBorders>
              <w:top w:val="single" w:sz="6" w:space="0" w:color="000000"/>
              <w:left w:val="single" w:sz="6" w:space="0" w:color="000000"/>
              <w:bottom w:val="single" w:sz="6" w:space="0" w:color="000000"/>
              <w:right w:val="single" w:sz="6" w:space="0" w:color="000000"/>
            </w:tcBorders>
          </w:tcPr>
          <w:p w14:paraId="02391957" w14:textId="77777777" w:rsidR="006E087E" w:rsidRDefault="006E087E" w:rsidP="00A207C4">
            <w:pPr>
              <w:jc w:val="center"/>
              <w:rPr>
                <w:rFonts w:ascii="Garamond" w:eastAsia="Garamond" w:hAnsi="Garamond" w:cs="Garamond"/>
                <w:color w:val="C00000"/>
                <w:sz w:val="18"/>
                <w:szCs w:val="18"/>
              </w:rPr>
            </w:pPr>
            <w:r>
              <w:rPr>
                <w:rFonts w:ascii="Cambria Math" w:eastAsia="Cambria Math" w:hAnsi="Cambria Math" w:cs="Cambria Math"/>
                <w:sz w:val="18"/>
                <w:szCs w:val="18"/>
              </w:rPr>
              <w:t>⨁</w:t>
            </w:r>
            <w:sdt>
              <w:sdtPr>
                <w:tag w:val="goog_rdk_80"/>
                <w:id w:val="-2044196771"/>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75" w:type="dxa"/>
            <w:tcBorders>
              <w:top w:val="single" w:sz="6" w:space="0" w:color="000000"/>
              <w:left w:val="single" w:sz="6" w:space="0" w:color="000000"/>
              <w:bottom w:val="single" w:sz="6" w:space="0" w:color="000000"/>
              <w:right w:val="single" w:sz="6" w:space="0" w:color="000000"/>
            </w:tcBorders>
          </w:tcPr>
          <w:p w14:paraId="638DDFC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 xml:space="preserve">IMPORTANT </w:t>
            </w:r>
          </w:p>
        </w:tc>
      </w:tr>
      <w:tr w:rsidR="006E087E" w14:paraId="16618B6B" w14:textId="77777777" w:rsidTr="00A207C4">
        <w:trPr>
          <w:cantSplit/>
          <w:trHeight w:val="352"/>
        </w:trPr>
        <w:tc>
          <w:tcPr>
            <w:tcW w:w="15026" w:type="dxa"/>
            <w:gridSpan w:val="10"/>
            <w:shd w:val="clear" w:color="auto" w:fill="FFFFFF"/>
            <w:tcMar>
              <w:top w:w="75" w:type="dxa"/>
              <w:left w:w="100" w:type="dxa"/>
              <w:bottom w:w="100" w:type="dxa"/>
              <w:right w:w="100" w:type="dxa"/>
            </w:tcMar>
            <w:vAlign w:val="center"/>
          </w:tcPr>
          <w:p w14:paraId="2F48C95C" w14:textId="77777777" w:rsidR="006E087E" w:rsidRDefault="006E087E" w:rsidP="00A207C4">
            <w:pPr>
              <w:rPr>
                <w:rFonts w:ascii="Garamond" w:eastAsia="Garamond" w:hAnsi="Garamond" w:cs="Garamond"/>
                <w:b/>
                <w:sz w:val="18"/>
                <w:szCs w:val="18"/>
              </w:rPr>
            </w:pPr>
          </w:p>
        </w:tc>
      </w:tr>
    </w:tbl>
    <w:p w14:paraId="372E35CE"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b/>
          <w:sz w:val="18"/>
          <w:szCs w:val="18"/>
        </w:rPr>
        <w:t xml:space="preserve">RRT: </w:t>
      </w:r>
      <w:r>
        <w:rPr>
          <w:rFonts w:ascii="Garamond" w:eastAsia="Garamond" w:hAnsi="Garamond" w:cs="Garamond"/>
          <w:sz w:val="18"/>
          <w:szCs w:val="18"/>
        </w:rPr>
        <w:t xml:space="preserve">Rapid response team; </w:t>
      </w:r>
      <w:r>
        <w:rPr>
          <w:rFonts w:ascii="Garamond" w:eastAsia="Garamond" w:hAnsi="Garamond" w:cs="Garamond"/>
          <w:b/>
          <w:sz w:val="18"/>
          <w:szCs w:val="18"/>
        </w:rPr>
        <w:t>MET:</w:t>
      </w:r>
      <w:r>
        <w:rPr>
          <w:rFonts w:ascii="Garamond" w:eastAsia="Garamond" w:hAnsi="Garamond" w:cs="Garamond"/>
          <w:sz w:val="18"/>
          <w:szCs w:val="18"/>
        </w:rPr>
        <w:t xml:space="preserve"> Medical emergency team; </w:t>
      </w:r>
      <w:r>
        <w:rPr>
          <w:rFonts w:ascii="Garamond" w:eastAsia="Garamond" w:hAnsi="Garamond" w:cs="Garamond"/>
          <w:b/>
          <w:sz w:val="18"/>
          <w:szCs w:val="18"/>
        </w:rPr>
        <w:t>ICU:</w:t>
      </w:r>
      <w:r>
        <w:rPr>
          <w:rFonts w:ascii="Garamond" w:eastAsia="Garamond" w:hAnsi="Garamond" w:cs="Garamond"/>
          <w:sz w:val="18"/>
          <w:szCs w:val="18"/>
        </w:rPr>
        <w:t xml:space="preserve"> Intensive care unit; </w:t>
      </w:r>
      <w:r>
        <w:rPr>
          <w:rFonts w:ascii="Garamond" w:eastAsia="Garamond" w:hAnsi="Garamond" w:cs="Garamond"/>
          <w:b/>
          <w:sz w:val="18"/>
          <w:szCs w:val="18"/>
        </w:rPr>
        <w:t xml:space="preserve">NP: </w:t>
      </w:r>
      <w:r>
        <w:rPr>
          <w:rFonts w:ascii="Garamond" w:eastAsia="Garamond" w:hAnsi="Garamond" w:cs="Garamond"/>
          <w:sz w:val="18"/>
          <w:szCs w:val="18"/>
        </w:rPr>
        <w:t xml:space="preserve">Nurse Practitioner; </w:t>
      </w:r>
      <w:r>
        <w:rPr>
          <w:rFonts w:ascii="Garamond" w:eastAsia="Garamond" w:hAnsi="Garamond" w:cs="Garamond"/>
          <w:b/>
          <w:sz w:val="18"/>
          <w:szCs w:val="18"/>
        </w:rPr>
        <w:t>GOC:</w:t>
      </w:r>
      <w:r>
        <w:rPr>
          <w:rFonts w:ascii="Garamond" w:eastAsia="Garamond" w:hAnsi="Garamond" w:cs="Garamond"/>
          <w:sz w:val="18"/>
          <w:szCs w:val="18"/>
        </w:rPr>
        <w:t xml:space="preserve"> Goals of care</w:t>
      </w:r>
    </w:p>
    <w:p w14:paraId="02D2E094" w14:textId="77777777" w:rsidR="006E087E" w:rsidRDefault="006E087E" w:rsidP="006E087E">
      <w:pPr>
        <w:spacing w:line="240" w:lineRule="auto"/>
        <w:rPr>
          <w:rFonts w:ascii="Garamond" w:eastAsia="Garamond" w:hAnsi="Garamond" w:cs="Garamond"/>
          <w:sz w:val="18"/>
          <w:szCs w:val="18"/>
        </w:rPr>
      </w:pPr>
    </w:p>
    <w:p w14:paraId="6EFE3ED7" w14:textId="77777777" w:rsidR="006E087E" w:rsidRDefault="006E087E" w:rsidP="006E087E">
      <w:pPr>
        <w:pStyle w:val="Heading4"/>
        <w:rPr>
          <w:rFonts w:ascii="Garamond" w:eastAsia="Garamond" w:hAnsi="Garamond" w:cs="Garamond"/>
          <w:i w:val="0"/>
          <w:sz w:val="18"/>
          <w:szCs w:val="18"/>
          <w:u w:val="none"/>
        </w:rPr>
      </w:pPr>
      <w:bookmarkStart w:id="43" w:name="_heading=h.piwsmhidhji4" w:colFirst="0" w:colLast="0"/>
      <w:bookmarkEnd w:id="43"/>
      <w:r>
        <w:rPr>
          <w:rFonts w:ascii="Garamond" w:eastAsia="Garamond" w:hAnsi="Garamond" w:cs="Garamond"/>
          <w:i w:val="0"/>
          <w:sz w:val="18"/>
          <w:szCs w:val="18"/>
          <w:u w:val="none"/>
        </w:rPr>
        <w:t>Explanations</w:t>
      </w:r>
    </w:p>
    <w:p w14:paraId="2ABDBD56"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a. Rated down for risk of bias due to lack of adjustment for time of RRT calls as after-hour RRT calls more frequently led by the MD group (Gupta et al., 2021)</w:t>
      </w:r>
      <w:proofErr w:type="gramStart"/>
      <w:r>
        <w:rPr>
          <w:rFonts w:ascii="Garamond" w:eastAsia="Garamond" w:hAnsi="Garamond" w:cs="Garamond"/>
          <w:sz w:val="18"/>
          <w:szCs w:val="18"/>
          <w:vertAlign w:val="superscript"/>
        </w:rPr>
        <w:t>162</w:t>
      </w:r>
      <w:r>
        <w:rPr>
          <w:rFonts w:ascii="Garamond" w:eastAsia="Garamond" w:hAnsi="Garamond" w:cs="Garamond"/>
          <w:sz w:val="18"/>
          <w:szCs w:val="18"/>
        </w:rPr>
        <w:t xml:space="preserve">  and</w:t>
      </w:r>
      <w:proofErr w:type="gramEnd"/>
      <w:r>
        <w:rPr>
          <w:rFonts w:ascii="Garamond" w:eastAsia="Garamond" w:hAnsi="Garamond" w:cs="Garamond"/>
          <w:sz w:val="18"/>
          <w:szCs w:val="18"/>
        </w:rPr>
        <w:t xml:space="preserve"> no adjustment for potential baseline differences between patients managed by MD led vs. non-MD led RRTs (Scherr et al., 2012</w:t>
      </w:r>
      <w:r>
        <w:rPr>
          <w:rFonts w:ascii="Garamond" w:eastAsia="Garamond" w:hAnsi="Garamond" w:cs="Garamond"/>
          <w:sz w:val="18"/>
          <w:szCs w:val="18"/>
          <w:vertAlign w:val="superscript"/>
        </w:rPr>
        <w:t>137</w:t>
      </w:r>
      <w:r>
        <w:rPr>
          <w:rFonts w:ascii="Garamond" w:eastAsia="Garamond" w:hAnsi="Garamond" w:cs="Garamond"/>
          <w:sz w:val="18"/>
          <w:szCs w:val="18"/>
        </w:rPr>
        <w:t xml:space="preserve"> and </w:t>
      </w:r>
      <w:proofErr w:type="spellStart"/>
      <w:r>
        <w:rPr>
          <w:rFonts w:ascii="Garamond" w:eastAsia="Garamond" w:hAnsi="Garamond" w:cs="Garamond"/>
          <w:sz w:val="18"/>
          <w:szCs w:val="18"/>
        </w:rPr>
        <w:t>Rubis</w:t>
      </w:r>
      <w:proofErr w:type="spellEnd"/>
      <w:r>
        <w:rPr>
          <w:rFonts w:ascii="Garamond" w:eastAsia="Garamond" w:hAnsi="Garamond" w:cs="Garamond"/>
          <w:sz w:val="18"/>
          <w:szCs w:val="18"/>
        </w:rPr>
        <w:t xml:space="preserve"> et al., 2013</w:t>
      </w:r>
      <w:r>
        <w:rPr>
          <w:rFonts w:ascii="Garamond" w:eastAsia="Garamond" w:hAnsi="Garamond" w:cs="Garamond"/>
          <w:sz w:val="18"/>
          <w:szCs w:val="18"/>
          <w:vertAlign w:val="superscript"/>
        </w:rPr>
        <w:t>163</w:t>
      </w:r>
      <w:r>
        <w:rPr>
          <w:rFonts w:ascii="Garamond" w:eastAsia="Garamond" w:hAnsi="Garamond" w:cs="Garamond"/>
          <w:sz w:val="18"/>
          <w:szCs w:val="18"/>
        </w:rPr>
        <w:t>).</w:t>
      </w:r>
    </w:p>
    <w:p w14:paraId="6C22437D" w14:textId="5D89A896" w:rsidR="006E087E" w:rsidRP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b. Rated down for inconsistency due to variability in conclusions across studies.</w:t>
      </w:r>
      <w:r>
        <w:rPr>
          <w:rFonts w:ascii="Garamond" w:eastAsia="Garamond" w:hAnsi="Garamond" w:cs="Garamond"/>
          <w:sz w:val="18"/>
          <w:szCs w:val="18"/>
        </w:rPr>
        <w:br/>
      </w:r>
    </w:p>
    <w:p w14:paraId="7983FED4" w14:textId="77777777" w:rsidR="006E087E" w:rsidRDefault="006E087E" w:rsidP="006E087E">
      <w:pPr>
        <w:spacing w:line="240" w:lineRule="auto"/>
        <w:rPr>
          <w:rFonts w:ascii="Calibri" w:eastAsia="Calibri" w:hAnsi="Calibri" w:cs="Calibri"/>
          <w:sz w:val="24"/>
          <w:szCs w:val="24"/>
        </w:rPr>
      </w:pPr>
      <w:r>
        <w:rPr>
          <w:rFonts w:ascii="Garamond" w:eastAsia="Garamond" w:hAnsi="Garamond" w:cs="Garamond"/>
          <w:b/>
          <w:sz w:val="24"/>
          <w:szCs w:val="24"/>
        </w:rPr>
        <w:lastRenderedPageBreak/>
        <w:t>Summary of Judgements: Rapid response team composition</w:t>
      </w:r>
    </w:p>
    <w:tbl>
      <w:tblPr>
        <w:tblW w:w="14751" w:type="dxa"/>
        <w:tblInd w:w="-2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52"/>
        <w:gridCol w:w="1701"/>
        <w:gridCol w:w="1985"/>
        <w:gridCol w:w="2693"/>
        <w:gridCol w:w="1785"/>
        <w:gridCol w:w="1485"/>
        <w:gridCol w:w="990"/>
        <w:gridCol w:w="1560"/>
      </w:tblGrid>
      <w:tr w:rsidR="006E087E" w14:paraId="1F49D4E6" w14:textId="77777777" w:rsidTr="00A207C4">
        <w:trPr>
          <w:tblHeader/>
        </w:trPr>
        <w:tc>
          <w:tcPr>
            <w:tcW w:w="2552" w:type="dxa"/>
            <w:tcBorders>
              <w:top w:val="nil"/>
              <w:left w:val="nil"/>
              <w:bottom w:val="nil"/>
              <w:right w:val="nil"/>
            </w:tcBorders>
            <w:tcMar>
              <w:top w:w="75" w:type="dxa"/>
              <w:left w:w="75" w:type="dxa"/>
              <w:bottom w:w="75" w:type="dxa"/>
              <w:right w:w="75" w:type="dxa"/>
            </w:tcMar>
            <w:vAlign w:val="center"/>
          </w:tcPr>
          <w:p w14:paraId="57D404EC" w14:textId="77777777" w:rsidR="006E087E" w:rsidRDefault="006E087E" w:rsidP="00A207C4">
            <w:pPr>
              <w:rPr>
                <w:rFonts w:ascii="Garamond" w:eastAsia="Garamond" w:hAnsi="Garamond" w:cs="Garamond"/>
                <w:smallCaps/>
                <w:sz w:val="20"/>
                <w:szCs w:val="20"/>
              </w:rPr>
            </w:pPr>
          </w:p>
        </w:tc>
        <w:tc>
          <w:tcPr>
            <w:tcW w:w="12199" w:type="dxa"/>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7BCDBFF3"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JUDGMENT</w:t>
            </w:r>
          </w:p>
        </w:tc>
      </w:tr>
      <w:tr w:rsidR="006E087E" w14:paraId="1F9510B5"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6E794CB3"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PROBLEM</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80645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972F0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F336C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89E622"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48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64E7EC5" w14:textId="77777777" w:rsidR="006E087E" w:rsidRDefault="006E087E" w:rsidP="00A207C4">
            <w:pPr>
              <w:rPr>
                <w:rFonts w:ascii="Garamond" w:eastAsia="Garamond" w:hAnsi="Garamond" w:cs="Garamond"/>
                <w:b/>
                <w:sz w:val="20"/>
                <w:szCs w:val="20"/>
              </w:rPr>
            </w:pP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620BE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70846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1A6BDD67"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4AEB1B1"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DESIRABLE EFFECTS</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E3A72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901A1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45FAE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B6AD1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148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651AD791" w14:textId="77777777" w:rsidR="006E087E" w:rsidRDefault="006E087E" w:rsidP="00A207C4">
            <w:pPr>
              <w:rPr>
                <w:rFonts w:ascii="Garamond" w:eastAsia="Garamond" w:hAnsi="Garamond" w:cs="Garamond"/>
                <w:color w:val="AEAAAA"/>
                <w:sz w:val="20"/>
                <w:szCs w:val="20"/>
              </w:rPr>
            </w:pP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CCC6E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F70447"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Don't know</w:t>
            </w:r>
          </w:p>
        </w:tc>
      </w:tr>
      <w:tr w:rsidR="006E087E" w14:paraId="0E90AFCA"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7198871"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UNDESIRABLE EFFECTS</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94309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18ED0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499C5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FF0F5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148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45FB773C" w14:textId="77777777" w:rsidR="006E087E" w:rsidRDefault="006E087E" w:rsidP="00A207C4">
            <w:pPr>
              <w:rPr>
                <w:rFonts w:ascii="Garamond" w:eastAsia="Garamond" w:hAnsi="Garamond" w:cs="Garamond"/>
                <w:color w:val="AEAAAA"/>
                <w:sz w:val="20"/>
                <w:szCs w:val="20"/>
              </w:rPr>
            </w:pP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1A0659"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725E1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61DC55E0"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FB48F87"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F32242"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Very low</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760D4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Low</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E730D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493A6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48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5551CE17" w14:textId="77777777" w:rsidR="006E087E" w:rsidRDefault="006E087E" w:rsidP="00A207C4">
            <w:pPr>
              <w:rPr>
                <w:rFonts w:ascii="Garamond" w:eastAsia="Garamond" w:hAnsi="Garamond" w:cs="Garamond"/>
                <w:color w:val="AEAAAA"/>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E5C384C" w14:textId="77777777" w:rsidR="006E087E" w:rsidRDefault="006E087E" w:rsidP="00A207C4">
            <w:pPr>
              <w:jc w:val="center"/>
              <w:rPr>
                <w:rFonts w:ascii="Garamond" w:eastAsia="Garamond" w:hAnsi="Garamond" w:cs="Garamond"/>
                <w:sz w:val="20"/>
                <w:szCs w:val="20"/>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E8A3A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included studies</w:t>
            </w:r>
          </w:p>
        </w:tc>
      </w:tr>
      <w:tr w:rsidR="006E087E" w14:paraId="4F70B657"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CD76264"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VALUES</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E6855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Important uncertainty or variability</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976EB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Possibly important uncertainty or variability</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7E6CB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important uncertainty or variability</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1CADD4"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important uncertainty or variability</w:t>
            </w:r>
          </w:p>
        </w:tc>
        <w:tc>
          <w:tcPr>
            <w:tcW w:w="148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6745443A" w14:textId="77777777" w:rsidR="006E087E" w:rsidRDefault="006E087E" w:rsidP="00A207C4">
            <w:pPr>
              <w:rPr>
                <w:rFonts w:ascii="Garamond" w:eastAsia="Garamond" w:hAnsi="Garamond" w:cs="Garamond"/>
                <w:b/>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67575756" w14:textId="77777777" w:rsidR="006E087E" w:rsidRDefault="006E087E" w:rsidP="00A207C4">
            <w:pPr>
              <w:jc w:val="center"/>
              <w:rPr>
                <w:rFonts w:ascii="Garamond" w:eastAsia="Garamond" w:hAnsi="Garamond" w:cs="Garamond"/>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1CBE668B" w14:textId="77777777" w:rsidR="006E087E" w:rsidRDefault="006E087E" w:rsidP="00A207C4">
            <w:pPr>
              <w:jc w:val="center"/>
              <w:rPr>
                <w:rFonts w:ascii="Garamond" w:eastAsia="Garamond" w:hAnsi="Garamond" w:cs="Garamond"/>
                <w:sz w:val="20"/>
                <w:szCs w:val="20"/>
              </w:rPr>
            </w:pPr>
          </w:p>
        </w:tc>
      </w:tr>
      <w:tr w:rsidR="006E087E" w14:paraId="1FC8BE66"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32100B43"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BALANCE OF EFFECTS</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8CD32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D090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A15D6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88901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intervention</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0D404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6820B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BAD6A1"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Don't know</w:t>
            </w:r>
          </w:p>
        </w:tc>
      </w:tr>
      <w:tr w:rsidR="006E087E" w14:paraId="4C5464F1"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733D15B6"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RESOURCES REQUIRED</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76CBF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costs</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7BD5D1"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Moderate costs</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67BE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Negligible costs and savings</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8C49F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savings</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FEB55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savings</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80B4C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A544F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2735521A"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CB152E2"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CERTAINTY OF EVIDENCE OF REQUIRED RESOURCES</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C5801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CEEF7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Low</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C528D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BC383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48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4AC6533A" w14:textId="77777777" w:rsidR="006E087E" w:rsidRDefault="006E087E" w:rsidP="00A207C4">
            <w:pPr>
              <w:rPr>
                <w:rFonts w:ascii="Garamond" w:eastAsia="Garamond" w:hAnsi="Garamond" w:cs="Garamond"/>
                <w:color w:val="AEAAAA"/>
                <w:sz w:val="20"/>
                <w:szCs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3573B475" w14:textId="77777777" w:rsidR="006E087E" w:rsidRDefault="006E087E" w:rsidP="00A207C4">
            <w:pPr>
              <w:jc w:val="center"/>
              <w:rPr>
                <w:rFonts w:ascii="Garamond" w:eastAsia="Garamond" w:hAnsi="Garamond" w:cs="Garamond"/>
                <w:sz w:val="20"/>
                <w:szCs w:val="20"/>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DEC4EC"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included studies</w:t>
            </w:r>
          </w:p>
        </w:tc>
      </w:tr>
      <w:tr w:rsidR="006E087E" w14:paraId="683F9FEE"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439B640C"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COST EFFECTIVENESS</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59E77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11A88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7B3D4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E9A3E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intervention</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41DC1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A52BE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923D1F"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included studies</w:t>
            </w:r>
          </w:p>
        </w:tc>
      </w:tr>
      <w:tr w:rsidR="006E087E" w14:paraId="404C784A"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6BE76D36"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EQUITY</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55A53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Reduced</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AFAE01"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reduced</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B34EB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impact</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DF306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increased</w:t>
            </w:r>
          </w:p>
        </w:tc>
        <w:tc>
          <w:tcPr>
            <w:tcW w:w="1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5181B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Increased</w:t>
            </w: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E930B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FE353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3C4D6D7C"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50AF8BB8"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ACCEPTABILITY</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8FEDB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9F06C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D2F76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69E35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Yes</w:t>
            </w:r>
          </w:p>
        </w:tc>
        <w:tc>
          <w:tcPr>
            <w:tcW w:w="148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1D44426D" w14:textId="77777777" w:rsidR="006E087E" w:rsidRDefault="006E087E" w:rsidP="00A207C4">
            <w:pPr>
              <w:rPr>
                <w:rFonts w:ascii="Garamond" w:eastAsia="Garamond" w:hAnsi="Garamond" w:cs="Garamond"/>
                <w:color w:val="AEAAAA"/>
                <w:sz w:val="20"/>
                <w:szCs w:val="20"/>
              </w:rPr>
            </w:pP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B508C4"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1E37B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232EE1CE" w14:textId="77777777" w:rsidTr="00A207C4">
        <w:tc>
          <w:tcPr>
            <w:tcW w:w="2552"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tcPr>
          <w:p w14:paraId="016DF263" w14:textId="77777777" w:rsidR="006E087E" w:rsidRDefault="006E087E" w:rsidP="00A207C4">
            <w:pPr>
              <w:jc w:val="center"/>
              <w:rPr>
                <w:rFonts w:ascii="Garamond" w:eastAsia="Garamond" w:hAnsi="Garamond" w:cs="Garamond"/>
                <w:b/>
                <w:smallCaps/>
                <w:color w:val="FFFFFF"/>
                <w:sz w:val="20"/>
                <w:szCs w:val="20"/>
              </w:rPr>
            </w:pPr>
            <w:r>
              <w:rPr>
                <w:rFonts w:ascii="Garamond" w:eastAsia="Garamond" w:hAnsi="Garamond" w:cs="Garamond"/>
                <w:b/>
                <w:smallCaps/>
                <w:color w:val="FFFFFF"/>
                <w:sz w:val="20"/>
                <w:szCs w:val="20"/>
              </w:rPr>
              <w:t>FEASIBILITY</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F8664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779E7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07DC6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9E4D3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Yes</w:t>
            </w:r>
          </w:p>
        </w:tc>
        <w:tc>
          <w:tcPr>
            <w:tcW w:w="1485"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tcPr>
          <w:p w14:paraId="2904A72C" w14:textId="77777777" w:rsidR="006E087E" w:rsidRDefault="006E087E" w:rsidP="00A207C4">
            <w:pPr>
              <w:rPr>
                <w:rFonts w:ascii="Garamond" w:eastAsia="Garamond" w:hAnsi="Garamond" w:cs="Garamond"/>
                <w:color w:val="AEAAAA"/>
                <w:sz w:val="20"/>
                <w:szCs w:val="20"/>
              </w:rPr>
            </w:pPr>
          </w:p>
        </w:tc>
        <w:tc>
          <w:tcPr>
            <w:tcW w:w="9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8E1050"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Varies</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1491E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bl>
    <w:p w14:paraId="589951DC" w14:textId="77777777" w:rsidR="006E087E" w:rsidRDefault="006E087E" w:rsidP="006E087E">
      <w:pPr>
        <w:spacing w:line="240" w:lineRule="auto"/>
        <w:rPr>
          <w:rFonts w:ascii="Garamond" w:eastAsia="Garamond" w:hAnsi="Garamond" w:cs="Garamond"/>
          <w:b/>
          <w:sz w:val="24"/>
          <w:szCs w:val="24"/>
        </w:rPr>
      </w:pPr>
      <w:bookmarkStart w:id="44" w:name="_heading=h.b9wbv8bi0pxi" w:colFirst="0" w:colLast="0"/>
      <w:bookmarkEnd w:id="44"/>
    </w:p>
    <w:p w14:paraId="0CE63D57" w14:textId="77777777" w:rsidR="006E087E" w:rsidRDefault="006E087E" w:rsidP="006E087E">
      <w:pPr>
        <w:spacing w:line="240" w:lineRule="auto"/>
        <w:rPr>
          <w:rFonts w:ascii="Garamond" w:eastAsia="Garamond" w:hAnsi="Garamond" w:cs="Garamond"/>
          <w:b/>
          <w:sz w:val="24"/>
          <w:szCs w:val="24"/>
        </w:rPr>
      </w:pPr>
      <w:r>
        <w:rPr>
          <w:rFonts w:ascii="Garamond" w:eastAsia="Garamond" w:hAnsi="Garamond" w:cs="Garamond"/>
          <w:b/>
          <w:sz w:val="24"/>
          <w:szCs w:val="24"/>
        </w:rPr>
        <w:t>Type of Recommendation</w:t>
      </w:r>
    </w:p>
    <w:p w14:paraId="77CBF2F7" w14:textId="77777777" w:rsidR="006E087E" w:rsidRDefault="006E087E" w:rsidP="006E087E">
      <w:pPr>
        <w:spacing w:line="240" w:lineRule="auto"/>
        <w:rPr>
          <w:rFonts w:ascii="Calibri" w:eastAsia="Calibri" w:hAnsi="Calibri" w:cs="Calibri"/>
          <w:sz w:val="24"/>
          <w:szCs w:val="24"/>
        </w:rPr>
      </w:pPr>
    </w:p>
    <w:tbl>
      <w:tblPr>
        <w:tblW w:w="14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25"/>
        <w:gridCol w:w="2926"/>
        <w:gridCol w:w="2926"/>
        <w:gridCol w:w="2926"/>
        <w:gridCol w:w="2926"/>
      </w:tblGrid>
      <w:tr w:rsidR="006E087E" w14:paraId="0DC9599B" w14:textId="77777777" w:rsidTr="00A207C4">
        <w:trPr>
          <w:trHeight w:val="642"/>
        </w:trPr>
        <w:tc>
          <w:tcPr>
            <w:tcW w:w="2925" w:type="dxa"/>
            <w:tcBorders>
              <w:top w:val="single" w:sz="6" w:space="0" w:color="000000"/>
              <w:left w:val="single" w:sz="6" w:space="0" w:color="000000"/>
              <w:right w:val="single" w:sz="6" w:space="0" w:color="000000"/>
            </w:tcBorders>
            <w:tcMar>
              <w:top w:w="75" w:type="dxa"/>
              <w:left w:w="0" w:type="dxa"/>
              <w:bottom w:w="0" w:type="dxa"/>
              <w:right w:w="0" w:type="dxa"/>
            </w:tcMar>
          </w:tcPr>
          <w:p w14:paraId="6634EF0E"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against the intervention</w:t>
            </w:r>
          </w:p>
        </w:tc>
        <w:tc>
          <w:tcPr>
            <w:tcW w:w="2926" w:type="dxa"/>
            <w:tcBorders>
              <w:top w:val="single" w:sz="6" w:space="0" w:color="000000"/>
              <w:left w:val="single" w:sz="6" w:space="0" w:color="000000"/>
              <w:right w:val="single" w:sz="6" w:space="0" w:color="000000"/>
            </w:tcBorders>
            <w:tcMar>
              <w:top w:w="75" w:type="dxa"/>
              <w:left w:w="0" w:type="dxa"/>
              <w:bottom w:w="0" w:type="dxa"/>
              <w:right w:w="0" w:type="dxa"/>
            </w:tcMar>
          </w:tcPr>
          <w:p w14:paraId="17C3D9B5"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against the intervention</w:t>
            </w:r>
          </w:p>
        </w:tc>
        <w:tc>
          <w:tcPr>
            <w:tcW w:w="2926" w:type="dxa"/>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tcPr>
          <w:p w14:paraId="4F83C4A0" w14:textId="77777777" w:rsidR="006E087E" w:rsidRDefault="006E087E" w:rsidP="00A207C4">
            <w:pPr>
              <w:jc w:val="center"/>
              <w:rPr>
                <w:rFonts w:ascii="Garamond" w:eastAsia="Garamond" w:hAnsi="Garamond" w:cs="Garamond"/>
                <w:b/>
                <w:color w:val="FFFFFF"/>
                <w:sz w:val="20"/>
                <w:szCs w:val="20"/>
              </w:rPr>
            </w:pPr>
            <w:r>
              <w:rPr>
                <w:rFonts w:ascii="Garamond" w:eastAsia="Garamond" w:hAnsi="Garamond" w:cs="Garamond"/>
                <w:b/>
                <w:color w:val="FFFFFF"/>
                <w:sz w:val="20"/>
                <w:szCs w:val="20"/>
              </w:rPr>
              <w:t>Conditional recommendation for either the intervention or the comparison</w:t>
            </w:r>
          </w:p>
        </w:tc>
        <w:tc>
          <w:tcPr>
            <w:tcW w:w="2926" w:type="dxa"/>
            <w:tcBorders>
              <w:top w:val="single" w:sz="6" w:space="0" w:color="000000"/>
              <w:left w:val="single" w:sz="6" w:space="0" w:color="000000"/>
              <w:right w:val="single" w:sz="6" w:space="0" w:color="000000"/>
            </w:tcBorders>
            <w:tcMar>
              <w:top w:w="75" w:type="dxa"/>
              <w:left w:w="0" w:type="dxa"/>
              <w:bottom w:w="0" w:type="dxa"/>
              <w:right w:w="0" w:type="dxa"/>
            </w:tcMar>
          </w:tcPr>
          <w:p w14:paraId="0D1B2018"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for the intervention</w:t>
            </w:r>
          </w:p>
        </w:tc>
        <w:tc>
          <w:tcPr>
            <w:tcW w:w="2926" w:type="dxa"/>
            <w:tcBorders>
              <w:top w:val="single" w:sz="6" w:space="0" w:color="000000"/>
              <w:left w:val="single" w:sz="6" w:space="0" w:color="000000"/>
              <w:right w:val="single" w:sz="6" w:space="0" w:color="000000"/>
            </w:tcBorders>
            <w:tcMar>
              <w:top w:w="75" w:type="dxa"/>
              <w:left w:w="0" w:type="dxa"/>
              <w:bottom w:w="0" w:type="dxa"/>
              <w:right w:w="0" w:type="dxa"/>
            </w:tcMar>
          </w:tcPr>
          <w:p w14:paraId="64AAF6C2"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for the intervention</w:t>
            </w:r>
          </w:p>
        </w:tc>
      </w:tr>
      <w:tr w:rsidR="006E087E" w14:paraId="6CB3B7E1" w14:textId="77777777" w:rsidTr="00A207C4">
        <w:trPr>
          <w:trHeight w:val="359"/>
        </w:trPr>
        <w:tc>
          <w:tcPr>
            <w:tcW w:w="2925" w:type="dxa"/>
            <w:tcBorders>
              <w:left w:val="single" w:sz="6" w:space="0" w:color="000000"/>
              <w:bottom w:val="single" w:sz="6" w:space="0" w:color="000000"/>
              <w:right w:val="single" w:sz="6" w:space="0" w:color="000000"/>
            </w:tcBorders>
            <w:tcMar>
              <w:top w:w="0" w:type="dxa"/>
              <w:left w:w="0" w:type="dxa"/>
              <w:bottom w:w="75" w:type="dxa"/>
              <w:right w:w="0" w:type="dxa"/>
            </w:tcMar>
          </w:tcPr>
          <w:p w14:paraId="007F3CB8" w14:textId="77777777" w:rsidR="006E087E" w:rsidRDefault="006E087E" w:rsidP="00A207C4">
            <w:pPr>
              <w:jc w:val="center"/>
              <w:rPr>
                <w:rFonts w:ascii="Garamond" w:eastAsia="Garamond" w:hAnsi="Garamond" w:cs="Garamond"/>
                <w:sz w:val="24"/>
                <w:szCs w:val="24"/>
              </w:rPr>
            </w:pPr>
            <w:r>
              <w:rPr>
                <w:rFonts w:ascii="Garamond" w:eastAsia="Garamond" w:hAnsi="Garamond" w:cs="Garamond"/>
                <w:sz w:val="24"/>
                <w:szCs w:val="24"/>
              </w:rPr>
              <w:lastRenderedPageBreak/>
              <w:t xml:space="preserve">○ </w:t>
            </w:r>
          </w:p>
        </w:tc>
        <w:tc>
          <w:tcPr>
            <w:tcW w:w="2926" w:type="dxa"/>
            <w:tcBorders>
              <w:left w:val="single" w:sz="6" w:space="0" w:color="000000"/>
              <w:bottom w:val="single" w:sz="6" w:space="0" w:color="000000"/>
              <w:right w:val="single" w:sz="6" w:space="0" w:color="000000"/>
            </w:tcBorders>
            <w:tcMar>
              <w:top w:w="0" w:type="dxa"/>
              <w:left w:w="0" w:type="dxa"/>
              <w:bottom w:w="75" w:type="dxa"/>
              <w:right w:w="0" w:type="dxa"/>
            </w:tcMar>
          </w:tcPr>
          <w:p w14:paraId="2C49152B" w14:textId="77777777" w:rsidR="006E087E" w:rsidRDefault="006E087E" w:rsidP="00A207C4">
            <w:pPr>
              <w:jc w:val="center"/>
              <w:rPr>
                <w:rFonts w:ascii="Garamond" w:eastAsia="Garamond" w:hAnsi="Garamond" w:cs="Garamond"/>
                <w:sz w:val="24"/>
                <w:szCs w:val="24"/>
              </w:rPr>
            </w:pPr>
            <w:r>
              <w:rPr>
                <w:rFonts w:ascii="Garamond" w:eastAsia="Garamond" w:hAnsi="Garamond" w:cs="Garamond"/>
                <w:sz w:val="24"/>
                <w:szCs w:val="24"/>
              </w:rPr>
              <w:t xml:space="preserve">○ </w:t>
            </w:r>
          </w:p>
        </w:tc>
        <w:tc>
          <w:tcPr>
            <w:tcW w:w="2926" w:type="dxa"/>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tcPr>
          <w:p w14:paraId="0ABDE08D" w14:textId="77777777" w:rsidR="006E087E" w:rsidRDefault="008E2347" w:rsidP="00A207C4">
            <w:pPr>
              <w:jc w:val="center"/>
              <w:rPr>
                <w:rFonts w:ascii="Garamond" w:eastAsia="Garamond" w:hAnsi="Garamond" w:cs="Garamond"/>
                <w:b/>
                <w:color w:val="FFFFFF"/>
                <w:sz w:val="24"/>
                <w:szCs w:val="24"/>
              </w:rPr>
            </w:pPr>
            <w:sdt>
              <w:sdtPr>
                <w:tag w:val="goog_rdk_81"/>
                <w:id w:val="388309781"/>
              </w:sdtPr>
              <w:sdtEndPr/>
              <w:sdtContent>
                <w:r w:rsidR="006E087E">
                  <w:rPr>
                    <w:rFonts w:ascii="Arial Unicode MS" w:eastAsia="Arial Unicode MS" w:hAnsi="Arial Unicode MS" w:cs="Arial Unicode MS"/>
                    <w:b/>
                    <w:color w:val="FFFFFF"/>
                    <w:sz w:val="30"/>
                    <w:szCs w:val="30"/>
                  </w:rPr>
                  <w:t>✓</w:t>
                </w:r>
              </w:sdtContent>
            </w:sdt>
          </w:p>
        </w:tc>
        <w:tc>
          <w:tcPr>
            <w:tcW w:w="2926" w:type="dxa"/>
            <w:tcBorders>
              <w:left w:val="single" w:sz="6" w:space="0" w:color="000000"/>
              <w:bottom w:val="single" w:sz="6" w:space="0" w:color="000000"/>
              <w:right w:val="single" w:sz="6" w:space="0" w:color="000000"/>
            </w:tcBorders>
            <w:tcMar>
              <w:top w:w="0" w:type="dxa"/>
              <w:left w:w="0" w:type="dxa"/>
              <w:bottom w:w="75" w:type="dxa"/>
              <w:right w:w="0" w:type="dxa"/>
            </w:tcMar>
          </w:tcPr>
          <w:p w14:paraId="315C3C9B" w14:textId="77777777" w:rsidR="006E087E" w:rsidRDefault="006E087E" w:rsidP="00A207C4">
            <w:pPr>
              <w:jc w:val="center"/>
              <w:rPr>
                <w:rFonts w:ascii="Garamond" w:eastAsia="Garamond" w:hAnsi="Garamond" w:cs="Garamond"/>
                <w:sz w:val="24"/>
                <w:szCs w:val="24"/>
              </w:rPr>
            </w:pPr>
            <w:r>
              <w:rPr>
                <w:rFonts w:ascii="Garamond" w:eastAsia="Garamond" w:hAnsi="Garamond" w:cs="Garamond"/>
                <w:sz w:val="24"/>
                <w:szCs w:val="24"/>
              </w:rPr>
              <w:t xml:space="preserve">○ </w:t>
            </w:r>
          </w:p>
        </w:tc>
        <w:tc>
          <w:tcPr>
            <w:tcW w:w="2926" w:type="dxa"/>
            <w:tcBorders>
              <w:left w:val="single" w:sz="6" w:space="0" w:color="000000"/>
              <w:bottom w:val="single" w:sz="6" w:space="0" w:color="000000"/>
              <w:right w:val="single" w:sz="6" w:space="0" w:color="000000"/>
            </w:tcBorders>
            <w:tcMar>
              <w:top w:w="0" w:type="dxa"/>
              <w:left w:w="0" w:type="dxa"/>
              <w:bottom w:w="75" w:type="dxa"/>
              <w:right w:w="0" w:type="dxa"/>
            </w:tcMar>
          </w:tcPr>
          <w:p w14:paraId="3A8DCB0E" w14:textId="77777777" w:rsidR="006E087E" w:rsidRDefault="006E087E" w:rsidP="00A207C4">
            <w:pPr>
              <w:jc w:val="center"/>
              <w:rPr>
                <w:rFonts w:ascii="Garamond" w:eastAsia="Garamond" w:hAnsi="Garamond" w:cs="Garamond"/>
                <w:sz w:val="24"/>
                <w:szCs w:val="24"/>
              </w:rPr>
            </w:pPr>
            <w:r>
              <w:rPr>
                <w:rFonts w:ascii="Garamond" w:eastAsia="Garamond" w:hAnsi="Garamond" w:cs="Garamond"/>
                <w:sz w:val="24"/>
                <w:szCs w:val="24"/>
              </w:rPr>
              <w:t xml:space="preserve">○ </w:t>
            </w:r>
          </w:p>
        </w:tc>
      </w:tr>
    </w:tbl>
    <w:p w14:paraId="45A22887" w14:textId="05155DFC" w:rsidR="006E087E" w:rsidRDefault="006E087E" w:rsidP="006E087E">
      <w:pPr>
        <w:spacing w:line="240" w:lineRule="auto"/>
        <w:jc w:val="right"/>
        <w:rPr>
          <w:rFonts w:ascii="Times New Roman" w:eastAsia="Times New Roman" w:hAnsi="Times New Roman" w:cs="Times New Roman"/>
          <w:sz w:val="24"/>
          <w:szCs w:val="24"/>
        </w:rPr>
      </w:pPr>
    </w:p>
    <w:p w14:paraId="78F98B32" w14:textId="77777777" w:rsidR="006E087E" w:rsidRDefault="006E087E" w:rsidP="006E087E">
      <w:pPr>
        <w:spacing w:line="240" w:lineRule="auto"/>
        <w:rPr>
          <w:rFonts w:ascii="Times New Roman" w:eastAsia="Times New Roman" w:hAnsi="Times New Roman" w:cs="Times New Roman"/>
          <w:b/>
          <w:sz w:val="24"/>
          <w:szCs w:val="24"/>
        </w:rPr>
      </w:pPr>
      <w:bookmarkStart w:id="45" w:name="bookmark=kix.ofitwibjneuj" w:colFirst="0" w:colLast="0"/>
      <w:bookmarkEnd w:id="45"/>
      <w:r>
        <w:rPr>
          <w:rFonts w:ascii="Times New Roman" w:eastAsia="Times New Roman" w:hAnsi="Times New Roman" w:cs="Times New Roman"/>
          <w:b/>
          <w:sz w:val="24"/>
          <w:szCs w:val="24"/>
        </w:rPr>
        <w:t>Supplemental Digital Content 10F</w:t>
      </w:r>
    </w:p>
    <w:p w14:paraId="185DFA4C" w14:textId="77777777" w:rsidR="006E087E" w:rsidRDefault="006E087E" w:rsidP="006E087E">
      <w:pPr>
        <w:pStyle w:val="Heading2"/>
        <w:keepNext/>
        <w:keepLines/>
        <w:spacing w:before="360" w:after="80"/>
        <w:rPr>
          <w:rFonts w:ascii="Garamond" w:eastAsia="Garamond" w:hAnsi="Garamond" w:cs="Garamond"/>
          <w:i w:val="0"/>
        </w:rPr>
      </w:pPr>
      <w:bookmarkStart w:id="46" w:name="_heading=h.uma8jgitbrfa" w:colFirst="0" w:colLast="0"/>
      <w:bookmarkEnd w:id="46"/>
      <w:r>
        <w:rPr>
          <w:rFonts w:ascii="Garamond" w:eastAsia="Garamond" w:hAnsi="Garamond" w:cs="Garamond"/>
          <w:i w:val="0"/>
        </w:rPr>
        <w:t>Question: Should we include palliative care trained personnel and/or focused education/guidance regarding goals of care discussions for non-ICU clinicians?</w:t>
      </w:r>
    </w:p>
    <w:p w14:paraId="6857F645" w14:textId="77777777" w:rsidR="006E087E" w:rsidRDefault="006E087E" w:rsidP="006E087E">
      <w:pPr>
        <w:spacing w:line="240" w:lineRule="auto"/>
        <w:rPr>
          <w:rFonts w:ascii="Calibri" w:eastAsia="Calibri" w:hAnsi="Calibri" w:cs="Calibri"/>
          <w:sz w:val="24"/>
          <w:szCs w:val="24"/>
        </w:rPr>
      </w:pPr>
    </w:p>
    <w:p w14:paraId="118FABE8" w14:textId="77777777" w:rsidR="006E087E" w:rsidRDefault="006E087E" w:rsidP="006E087E">
      <w:pPr>
        <w:spacing w:line="240" w:lineRule="auto"/>
        <w:jc w:val="both"/>
        <w:rPr>
          <w:rFonts w:ascii="Garamond" w:eastAsia="Garamond" w:hAnsi="Garamond" w:cs="Garamond"/>
        </w:rPr>
      </w:pPr>
      <w:r>
        <w:rPr>
          <w:rFonts w:ascii="Garamond" w:eastAsia="Garamond" w:hAnsi="Garamond" w:cs="Garamond"/>
        </w:rPr>
        <w:t>1. No studies evaluated the effect of including palliative care experts on the rapid response team (RRT) on patient outcomes.</w:t>
      </w:r>
    </w:p>
    <w:p w14:paraId="4FC299E7" w14:textId="77777777" w:rsidR="006E087E" w:rsidRDefault="006E087E" w:rsidP="006E087E">
      <w:pPr>
        <w:spacing w:line="240" w:lineRule="auto"/>
        <w:jc w:val="both"/>
        <w:rPr>
          <w:rFonts w:ascii="Garamond" w:eastAsia="Garamond" w:hAnsi="Garamond" w:cs="Garamond"/>
        </w:rPr>
      </w:pPr>
    </w:p>
    <w:p w14:paraId="77971CB7" w14:textId="77777777" w:rsidR="006E087E" w:rsidRDefault="006E087E" w:rsidP="006E087E">
      <w:pPr>
        <w:spacing w:line="240" w:lineRule="auto"/>
        <w:jc w:val="both"/>
        <w:rPr>
          <w:rFonts w:ascii="Garamond" w:eastAsia="Garamond" w:hAnsi="Garamond" w:cs="Garamond"/>
        </w:rPr>
      </w:pPr>
      <w:r>
        <w:rPr>
          <w:rFonts w:ascii="Garamond" w:eastAsia="Garamond" w:hAnsi="Garamond" w:cs="Garamond"/>
        </w:rPr>
        <w:t>2. Three studies evaluated various approaches to education/ guidance regarding goals of care discussions for patient’s clinical teams on patient outcomes:</w:t>
      </w:r>
    </w:p>
    <w:p w14:paraId="7B358499" w14:textId="77777777" w:rsidR="006E087E" w:rsidRDefault="006E087E" w:rsidP="006E087E">
      <w:pPr>
        <w:spacing w:line="240" w:lineRule="auto"/>
        <w:jc w:val="both"/>
        <w:rPr>
          <w:rFonts w:ascii="Garamond" w:eastAsia="Garamond" w:hAnsi="Garamond" w:cs="Garamond"/>
        </w:rPr>
      </w:pPr>
    </w:p>
    <w:p w14:paraId="4F2CE5FB" w14:textId="77777777" w:rsidR="006E087E" w:rsidRDefault="006E087E" w:rsidP="006E087E">
      <w:pPr>
        <w:numPr>
          <w:ilvl w:val="0"/>
          <w:numId w:val="10"/>
        </w:numPr>
        <w:spacing w:line="240" w:lineRule="auto"/>
        <w:jc w:val="both"/>
        <w:rPr>
          <w:rFonts w:ascii="Garamond" w:eastAsia="Garamond" w:hAnsi="Garamond" w:cs="Garamond"/>
        </w:rPr>
      </w:pPr>
      <w:r>
        <w:rPr>
          <w:rFonts w:ascii="Garamond" w:eastAsia="Garamond" w:hAnsi="Garamond" w:cs="Garamond"/>
          <w:b/>
        </w:rPr>
        <w:t>Picker et al. (2016)</w:t>
      </w:r>
      <w:r>
        <w:rPr>
          <w:rFonts w:ascii="Garamond" w:eastAsia="Garamond" w:hAnsi="Garamond" w:cs="Garamond"/>
          <w:b/>
          <w:vertAlign w:val="superscript"/>
        </w:rPr>
        <w:t>164</w:t>
      </w:r>
      <w:r>
        <w:rPr>
          <w:rFonts w:ascii="Garamond" w:eastAsia="Garamond" w:hAnsi="Garamond" w:cs="Garamond"/>
        </w:rPr>
        <w:t xml:space="preserve"> randomized hospitalized patients in a 1:1 ratio to an intervention consisting of an RRT physician conveying scripted advice to the ward physician team that included the following components: (1) suggested palliative care discussions were appropriate given the patient’s early warning score (EWS) alert status, (2) advised them to determine the patient had a durable power of attorney or designated surrogate for medical decisions, and/ or an advanced directive for medical care, (3) advised them to discuss the patient’s preference for higher level of medical care in the event of deterioration, including mechanical ventilation with the patient or family, (4) obtain formal palliative care consultation if appropriate, and (5) document patient preferences for care of resuscitation status in the medical record.</w:t>
      </w:r>
    </w:p>
    <w:p w14:paraId="087FA687" w14:textId="77777777" w:rsidR="006E087E" w:rsidRDefault="006E087E" w:rsidP="006E087E">
      <w:pPr>
        <w:numPr>
          <w:ilvl w:val="0"/>
          <w:numId w:val="10"/>
        </w:numPr>
        <w:spacing w:line="240" w:lineRule="auto"/>
        <w:jc w:val="both"/>
        <w:rPr>
          <w:rFonts w:ascii="Garamond" w:eastAsia="Garamond" w:hAnsi="Garamond" w:cs="Garamond"/>
        </w:rPr>
      </w:pPr>
      <w:r>
        <w:rPr>
          <w:rFonts w:ascii="Garamond" w:eastAsia="Garamond" w:hAnsi="Garamond" w:cs="Garamond"/>
          <w:b/>
        </w:rPr>
        <w:t>Johnson et al. (2017)</w:t>
      </w:r>
      <w:r>
        <w:rPr>
          <w:rFonts w:ascii="Garamond" w:eastAsia="Garamond" w:hAnsi="Garamond" w:cs="Garamond"/>
          <w:b/>
          <w:vertAlign w:val="superscript"/>
        </w:rPr>
        <w:t>165</w:t>
      </w:r>
      <w:r>
        <w:rPr>
          <w:rFonts w:ascii="Garamond" w:eastAsia="Garamond" w:hAnsi="Garamond" w:cs="Garamond"/>
        </w:rPr>
        <w:t xml:space="preserve"> performed a before-after study evaluating outcomes after the implementation a two-pronged education intervention that included two components: (1) standard education involving three ward-based journal club sessions and discussions around cardiopulmonary resuscitation, and (2) a combined, two-pronged strategy involving the implementation of a 'Goals of Patient Care' (</w:t>
      </w:r>
      <w:proofErr w:type="spellStart"/>
      <w:r>
        <w:rPr>
          <w:rFonts w:ascii="Garamond" w:eastAsia="Garamond" w:hAnsi="Garamond" w:cs="Garamond"/>
        </w:rPr>
        <w:t>GoPC</w:t>
      </w:r>
      <w:proofErr w:type="spellEnd"/>
      <w:r>
        <w:rPr>
          <w:rFonts w:ascii="Garamond" w:eastAsia="Garamond" w:hAnsi="Garamond" w:cs="Garamond"/>
        </w:rPr>
        <w:t>) form and a structured video-based workshop for ward medical staff.</w:t>
      </w:r>
    </w:p>
    <w:p w14:paraId="24244271" w14:textId="77777777" w:rsidR="006E087E" w:rsidRDefault="006E087E" w:rsidP="006E087E">
      <w:pPr>
        <w:numPr>
          <w:ilvl w:val="0"/>
          <w:numId w:val="10"/>
        </w:numPr>
        <w:spacing w:line="240" w:lineRule="auto"/>
        <w:jc w:val="both"/>
        <w:rPr>
          <w:rFonts w:ascii="Garamond" w:eastAsia="Garamond" w:hAnsi="Garamond" w:cs="Garamond"/>
        </w:rPr>
      </w:pPr>
      <w:r>
        <w:rPr>
          <w:rFonts w:ascii="Garamond" w:eastAsia="Garamond" w:hAnsi="Garamond" w:cs="Garamond"/>
          <w:b/>
        </w:rPr>
        <w:t>Tam et al. (2014)</w:t>
      </w:r>
      <w:r>
        <w:rPr>
          <w:rFonts w:ascii="Garamond" w:eastAsia="Garamond" w:hAnsi="Garamond" w:cs="Garamond"/>
          <w:b/>
          <w:vertAlign w:val="superscript"/>
        </w:rPr>
        <w:t>166</w:t>
      </w:r>
      <w:r>
        <w:rPr>
          <w:rFonts w:ascii="Garamond" w:eastAsia="Garamond" w:hAnsi="Garamond" w:cs="Garamond"/>
        </w:rPr>
        <w:t xml:space="preserve"> performed a before-after study to evaluate two interventions: (1) a hospital-wide implementation of a Physician-Ordered Spectrum of Treatment (POST) preprinted order set to facilitate end-of-life discussions between ward clinicians and hospitalized patients and (2) outcomes among patients whose resuscitation status was discussed by rapid response team members with end-of-life training.</w:t>
      </w:r>
    </w:p>
    <w:p w14:paraId="1E15A1C6" w14:textId="77777777" w:rsidR="006E087E" w:rsidRDefault="006E087E" w:rsidP="006E087E">
      <w:pPr>
        <w:spacing w:line="240" w:lineRule="auto"/>
        <w:jc w:val="both"/>
        <w:rPr>
          <w:rFonts w:ascii="Garamond" w:eastAsia="Garamond" w:hAnsi="Garamond" w:cs="Garamond"/>
        </w:rPr>
      </w:pPr>
    </w:p>
    <w:p w14:paraId="3EEBEFAA" w14:textId="77777777" w:rsidR="006E087E" w:rsidRDefault="006E087E" w:rsidP="006E087E">
      <w:pPr>
        <w:spacing w:line="240" w:lineRule="auto"/>
        <w:jc w:val="both"/>
        <w:rPr>
          <w:rFonts w:ascii="Garamond" w:eastAsia="Garamond" w:hAnsi="Garamond" w:cs="Garamond"/>
        </w:rPr>
      </w:pPr>
    </w:p>
    <w:p w14:paraId="7C561237" w14:textId="77777777" w:rsidR="006E087E" w:rsidRDefault="006E087E" w:rsidP="006E087E">
      <w:pPr>
        <w:spacing w:line="240" w:lineRule="auto"/>
        <w:jc w:val="both"/>
        <w:rPr>
          <w:rFonts w:ascii="Garamond" w:eastAsia="Garamond" w:hAnsi="Garamond" w:cs="Garamond"/>
        </w:rPr>
      </w:pPr>
    </w:p>
    <w:p w14:paraId="0D05B06F" w14:textId="77777777" w:rsidR="006E087E" w:rsidRDefault="006E087E" w:rsidP="006E087E">
      <w:pPr>
        <w:spacing w:line="240" w:lineRule="auto"/>
        <w:jc w:val="both"/>
        <w:rPr>
          <w:rFonts w:ascii="Garamond" w:eastAsia="Garamond" w:hAnsi="Garamond" w:cs="Garamond"/>
        </w:rPr>
      </w:pPr>
    </w:p>
    <w:p w14:paraId="2E4E4DE5" w14:textId="77777777" w:rsidR="006E087E" w:rsidRDefault="006E087E" w:rsidP="006E087E">
      <w:pPr>
        <w:spacing w:line="240" w:lineRule="auto"/>
        <w:jc w:val="both"/>
        <w:rPr>
          <w:rFonts w:ascii="Garamond" w:eastAsia="Garamond" w:hAnsi="Garamond" w:cs="Garamond"/>
          <w:b/>
          <w:sz w:val="24"/>
          <w:szCs w:val="24"/>
        </w:rPr>
      </w:pPr>
      <w:r>
        <w:br w:type="page"/>
      </w:r>
    </w:p>
    <w:p w14:paraId="0D0F0D2E" w14:textId="77777777" w:rsidR="006E087E" w:rsidRDefault="006E087E" w:rsidP="006E087E">
      <w:pPr>
        <w:spacing w:line="240" w:lineRule="auto"/>
        <w:jc w:val="both"/>
        <w:rPr>
          <w:rFonts w:ascii="Garamond" w:eastAsia="Garamond" w:hAnsi="Garamond" w:cs="Garamond"/>
          <w:b/>
          <w:sz w:val="24"/>
          <w:szCs w:val="24"/>
        </w:rPr>
      </w:pPr>
      <w:r>
        <w:rPr>
          <w:rFonts w:ascii="Garamond" w:eastAsia="Garamond" w:hAnsi="Garamond" w:cs="Garamond"/>
          <w:b/>
          <w:sz w:val="24"/>
          <w:szCs w:val="24"/>
        </w:rPr>
        <w:lastRenderedPageBreak/>
        <w:t>Evidence Profile</w:t>
      </w:r>
    </w:p>
    <w:p w14:paraId="15796007" w14:textId="77777777" w:rsidR="006E087E" w:rsidRDefault="006E087E" w:rsidP="006E087E">
      <w:pPr>
        <w:spacing w:line="240" w:lineRule="auto"/>
        <w:rPr>
          <w:rFonts w:ascii="Garamond" w:eastAsia="Garamond" w:hAnsi="Garamond" w:cs="Garamond"/>
          <w:b/>
          <w:sz w:val="24"/>
          <w:szCs w:val="24"/>
        </w:rPr>
      </w:pPr>
    </w:p>
    <w:tbl>
      <w:tblPr>
        <w:tblW w:w="15168" w:type="dxa"/>
        <w:tblInd w:w="-5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10"/>
        <w:gridCol w:w="1134"/>
        <w:gridCol w:w="850"/>
        <w:gridCol w:w="1276"/>
        <w:gridCol w:w="1134"/>
        <w:gridCol w:w="1134"/>
        <w:gridCol w:w="1276"/>
        <w:gridCol w:w="5386"/>
        <w:gridCol w:w="993"/>
        <w:gridCol w:w="1275"/>
      </w:tblGrid>
      <w:tr w:rsidR="006E087E" w14:paraId="224987CF" w14:textId="77777777" w:rsidTr="00A207C4">
        <w:trPr>
          <w:cantSplit/>
          <w:tblHeader/>
        </w:trPr>
        <w:tc>
          <w:tcPr>
            <w:tcW w:w="7514" w:type="dxa"/>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C659680"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 assessment</w:t>
            </w:r>
          </w:p>
        </w:tc>
        <w:tc>
          <w:tcPr>
            <w:tcW w:w="5386"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04BA1EA"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 xml:space="preserve">Impact </w:t>
            </w:r>
          </w:p>
        </w:tc>
        <w:tc>
          <w:tcPr>
            <w:tcW w:w="993"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408F59C3"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Certainty</w:t>
            </w:r>
          </w:p>
        </w:tc>
        <w:tc>
          <w:tcPr>
            <w:tcW w:w="1275" w:type="dxa"/>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567359D1"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Importance</w:t>
            </w:r>
          </w:p>
        </w:tc>
      </w:tr>
      <w:tr w:rsidR="006E087E" w14:paraId="612CC083" w14:textId="77777777" w:rsidTr="00A207C4">
        <w:trPr>
          <w:cantSplit/>
          <w:tblHeader/>
        </w:trPr>
        <w:tc>
          <w:tcPr>
            <w:tcW w:w="71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9EBE4B7" w14:textId="77777777" w:rsidR="006E087E" w:rsidRDefault="008E2347" w:rsidP="00A207C4">
            <w:pPr>
              <w:jc w:val="center"/>
              <w:rPr>
                <w:rFonts w:ascii="Garamond" w:eastAsia="Garamond" w:hAnsi="Garamond" w:cs="Garamond"/>
                <w:b/>
                <w:color w:val="FFFFFF"/>
                <w:sz w:val="18"/>
                <w:szCs w:val="18"/>
              </w:rPr>
            </w:pPr>
            <w:sdt>
              <w:sdtPr>
                <w:tag w:val="goog_rdk_82"/>
                <w:id w:val="521903112"/>
              </w:sdtPr>
              <w:sdtEndPr/>
              <w:sdtContent>
                <w:r w:rsidR="006E087E">
                  <w:rPr>
                    <w:rFonts w:ascii="Cardo" w:eastAsia="Cardo" w:hAnsi="Cardo" w:cs="Cardo"/>
                    <w:b/>
                    <w:color w:val="FFFFFF"/>
                    <w:sz w:val="18"/>
                    <w:szCs w:val="18"/>
                  </w:rPr>
                  <w:t>№ of studies</w:t>
                </w:r>
              </w:sdtContent>
            </w:sdt>
          </w:p>
        </w:tc>
        <w:tc>
          <w:tcPr>
            <w:tcW w:w="1134"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9B23C7C"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Study design</w:t>
            </w:r>
          </w:p>
        </w:tc>
        <w:tc>
          <w:tcPr>
            <w:tcW w:w="850"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5C7528F"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Risk of bias</w:t>
            </w:r>
          </w:p>
        </w:tc>
        <w:tc>
          <w:tcPr>
            <w:tcW w:w="1276"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7AB73F44"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Inconsistency</w:t>
            </w:r>
          </w:p>
        </w:tc>
        <w:tc>
          <w:tcPr>
            <w:tcW w:w="1134"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630315B4"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Indirectness</w:t>
            </w:r>
          </w:p>
        </w:tc>
        <w:tc>
          <w:tcPr>
            <w:tcW w:w="1134"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86479EE"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Imprecision</w:t>
            </w:r>
          </w:p>
        </w:tc>
        <w:tc>
          <w:tcPr>
            <w:tcW w:w="1276" w:type="dxa"/>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11A64348" w14:textId="77777777" w:rsidR="006E087E" w:rsidRDefault="006E087E" w:rsidP="00A207C4">
            <w:pPr>
              <w:jc w:val="center"/>
              <w:rPr>
                <w:rFonts w:ascii="Garamond" w:eastAsia="Garamond" w:hAnsi="Garamond" w:cs="Garamond"/>
                <w:b/>
                <w:color w:val="FFFFFF"/>
                <w:sz w:val="18"/>
                <w:szCs w:val="18"/>
              </w:rPr>
            </w:pPr>
            <w:r>
              <w:rPr>
                <w:rFonts w:ascii="Garamond" w:eastAsia="Garamond" w:hAnsi="Garamond" w:cs="Garamond"/>
                <w:b/>
                <w:color w:val="FFFFFF"/>
                <w:sz w:val="18"/>
                <w:szCs w:val="18"/>
              </w:rPr>
              <w:t>Other considerations</w:t>
            </w:r>
          </w:p>
        </w:tc>
        <w:tc>
          <w:tcPr>
            <w:tcW w:w="5386"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326FCDE4"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993"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63A682B"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c>
          <w:tcPr>
            <w:tcW w:w="1275" w:type="dxa"/>
            <w:vMerge/>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tcPr>
          <w:p w14:paraId="09BADFEA" w14:textId="77777777" w:rsidR="006E087E" w:rsidRDefault="006E087E" w:rsidP="00A207C4">
            <w:pPr>
              <w:widowControl w:val="0"/>
              <w:pBdr>
                <w:top w:val="nil"/>
                <w:left w:val="nil"/>
                <w:bottom w:val="nil"/>
                <w:right w:val="nil"/>
                <w:between w:val="nil"/>
              </w:pBdr>
              <w:rPr>
                <w:rFonts w:ascii="Garamond" w:eastAsia="Garamond" w:hAnsi="Garamond" w:cs="Garamond"/>
                <w:b/>
                <w:color w:val="FFFFFF"/>
                <w:sz w:val="18"/>
                <w:szCs w:val="18"/>
              </w:rPr>
            </w:pPr>
          </w:p>
        </w:tc>
      </w:tr>
      <w:tr w:rsidR="006E087E" w14:paraId="63334166" w14:textId="77777777" w:rsidTr="00A207C4">
        <w:trPr>
          <w:cantSplit/>
        </w:trPr>
        <w:tc>
          <w:tcPr>
            <w:tcW w:w="15168" w:type="dxa"/>
            <w:gridSpan w:val="10"/>
            <w:shd w:val="clear" w:color="auto" w:fill="FFFFFF"/>
            <w:tcMar>
              <w:top w:w="75" w:type="dxa"/>
              <w:left w:w="100" w:type="dxa"/>
              <w:bottom w:w="100" w:type="dxa"/>
              <w:right w:w="100" w:type="dxa"/>
            </w:tcMar>
            <w:vAlign w:val="center"/>
          </w:tcPr>
          <w:p w14:paraId="0CE25DC0"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Re-evaluation and documentation of goals of care</w:t>
            </w:r>
          </w:p>
        </w:tc>
      </w:tr>
      <w:tr w:rsidR="006E087E" w14:paraId="01777828"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4060DE2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3</w:t>
            </w:r>
          </w:p>
        </w:tc>
        <w:tc>
          <w:tcPr>
            <w:tcW w:w="1134" w:type="dxa"/>
            <w:tcBorders>
              <w:top w:val="single" w:sz="6" w:space="0" w:color="000000"/>
              <w:left w:val="single" w:sz="6" w:space="0" w:color="000000"/>
              <w:bottom w:val="single" w:sz="6" w:space="0" w:color="000000"/>
              <w:right w:val="single" w:sz="6" w:space="0" w:color="000000"/>
            </w:tcBorders>
          </w:tcPr>
          <w:p w14:paraId="5F37D19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 randomized trial</w:t>
            </w:r>
          </w:p>
          <w:p w14:paraId="7B716480" w14:textId="77777777" w:rsidR="006E087E" w:rsidRDefault="006E087E" w:rsidP="00A207C4">
            <w:pPr>
              <w:jc w:val="center"/>
              <w:rPr>
                <w:rFonts w:ascii="Garamond" w:eastAsia="Garamond" w:hAnsi="Garamond" w:cs="Garamond"/>
                <w:sz w:val="18"/>
                <w:szCs w:val="18"/>
              </w:rPr>
            </w:pPr>
          </w:p>
          <w:p w14:paraId="482974FE"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 observational studies</w:t>
            </w:r>
          </w:p>
        </w:tc>
        <w:tc>
          <w:tcPr>
            <w:tcW w:w="850" w:type="dxa"/>
            <w:tcBorders>
              <w:top w:val="single" w:sz="6" w:space="0" w:color="000000"/>
              <w:left w:val="single" w:sz="6" w:space="0" w:color="000000"/>
              <w:bottom w:val="single" w:sz="6" w:space="0" w:color="000000"/>
              <w:right w:val="single" w:sz="6" w:space="0" w:color="000000"/>
            </w:tcBorders>
          </w:tcPr>
          <w:p w14:paraId="7979FCB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57E15E36"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7BE81428"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115A3ADF" w14:textId="77777777" w:rsidR="006E087E" w:rsidRDefault="006E087E" w:rsidP="00A207C4">
            <w:pPr>
              <w:jc w:val="center"/>
              <w:rPr>
                <w:rFonts w:ascii="Garamond" w:eastAsia="Garamond" w:hAnsi="Garamond" w:cs="Garamond"/>
                <w:b/>
                <w:sz w:val="18"/>
                <w:szCs w:val="18"/>
                <w:vertAlign w:val="superscript"/>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4D9125B3" w14:textId="77777777" w:rsidR="006E087E" w:rsidRDefault="006E087E" w:rsidP="00A207C4">
            <w:pPr>
              <w:jc w:val="center"/>
              <w:rPr>
                <w:rFonts w:ascii="Garamond" w:eastAsia="Garamond" w:hAnsi="Garamond" w:cs="Garamond"/>
                <w:color w:val="3CA642"/>
                <w:sz w:val="18"/>
                <w:szCs w:val="18"/>
              </w:rPr>
            </w:pPr>
            <w:r>
              <w:rPr>
                <w:rFonts w:ascii="Garamond" w:eastAsia="Garamond" w:hAnsi="Garamond" w:cs="Garamond"/>
                <w:b/>
                <w:color w:val="3CA642"/>
                <w:sz w:val="18"/>
                <w:szCs w:val="18"/>
              </w:rPr>
              <w:t>strong association</w:t>
            </w:r>
          </w:p>
        </w:tc>
        <w:tc>
          <w:tcPr>
            <w:tcW w:w="5386" w:type="dxa"/>
            <w:tcBorders>
              <w:top w:val="single" w:sz="6" w:space="0" w:color="000000"/>
              <w:left w:val="single" w:sz="6" w:space="0" w:color="000000"/>
              <w:bottom w:val="single" w:sz="6" w:space="0" w:color="000000"/>
              <w:right w:val="single" w:sz="6" w:space="0" w:color="000000"/>
            </w:tcBorders>
          </w:tcPr>
          <w:p w14:paraId="54600FB4" w14:textId="77777777" w:rsidR="006E087E" w:rsidRDefault="006E087E" w:rsidP="006E087E">
            <w:pPr>
              <w:numPr>
                <w:ilvl w:val="0"/>
                <w:numId w:val="13"/>
              </w:numPr>
              <w:spacing w:line="240" w:lineRule="auto"/>
              <w:rPr>
                <w:sz w:val="18"/>
                <w:szCs w:val="18"/>
              </w:rPr>
            </w:pPr>
            <w:r>
              <w:rPr>
                <w:rFonts w:ascii="Garamond" w:eastAsia="Garamond" w:hAnsi="Garamond" w:cs="Garamond"/>
                <w:sz w:val="18"/>
                <w:szCs w:val="18"/>
              </w:rPr>
              <w:t>Picker et al. (2016)</w:t>
            </w:r>
            <w:r>
              <w:rPr>
                <w:rFonts w:ascii="Garamond" w:eastAsia="Garamond" w:hAnsi="Garamond" w:cs="Garamond"/>
                <w:sz w:val="18"/>
                <w:szCs w:val="18"/>
                <w:vertAlign w:val="superscript"/>
              </w:rPr>
              <w:t>164</w:t>
            </w:r>
            <w:r>
              <w:rPr>
                <w:rFonts w:ascii="Garamond" w:eastAsia="Garamond" w:hAnsi="Garamond" w:cs="Garamond"/>
                <w:sz w:val="18"/>
                <w:szCs w:val="18"/>
              </w:rPr>
              <w:t xml:space="preserve"> found that patients assigned to the intervention group had increased first-time advanced directive (control: 0/117; intervention: 13/89 or 14.6%; RR: 35.4, 95% CI 2.1 to 587.6), increased documentation of advanced directives (control: 18/117 or 15.4%; intervention: 33/89 or 37.1%; RR: 2.4, 95% CI, 1.5 to 4.0), and increased resuscitation status documentation (control: 27/117 or 23%; intervention: 32/89 or 36%; RR: 1.6, 95% CI, 1.0 to 2.4).</w:t>
            </w:r>
          </w:p>
          <w:p w14:paraId="044757C4" w14:textId="77777777" w:rsidR="006E087E" w:rsidRDefault="006E087E" w:rsidP="006E087E">
            <w:pPr>
              <w:numPr>
                <w:ilvl w:val="0"/>
                <w:numId w:val="13"/>
              </w:numPr>
              <w:spacing w:line="240" w:lineRule="auto"/>
              <w:rPr>
                <w:sz w:val="18"/>
                <w:szCs w:val="18"/>
              </w:rPr>
            </w:pPr>
            <w:r>
              <w:rPr>
                <w:rFonts w:ascii="Garamond" w:eastAsia="Garamond" w:hAnsi="Garamond" w:cs="Garamond"/>
                <w:sz w:val="18"/>
                <w:szCs w:val="18"/>
              </w:rPr>
              <w:t>Johnson et al. (2017)</w:t>
            </w:r>
            <w:r>
              <w:rPr>
                <w:rFonts w:ascii="Garamond" w:eastAsia="Garamond" w:hAnsi="Garamond" w:cs="Garamond"/>
                <w:sz w:val="18"/>
                <w:szCs w:val="18"/>
                <w:vertAlign w:val="superscript"/>
              </w:rPr>
              <w:t>165</w:t>
            </w:r>
            <w:r>
              <w:rPr>
                <w:rFonts w:ascii="Garamond" w:eastAsia="Garamond" w:hAnsi="Garamond" w:cs="Garamond"/>
                <w:sz w:val="18"/>
                <w:szCs w:val="18"/>
              </w:rPr>
              <w:t xml:space="preserve"> found increased documentation of resuscitation status, including more documentation of its rationale, after the implementation of ward-based education and GOC order set after adjusting for patient characteristics (before: 45%; after: 90%).</w:t>
            </w:r>
          </w:p>
          <w:p w14:paraId="3FFEB8D8" w14:textId="77777777" w:rsidR="006E087E" w:rsidRDefault="006E087E" w:rsidP="006E087E">
            <w:pPr>
              <w:numPr>
                <w:ilvl w:val="0"/>
                <w:numId w:val="13"/>
              </w:numPr>
              <w:spacing w:line="240" w:lineRule="auto"/>
              <w:rPr>
                <w:sz w:val="18"/>
                <w:szCs w:val="18"/>
              </w:rPr>
            </w:pPr>
            <w:r>
              <w:rPr>
                <w:rFonts w:ascii="Garamond" w:eastAsia="Garamond" w:hAnsi="Garamond" w:cs="Garamond"/>
                <w:sz w:val="18"/>
                <w:szCs w:val="18"/>
              </w:rPr>
              <w:t>Tam et al. (2014)</w:t>
            </w:r>
            <w:r>
              <w:rPr>
                <w:rFonts w:ascii="Garamond" w:eastAsia="Garamond" w:hAnsi="Garamond" w:cs="Garamond"/>
                <w:sz w:val="18"/>
                <w:szCs w:val="18"/>
                <w:vertAlign w:val="superscript"/>
              </w:rPr>
              <w:t>166</w:t>
            </w:r>
            <w:r>
              <w:rPr>
                <w:rFonts w:ascii="Garamond" w:eastAsia="Garamond" w:hAnsi="Garamond" w:cs="Garamond"/>
                <w:sz w:val="18"/>
                <w:szCs w:val="18"/>
              </w:rPr>
              <w:t xml:space="preserve"> found increased documentation of resuscitation status after implementation of a preprinted resuscitation status order set (before: 1.4%; after: 25%).</w:t>
            </w:r>
          </w:p>
          <w:p w14:paraId="2A060A9D" w14:textId="77777777" w:rsidR="006E087E" w:rsidRDefault="006E087E" w:rsidP="00A207C4">
            <w:pPr>
              <w:rPr>
                <w:rFonts w:ascii="Garamond" w:eastAsia="Garamond" w:hAnsi="Garamond" w:cs="Garamond"/>
                <w:sz w:val="18"/>
                <w:szCs w:val="18"/>
              </w:rPr>
            </w:pPr>
          </w:p>
          <w:p w14:paraId="44D20233"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Overall, this intervention may be associated with increased rates of re-evaluation and documentation of GOC</w:t>
            </w:r>
          </w:p>
        </w:tc>
        <w:tc>
          <w:tcPr>
            <w:tcW w:w="993" w:type="dxa"/>
            <w:tcBorders>
              <w:top w:val="single" w:sz="6" w:space="0" w:color="000000"/>
              <w:left w:val="single" w:sz="6" w:space="0" w:color="000000"/>
              <w:bottom w:val="single" w:sz="6" w:space="0" w:color="000000"/>
              <w:right w:val="single" w:sz="6" w:space="0" w:color="000000"/>
            </w:tcBorders>
          </w:tcPr>
          <w:p w14:paraId="47AB3E36"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83"/>
                <w:id w:val="823777052"/>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Moderate</w:t>
            </w:r>
          </w:p>
        </w:tc>
        <w:tc>
          <w:tcPr>
            <w:tcW w:w="1275" w:type="dxa"/>
            <w:tcBorders>
              <w:top w:val="single" w:sz="6" w:space="0" w:color="000000"/>
              <w:left w:val="single" w:sz="6" w:space="0" w:color="000000"/>
              <w:bottom w:val="single" w:sz="6" w:space="0" w:color="000000"/>
              <w:right w:val="single" w:sz="6" w:space="0" w:color="000000"/>
            </w:tcBorders>
          </w:tcPr>
          <w:p w14:paraId="0F7E75B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168CC43A" w14:textId="77777777" w:rsidTr="00A207C4">
        <w:trPr>
          <w:cantSplit/>
        </w:trPr>
        <w:tc>
          <w:tcPr>
            <w:tcW w:w="15168" w:type="dxa"/>
            <w:gridSpan w:val="10"/>
            <w:shd w:val="clear" w:color="auto" w:fill="FFFFFF"/>
            <w:tcMar>
              <w:top w:w="75" w:type="dxa"/>
              <w:left w:w="100" w:type="dxa"/>
              <w:bottom w:w="100" w:type="dxa"/>
              <w:right w:w="100" w:type="dxa"/>
            </w:tcMar>
            <w:vAlign w:val="center"/>
          </w:tcPr>
          <w:p w14:paraId="5F493540"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Change in resuscitation status</w:t>
            </w:r>
          </w:p>
        </w:tc>
      </w:tr>
      <w:tr w:rsidR="006E087E" w14:paraId="5EC13696"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31509A32"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3</w:t>
            </w:r>
          </w:p>
        </w:tc>
        <w:tc>
          <w:tcPr>
            <w:tcW w:w="1134" w:type="dxa"/>
            <w:tcBorders>
              <w:top w:val="single" w:sz="6" w:space="0" w:color="000000"/>
              <w:left w:val="single" w:sz="6" w:space="0" w:color="000000"/>
              <w:bottom w:val="single" w:sz="6" w:space="0" w:color="000000"/>
              <w:right w:val="single" w:sz="6" w:space="0" w:color="000000"/>
            </w:tcBorders>
          </w:tcPr>
          <w:p w14:paraId="7C3841A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 randomized trial</w:t>
            </w:r>
          </w:p>
          <w:p w14:paraId="153CC865" w14:textId="77777777" w:rsidR="006E087E" w:rsidRDefault="006E087E" w:rsidP="00A207C4">
            <w:pPr>
              <w:jc w:val="center"/>
              <w:rPr>
                <w:rFonts w:ascii="Garamond" w:eastAsia="Garamond" w:hAnsi="Garamond" w:cs="Garamond"/>
                <w:sz w:val="18"/>
                <w:szCs w:val="18"/>
              </w:rPr>
            </w:pPr>
          </w:p>
          <w:p w14:paraId="57E07AD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 observational study</w:t>
            </w:r>
          </w:p>
        </w:tc>
        <w:tc>
          <w:tcPr>
            <w:tcW w:w="850" w:type="dxa"/>
            <w:tcBorders>
              <w:top w:val="single" w:sz="6" w:space="0" w:color="000000"/>
              <w:left w:val="single" w:sz="6" w:space="0" w:color="000000"/>
              <w:bottom w:val="single" w:sz="6" w:space="0" w:color="000000"/>
              <w:right w:val="single" w:sz="6" w:space="0" w:color="000000"/>
            </w:tcBorders>
          </w:tcPr>
          <w:p w14:paraId="59D68EF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17382873"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60748184"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70999891"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4F7ED6EE" w14:textId="77777777" w:rsidR="006E087E" w:rsidRDefault="006E087E" w:rsidP="00A207C4">
            <w:pPr>
              <w:jc w:val="center"/>
              <w:rPr>
                <w:rFonts w:ascii="Garamond" w:eastAsia="Garamond" w:hAnsi="Garamond" w:cs="Garamond"/>
                <w:sz w:val="18"/>
                <w:szCs w:val="18"/>
              </w:rPr>
            </w:pPr>
            <w:r>
              <w:rPr>
                <w:rFonts w:ascii="Garamond" w:eastAsia="Garamond" w:hAnsi="Garamond" w:cs="Garamond"/>
                <w:b/>
                <w:color w:val="3CA642"/>
                <w:sz w:val="18"/>
                <w:szCs w:val="18"/>
              </w:rPr>
              <w:t>strong association</w:t>
            </w:r>
          </w:p>
        </w:tc>
        <w:tc>
          <w:tcPr>
            <w:tcW w:w="5386" w:type="dxa"/>
            <w:tcBorders>
              <w:top w:val="single" w:sz="6" w:space="0" w:color="000000"/>
              <w:left w:val="single" w:sz="6" w:space="0" w:color="000000"/>
              <w:bottom w:val="single" w:sz="6" w:space="0" w:color="000000"/>
              <w:right w:val="single" w:sz="6" w:space="0" w:color="000000"/>
            </w:tcBorders>
          </w:tcPr>
          <w:p w14:paraId="500843CC" w14:textId="77777777" w:rsidR="006E087E" w:rsidRDefault="006E087E" w:rsidP="006E087E">
            <w:pPr>
              <w:numPr>
                <w:ilvl w:val="0"/>
                <w:numId w:val="2"/>
              </w:numPr>
              <w:spacing w:line="240" w:lineRule="auto"/>
              <w:rPr>
                <w:rFonts w:ascii="Garamond" w:eastAsia="Garamond" w:hAnsi="Garamond" w:cs="Garamond"/>
                <w:sz w:val="18"/>
                <w:szCs w:val="18"/>
              </w:rPr>
            </w:pPr>
            <w:r>
              <w:rPr>
                <w:rFonts w:ascii="Garamond" w:eastAsia="Garamond" w:hAnsi="Garamond" w:cs="Garamond"/>
                <w:sz w:val="18"/>
                <w:szCs w:val="18"/>
              </w:rPr>
              <w:t>Picker et al. (2016)</w:t>
            </w:r>
            <w:r>
              <w:rPr>
                <w:rFonts w:ascii="Garamond" w:eastAsia="Garamond" w:hAnsi="Garamond" w:cs="Garamond"/>
                <w:sz w:val="18"/>
                <w:szCs w:val="18"/>
                <w:vertAlign w:val="superscript"/>
              </w:rPr>
              <w:t>164</w:t>
            </w:r>
            <w:r>
              <w:rPr>
                <w:rFonts w:ascii="Garamond" w:eastAsia="Garamond" w:hAnsi="Garamond" w:cs="Garamond"/>
                <w:sz w:val="18"/>
                <w:szCs w:val="18"/>
              </w:rPr>
              <w:t xml:space="preserve"> found no difference in the rates of changes in resuscitation status to DNAR between the control (11/117, 9.4%) and intervention groups (10/89, 11.2%) compared to RR: 1.2, 95% CI, 0.5 to 2.7).</w:t>
            </w:r>
          </w:p>
          <w:p w14:paraId="681DD30E" w14:textId="77777777" w:rsidR="006E087E" w:rsidRDefault="006E087E" w:rsidP="006E087E">
            <w:pPr>
              <w:numPr>
                <w:ilvl w:val="0"/>
                <w:numId w:val="2"/>
              </w:numPr>
              <w:spacing w:line="240" w:lineRule="auto"/>
              <w:rPr>
                <w:rFonts w:ascii="Garamond" w:eastAsia="Garamond" w:hAnsi="Garamond" w:cs="Garamond"/>
                <w:sz w:val="18"/>
                <w:szCs w:val="18"/>
              </w:rPr>
            </w:pPr>
            <w:r>
              <w:rPr>
                <w:rFonts w:ascii="Garamond" w:eastAsia="Garamond" w:hAnsi="Garamond" w:cs="Garamond"/>
                <w:sz w:val="18"/>
                <w:szCs w:val="18"/>
              </w:rPr>
              <w:t>Johnson et al. (2017)</w:t>
            </w:r>
            <w:r>
              <w:rPr>
                <w:rFonts w:ascii="Garamond" w:eastAsia="Garamond" w:hAnsi="Garamond" w:cs="Garamond"/>
                <w:sz w:val="18"/>
                <w:szCs w:val="18"/>
                <w:vertAlign w:val="superscript"/>
              </w:rPr>
              <w:t>165</w:t>
            </w:r>
            <w:r>
              <w:rPr>
                <w:rFonts w:ascii="Garamond" w:eastAsia="Garamond" w:hAnsi="Garamond" w:cs="Garamond"/>
                <w:sz w:val="18"/>
                <w:szCs w:val="18"/>
              </w:rPr>
              <w:t xml:space="preserve"> reported an increase in the number of patients with DNR code status after the implementation of ward-based education and GOC order set (before: 44%; after: 77%).</w:t>
            </w:r>
          </w:p>
          <w:p w14:paraId="5B36BA25" w14:textId="77777777" w:rsidR="006E087E" w:rsidRDefault="006E087E" w:rsidP="006E087E">
            <w:pPr>
              <w:numPr>
                <w:ilvl w:val="0"/>
                <w:numId w:val="2"/>
              </w:numPr>
              <w:spacing w:line="240" w:lineRule="auto"/>
              <w:rPr>
                <w:rFonts w:ascii="Garamond" w:eastAsia="Garamond" w:hAnsi="Garamond" w:cs="Garamond"/>
                <w:sz w:val="18"/>
                <w:szCs w:val="18"/>
              </w:rPr>
            </w:pPr>
            <w:r>
              <w:rPr>
                <w:rFonts w:ascii="Garamond" w:eastAsia="Garamond" w:hAnsi="Garamond" w:cs="Garamond"/>
                <w:sz w:val="18"/>
                <w:szCs w:val="18"/>
              </w:rPr>
              <w:t>Tam et al. (2014)</w:t>
            </w:r>
            <w:r>
              <w:rPr>
                <w:rFonts w:ascii="Garamond" w:eastAsia="Garamond" w:hAnsi="Garamond" w:cs="Garamond"/>
                <w:sz w:val="18"/>
                <w:szCs w:val="18"/>
                <w:vertAlign w:val="superscript"/>
              </w:rPr>
              <w:t>166</w:t>
            </w:r>
            <w:r>
              <w:rPr>
                <w:rFonts w:ascii="Garamond" w:eastAsia="Garamond" w:hAnsi="Garamond" w:cs="Garamond"/>
                <w:sz w:val="18"/>
                <w:szCs w:val="18"/>
              </w:rPr>
              <w:t xml:space="preserve"> reported increased rates of change in resuscitation status to DNR after RRT consultation after the implementation of a preprinted resuscitation status order set (before: 20%; after: 31%).</w:t>
            </w:r>
          </w:p>
          <w:p w14:paraId="5D8FF328" w14:textId="77777777" w:rsidR="006E087E" w:rsidRDefault="006E087E" w:rsidP="00A207C4">
            <w:pPr>
              <w:rPr>
                <w:rFonts w:ascii="Garamond" w:eastAsia="Garamond" w:hAnsi="Garamond" w:cs="Garamond"/>
                <w:sz w:val="18"/>
                <w:szCs w:val="18"/>
              </w:rPr>
            </w:pPr>
          </w:p>
          <w:p w14:paraId="76703DF0"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Overall, this intervention may be associated with increased rates of change in resuscitation status among hospitalized patients.</w:t>
            </w:r>
          </w:p>
          <w:p w14:paraId="4B051C6B" w14:textId="77777777" w:rsidR="006E087E" w:rsidRDefault="006E087E" w:rsidP="00A207C4">
            <w:pPr>
              <w:rPr>
                <w:rFonts w:ascii="Garamond" w:eastAsia="Garamond" w:hAnsi="Garamond" w:cs="Garamond"/>
                <w:b/>
                <w:sz w:val="18"/>
                <w:szCs w:val="18"/>
              </w:rPr>
            </w:pPr>
          </w:p>
        </w:tc>
        <w:tc>
          <w:tcPr>
            <w:tcW w:w="993" w:type="dxa"/>
            <w:tcBorders>
              <w:top w:val="single" w:sz="6" w:space="0" w:color="000000"/>
              <w:left w:val="single" w:sz="6" w:space="0" w:color="000000"/>
              <w:bottom w:val="single" w:sz="6" w:space="0" w:color="000000"/>
              <w:right w:val="single" w:sz="6" w:space="0" w:color="000000"/>
            </w:tcBorders>
          </w:tcPr>
          <w:p w14:paraId="1E201502"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84"/>
                <w:id w:val="-1029558459"/>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Moderate</w:t>
            </w:r>
          </w:p>
        </w:tc>
        <w:tc>
          <w:tcPr>
            <w:tcW w:w="1275" w:type="dxa"/>
            <w:tcBorders>
              <w:top w:val="single" w:sz="6" w:space="0" w:color="000000"/>
              <w:left w:val="single" w:sz="6" w:space="0" w:color="000000"/>
              <w:bottom w:val="single" w:sz="6" w:space="0" w:color="000000"/>
              <w:right w:val="single" w:sz="6" w:space="0" w:color="000000"/>
            </w:tcBorders>
          </w:tcPr>
          <w:p w14:paraId="4FD2A2E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0CF23648" w14:textId="77777777" w:rsidTr="00A207C4">
        <w:trPr>
          <w:cantSplit/>
        </w:trPr>
        <w:tc>
          <w:tcPr>
            <w:tcW w:w="15168" w:type="dxa"/>
            <w:gridSpan w:val="10"/>
            <w:shd w:val="clear" w:color="auto" w:fill="FFFFFF"/>
            <w:tcMar>
              <w:top w:w="75" w:type="dxa"/>
              <w:left w:w="100" w:type="dxa"/>
              <w:bottom w:w="100" w:type="dxa"/>
              <w:right w:w="100" w:type="dxa"/>
            </w:tcMar>
            <w:vAlign w:val="center"/>
          </w:tcPr>
          <w:p w14:paraId="35580630"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lastRenderedPageBreak/>
              <w:t>Palliative care consultation</w:t>
            </w:r>
          </w:p>
        </w:tc>
      </w:tr>
      <w:tr w:rsidR="006E087E" w14:paraId="539D2CAF"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43192FA3"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w:t>
            </w:r>
          </w:p>
        </w:tc>
        <w:tc>
          <w:tcPr>
            <w:tcW w:w="1134" w:type="dxa"/>
            <w:tcBorders>
              <w:top w:val="single" w:sz="6" w:space="0" w:color="000000"/>
              <w:left w:val="single" w:sz="6" w:space="0" w:color="000000"/>
              <w:bottom w:val="single" w:sz="6" w:space="0" w:color="000000"/>
              <w:right w:val="single" w:sz="6" w:space="0" w:color="000000"/>
            </w:tcBorders>
          </w:tcPr>
          <w:p w14:paraId="384564F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 randomized trial</w:t>
            </w:r>
          </w:p>
          <w:p w14:paraId="594049E0" w14:textId="77777777" w:rsidR="006E087E" w:rsidRDefault="006E087E" w:rsidP="00A207C4">
            <w:pPr>
              <w:jc w:val="center"/>
              <w:rPr>
                <w:rFonts w:ascii="Garamond" w:eastAsia="Garamond" w:hAnsi="Garamond" w:cs="Garamond"/>
                <w:sz w:val="18"/>
                <w:szCs w:val="18"/>
              </w:rPr>
            </w:pPr>
          </w:p>
          <w:p w14:paraId="125EFBE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 observational study</w:t>
            </w:r>
          </w:p>
        </w:tc>
        <w:tc>
          <w:tcPr>
            <w:tcW w:w="850" w:type="dxa"/>
            <w:tcBorders>
              <w:top w:val="single" w:sz="6" w:space="0" w:color="000000"/>
              <w:left w:val="single" w:sz="6" w:space="0" w:color="000000"/>
              <w:bottom w:val="single" w:sz="6" w:space="0" w:color="000000"/>
              <w:right w:val="single" w:sz="6" w:space="0" w:color="000000"/>
            </w:tcBorders>
          </w:tcPr>
          <w:p w14:paraId="60F2AB7A" w14:textId="77777777" w:rsidR="006E087E" w:rsidRDefault="006E087E" w:rsidP="00A207C4">
            <w:pPr>
              <w:jc w:val="center"/>
              <w:rPr>
                <w:rFonts w:ascii="Garamond" w:eastAsia="Garamond" w:hAnsi="Garamond" w:cs="Garamond"/>
                <w:b/>
                <w:sz w:val="18"/>
                <w:szCs w:val="18"/>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58A94A00"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7188C44E"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26DFCA2A"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725B8166"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6" w:type="dxa"/>
            <w:tcBorders>
              <w:top w:val="single" w:sz="6" w:space="0" w:color="000000"/>
              <w:left w:val="single" w:sz="6" w:space="0" w:color="000000"/>
              <w:bottom w:val="single" w:sz="6" w:space="0" w:color="000000"/>
              <w:right w:val="single" w:sz="6" w:space="0" w:color="000000"/>
            </w:tcBorders>
          </w:tcPr>
          <w:p w14:paraId="3B802595" w14:textId="77777777" w:rsidR="006E087E" w:rsidRDefault="006E087E" w:rsidP="006E087E">
            <w:pPr>
              <w:numPr>
                <w:ilvl w:val="0"/>
                <w:numId w:val="9"/>
              </w:numPr>
              <w:spacing w:line="240" w:lineRule="auto"/>
              <w:rPr>
                <w:rFonts w:ascii="Garamond" w:eastAsia="Garamond" w:hAnsi="Garamond" w:cs="Garamond"/>
                <w:sz w:val="18"/>
                <w:szCs w:val="18"/>
              </w:rPr>
            </w:pPr>
            <w:r>
              <w:rPr>
                <w:rFonts w:ascii="Garamond" w:eastAsia="Garamond" w:hAnsi="Garamond" w:cs="Garamond"/>
                <w:sz w:val="18"/>
                <w:szCs w:val="18"/>
              </w:rPr>
              <w:t>One RCT (Picker et al., 2017)</w:t>
            </w:r>
            <w:r>
              <w:rPr>
                <w:rFonts w:ascii="Garamond" w:eastAsia="Garamond" w:hAnsi="Garamond" w:cs="Garamond"/>
                <w:sz w:val="18"/>
                <w:szCs w:val="18"/>
                <w:vertAlign w:val="superscript"/>
              </w:rPr>
              <w:t>164</w:t>
            </w:r>
            <w:r>
              <w:rPr>
                <w:rFonts w:ascii="Garamond" w:eastAsia="Garamond" w:hAnsi="Garamond" w:cs="Garamond"/>
                <w:sz w:val="18"/>
                <w:szCs w:val="18"/>
              </w:rPr>
              <w:t xml:space="preserve"> found no differences in the rates of referral for palliative care consultation between the control (7/117 or 6.0%) and intervention groups (7/89 or 7.9%; RR 1.3, 95% CI 0.5 to 3.6).</w:t>
            </w:r>
          </w:p>
          <w:p w14:paraId="3E2EA4F6" w14:textId="77777777" w:rsidR="006E087E" w:rsidRDefault="006E087E" w:rsidP="006E087E">
            <w:pPr>
              <w:numPr>
                <w:ilvl w:val="0"/>
                <w:numId w:val="9"/>
              </w:numPr>
              <w:spacing w:line="240" w:lineRule="auto"/>
              <w:rPr>
                <w:rFonts w:ascii="Garamond" w:eastAsia="Garamond" w:hAnsi="Garamond" w:cs="Garamond"/>
                <w:sz w:val="18"/>
                <w:szCs w:val="18"/>
              </w:rPr>
            </w:pPr>
            <w:r>
              <w:rPr>
                <w:rFonts w:ascii="Garamond" w:eastAsia="Garamond" w:hAnsi="Garamond" w:cs="Garamond"/>
                <w:sz w:val="18"/>
                <w:szCs w:val="18"/>
              </w:rPr>
              <w:t>Tam et al. (2014)</w:t>
            </w:r>
            <w:r>
              <w:rPr>
                <w:rFonts w:ascii="Garamond" w:eastAsia="Garamond" w:hAnsi="Garamond" w:cs="Garamond"/>
                <w:sz w:val="18"/>
                <w:szCs w:val="18"/>
                <w:vertAlign w:val="superscript"/>
              </w:rPr>
              <w:t>166</w:t>
            </w:r>
            <w:r>
              <w:rPr>
                <w:rFonts w:ascii="Garamond" w:eastAsia="Garamond" w:hAnsi="Garamond" w:cs="Garamond"/>
                <w:sz w:val="18"/>
                <w:szCs w:val="18"/>
              </w:rPr>
              <w:t xml:space="preserve"> reported no change in the rate of palliative consultation after implementation of a preprinted EOL order set (14 vs. 12%). They reported a higher rate of palliative consultation among those whose resuscitation status changed to DNR after an EOL discussion by trained RRT personnel compared to those without a change in code status (from 5 to 34%).</w:t>
            </w:r>
          </w:p>
          <w:p w14:paraId="1E7B576C"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Overall, palliative care education/guidance on addressing GOC does not influence the rate of palliative care consultations among clinically deteriorating patients.</w:t>
            </w:r>
          </w:p>
        </w:tc>
        <w:tc>
          <w:tcPr>
            <w:tcW w:w="993" w:type="dxa"/>
            <w:tcBorders>
              <w:top w:val="single" w:sz="6" w:space="0" w:color="000000"/>
              <w:left w:val="single" w:sz="6" w:space="0" w:color="000000"/>
              <w:bottom w:val="single" w:sz="6" w:space="0" w:color="000000"/>
              <w:right w:val="single" w:sz="6" w:space="0" w:color="000000"/>
            </w:tcBorders>
          </w:tcPr>
          <w:p w14:paraId="7CD58CD8" w14:textId="77777777" w:rsidR="006E087E" w:rsidRDefault="006E087E" w:rsidP="00A207C4">
            <w:pPr>
              <w:jc w:val="center"/>
              <w:rPr>
                <w:rFonts w:ascii="Garamond" w:eastAsia="Garamond" w:hAnsi="Garamond" w:cs="Garamond"/>
                <w:i/>
                <w:color w:val="C00000"/>
                <w:sz w:val="18"/>
                <w:szCs w:val="18"/>
              </w:rPr>
            </w:pPr>
            <w:r>
              <w:rPr>
                <w:rFonts w:ascii="Cambria Math" w:eastAsia="Cambria Math" w:hAnsi="Cambria Math" w:cs="Cambria Math"/>
                <w:sz w:val="18"/>
                <w:szCs w:val="18"/>
              </w:rPr>
              <w:t>⨁⨁</w:t>
            </w:r>
            <w:sdt>
              <w:sdtPr>
                <w:tag w:val="goog_rdk_85"/>
                <w:id w:val="-1254812998"/>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75" w:type="dxa"/>
            <w:tcBorders>
              <w:top w:val="single" w:sz="6" w:space="0" w:color="000000"/>
              <w:left w:val="single" w:sz="6" w:space="0" w:color="000000"/>
              <w:bottom w:val="single" w:sz="6" w:space="0" w:color="000000"/>
              <w:right w:val="single" w:sz="6" w:space="0" w:color="000000"/>
            </w:tcBorders>
          </w:tcPr>
          <w:p w14:paraId="278926AB"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4CDE1AD2" w14:textId="77777777" w:rsidTr="00A207C4">
        <w:trPr>
          <w:cantSplit/>
        </w:trPr>
        <w:tc>
          <w:tcPr>
            <w:tcW w:w="15168" w:type="dxa"/>
            <w:gridSpan w:val="10"/>
            <w:shd w:val="clear" w:color="auto" w:fill="FFFFFF"/>
            <w:tcMar>
              <w:top w:w="75" w:type="dxa"/>
              <w:left w:w="100" w:type="dxa"/>
              <w:bottom w:w="100" w:type="dxa"/>
              <w:right w:w="100" w:type="dxa"/>
            </w:tcMar>
            <w:vAlign w:val="center"/>
          </w:tcPr>
          <w:p w14:paraId="4FC8291D"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Functional status at discharge</w:t>
            </w:r>
          </w:p>
        </w:tc>
      </w:tr>
      <w:tr w:rsidR="006E087E" w14:paraId="7EC7569D"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7FB7C998"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1</w:t>
            </w:r>
          </w:p>
        </w:tc>
        <w:tc>
          <w:tcPr>
            <w:tcW w:w="1134" w:type="dxa"/>
            <w:tcBorders>
              <w:top w:val="single" w:sz="6" w:space="0" w:color="000000"/>
              <w:left w:val="single" w:sz="6" w:space="0" w:color="000000"/>
              <w:bottom w:val="single" w:sz="6" w:space="0" w:color="000000"/>
              <w:right w:val="single" w:sz="6" w:space="0" w:color="000000"/>
            </w:tcBorders>
          </w:tcPr>
          <w:p w14:paraId="48BDCE38"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50" w:type="dxa"/>
            <w:tcBorders>
              <w:top w:val="single" w:sz="6" w:space="0" w:color="000000"/>
              <w:left w:val="single" w:sz="6" w:space="0" w:color="000000"/>
              <w:bottom w:val="single" w:sz="6" w:space="0" w:color="000000"/>
              <w:right w:val="single" w:sz="6" w:space="0" w:color="000000"/>
            </w:tcBorders>
          </w:tcPr>
          <w:p w14:paraId="349D19E1" w14:textId="77777777" w:rsidR="006E087E" w:rsidRDefault="006E087E" w:rsidP="00A207C4">
            <w:pPr>
              <w:jc w:val="center"/>
              <w:rPr>
                <w:rFonts w:ascii="Garamond" w:eastAsia="Garamond" w:hAnsi="Garamond" w:cs="Garamond"/>
                <w:b/>
                <w:sz w:val="18"/>
                <w:szCs w:val="18"/>
                <w:vertAlign w:val="superscript"/>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09F696EC"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54088877"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666827E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44D0A21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6" w:type="dxa"/>
            <w:tcBorders>
              <w:top w:val="single" w:sz="6" w:space="0" w:color="000000"/>
              <w:left w:val="single" w:sz="6" w:space="0" w:color="000000"/>
              <w:bottom w:val="single" w:sz="6" w:space="0" w:color="000000"/>
              <w:right w:val="single" w:sz="6" w:space="0" w:color="000000"/>
            </w:tcBorders>
          </w:tcPr>
          <w:p w14:paraId="12E80569"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Johnson et al., 2017</w:t>
            </w:r>
            <w:r>
              <w:rPr>
                <w:rFonts w:ascii="Garamond" w:eastAsia="Garamond" w:hAnsi="Garamond" w:cs="Garamond"/>
                <w:sz w:val="18"/>
                <w:szCs w:val="18"/>
                <w:vertAlign w:val="superscript"/>
              </w:rPr>
              <w:t>165</w:t>
            </w:r>
            <w:r>
              <w:rPr>
                <w:rFonts w:ascii="Garamond" w:eastAsia="Garamond" w:hAnsi="Garamond" w:cs="Garamond"/>
                <w:sz w:val="18"/>
                <w:szCs w:val="18"/>
              </w:rPr>
              <w:t xml:space="preserve"> reported no change in patients’ Functional Independence Measure (FIM) scores, at the time of hospital discharge.</w:t>
            </w:r>
          </w:p>
        </w:tc>
        <w:tc>
          <w:tcPr>
            <w:tcW w:w="993" w:type="dxa"/>
            <w:tcBorders>
              <w:top w:val="single" w:sz="6" w:space="0" w:color="000000"/>
              <w:left w:val="single" w:sz="6" w:space="0" w:color="000000"/>
              <w:bottom w:val="single" w:sz="6" w:space="0" w:color="000000"/>
              <w:right w:val="single" w:sz="6" w:space="0" w:color="000000"/>
            </w:tcBorders>
          </w:tcPr>
          <w:p w14:paraId="6A243C92"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86"/>
                <w:id w:val="-1063562781"/>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Low</w:t>
            </w:r>
          </w:p>
        </w:tc>
        <w:tc>
          <w:tcPr>
            <w:tcW w:w="1275" w:type="dxa"/>
            <w:tcBorders>
              <w:top w:val="single" w:sz="6" w:space="0" w:color="000000"/>
              <w:left w:val="single" w:sz="6" w:space="0" w:color="000000"/>
              <w:bottom w:val="single" w:sz="6" w:space="0" w:color="000000"/>
              <w:right w:val="single" w:sz="6" w:space="0" w:color="000000"/>
            </w:tcBorders>
          </w:tcPr>
          <w:p w14:paraId="0B34AC6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435F9BBB" w14:textId="77777777" w:rsidTr="00A207C4">
        <w:trPr>
          <w:cantSplit/>
        </w:trPr>
        <w:tc>
          <w:tcPr>
            <w:tcW w:w="15168" w:type="dxa"/>
            <w:gridSpan w:val="10"/>
            <w:shd w:val="clear" w:color="auto" w:fill="FFFFFF"/>
            <w:tcMar>
              <w:top w:w="75" w:type="dxa"/>
              <w:left w:w="100" w:type="dxa"/>
              <w:bottom w:w="100" w:type="dxa"/>
              <w:right w:w="100" w:type="dxa"/>
            </w:tcMar>
            <w:vAlign w:val="center"/>
          </w:tcPr>
          <w:p w14:paraId="4052CBC2"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Discharge to residential care setting</w:t>
            </w:r>
          </w:p>
        </w:tc>
      </w:tr>
      <w:tr w:rsidR="006E087E" w14:paraId="4B9C7711"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45E62EFF"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1</w:t>
            </w:r>
          </w:p>
        </w:tc>
        <w:tc>
          <w:tcPr>
            <w:tcW w:w="1134" w:type="dxa"/>
            <w:tcBorders>
              <w:top w:val="single" w:sz="6" w:space="0" w:color="000000"/>
              <w:left w:val="single" w:sz="6" w:space="0" w:color="000000"/>
              <w:bottom w:val="single" w:sz="6" w:space="0" w:color="000000"/>
              <w:right w:val="single" w:sz="6" w:space="0" w:color="000000"/>
            </w:tcBorders>
          </w:tcPr>
          <w:p w14:paraId="2AA5D337"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observational study</w:t>
            </w:r>
          </w:p>
        </w:tc>
        <w:tc>
          <w:tcPr>
            <w:tcW w:w="850" w:type="dxa"/>
            <w:tcBorders>
              <w:top w:val="single" w:sz="6" w:space="0" w:color="000000"/>
              <w:left w:val="single" w:sz="6" w:space="0" w:color="000000"/>
              <w:bottom w:val="single" w:sz="6" w:space="0" w:color="000000"/>
              <w:right w:val="single" w:sz="6" w:space="0" w:color="000000"/>
            </w:tcBorders>
          </w:tcPr>
          <w:p w14:paraId="36A4B202" w14:textId="77777777" w:rsidR="006E087E" w:rsidRDefault="006E087E" w:rsidP="00A207C4">
            <w:pPr>
              <w:jc w:val="center"/>
              <w:rPr>
                <w:rFonts w:ascii="Garamond" w:eastAsia="Garamond" w:hAnsi="Garamond" w:cs="Garamond"/>
                <w:b/>
                <w:sz w:val="18"/>
                <w:szCs w:val="18"/>
                <w:vertAlign w:val="superscript"/>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674DC613"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2DB4AE74"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07957308" w14:textId="77777777" w:rsidR="006E087E" w:rsidRDefault="006E087E" w:rsidP="00A207C4">
            <w:pPr>
              <w:jc w:val="center"/>
              <w:rPr>
                <w:rFonts w:ascii="Garamond" w:eastAsia="Garamond" w:hAnsi="Garamond" w:cs="Garamond"/>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b</w:t>
            </w:r>
          </w:p>
        </w:tc>
        <w:tc>
          <w:tcPr>
            <w:tcW w:w="1276" w:type="dxa"/>
            <w:tcBorders>
              <w:top w:val="single" w:sz="6" w:space="0" w:color="000000"/>
              <w:left w:val="single" w:sz="6" w:space="0" w:color="000000"/>
              <w:bottom w:val="single" w:sz="6" w:space="0" w:color="000000"/>
              <w:right w:val="single" w:sz="6" w:space="0" w:color="000000"/>
            </w:tcBorders>
          </w:tcPr>
          <w:p w14:paraId="0B6ABA0C"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6" w:type="dxa"/>
            <w:tcBorders>
              <w:top w:val="single" w:sz="6" w:space="0" w:color="000000"/>
              <w:left w:val="single" w:sz="6" w:space="0" w:color="000000"/>
              <w:bottom w:val="single" w:sz="6" w:space="0" w:color="000000"/>
              <w:right w:val="single" w:sz="6" w:space="0" w:color="000000"/>
            </w:tcBorders>
          </w:tcPr>
          <w:p w14:paraId="1870246C" w14:textId="77777777" w:rsidR="006E087E" w:rsidRDefault="006E087E" w:rsidP="00A207C4">
            <w:pPr>
              <w:rPr>
                <w:rFonts w:ascii="Garamond" w:eastAsia="Garamond" w:hAnsi="Garamond" w:cs="Garamond"/>
                <w:sz w:val="18"/>
                <w:szCs w:val="18"/>
              </w:rPr>
            </w:pPr>
            <w:r>
              <w:rPr>
                <w:rFonts w:ascii="Garamond" w:eastAsia="Garamond" w:hAnsi="Garamond" w:cs="Garamond"/>
                <w:sz w:val="18"/>
                <w:szCs w:val="18"/>
              </w:rPr>
              <w:t>Johnson et al. (2017) reported lower rates of discharge to residential care after implementation of a preprinted EOL order set (before: 15%, after: 8%). However, this finding is limited by a wide imprecision and the effect of palliative care education on discharge to residential setting is unclear.</w:t>
            </w:r>
          </w:p>
        </w:tc>
        <w:tc>
          <w:tcPr>
            <w:tcW w:w="993" w:type="dxa"/>
            <w:tcBorders>
              <w:top w:val="single" w:sz="6" w:space="0" w:color="000000"/>
              <w:left w:val="single" w:sz="6" w:space="0" w:color="000000"/>
              <w:bottom w:val="single" w:sz="6" w:space="0" w:color="000000"/>
              <w:right w:val="single" w:sz="6" w:space="0" w:color="000000"/>
            </w:tcBorders>
          </w:tcPr>
          <w:p w14:paraId="2131F058"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87"/>
                <w:id w:val="-773792651"/>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75" w:type="dxa"/>
            <w:tcBorders>
              <w:top w:val="single" w:sz="6" w:space="0" w:color="000000"/>
              <w:left w:val="single" w:sz="6" w:space="0" w:color="000000"/>
              <w:bottom w:val="single" w:sz="6" w:space="0" w:color="000000"/>
              <w:right w:val="single" w:sz="6" w:space="0" w:color="000000"/>
            </w:tcBorders>
          </w:tcPr>
          <w:p w14:paraId="13DE20C9"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r w:rsidR="006E087E" w14:paraId="62BA70EB" w14:textId="77777777" w:rsidTr="00A207C4">
        <w:trPr>
          <w:cantSplit/>
        </w:trPr>
        <w:tc>
          <w:tcPr>
            <w:tcW w:w="15168" w:type="dxa"/>
            <w:gridSpan w:val="10"/>
            <w:shd w:val="clear" w:color="auto" w:fill="FFFFFF"/>
            <w:tcMar>
              <w:top w:w="75" w:type="dxa"/>
              <w:left w:w="100" w:type="dxa"/>
              <w:bottom w:w="100" w:type="dxa"/>
              <w:right w:w="100" w:type="dxa"/>
            </w:tcMar>
            <w:vAlign w:val="center"/>
          </w:tcPr>
          <w:p w14:paraId="4C909BEB"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Length of stay</w:t>
            </w:r>
          </w:p>
        </w:tc>
      </w:tr>
      <w:tr w:rsidR="006E087E" w14:paraId="22651A45" w14:textId="77777777" w:rsidTr="00A207C4">
        <w:trPr>
          <w:cantSplit/>
        </w:trPr>
        <w:tc>
          <w:tcPr>
            <w:tcW w:w="710" w:type="dxa"/>
            <w:tcBorders>
              <w:top w:val="single" w:sz="6" w:space="0" w:color="000000"/>
              <w:left w:val="single" w:sz="6" w:space="0" w:color="000000"/>
              <w:bottom w:val="single" w:sz="6" w:space="0" w:color="000000"/>
              <w:right w:val="single" w:sz="6" w:space="0" w:color="000000"/>
            </w:tcBorders>
          </w:tcPr>
          <w:p w14:paraId="258ACC74"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sz w:val="18"/>
                <w:szCs w:val="18"/>
              </w:rPr>
              <w:t>3</w:t>
            </w:r>
          </w:p>
        </w:tc>
        <w:tc>
          <w:tcPr>
            <w:tcW w:w="1134" w:type="dxa"/>
            <w:tcBorders>
              <w:top w:val="single" w:sz="6" w:space="0" w:color="000000"/>
              <w:left w:val="single" w:sz="6" w:space="0" w:color="000000"/>
              <w:bottom w:val="single" w:sz="6" w:space="0" w:color="000000"/>
              <w:right w:val="single" w:sz="6" w:space="0" w:color="000000"/>
            </w:tcBorders>
          </w:tcPr>
          <w:p w14:paraId="58D232E4"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1 randomized trial</w:t>
            </w:r>
          </w:p>
          <w:p w14:paraId="12F729E0" w14:textId="77777777" w:rsidR="006E087E" w:rsidRDefault="006E087E" w:rsidP="00A207C4">
            <w:pPr>
              <w:jc w:val="center"/>
              <w:rPr>
                <w:rFonts w:ascii="Garamond" w:eastAsia="Garamond" w:hAnsi="Garamond" w:cs="Garamond"/>
                <w:sz w:val="18"/>
                <w:szCs w:val="18"/>
              </w:rPr>
            </w:pPr>
          </w:p>
          <w:p w14:paraId="2F0E3012"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2 observational studies</w:t>
            </w:r>
          </w:p>
        </w:tc>
        <w:tc>
          <w:tcPr>
            <w:tcW w:w="850" w:type="dxa"/>
            <w:tcBorders>
              <w:top w:val="single" w:sz="6" w:space="0" w:color="000000"/>
              <w:left w:val="single" w:sz="6" w:space="0" w:color="000000"/>
              <w:bottom w:val="single" w:sz="6" w:space="0" w:color="000000"/>
              <w:right w:val="single" w:sz="6" w:space="0" w:color="000000"/>
            </w:tcBorders>
          </w:tcPr>
          <w:p w14:paraId="4E56F722" w14:textId="77777777" w:rsidR="006E087E" w:rsidRDefault="006E087E" w:rsidP="00A207C4">
            <w:pPr>
              <w:jc w:val="center"/>
              <w:rPr>
                <w:rFonts w:ascii="Garamond" w:eastAsia="Garamond" w:hAnsi="Garamond" w:cs="Garamond"/>
                <w:b/>
                <w:sz w:val="18"/>
                <w:szCs w:val="18"/>
                <w:vertAlign w:val="superscript"/>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7953AFF6" w14:textId="77777777" w:rsidR="006E087E" w:rsidRDefault="006E087E" w:rsidP="00A207C4">
            <w:pPr>
              <w:jc w:val="center"/>
              <w:rPr>
                <w:rFonts w:ascii="Garamond" w:eastAsia="Garamond" w:hAnsi="Garamond" w:cs="Garamond"/>
                <w:color w:val="C00000"/>
                <w:sz w:val="18"/>
                <w:szCs w:val="18"/>
              </w:rPr>
            </w:pPr>
            <w:r>
              <w:rPr>
                <w:rFonts w:ascii="Garamond" w:eastAsia="Garamond" w:hAnsi="Garamond" w:cs="Garamond"/>
                <w:b/>
                <w:color w:val="C00000"/>
                <w:sz w:val="18"/>
                <w:szCs w:val="18"/>
              </w:rPr>
              <w:t xml:space="preserve">serious </w:t>
            </w:r>
            <w:r>
              <w:rPr>
                <w:rFonts w:ascii="Garamond" w:eastAsia="Garamond" w:hAnsi="Garamond" w:cs="Garamond"/>
                <w:b/>
                <w:color w:val="C00000"/>
                <w:sz w:val="18"/>
                <w:szCs w:val="18"/>
                <w:vertAlign w:val="superscript"/>
              </w:rPr>
              <w:t>a</w:t>
            </w:r>
          </w:p>
        </w:tc>
        <w:tc>
          <w:tcPr>
            <w:tcW w:w="1134" w:type="dxa"/>
            <w:tcBorders>
              <w:top w:val="single" w:sz="6" w:space="0" w:color="000000"/>
              <w:left w:val="single" w:sz="6" w:space="0" w:color="000000"/>
              <w:bottom w:val="single" w:sz="6" w:space="0" w:color="000000"/>
              <w:right w:val="single" w:sz="6" w:space="0" w:color="000000"/>
            </w:tcBorders>
          </w:tcPr>
          <w:p w14:paraId="1A925DB1" w14:textId="77777777" w:rsidR="006E087E" w:rsidRDefault="006E087E" w:rsidP="00A207C4">
            <w:pPr>
              <w:jc w:val="center"/>
              <w:rPr>
                <w:rFonts w:ascii="Garamond" w:eastAsia="Garamond" w:hAnsi="Garamond" w:cs="Garamond"/>
                <w:b/>
                <w:color w:val="C00000"/>
                <w:sz w:val="18"/>
                <w:szCs w:val="18"/>
              </w:rPr>
            </w:pPr>
            <w:r>
              <w:rPr>
                <w:rFonts w:ascii="Garamond" w:eastAsia="Garamond" w:hAnsi="Garamond" w:cs="Garamond"/>
                <w:sz w:val="18"/>
                <w:szCs w:val="18"/>
              </w:rPr>
              <w:t>not serious</w:t>
            </w:r>
          </w:p>
        </w:tc>
        <w:tc>
          <w:tcPr>
            <w:tcW w:w="1134" w:type="dxa"/>
            <w:tcBorders>
              <w:top w:val="single" w:sz="6" w:space="0" w:color="000000"/>
              <w:left w:val="single" w:sz="6" w:space="0" w:color="000000"/>
              <w:bottom w:val="single" w:sz="6" w:space="0" w:color="000000"/>
              <w:right w:val="single" w:sz="6" w:space="0" w:color="000000"/>
            </w:tcBorders>
          </w:tcPr>
          <w:p w14:paraId="7C21035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not serious</w:t>
            </w:r>
          </w:p>
        </w:tc>
        <w:tc>
          <w:tcPr>
            <w:tcW w:w="1276" w:type="dxa"/>
            <w:tcBorders>
              <w:top w:val="single" w:sz="6" w:space="0" w:color="000000"/>
              <w:left w:val="single" w:sz="6" w:space="0" w:color="000000"/>
              <w:bottom w:val="single" w:sz="6" w:space="0" w:color="000000"/>
              <w:right w:val="single" w:sz="6" w:space="0" w:color="000000"/>
            </w:tcBorders>
          </w:tcPr>
          <w:p w14:paraId="198B5CEF"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none</w:t>
            </w:r>
          </w:p>
        </w:tc>
        <w:tc>
          <w:tcPr>
            <w:tcW w:w="5386" w:type="dxa"/>
            <w:tcBorders>
              <w:top w:val="single" w:sz="6" w:space="0" w:color="000000"/>
              <w:left w:val="single" w:sz="6" w:space="0" w:color="000000"/>
              <w:bottom w:val="single" w:sz="6" w:space="0" w:color="000000"/>
              <w:right w:val="single" w:sz="6" w:space="0" w:color="000000"/>
            </w:tcBorders>
          </w:tcPr>
          <w:p w14:paraId="1278F566" w14:textId="77777777" w:rsidR="006E087E" w:rsidRDefault="006E087E" w:rsidP="006E087E">
            <w:pPr>
              <w:numPr>
                <w:ilvl w:val="0"/>
                <w:numId w:val="5"/>
              </w:numPr>
              <w:spacing w:line="240" w:lineRule="auto"/>
              <w:rPr>
                <w:rFonts w:ascii="Garamond" w:eastAsia="Garamond" w:hAnsi="Garamond" w:cs="Garamond"/>
                <w:sz w:val="18"/>
                <w:szCs w:val="18"/>
              </w:rPr>
            </w:pPr>
            <w:r>
              <w:rPr>
                <w:rFonts w:ascii="Garamond" w:eastAsia="Garamond" w:hAnsi="Garamond" w:cs="Garamond"/>
                <w:sz w:val="18"/>
                <w:szCs w:val="18"/>
              </w:rPr>
              <w:t>Picker et al. (2017)</w:t>
            </w:r>
            <w:r>
              <w:rPr>
                <w:rFonts w:ascii="Garamond" w:eastAsia="Garamond" w:hAnsi="Garamond" w:cs="Garamond"/>
                <w:sz w:val="18"/>
                <w:szCs w:val="18"/>
                <w:vertAlign w:val="superscript"/>
              </w:rPr>
              <w:t>164</w:t>
            </w:r>
            <w:r>
              <w:rPr>
                <w:rFonts w:ascii="Garamond" w:eastAsia="Garamond" w:hAnsi="Garamond" w:cs="Garamond"/>
                <w:sz w:val="18"/>
                <w:szCs w:val="18"/>
              </w:rPr>
              <w:t xml:space="preserve"> found lower length of ICU in the intervention group, although the median length of ICU stay in both groups was 0 days.</w:t>
            </w:r>
          </w:p>
          <w:p w14:paraId="456B02DA" w14:textId="77777777" w:rsidR="006E087E" w:rsidRDefault="006E087E" w:rsidP="006E087E">
            <w:pPr>
              <w:numPr>
                <w:ilvl w:val="0"/>
                <w:numId w:val="5"/>
              </w:numPr>
              <w:spacing w:line="240" w:lineRule="auto"/>
              <w:rPr>
                <w:rFonts w:ascii="Garamond" w:eastAsia="Garamond" w:hAnsi="Garamond" w:cs="Garamond"/>
                <w:sz w:val="18"/>
                <w:szCs w:val="18"/>
              </w:rPr>
            </w:pPr>
            <w:r>
              <w:rPr>
                <w:rFonts w:ascii="Garamond" w:eastAsia="Garamond" w:hAnsi="Garamond" w:cs="Garamond"/>
                <w:sz w:val="18"/>
                <w:szCs w:val="18"/>
              </w:rPr>
              <w:t>Johnson et al. (2017)</w:t>
            </w:r>
            <w:r>
              <w:rPr>
                <w:rFonts w:ascii="Garamond" w:eastAsia="Garamond" w:hAnsi="Garamond" w:cs="Garamond"/>
                <w:sz w:val="18"/>
                <w:szCs w:val="18"/>
                <w:vertAlign w:val="superscript"/>
              </w:rPr>
              <w:t>165</w:t>
            </w:r>
            <w:r>
              <w:rPr>
                <w:rFonts w:ascii="Garamond" w:eastAsia="Garamond" w:hAnsi="Garamond" w:cs="Garamond"/>
                <w:sz w:val="18"/>
                <w:szCs w:val="18"/>
              </w:rPr>
              <w:t xml:space="preserve"> reported no change in hospital length of stay (before: 16.3 +/- 12.2; after: 16.9 +/- 10.8).</w:t>
            </w:r>
          </w:p>
          <w:p w14:paraId="355932E6" w14:textId="77777777" w:rsidR="006E087E" w:rsidRDefault="006E087E" w:rsidP="006E087E">
            <w:pPr>
              <w:numPr>
                <w:ilvl w:val="0"/>
                <w:numId w:val="5"/>
              </w:numPr>
              <w:spacing w:line="240" w:lineRule="auto"/>
              <w:rPr>
                <w:rFonts w:ascii="Garamond" w:eastAsia="Garamond" w:hAnsi="Garamond" w:cs="Garamond"/>
                <w:sz w:val="18"/>
                <w:szCs w:val="18"/>
              </w:rPr>
            </w:pPr>
            <w:r>
              <w:rPr>
                <w:rFonts w:ascii="Garamond" w:eastAsia="Garamond" w:hAnsi="Garamond" w:cs="Garamond"/>
                <w:sz w:val="18"/>
                <w:szCs w:val="18"/>
              </w:rPr>
              <w:t>Tam et al. (2014)</w:t>
            </w:r>
            <w:r>
              <w:rPr>
                <w:rFonts w:ascii="Garamond" w:eastAsia="Garamond" w:hAnsi="Garamond" w:cs="Garamond"/>
                <w:sz w:val="18"/>
                <w:szCs w:val="18"/>
                <w:vertAlign w:val="superscript"/>
              </w:rPr>
              <w:t>166</w:t>
            </w:r>
            <w:r>
              <w:rPr>
                <w:rFonts w:ascii="Garamond" w:eastAsia="Garamond" w:hAnsi="Garamond" w:cs="Garamond"/>
                <w:sz w:val="18"/>
                <w:szCs w:val="18"/>
              </w:rPr>
              <w:t xml:space="preserve"> reported no change in length of ICU stay after implementation of a preprinted resuscitation status order set (before: 12 +/- 16, after: 14 +/- 44).</w:t>
            </w:r>
          </w:p>
          <w:p w14:paraId="3A0262E5" w14:textId="77777777" w:rsidR="006E087E" w:rsidRDefault="006E087E" w:rsidP="00A207C4">
            <w:pPr>
              <w:rPr>
                <w:rFonts w:ascii="Garamond" w:eastAsia="Garamond" w:hAnsi="Garamond" w:cs="Garamond"/>
                <w:b/>
                <w:sz w:val="18"/>
                <w:szCs w:val="18"/>
              </w:rPr>
            </w:pPr>
            <w:r>
              <w:rPr>
                <w:rFonts w:ascii="Garamond" w:eastAsia="Garamond" w:hAnsi="Garamond" w:cs="Garamond"/>
                <w:b/>
                <w:sz w:val="18"/>
                <w:szCs w:val="18"/>
              </w:rPr>
              <w:t>Overall, the effect of palliative care education/ guidance on addressing GOC on length of ICU stay is unclear.</w:t>
            </w:r>
          </w:p>
        </w:tc>
        <w:tc>
          <w:tcPr>
            <w:tcW w:w="993" w:type="dxa"/>
            <w:tcBorders>
              <w:top w:val="single" w:sz="6" w:space="0" w:color="000000"/>
              <w:left w:val="single" w:sz="6" w:space="0" w:color="000000"/>
              <w:bottom w:val="single" w:sz="6" w:space="0" w:color="000000"/>
              <w:right w:val="single" w:sz="6" w:space="0" w:color="000000"/>
            </w:tcBorders>
          </w:tcPr>
          <w:p w14:paraId="0898ADA8" w14:textId="77777777" w:rsidR="006E087E" w:rsidRDefault="006E087E" w:rsidP="00A207C4">
            <w:pPr>
              <w:jc w:val="center"/>
              <w:rPr>
                <w:rFonts w:ascii="Garamond" w:eastAsia="Garamond" w:hAnsi="Garamond" w:cs="Garamond"/>
                <w:sz w:val="18"/>
                <w:szCs w:val="18"/>
              </w:rPr>
            </w:pPr>
            <w:r>
              <w:rPr>
                <w:rFonts w:ascii="Cambria Math" w:eastAsia="Cambria Math" w:hAnsi="Cambria Math" w:cs="Cambria Math"/>
                <w:sz w:val="18"/>
                <w:szCs w:val="18"/>
              </w:rPr>
              <w:t>⨁</w:t>
            </w:r>
            <w:sdt>
              <w:sdtPr>
                <w:tag w:val="goog_rdk_88"/>
                <w:id w:val="-839545020"/>
              </w:sdtPr>
              <w:sdtEndPr/>
              <w:sdtContent>
                <w:r>
                  <w:rPr>
                    <w:rFonts w:ascii="Arial Unicode MS" w:eastAsia="Arial Unicode MS" w:hAnsi="Arial Unicode MS" w:cs="Arial Unicode MS"/>
                    <w:sz w:val="18"/>
                    <w:szCs w:val="18"/>
                  </w:rPr>
                  <w:t>◯◯◯</w:t>
                </w:r>
              </w:sdtContent>
            </w:sdt>
            <w:r>
              <w:rPr>
                <w:rFonts w:ascii="Garamond" w:eastAsia="Garamond" w:hAnsi="Garamond" w:cs="Garamond"/>
                <w:sz w:val="18"/>
                <w:szCs w:val="18"/>
              </w:rPr>
              <w:br/>
              <w:t>Very Low</w:t>
            </w:r>
          </w:p>
        </w:tc>
        <w:tc>
          <w:tcPr>
            <w:tcW w:w="1275" w:type="dxa"/>
            <w:tcBorders>
              <w:top w:val="single" w:sz="6" w:space="0" w:color="000000"/>
              <w:left w:val="single" w:sz="6" w:space="0" w:color="000000"/>
              <w:bottom w:val="single" w:sz="6" w:space="0" w:color="000000"/>
              <w:right w:val="single" w:sz="6" w:space="0" w:color="000000"/>
            </w:tcBorders>
          </w:tcPr>
          <w:p w14:paraId="644ABDED" w14:textId="77777777" w:rsidR="006E087E" w:rsidRDefault="006E087E" w:rsidP="00A207C4">
            <w:pPr>
              <w:jc w:val="center"/>
              <w:rPr>
                <w:rFonts w:ascii="Garamond" w:eastAsia="Garamond" w:hAnsi="Garamond" w:cs="Garamond"/>
                <w:sz w:val="18"/>
                <w:szCs w:val="18"/>
              </w:rPr>
            </w:pPr>
            <w:r>
              <w:rPr>
                <w:rFonts w:ascii="Garamond" w:eastAsia="Garamond" w:hAnsi="Garamond" w:cs="Garamond"/>
                <w:sz w:val="18"/>
                <w:szCs w:val="18"/>
              </w:rPr>
              <w:t>IMPORTANT</w:t>
            </w:r>
          </w:p>
        </w:tc>
      </w:tr>
    </w:tbl>
    <w:p w14:paraId="1BAD957F" w14:textId="77777777" w:rsidR="006E087E" w:rsidRDefault="006E087E" w:rsidP="006E087E">
      <w:pPr>
        <w:spacing w:line="240" w:lineRule="auto"/>
        <w:rPr>
          <w:rFonts w:ascii="Garamond" w:eastAsia="Garamond" w:hAnsi="Garamond" w:cs="Garamond"/>
          <w:b/>
          <w:sz w:val="18"/>
          <w:szCs w:val="18"/>
        </w:rPr>
      </w:pPr>
    </w:p>
    <w:p w14:paraId="6D4CE71A"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b/>
          <w:sz w:val="18"/>
          <w:szCs w:val="18"/>
        </w:rPr>
        <w:t>RR:</w:t>
      </w:r>
      <w:r>
        <w:rPr>
          <w:rFonts w:ascii="Garamond" w:eastAsia="Garamond" w:hAnsi="Garamond" w:cs="Garamond"/>
          <w:sz w:val="18"/>
          <w:szCs w:val="18"/>
        </w:rPr>
        <w:t xml:space="preserve"> risk ratio; </w:t>
      </w:r>
      <w:r>
        <w:rPr>
          <w:rFonts w:ascii="Garamond" w:eastAsia="Garamond" w:hAnsi="Garamond" w:cs="Garamond"/>
          <w:b/>
          <w:sz w:val="18"/>
          <w:szCs w:val="18"/>
        </w:rPr>
        <w:t xml:space="preserve">GOC: </w:t>
      </w:r>
      <w:r>
        <w:rPr>
          <w:rFonts w:ascii="Garamond" w:eastAsia="Garamond" w:hAnsi="Garamond" w:cs="Garamond"/>
          <w:sz w:val="18"/>
          <w:szCs w:val="18"/>
        </w:rPr>
        <w:t xml:space="preserve">Goals of care; </w:t>
      </w:r>
      <w:r>
        <w:rPr>
          <w:rFonts w:ascii="Garamond" w:eastAsia="Garamond" w:hAnsi="Garamond" w:cs="Garamond"/>
          <w:b/>
          <w:sz w:val="18"/>
          <w:szCs w:val="18"/>
        </w:rPr>
        <w:t xml:space="preserve">EOL: </w:t>
      </w:r>
      <w:r>
        <w:rPr>
          <w:rFonts w:ascii="Garamond" w:eastAsia="Garamond" w:hAnsi="Garamond" w:cs="Garamond"/>
          <w:sz w:val="18"/>
          <w:szCs w:val="18"/>
        </w:rPr>
        <w:t>end-of-life;</w:t>
      </w:r>
      <w:r>
        <w:rPr>
          <w:rFonts w:ascii="Garamond" w:eastAsia="Garamond" w:hAnsi="Garamond" w:cs="Garamond"/>
          <w:b/>
          <w:sz w:val="18"/>
          <w:szCs w:val="18"/>
        </w:rPr>
        <w:t xml:space="preserve"> DNAR: </w:t>
      </w:r>
      <w:r>
        <w:rPr>
          <w:rFonts w:ascii="Garamond" w:eastAsia="Garamond" w:hAnsi="Garamond" w:cs="Garamond"/>
          <w:sz w:val="18"/>
          <w:szCs w:val="18"/>
        </w:rPr>
        <w:t>Do not attempt resuscitation</w:t>
      </w:r>
    </w:p>
    <w:p w14:paraId="3A4AB29A" w14:textId="77777777" w:rsidR="006E087E" w:rsidRDefault="006E087E" w:rsidP="006E087E">
      <w:pPr>
        <w:spacing w:line="240" w:lineRule="auto"/>
        <w:rPr>
          <w:rFonts w:ascii="Garamond" w:eastAsia="Garamond" w:hAnsi="Garamond" w:cs="Garamond"/>
          <w:sz w:val="18"/>
          <w:szCs w:val="18"/>
        </w:rPr>
      </w:pPr>
    </w:p>
    <w:p w14:paraId="5EB295FC" w14:textId="77777777" w:rsidR="006E087E" w:rsidRDefault="006E087E" w:rsidP="006E087E">
      <w:pPr>
        <w:pStyle w:val="Heading4"/>
        <w:rPr>
          <w:rFonts w:ascii="Garamond" w:eastAsia="Garamond" w:hAnsi="Garamond" w:cs="Garamond"/>
          <w:i w:val="0"/>
          <w:sz w:val="18"/>
          <w:szCs w:val="18"/>
          <w:u w:val="none"/>
        </w:rPr>
      </w:pPr>
      <w:bookmarkStart w:id="47" w:name="_heading=h.yesr0h59cy8r" w:colFirst="0" w:colLast="0"/>
      <w:bookmarkEnd w:id="47"/>
      <w:r>
        <w:rPr>
          <w:rFonts w:ascii="Garamond" w:eastAsia="Garamond" w:hAnsi="Garamond" w:cs="Garamond"/>
          <w:i w:val="0"/>
          <w:sz w:val="18"/>
          <w:szCs w:val="18"/>
          <w:u w:val="none"/>
        </w:rPr>
        <w:t>Explanations</w:t>
      </w:r>
    </w:p>
    <w:p w14:paraId="0430CECD" w14:textId="77777777" w:rsidR="006E087E" w:rsidRDefault="006E087E" w:rsidP="006E087E">
      <w:pPr>
        <w:spacing w:line="240" w:lineRule="auto"/>
        <w:rPr>
          <w:rFonts w:ascii="Garamond" w:eastAsia="Garamond" w:hAnsi="Garamond" w:cs="Garamond"/>
          <w:sz w:val="18"/>
          <w:szCs w:val="18"/>
        </w:rPr>
      </w:pPr>
      <w:r>
        <w:rPr>
          <w:rFonts w:ascii="Garamond" w:eastAsia="Garamond" w:hAnsi="Garamond" w:cs="Garamond"/>
          <w:sz w:val="18"/>
          <w:szCs w:val="18"/>
        </w:rPr>
        <w:t>a. Rated down for inconsistency due to variability in conclusions across studies.</w:t>
      </w:r>
    </w:p>
    <w:p w14:paraId="5F7A3150" w14:textId="77777777" w:rsidR="006E087E" w:rsidRDefault="006E087E" w:rsidP="006E087E">
      <w:pPr>
        <w:spacing w:line="240" w:lineRule="auto"/>
        <w:rPr>
          <w:rFonts w:ascii="Garamond" w:eastAsia="Garamond" w:hAnsi="Garamond" w:cs="Garamond"/>
          <w:sz w:val="18"/>
          <w:szCs w:val="18"/>
        </w:rPr>
      </w:pPr>
      <w:bookmarkStart w:id="48" w:name="_heading=h.56buwfl00nq4" w:colFirst="0" w:colLast="0"/>
      <w:bookmarkEnd w:id="48"/>
      <w:r>
        <w:rPr>
          <w:rFonts w:ascii="Garamond" w:eastAsia="Garamond" w:hAnsi="Garamond" w:cs="Garamond"/>
          <w:sz w:val="18"/>
          <w:szCs w:val="18"/>
        </w:rPr>
        <w:t>b. Rated down for imprecision due to relatively small event rates and therefore, wide confidence intervals.</w:t>
      </w:r>
      <w:r>
        <w:br w:type="page"/>
      </w:r>
    </w:p>
    <w:p w14:paraId="6DC2B5A8" w14:textId="77777777" w:rsidR="006E087E" w:rsidRDefault="006E087E" w:rsidP="006E087E">
      <w:pPr>
        <w:spacing w:line="240" w:lineRule="auto"/>
        <w:jc w:val="both"/>
        <w:rPr>
          <w:rFonts w:ascii="Garamond" w:eastAsia="Garamond" w:hAnsi="Garamond" w:cs="Garamond"/>
          <w:b/>
          <w:sz w:val="24"/>
          <w:szCs w:val="24"/>
        </w:rPr>
      </w:pPr>
      <w:r>
        <w:rPr>
          <w:rFonts w:ascii="Garamond" w:eastAsia="Garamond" w:hAnsi="Garamond" w:cs="Garamond"/>
          <w:b/>
          <w:sz w:val="24"/>
          <w:szCs w:val="24"/>
        </w:rPr>
        <w:lastRenderedPageBreak/>
        <w:t>Summary Of Judgements: Focused education/guidance regarding goals of care discussions for clinicians</w:t>
      </w:r>
    </w:p>
    <w:tbl>
      <w:tblPr>
        <w:tblW w:w="15026" w:type="dxa"/>
        <w:tblInd w:w="-364" w:type="dxa"/>
        <w:tblBorders>
          <w:top w:val="nil"/>
          <w:left w:val="nil"/>
          <w:bottom w:val="nil"/>
          <w:right w:val="nil"/>
          <w:insideH w:val="nil"/>
          <w:insideV w:val="nil"/>
        </w:tblBorders>
        <w:tblLayout w:type="fixed"/>
        <w:tblLook w:val="0600" w:firstRow="0" w:lastRow="0" w:firstColumn="0" w:lastColumn="0" w:noHBand="1" w:noVBand="1"/>
      </w:tblPr>
      <w:tblGrid>
        <w:gridCol w:w="2978"/>
        <w:gridCol w:w="1559"/>
        <w:gridCol w:w="1843"/>
        <w:gridCol w:w="2693"/>
        <w:gridCol w:w="1843"/>
        <w:gridCol w:w="1275"/>
        <w:gridCol w:w="993"/>
        <w:gridCol w:w="1842"/>
      </w:tblGrid>
      <w:tr w:rsidR="006E087E" w14:paraId="0415070B" w14:textId="77777777" w:rsidTr="00A207C4">
        <w:trPr>
          <w:trHeight w:val="344"/>
        </w:trPr>
        <w:tc>
          <w:tcPr>
            <w:tcW w:w="2978" w:type="dxa"/>
            <w:tcBorders>
              <w:top w:val="nil"/>
              <w:left w:val="nil"/>
              <w:bottom w:val="nil"/>
              <w:right w:val="nil"/>
            </w:tcBorders>
            <w:tcMar>
              <w:top w:w="80" w:type="dxa"/>
              <w:left w:w="80" w:type="dxa"/>
              <w:bottom w:w="80" w:type="dxa"/>
              <w:right w:w="80" w:type="dxa"/>
            </w:tcMar>
          </w:tcPr>
          <w:p w14:paraId="61BFE7F0" w14:textId="77777777" w:rsidR="006E087E" w:rsidRDefault="006E087E" w:rsidP="00A207C4">
            <w:pPr>
              <w:rPr>
                <w:rFonts w:ascii="Garamond" w:eastAsia="Garamond" w:hAnsi="Garamond" w:cs="Garamond"/>
                <w:sz w:val="20"/>
                <w:szCs w:val="20"/>
              </w:rPr>
            </w:pPr>
          </w:p>
        </w:tc>
        <w:tc>
          <w:tcPr>
            <w:tcW w:w="12048" w:type="dxa"/>
            <w:gridSpan w:val="7"/>
            <w:tcBorders>
              <w:top w:val="single" w:sz="8" w:space="0" w:color="000000"/>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1A31D069" w14:textId="77777777" w:rsidR="006E087E" w:rsidRDefault="006E087E" w:rsidP="00A207C4">
            <w:pPr>
              <w:jc w:val="center"/>
              <w:rPr>
                <w:rFonts w:ascii="Garamond" w:eastAsia="Garamond" w:hAnsi="Garamond" w:cs="Garamond"/>
                <w:b/>
                <w:color w:val="FFFFFF"/>
                <w:sz w:val="20"/>
                <w:szCs w:val="20"/>
              </w:rPr>
            </w:pPr>
            <w:r>
              <w:rPr>
                <w:rFonts w:ascii="Garamond" w:eastAsia="Garamond" w:hAnsi="Garamond" w:cs="Garamond"/>
                <w:b/>
                <w:color w:val="FFFFFF"/>
                <w:sz w:val="20"/>
                <w:szCs w:val="20"/>
              </w:rPr>
              <w:t>JUDGMENT</w:t>
            </w:r>
          </w:p>
        </w:tc>
      </w:tr>
      <w:tr w:rsidR="006E087E" w14:paraId="0F1CE6AA" w14:textId="77777777" w:rsidTr="00A207C4">
        <w:trPr>
          <w:trHeight w:val="238"/>
        </w:trPr>
        <w:tc>
          <w:tcPr>
            <w:tcW w:w="2978" w:type="dxa"/>
            <w:tcBorders>
              <w:top w:val="single" w:sz="8" w:space="0" w:color="000000"/>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35BBDBA2"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PROBLEM</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E596E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843"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3CDA75C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693"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23E5420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1843"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2D2355F2"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275" w:type="dxa"/>
            <w:tcBorders>
              <w:top w:val="single" w:sz="8" w:space="0" w:color="000000"/>
              <w:left w:val="nil"/>
              <w:bottom w:val="single" w:sz="8" w:space="0" w:color="000000"/>
              <w:right w:val="single" w:sz="8" w:space="0" w:color="000000"/>
            </w:tcBorders>
            <w:shd w:val="clear" w:color="auto" w:fill="DFDFDF"/>
            <w:tcMar>
              <w:top w:w="80" w:type="dxa"/>
              <w:left w:w="80" w:type="dxa"/>
              <w:bottom w:w="80" w:type="dxa"/>
              <w:right w:w="80" w:type="dxa"/>
            </w:tcMar>
          </w:tcPr>
          <w:p w14:paraId="3FA4F65D" w14:textId="77777777" w:rsidR="006E087E" w:rsidRDefault="006E087E" w:rsidP="00A207C4">
            <w:pPr>
              <w:rPr>
                <w:rFonts w:ascii="Garamond" w:eastAsia="Garamond" w:hAnsi="Garamond" w:cs="Garamond"/>
                <w:sz w:val="20"/>
                <w:szCs w:val="20"/>
              </w:rPr>
            </w:pPr>
          </w:p>
        </w:tc>
        <w:tc>
          <w:tcPr>
            <w:tcW w:w="993"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368C124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842"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36A5BBA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277832B9" w14:textId="77777777" w:rsidTr="00A207C4">
        <w:trPr>
          <w:trHeight w:val="205"/>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62C9B7EF"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DESIRABLE EFFECTS</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FA2442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F1DA7C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Small</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FBAFAE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3392A50"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Large</w:t>
            </w:r>
          </w:p>
        </w:tc>
        <w:tc>
          <w:tcPr>
            <w:tcW w:w="1275"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7319458E" w14:textId="77777777" w:rsidR="006E087E" w:rsidRDefault="006E087E" w:rsidP="00A207C4">
            <w:pPr>
              <w:rPr>
                <w:rFonts w:ascii="Garamond" w:eastAsia="Garamond" w:hAnsi="Garamond" w:cs="Garamond"/>
                <w:sz w:val="20"/>
                <w:szCs w:val="20"/>
              </w:rPr>
            </w:pPr>
          </w:p>
        </w:tc>
        <w:tc>
          <w:tcPr>
            <w:tcW w:w="9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B8E5A9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F360C0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3F546A2D" w14:textId="77777777" w:rsidTr="00A207C4">
        <w:trPr>
          <w:trHeight w:val="460"/>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493EB64D"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UNDESIRABLE EFFECTS</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5E492A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CDB9D23"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0281A97"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Small</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D90C24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Trivial</w:t>
            </w:r>
          </w:p>
        </w:tc>
        <w:tc>
          <w:tcPr>
            <w:tcW w:w="1275"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557A4389" w14:textId="77777777" w:rsidR="006E087E" w:rsidRDefault="006E087E" w:rsidP="00A207C4">
            <w:pPr>
              <w:rPr>
                <w:rFonts w:ascii="Garamond" w:eastAsia="Garamond" w:hAnsi="Garamond" w:cs="Garamond"/>
                <w:sz w:val="20"/>
                <w:szCs w:val="20"/>
              </w:rPr>
            </w:pPr>
          </w:p>
        </w:tc>
        <w:tc>
          <w:tcPr>
            <w:tcW w:w="9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7DBEE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9117F7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60805693" w14:textId="77777777" w:rsidTr="00A207C4">
        <w:trPr>
          <w:trHeight w:val="178"/>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247A07AE"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CERTAINTY OF EVIDENCE</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885750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2E86192"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Low</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7F3DC9B"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162F37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275"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4C23B955" w14:textId="77777777" w:rsidR="006E087E" w:rsidRDefault="006E087E" w:rsidP="00A207C4">
            <w:pPr>
              <w:rPr>
                <w:rFonts w:ascii="Garamond" w:eastAsia="Garamond" w:hAnsi="Garamond" w:cs="Garamond"/>
                <w:sz w:val="20"/>
                <w:szCs w:val="20"/>
              </w:rPr>
            </w:pPr>
          </w:p>
        </w:tc>
        <w:tc>
          <w:tcPr>
            <w:tcW w:w="993"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1189D131" w14:textId="77777777" w:rsidR="006E087E" w:rsidRDefault="006E087E" w:rsidP="00A207C4">
            <w:pPr>
              <w:widowControl w:val="0"/>
              <w:rPr>
                <w:rFonts w:ascii="Garamond" w:eastAsia="Garamond" w:hAnsi="Garamond" w:cs="Garamond"/>
                <w:sz w:val="20"/>
                <w:szCs w:val="20"/>
              </w:rPr>
            </w:pP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F2B058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included studies</w:t>
            </w:r>
          </w:p>
        </w:tc>
      </w:tr>
      <w:tr w:rsidR="006E087E" w14:paraId="1CF6D4B7" w14:textId="77777777" w:rsidTr="00A207C4">
        <w:trPr>
          <w:trHeight w:val="396"/>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36861E58"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VALUES</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246E0B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Important uncertainty or variability</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428E3D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Possibly important uncertainty or variability</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FBA8561"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no important uncertainty or variability</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9BA9E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 important uncertainty or variability</w:t>
            </w:r>
          </w:p>
        </w:tc>
        <w:tc>
          <w:tcPr>
            <w:tcW w:w="1275"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6BD14686" w14:textId="77777777" w:rsidR="006E087E" w:rsidRDefault="006E087E" w:rsidP="00A207C4">
            <w:pPr>
              <w:rPr>
                <w:rFonts w:ascii="Garamond" w:eastAsia="Garamond" w:hAnsi="Garamond" w:cs="Garamond"/>
                <w:sz w:val="20"/>
                <w:szCs w:val="20"/>
              </w:rPr>
            </w:pPr>
          </w:p>
        </w:tc>
        <w:tc>
          <w:tcPr>
            <w:tcW w:w="993"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568B7372" w14:textId="77777777" w:rsidR="006E087E" w:rsidRDefault="006E087E" w:rsidP="00A207C4">
            <w:pPr>
              <w:widowControl w:val="0"/>
              <w:rPr>
                <w:rFonts w:ascii="Garamond" w:eastAsia="Garamond" w:hAnsi="Garamond" w:cs="Garamond"/>
                <w:sz w:val="20"/>
                <w:szCs w:val="20"/>
              </w:rPr>
            </w:pPr>
          </w:p>
        </w:tc>
        <w:tc>
          <w:tcPr>
            <w:tcW w:w="1842"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3ED8C47D" w14:textId="77777777" w:rsidR="006E087E" w:rsidRDefault="006E087E" w:rsidP="00A207C4">
            <w:pPr>
              <w:widowControl w:val="0"/>
              <w:rPr>
                <w:rFonts w:ascii="Garamond" w:eastAsia="Garamond" w:hAnsi="Garamond" w:cs="Garamond"/>
                <w:sz w:val="20"/>
                <w:szCs w:val="20"/>
              </w:rPr>
            </w:pPr>
          </w:p>
        </w:tc>
      </w:tr>
      <w:tr w:rsidR="006E087E" w14:paraId="1E39CDAA" w14:textId="77777777" w:rsidTr="00A207C4">
        <w:trPr>
          <w:trHeight w:val="551"/>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444B3A23"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BALANCE OF EFFECTS</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02196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9518E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EE8136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83D41F1"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intervention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1178721"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Favors the intervention</w:t>
            </w:r>
          </w:p>
        </w:tc>
        <w:tc>
          <w:tcPr>
            <w:tcW w:w="9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EA7C8E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5D2ACB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3692ED22" w14:textId="77777777" w:rsidTr="00A207C4">
        <w:trPr>
          <w:trHeight w:val="384"/>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2A93C807"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RESOURCES REQUIRED</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26D832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costs</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4CEAA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costs</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7D3A63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Negligible costs and savings</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D9CAC1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 savings</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E8341A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Large savings</w:t>
            </w:r>
          </w:p>
        </w:tc>
        <w:tc>
          <w:tcPr>
            <w:tcW w:w="9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7A863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37B26F8"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Don't know</w:t>
            </w:r>
          </w:p>
        </w:tc>
      </w:tr>
      <w:tr w:rsidR="006E087E" w14:paraId="08A4AEF4" w14:textId="77777777" w:rsidTr="00A207C4">
        <w:trPr>
          <w:trHeight w:val="213"/>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3DA0008D"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CERTAINTY OF EVIDENCE OF REQUIRED RESOURCES</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E41FAD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Very low</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440C6E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Low</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41A3EC4"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Moderate</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DE6B24E"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High</w:t>
            </w:r>
          </w:p>
        </w:tc>
        <w:tc>
          <w:tcPr>
            <w:tcW w:w="1275"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565330A7" w14:textId="77777777" w:rsidR="006E087E" w:rsidRDefault="006E087E" w:rsidP="00A207C4">
            <w:pPr>
              <w:rPr>
                <w:rFonts w:ascii="Garamond" w:eastAsia="Garamond" w:hAnsi="Garamond" w:cs="Garamond"/>
                <w:sz w:val="20"/>
                <w:szCs w:val="20"/>
              </w:rPr>
            </w:pPr>
          </w:p>
        </w:tc>
        <w:tc>
          <w:tcPr>
            <w:tcW w:w="993"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507E5A19" w14:textId="77777777" w:rsidR="006E087E" w:rsidRDefault="006E087E" w:rsidP="00A207C4">
            <w:pPr>
              <w:widowControl w:val="0"/>
              <w:rPr>
                <w:rFonts w:ascii="Garamond" w:eastAsia="Garamond" w:hAnsi="Garamond" w:cs="Garamond"/>
                <w:sz w:val="20"/>
                <w:szCs w:val="20"/>
              </w:rPr>
            </w:pP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A534C59"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included studies</w:t>
            </w:r>
          </w:p>
        </w:tc>
      </w:tr>
      <w:tr w:rsidR="006E087E" w14:paraId="62A72A90" w14:textId="77777777" w:rsidTr="00A207C4">
        <w:trPr>
          <w:trHeight w:val="31"/>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30D87818"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COST EFFECTIVENESS</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B84060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comparison</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2E9696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comparison</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F7C98D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Does not favor either the intervention or the comparison</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A011BF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favors the intervention</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79AD01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Favors the intervention</w:t>
            </w:r>
          </w:p>
        </w:tc>
        <w:tc>
          <w:tcPr>
            <w:tcW w:w="9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92DB16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FBE5AF"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No included studies</w:t>
            </w:r>
          </w:p>
        </w:tc>
      </w:tr>
      <w:tr w:rsidR="006E087E" w14:paraId="31411C6B" w14:textId="77777777" w:rsidTr="00A207C4">
        <w:trPr>
          <w:trHeight w:val="46"/>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4218B4CC"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EQUITY</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8DCD1D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Reduced</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6A4BB7"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reduced</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E790E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 impact</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0AFF86A"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Probably increased</w:t>
            </w:r>
          </w:p>
        </w:tc>
        <w:tc>
          <w:tcPr>
            <w:tcW w:w="127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D9E14F"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Increased</w:t>
            </w:r>
          </w:p>
        </w:tc>
        <w:tc>
          <w:tcPr>
            <w:tcW w:w="9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6A575A2"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49E8AD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09199491" w14:textId="77777777" w:rsidTr="00A207C4">
        <w:trPr>
          <w:trHeight w:val="112"/>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29EC0532"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ACCEPTABILITY</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E901E36"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9E3EFA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86DEB6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BECB36C"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275"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52AC0A61" w14:textId="77777777" w:rsidR="006E087E" w:rsidRDefault="006E087E" w:rsidP="00A207C4">
            <w:pPr>
              <w:rPr>
                <w:rFonts w:ascii="Garamond" w:eastAsia="Garamond" w:hAnsi="Garamond" w:cs="Garamond"/>
                <w:sz w:val="20"/>
                <w:szCs w:val="20"/>
              </w:rPr>
            </w:pPr>
          </w:p>
        </w:tc>
        <w:tc>
          <w:tcPr>
            <w:tcW w:w="9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D170468"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6710C319"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r w:rsidR="006E087E" w14:paraId="04FBAF64" w14:textId="77777777" w:rsidTr="00A207C4">
        <w:trPr>
          <w:trHeight w:val="19"/>
        </w:trPr>
        <w:tc>
          <w:tcPr>
            <w:tcW w:w="2978" w:type="dxa"/>
            <w:tcBorders>
              <w:top w:val="nil"/>
              <w:left w:val="single" w:sz="8" w:space="0" w:color="000000"/>
              <w:bottom w:val="single" w:sz="8" w:space="0" w:color="000000"/>
              <w:right w:val="single" w:sz="8" w:space="0" w:color="000000"/>
            </w:tcBorders>
            <w:shd w:val="clear" w:color="auto" w:fill="2E74B5"/>
            <w:tcMar>
              <w:top w:w="80" w:type="dxa"/>
              <w:left w:w="80" w:type="dxa"/>
              <w:bottom w:w="80" w:type="dxa"/>
              <w:right w:w="80" w:type="dxa"/>
            </w:tcMar>
          </w:tcPr>
          <w:p w14:paraId="3565232B" w14:textId="77777777" w:rsidR="006E087E" w:rsidRDefault="006E087E" w:rsidP="00A207C4">
            <w:pPr>
              <w:spacing w:line="260" w:lineRule="auto"/>
              <w:jc w:val="center"/>
              <w:rPr>
                <w:rFonts w:ascii="Garamond" w:eastAsia="Garamond" w:hAnsi="Garamond" w:cs="Garamond"/>
                <w:b/>
                <w:color w:val="FFFFFF"/>
                <w:sz w:val="20"/>
                <w:szCs w:val="20"/>
              </w:rPr>
            </w:pPr>
            <w:r>
              <w:rPr>
                <w:rFonts w:ascii="Garamond" w:eastAsia="Garamond" w:hAnsi="Garamond" w:cs="Garamond"/>
                <w:b/>
                <w:color w:val="FFFFFF"/>
                <w:sz w:val="20"/>
                <w:szCs w:val="20"/>
              </w:rPr>
              <w:t>FEASIBILITY</w:t>
            </w:r>
          </w:p>
        </w:tc>
        <w:tc>
          <w:tcPr>
            <w:tcW w:w="15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402EDB5"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No</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F65FE5C"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no</w:t>
            </w:r>
          </w:p>
        </w:tc>
        <w:tc>
          <w:tcPr>
            <w:tcW w:w="26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6DC05D0"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Probably yes</w:t>
            </w:r>
          </w:p>
        </w:tc>
        <w:tc>
          <w:tcPr>
            <w:tcW w:w="184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41D7AFBD" w14:textId="77777777" w:rsidR="006E087E" w:rsidRDefault="006E087E" w:rsidP="00A207C4">
            <w:pPr>
              <w:jc w:val="center"/>
              <w:rPr>
                <w:rFonts w:ascii="Garamond" w:eastAsia="Garamond" w:hAnsi="Garamond" w:cs="Garamond"/>
                <w:b/>
                <w:sz w:val="20"/>
                <w:szCs w:val="20"/>
              </w:rPr>
            </w:pPr>
            <w:r>
              <w:rPr>
                <w:rFonts w:ascii="Garamond" w:eastAsia="Garamond" w:hAnsi="Garamond" w:cs="Garamond"/>
                <w:b/>
                <w:sz w:val="20"/>
                <w:szCs w:val="20"/>
              </w:rPr>
              <w:t>Yes</w:t>
            </w:r>
          </w:p>
        </w:tc>
        <w:tc>
          <w:tcPr>
            <w:tcW w:w="1275" w:type="dxa"/>
            <w:tcBorders>
              <w:top w:val="nil"/>
              <w:left w:val="nil"/>
              <w:bottom w:val="single" w:sz="8" w:space="0" w:color="000000"/>
              <w:right w:val="single" w:sz="8" w:space="0" w:color="000000"/>
            </w:tcBorders>
            <w:shd w:val="clear" w:color="auto" w:fill="DFDFDF"/>
            <w:tcMar>
              <w:top w:w="80" w:type="dxa"/>
              <w:left w:w="80" w:type="dxa"/>
              <w:bottom w:w="80" w:type="dxa"/>
              <w:right w:w="80" w:type="dxa"/>
            </w:tcMar>
          </w:tcPr>
          <w:p w14:paraId="0A7DC1D3" w14:textId="77777777" w:rsidR="006E087E" w:rsidRDefault="006E087E" w:rsidP="00A207C4">
            <w:pPr>
              <w:rPr>
                <w:rFonts w:ascii="Garamond" w:eastAsia="Garamond" w:hAnsi="Garamond" w:cs="Garamond"/>
                <w:sz w:val="20"/>
                <w:szCs w:val="20"/>
              </w:rPr>
            </w:pPr>
          </w:p>
        </w:tc>
        <w:tc>
          <w:tcPr>
            <w:tcW w:w="993"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5817F2A"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Varies</w:t>
            </w:r>
          </w:p>
        </w:tc>
        <w:tc>
          <w:tcPr>
            <w:tcW w:w="1842"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3F83AFD" w14:textId="77777777" w:rsidR="006E087E" w:rsidRDefault="006E087E" w:rsidP="00A207C4">
            <w:pPr>
              <w:jc w:val="center"/>
              <w:rPr>
                <w:rFonts w:ascii="Garamond" w:eastAsia="Garamond" w:hAnsi="Garamond" w:cs="Garamond"/>
                <w:color w:val="AEAAAA"/>
                <w:sz w:val="20"/>
                <w:szCs w:val="20"/>
              </w:rPr>
            </w:pPr>
            <w:r>
              <w:rPr>
                <w:rFonts w:ascii="Garamond" w:eastAsia="Garamond" w:hAnsi="Garamond" w:cs="Garamond"/>
                <w:color w:val="AEAAAA"/>
                <w:sz w:val="20"/>
                <w:szCs w:val="20"/>
              </w:rPr>
              <w:t>Don't know</w:t>
            </w:r>
          </w:p>
        </w:tc>
      </w:tr>
    </w:tbl>
    <w:p w14:paraId="46843AA3" w14:textId="77777777" w:rsidR="006E087E" w:rsidRDefault="006E087E" w:rsidP="006E087E">
      <w:pPr>
        <w:spacing w:line="240" w:lineRule="auto"/>
        <w:rPr>
          <w:rFonts w:ascii="Calibri" w:eastAsia="Calibri" w:hAnsi="Calibri" w:cs="Calibri"/>
          <w:sz w:val="16"/>
          <w:szCs w:val="16"/>
        </w:rPr>
      </w:pPr>
      <w:bookmarkStart w:id="49" w:name="_heading=h.42gsj9sq1zi4" w:colFirst="0" w:colLast="0"/>
      <w:bookmarkEnd w:id="49"/>
      <w:r>
        <w:rPr>
          <w:rFonts w:ascii="Calibri" w:eastAsia="Calibri" w:hAnsi="Calibri" w:cs="Calibri"/>
          <w:sz w:val="16"/>
          <w:szCs w:val="16"/>
        </w:rPr>
        <w:t xml:space="preserve"> </w:t>
      </w:r>
    </w:p>
    <w:p w14:paraId="59CA589A" w14:textId="77777777" w:rsidR="006E087E" w:rsidRDefault="006E087E" w:rsidP="006E087E">
      <w:pPr>
        <w:spacing w:line="240" w:lineRule="auto"/>
        <w:rPr>
          <w:rFonts w:ascii="Garamond" w:eastAsia="Garamond" w:hAnsi="Garamond" w:cs="Garamond"/>
          <w:b/>
          <w:sz w:val="24"/>
          <w:szCs w:val="24"/>
        </w:rPr>
      </w:pPr>
      <w:r>
        <w:rPr>
          <w:rFonts w:ascii="Garamond" w:eastAsia="Garamond" w:hAnsi="Garamond" w:cs="Garamond"/>
          <w:b/>
          <w:sz w:val="24"/>
          <w:szCs w:val="24"/>
        </w:rPr>
        <w:t>Type of Recommendation</w:t>
      </w:r>
    </w:p>
    <w:tbl>
      <w:tblPr>
        <w:tblW w:w="14895" w:type="dxa"/>
        <w:tblInd w:w="-295" w:type="dxa"/>
        <w:tblBorders>
          <w:top w:val="nil"/>
          <w:left w:val="nil"/>
          <w:bottom w:val="nil"/>
          <w:right w:val="nil"/>
          <w:insideH w:val="nil"/>
          <w:insideV w:val="nil"/>
        </w:tblBorders>
        <w:tblLayout w:type="fixed"/>
        <w:tblLook w:val="0600" w:firstRow="0" w:lastRow="0" w:firstColumn="0" w:lastColumn="0" w:noHBand="1" w:noVBand="1"/>
      </w:tblPr>
      <w:tblGrid>
        <w:gridCol w:w="3000"/>
        <w:gridCol w:w="2985"/>
        <w:gridCol w:w="3180"/>
        <w:gridCol w:w="2790"/>
        <w:gridCol w:w="2940"/>
      </w:tblGrid>
      <w:tr w:rsidR="006E087E" w14:paraId="62BA99AF" w14:textId="77777777" w:rsidTr="00A207C4">
        <w:trPr>
          <w:trHeight w:val="614"/>
        </w:trPr>
        <w:tc>
          <w:tcPr>
            <w:tcW w:w="3000" w:type="dxa"/>
            <w:tcBorders>
              <w:top w:val="single" w:sz="8" w:space="0" w:color="000000"/>
              <w:left w:val="single" w:sz="8" w:space="0" w:color="000000"/>
              <w:bottom w:val="nil"/>
              <w:right w:val="single" w:sz="8" w:space="0" w:color="000000"/>
            </w:tcBorders>
            <w:shd w:val="clear" w:color="auto" w:fill="auto"/>
            <w:tcMar>
              <w:top w:w="80" w:type="dxa"/>
              <w:left w:w="100" w:type="dxa"/>
              <w:bottom w:w="100" w:type="dxa"/>
              <w:right w:w="100" w:type="dxa"/>
            </w:tcMar>
          </w:tcPr>
          <w:p w14:paraId="42B60089"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against the intervention</w:t>
            </w:r>
          </w:p>
        </w:tc>
        <w:tc>
          <w:tcPr>
            <w:tcW w:w="2985" w:type="dxa"/>
            <w:tcBorders>
              <w:top w:val="single" w:sz="8" w:space="0" w:color="000000"/>
              <w:left w:val="nil"/>
              <w:bottom w:val="nil"/>
              <w:right w:val="single" w:sz="8" w:space="0" w:color="000000"/>
            </w:tcBorders>
            <w:shd w:val="clear" w:color="auto" w:fill="auto"/>
            <w:tcMar>
              <w:top w:w="80" w:type="dxa"/>
              <w:left w:w="100" w:type="dxa"/>
              <w:bottom w:w="100" w:type="dxa"/>
              <w:right w:w="100" w:type="dxa"/>
            </w:tcMar>
          </w:tcPr>
          <w:p w14:paraId="5B3F5385"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against the intervention</w:t>
            </w:r>
          </w:p>
        </w:tc>
        <w:tc>
          <w:tcPr>
            <w:tcW w:w="3180" w:type="dxa"/>
            <w:tcBorders>
              <w:top w:val="single" w:sz="8" w:space="0" w:color="000000"/>
              <w:left w:val="nil"/>
              <w:bottom w:val="nil"/>
              <w:right w:val="single" w:sz="8" w:space="0" w:color="000000"/>
            </w:tcBorders>
            <w:shd w:val="clear" w:color="auto" w:fill="auto"/>
            <w:tcMar>
              <w:top w:w="80" w:type="dxa"/>
              <w:left w:w="100" w:type="dxa"/>
              <w:bottom w:w="100" w:type="dxa"/>
              <w:right w:w="100" w:type="dxa"/>
            </w:tcMar>
          </w:tcPr>
          <w:p w14:paraId="277407A9"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Conditional recommendation for either the intervention or the comparison</w:t>
            </w:r>
          </w:p>
        </w:tc>
        <w:tc>
          <w:tcPr>
            <w:tcW w:w="2790" w:type="dxa"/>
            <w:tcBorders>
              <w:top w:val="single" w:sz="8" w:space="0" w:color="000000"/>
              <w:left w:val="nil"/>
              <w:bottom w:val="nil"/>
              <w:right w:val="single" w:sz="8" w:space="0" w:color="000000"/>
            </w:tcBorders>
            <w:shd w:val="clear" w:color="auto" w:fill="2E74B5"/>
            <w:tcMar>
              <w:top w:w="80" w:type="dxa"/>
              <w:left w:w="100" w:type="dxa"/>
              <w:bottom w:w="100" w:type="dxa"/>
              <w:right w:w="100" w:type="dxa"/>
            </w:tcMar>
          </w:tcPr>
          <w:p w14:paraId="295698EA" w14:textId="77777777" w:rsidR="006E087E" w:rsidRDefault="006E087E" w:rsidP="00A207C4">
            <w:pPr>
              <w:jc w:val="center"/>
              <w:rPr>
                <w:rFonts w:ascii="Garamond" w:eastAsia="Garamond" w:hAnsi="Garamond" w:cs="Garamond"/>
                <w:b/>
                <w:color w:val="FFFFFF"/>
                <w:sz w:val="20"/>
                <w:szCs w:val="20"/>
              </w:rPr>
            </w:pPr>
            <w:r>
              <w:rPr>
                <w:rFonts w:ascii="Garamond" w:eastAsia="Garamond" w:hAnsi="Garamond" w:cs="Garamond"/>
                <w:b/>
                <w:color w:val="FFFFFF"/>
                <w:sz w:val="20"/>
                <w:szCs w:val="20"/>
              </w:rPr>
              <w:t>Conditional recommendation for the intervention</w:t>
            </w:r>
          </w:p>
        </w:tc>
        <w:tc>
          <w:tcPr>
            <w:tcW w:w="2940" w:type="dxa"/>
            <w:tcBorders>
              <w:top w:val="single" w:sz="8" w:space="0" w:color="000000"/>
              <w:left w:val="nil"/>
              <w:bottom w:val="nil"/>
              <w:right w:val="single" w:sz="8" w:space="0" w:color="000000"/>
            </w:tcBorders>
            <w:shd w:val="clear" w:color="auto" w:fill="auto"/>
            <w:tcMar>
              <w:top w:w="80" w:type="dxa"/>
              <w:left w:w="100" w:type="dxa"/>
              <w:bottom w:w="100" w:type="dxa"/>
              <w:right w:w="100" w:type="dxa"/>
            </w:tcMar>
          </w:tcPr>
          <w:p w14:paraId="7A351D86" w14:textId="77777777" w:rsidR="006E087E" w:rsidRDefault="006E087E" w:rsidP="00A207C4">
            <w:pPr>
              <w:jc w:val="center"/>
              <w:rPr>
                <w:rFonts w:ascii="Garamond" w:eastAsia="Garamond" w:hAnsi="Garamond" w:cs="Garamond"/>
                <w:sz w:val="20"/>
                <w:szCs w:val="20"/>
              </w:rPr>
            </w:pPr>
            <w:r>
              <w:rPr>
                <w:rFonts w:ascii="Garamond" w:eastAsia="Garamond" w:hAnsi="Garamond" w:cs="Garamond"/>
                <w:sz w:val="20"/>
                <w:szCs w:val="20"/>
              </w:rPr>
              <w:t>Strong recommendation for the intervention</w:t>
            </w:r>
          </w:p>
        </w:tc>
      </w:tr>
      <w:tr w:rsidR="006E087E" w14:paraId="6A9A4D92" w14:textId="77777777" w:rsidTr="00A207C4">
        <w:trPr>
          <w:trHeight w:val="210"/>
        </w:trPr>
        <w:tc>
          <w:tcPr>
            <w:tcW w:w="3000" w:type="dxa"/>
            <w:tcBorders>
              <w:top w:val="nil"/>
              <w:left w:val="single" w:sz="8" w:space="0" w:color="000000"/>
              <w:bottom w:val="single" w:sz="8" w:space="0" w:color="000000"/>
              <w:right w:val="single" w:sz="8" w:space="0" w:color="000000"/>
            </w:tcBorders>
            <w:shd w:val="clear" w:color="auto" w:fill="auto"/>
            <w:tcMar>
              <w:top w:w="100" w:type="dxa"/>
              <w:left w:w="100" w:type="dxa"/>
              <w:bottom w:w="80" w:type="dxa"/>
              <w:right w:w="100" w:type="dxa"/>
            </w:tcMar>
          </w:tcPr>
          <w:p w14:paraId="2BA6C018" w14:textId="77777777" w:rsidR="006E087E" w:rsidRDefault="006E087E" w:rsidP="00A207C4">
            <w:pPr>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w:t>
            </w:r>
          </w:p>
        </w:tc>
        <w:tc>
          <w:tcPr>
            <w:tcW w:w="2985" w:type="dxa"/>
            <w:tcBorders>
              <w:top w:val="nil"/>
              <w:left w:val="nil"/>
              <w:bottom w:val="single" w:sz="8" w:space="0" w:color="000000"/>
              <w:right w:val="single" w:sz="8" w:space="0" w:color="000000"/>
            </w:tcBorders>
            <w:shd w:val="clear" w:color="auto" w:fill="auto"/>
            <w:tcMar>
              <w:top w:w="100" w:type="dxa"/>
              <w:left w:w="100" w:type="dxa"/>
              <w:bottom w:w="80" w:type="dxa"/>
              <w:right w:w="100" w:type="dxa"/>
            </w:tcMar>
          </w:tcPr>
          <w:p w14:paraId="37241350" w14:textId="77777777" w:rsidR="006E087E" w:rsidRDefault="006E087E" w:rsidP="00A207C4">
            <w:pPr>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w:t>
            </w:r>
          </w:p>
        </w:tc>
        <w:tc>
          <w:tcPr>
            <w:tcW w:w="3180" w:type="dxa"/>
            <w:tcBorders>
              <w:top w:val="nil"/>
              <w:left w:val="nil"/>
              <w:bottom w:val="single" w:sz="8" w:space="0" w:color="000000"/>
              <w:right w:val="single" w:sz="8" w:space="0" w:color="000000"/>
            </w:tcBorders>
            <w:shd w:val="clear" w:color="auto" w:fill="auto"/>
            <w:tcMar>
              <w:top w:w="100" w:type="dxa"/>
              <w:left w:w="100" w:type="dxa"/>
              <w:bottom w:w="80" w:type="dxa"/>
              <w:right w:w="100" w:type="dxa"/>
            </w:tcMar>
          </w:tcPr>
          <w:p w14:paraId="7E05BF8C" w14:textId="77777777" w:rsidR="006E087E" w:rsidRDefault="006E087E" w:rsidP="00A207C4">
            <w:pPr>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w:t>
            </w:r>
          </w:p>
        </w:tc>
        <w:tc>
          <w:tcPr>
            <w:tcW w:w="2790" w:type="dxa"/>
            <w:tcBorders>
              <w:top w:val="nil"/>
              <w:left w:val="nil"/>
              <w:bottom w:val="single" w:sz="8" w:space="0" w:color="000000"/>
              <w:right w:val="single" w:sz="8" w:space="0" w:color="000000"/>
            </w:tcBorders>
            <w:shd w:val="clear" w:color="auto" w:fill="2E74B5"/>
            <w:tcMar>
              <w:top w:w="100" w:type="dxa"/>
              <w:left w:w="100" w:type="dxa"/>
              <w:bottom w:w="80" w:type="dxa"/>
              <w:right w:w="100" w:type="dxa"/>
            </w:tcMar>
          </w:tcPr>
          <w:p w14:paraId="3D9255BF" w14:textId="77777777" w:rsidR="006E087E" w:rsidRDefault="008E2347" w:rsidP="00A207C4">
            <w:pPr>
              <w:jc w:val="center"/>
              <w:rPr>
                <w:rFonts w:ascii="Calibri" w:eastAsia="Calibri" w:hAnsi="Calibri" w:cs="Calibri"/>
                <w:sz w:val="30"/>
                <w:szCs w:val="30"/>
              </w:rPr>
            </w:pPr>
            <w:sdt>
              <w:sdtPr>
                <w:tag w:val="goog_rdk_89"/>
                <w:id w:val="-1908297186"/>
              </w:sdtPr>
              <w:sdtEndPr/>
              <w:sdtContent>
                <w:r w:rsidR="006E087E">
                  <w:rPr>
                    <w:rFonts w:ascii="Arial Unicode MS" w:eastAsia="Arial Unicode MS" w:hAnsi="Arial Unicode MS" w:cs="Arial Unicode MS"/>
                    <w:b/>
                    <w:color w:val="FFFFFF"/>
                    <w:sz w:val="30"/>
                    <w:szCs w:val="30"/>
                  </w:rPr>
                  <w:t>✓</w:t>
                </w:r>
              </w:sdtContent>
            </w:sdt>
          </w:p>
        </w:tc>
        <w:tc>
          <w:tcPr>
            <w:tcW w:w="2940" w:type="dxa"/>
            <w:tcBorders>
              <w:top w:val="nil"/>
              <w:left w:val="nil"/>
              <w:bottom w:val="single" w:sz="8" w:space="0" w:color="000000"/>
              <w:right w:val="single" w:sz="8" w:space="0" w:color="000000"/>
            </w:tcBorders>
            <w:shd w:val="clear" w:color="auto" w:fill="auto"/>
            <w:tcMar>
              <w:top w:w="100" w:type="dxa"/>
              <w:left w:w="100" w:type="dxa"/>
              <w:bottom w:w="80" w:type="dxa"/>
              <w:right w:w="100" w:type="dxa"/>
            </w:tcMar>
          </w:tcPr>
          <w:p w14:paraId="31F04BD7" w14:textId="77777777" w:rsidR="006E087E" w:rsidRDefault="006E087E" w:rsidP="00A207C4">
            <w:pPr>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w:t>
            </w:r>
          </w:p>
        </w:tc>
      </w:tr>
    </w:tbl>
    <w:p w14:paraId="1B4EB11F" w14:textId="77777777" w:rsidR="00C053C4" w:rsidRDefault="00C053C4" w:rsidP="008E2347"/>
    <w:sectPr w:rsidR="00C053C4" w:rsidSect="008E2347">
      <w:pgSz w:w="15840" w:h="12240" w:orient="landscape"/>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EC347" w14:textId="77777777" w:rsidR="000975AC" w:rsidRDefault="000975AC">
      <w:pPr>
        <w:spacing w:line="240" w:lineRule="auto"/>
      </w:pPr>
      <w:r>
        <w:separator/>
      </w:r>
    </w:p>
  </w:endnote>
  <w:endnote w:type="continuationSeparator" w:id="0">
    <w:p w14:paraId="7F194140" w14:textId="77777777" w:rsidR="000975AC" w:rsidRDefault="000975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rdo">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6A12" w14:textId="77777777" w:rsidR="00ED13DB" w:rsidRDefault="008E2347">
    <w:pPr>
      <w:pBdr>
        <w:top w:val="nil"/>
        <w:left w:val="nil"/>
        <w:bottom w:val="nil"/>
        <w:right w:val="nil"/>
        <w:between w:val="nil"/>
      </w:pBdr>
      <w:tabs>
        <w:tab w:val="center" w:pos="4680"/>
        <w:tab w:val="right" w:pos="9360"/>
      </w:tabs>
      <w:spacing w:line="240" w:lineRule="auto"/>
      <w:rPr>
        <w:color w:val="000000"/>
      </w:rPr>
    </w:pPr>
  </w:p>
  <w:p w14:paraId="417CF55A" w14:textId="77777777" w:rsidR="00ED13DB" w:rsidRDefault="008E23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4C8D" w14:textId="77777777" w:rsidR="00ED13DB" w:rsidRDefault="008E2347">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p w14:paraId="693CA7D8" w14:textId="77777777" w:rsidR="00ED13DB" w:rsidRDefault="008E23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856B" w14:textId="77777777" w:rsidR="00ED13DB" w:rsidRDefault="008E2347">
    <w:pPr>
      <w:jc w:val="right"/>
    </w:pPr>
    <w:r>
      <w:fldChar w:fldCharType="begin"/>
    </w:r>
    <w:r>
      <w:instrText>PAGE</w:instrText>
    </w:r>
    <w:r>
      <w:fldChar w:fldCharType="separate"/>
    </w:r>
    <w:r>
      <w:rPr>
        <w:noProof/>
      </w:rPr>
      <w:t>0</w:t>
    </w:r>
    <w:r>
      <w:fldChar w:fldCharType="end"/>
    </w:r>
  </w:p>
  <w:p w14:paraId="5FBE19DC" w14:textId="77777777" w:rsidR="00ED13DB" w:rsidRDefault="008E23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D0021" w14:textId="77777777" w:rsidR="000975AC" w:rsidRDefault="000975AC">
      <w:pPr>
        <w:spacing w:line="240" w:lineRule="auto"/>
      </w:pPr>
      <w:r>
        <w:separator/>
      </w:r>
    </w:p>
  </w:footnote>
  <w:footnote w:type="continuationSeparator" w:id="0">
    <w:p w14:paraId="6976621A" w14:textId="77777777" w:rsidR="000975AC" w:rsidRDefault="000975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7D9B" w14:textId="77777777" w:rsidR="00ED13DB" w:rsidRDefault="008E2347">
    <w:pPr>
      <w:pBdr>
        <w:top w:val="nil"/>
        <w:left w:val="nil"/>
        <w:bottom w:val="nil"/>
        <w:right w:val="nil"/>
        <w:between w:val="nil"/>
      </w:pBdr>
      <w:tabs>
        <w:tab w:val="center" w:pos="4680"/>
        <w:tab w:val="right" w:pos="9360"/>
      </w:tabs>
      <w:spacing w:line="240" w:lineRule="auto"/>
      <w:rPr>
        <w:color w:val="000000"/>
      </w:rPr>
    </w:pPr>
  </w:p>
  <w:p w14:paraId="02835F7B" w14:textId="77777777" w:rsidR="00ED13DB" w:rsidRDefault="008E2347"/>
  <w:p w14:paraId="04F29FB2" w14:textId="77777777" w:rsidR="00ED13DB" w:rsidRDefault="008E2347">
    <w:r>
      <w:rPr>
        <w:noProof/>
      </w:rPr>
      <mc:AlternateContent>
        <mc:Choice Requires="wps">
          <w:drawing>
            <wp:anchor distT="0" distB="0" distL="0" distR="0" simplePos="0" relativeHeight="251661312" behindDoc="1" locked="0" layoutInCell="1" hidden="0" allowOverlap="1" wp14:anchorId="743DD07E" wp14:editId="02745834">
              <wp:simplePos x="0" y="0"/>
              <wp:positionH relativeFrom="page">
                <wp:posOffset>-25396</wp:posOffset>
              </wp:positionH>
              <wp:positionV relativeFrom="page">
                <wp:posOffset>0</wp:posOffset>
              </wp:positionV>
              <wp:extent cx="0" cy="12700"/>
              <wp:effectExtent l="0" t="0" r="0" b="0"/>
              <wp:wrapNone/>
              <wp:docPr id="43" name="Rectangle 43"/>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592CC8C3" w14:textId="77777777" w:rsidR="00ED13DB" w:rsidRDefault="008E234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3DD07E" id="Rectangle 43" o:spid="_x0000_s1026" style="position:absolute;margin-left:-2pt;margin-top:0;width:0;height:1pt;z-index:-251655168;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OwgEAAHoDAAAOAAAAZHJzL2Uyb0RvYy54bWysU9tu2zAMfR+wfxD0vthJL+uMOMXQIsOA&#10;YgvQ9QNkWYoFyJJGKrHz96Nkr8nWt2F+kEmRos45pNb3Y2/ZUQEa72q+XJScKSd9a9y+5i8/th/u&#10;OMMoXCusd6rmJ4X8fvP+3XoIlVr5zttWAaMiDqsh1LyLMVRFgbJTvcCFD8pRUHvoRSQX9kULYqDq&#10;vS1WZXlbDB7aAF4qRNp9nIJ8k+trrWT8rjWqyGzNCVvMK+S1SWuxWYtqDyJ0Rs4wxD+g6IVxdOlr&#10;qUcRBTuAeVOqNxI8eh0X0veF19pIlTkQm2X5F5vnTgSVuZA4GF5lwv9XVn47PocdkAxDwArJTCxG&#10;DX36Ez421vzm6vq2LEm+U82vPt6ROQunxsgkJVBIUizvFufjATB+Ub5nyag5UDeySOL4hJGupNTf&#10;Kek29Na0W2NtdmDfPFhgR0Gd2+YvNYuO/JFmXUp2Ph2bwmmnOJNJVhybcWbY+Pa0A4ZBbg2BehIY&#10;dwKo5UvOBhqDmuPPgwDFmf3qSOdPy+vVDc3NpQOXTnPpCCc7T9MlI3A2OQ8xT9uE8vMhem0y9YRr&#10;AjPDpQZnevMwpgm69HPW+clsfgEAAP//AwBQSwMEFAAGAAgAAAAhAB4Q6tLYAAAABAEAAA8AAABk&#10;cnMvZG93bnJldi54bWxMj0FLw0AQhe+C/2EZwYu0G4sViZkUEQp6bBt63mSnSXB3NmY3bfz3jl70&#10;8uDxhve+KTazd+pMY+wDI9wvM1DETbA9twjVYbt4AhWTYWtcYEL4ogib8vqqMLkNF97ReZ9aJSUc&#10;c4PQpTTkWsemI2/iMgzEkp3C6E0SO7bajuYi5d7pVZY9am96loXODPTaUfOxnzzCev3JVfUet5mb&#10;TH182+nDXXtCvL2ZX55BJZrT3zH84As6lMJUh4ltVA5h8SCvJARRSX9djbDKQJeF/g9ffgMAAP//&#10;AwBQSwECLQAUAAYACAAAACEAtoM4kv4AAADhAQAAEwAAAAAAAAAAAAAAAAAAAAAAW0NvbnRlbnRf&#10;VHlwZXNdLnhtbFBLAQItABQABgAIAAAAIQA4/SH/1gAAAJQBAAALAAAAAAAAAAAAAAAAAC8BAABf&#10;cmVscy8ucmVsc1BLAQItABQABgAIAAAAIQDPf+bOwgEAAHoDAAAOAAAAAAAAAAAAAAAAAC4CAABk&#10;cnMvZTJvRG9jLnhtbFBLAQItABQABgAIAAAAIQAeEOrS2AAAAAQBAAAPAAAAAAAAAAAAAAAAABwE&#10;AABkcnMvZG93bnJldi54bWxQSwUGAAAAAAQABADzAAAAIQUAAAAA&#10;" stroked="f">
              <v:textbox inset="2.53958mm,2.53958mm,2.53958mm,2.53958mm">
                <w:txbxContent>
                  <w:p w14:paraId="592CC8C3" w14:textId="77777777" w:rsidR="00ED13DB" w:rsidRDefault="008E2347">
                    <w:pPr>
                      <w:spacing w:line="240" w:lineRule="auto"/>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640A" w14:textId="77777777" w:rsidR="00ED13DB" w:rsidRDefault="008E2347">
    <w:pPr>
      <w:spacing w:line="240" w:lineRule="auto"/>
      <w:rPr>
        <w:rFonts w:ascii="Times New Roman" w:eastAsia="Times New Roman" w:hAnsi="Times New Roman" w:cs="Times New Roman"/>
        <w:b/>
        <w:sz w:val="24"/>
        <w:szCs w:val="24"/>
      </w:rPr>
    </w:pPr>
  </w:p>
  <w:p w14:paraId="1F6CBAF6" w14:textId="77777777" w:rsidR="00ED13DB" w:rsidRDefault="008E2347">
    <w:r>
      <w:rPr>
        <w:noProof/>
      </w:rPr>
      <mc:AlternateContent>
        <mc:Choice Requires="wps">
          <w:drawing>
            <wp:anchor distT="0" distB="0" distL="0" distR="0" simplePos="0" relativeHeight="251659264" behindDoc="1" locked="0" layoutInCell="1" hidden="0" allowOverlap="1" wp14:anchorId="4468820E" wp14:editId="785231A5">
              <wp:simplePos x="0" y="0"/>
              <wp:positionH relativeFrom="page">
                <wp:posOffset>-25396</wp:posOffset>
              </wp:positionH>
              <wp:positionV relativeFrom="page">
                <wp:posOffset>0</wp:posOffset>
              </wp:positionV>
              <wp:extent cx="0" cy="12700"/>
              <wp:effectExtent l="0" t="0" r="0" b="0"/>
              <wp:wrapNone/>
              <wp:docPr id="44" name="Rectangle 44"/>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084D8473" w14:textId="77777777" w:rsidR="00ED13DB" w:rsidRDefault="008E234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68820E" id="Rectangle 44" o:spid="_x0000_s1027" style="position:absolute;margin-left:-2pt;margin-top:0;width:0;height:1pt;z-index:-25165721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rmxAEAAIEDAAAOAAAAZHJzL2Uyb0RvYy54bWysU9uO0zAQfUfiHyy/06TdC0vUdIV2VYS0&#10;gkrLfoDj2I0l35hxm/TvGbtlW9g3RB/cuXl8zpnJ8n5ylu0VoAm+5fNZzZnyMvTGb1v+8mP94Y4z&#10;TML3wgavWn5QyO9X798tx9ioRRiC7RUwauKxGWPLh5RiU1UoB+UEzkJUnpI6gBOJXNhWPYiRujtb&#10;Ler6thoD9BGCVIgUfTwm+ar011rJ9F1rVInZlhO2VE4oZ5fParUUzRZEHIw8wRD/gMIJ4+nR11aP&#10;Igm2A/OmlTMSAgadZjK4KmhtpCociM28/ovN8yCiKlxIHIyvMuH/ayu/7Z/jBkiGMWKDZGYWkwaX&#10;/wkfm1p+c3V9W9ck36HlVx/vyDwJp6bEJBVQSlKuRKvz9QiYvqjgWDZaDjSNIpLYP2GiJ6n0d0l+&#10;DYM1/dpYWxzYdg8W2F7Q5Nbll4dFV/4osz4X+5CvHdM5Up3JZCtN3cRMT/uZW+RIF/rDBhhGuTaE&#10;7Ulg2gigyc85G2kbWo4/dwIUZ/arJ7k/za8XN7Q+lw5cOt2lI7wcAi2ZTMDZ0XlIZemOYD/vUtCm&#10;KHAGc0JNcy4sTzuZF+nSL1XnL2f1CwAA//8DAFBLAwQUAAYACAAAACEAHhDq0tgAAAAEAQAADwAA&#10;AGRycy9kb3ducmV2LnhtbEyPQUvDQBCF74L/YRnBi7QbixWJmRQRCnpsG3reZKdJcHc2Zjdt/PeO&#10;XvTy4PGG974pNrN36kxj7AMj3C8zUMRNsD23CNVhu3gCFZNha1xgQviiCJvy+qowuQ0X3tF5n1ol&#10;JRxzg9ClNORax6Yjb+IyDMSSncLoTRI7ttqO5iLl3ulVlj1qb3qWhc4M9NpR87GfPMJ6/clV9R63&#10;mZtMfXzb6cNde0K8vZlfnkElmtPfMfzgCzqUwlSHiW1UDmHxIK8kBFFJf12NsMpAl4X+D19+AwAA&#10;//8DAFBLAQItABQABgAIAAAAIQC2gziS/gAAAOEBAAATAAAAAAAAAAAAAAAAAAAAAABbQ29udGVu&#10;dF9UeXBlc10ueG1sUEsBAi0AFAAGAAgAAAAhADj9If/WAAAAlAEAAAsAAAAAAAAAAAAAAAAALwEA&#10;AF9yZWxzLy5yZWxzUEsBAi0AFAAGAAgAAAAhAHkFyubEAQAAgQMAAA4AAAAAAAAAAAAAAAAALgIA&#10;AGRycy9lMm9Eb2MueG1sUEsBAi0AFAAGAAgAAAAhAB4Q6tLYAAAABAEAAA8AAAAAAAAAAAAAAAAA&#10;HgQAAGRycy9kb3ducmV2LnhtbFBLBQYAAAAABAAEAPMAAAAjBQAAAAA=&#10;" stroked="f">
              <v:textbox inset="2.53958mm,2.53958mm,2.53958mm,2.53958mm">
                <w:txbxContent>
                  <w:p w14:paraId="084D8473" w14:textId="77777777" w:rsidR="00ED13DB" w:rsidRDefault="008E2347">
                    <w:pPr>
                      <w:spacing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9FF2" w14:textId="77777777" w:rsidR="00ED13DB" w:rsidRDefault="008E2347">
    <w:r>
      <w:rPr>
        <w:noProof/>
      </w:rPr>
      <mc:AlternateContent>
        <mc:Choice Requires="wps">
          <w:drawing>
            <wp:anchor distT="0" distB="0" distL="0" distR="0" simplePos="0" relativeHeight="251660288" behindDoc="1" locked="0" layoutInCell="1" hidden="0" allowOverlap="1" wp14:anchorId="044780A1" wp14:editId="461E535D">
              <wp:simplePos x="0" y="0"/>
              <wp:positionH relativeFrom="page">
                <wp:posOffset>-25396</wp:posOffset>
              </wp:positionH>
              <wp:positionV relativeFrom="page">
                <wp:posOffset>0</wp:posOffset>
              </wp:positionV>
              <wp:extent cx="0" cy="12700"/>
              <wp:effectExtent l="0" t="0" r="0" b="0"/>
              <wp:wrapNone/>
              <wp:docPr id="45" name="Rectangle 45"/>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224B0014" w14:textId="77777777" w:rsidR="00ED13DB" w:rsidRDefault="008E234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4780A1" id="Rectangle 45" o:spid="_x0000_s1028" style="position:absolute;margin-left:-2pt;margin-top:0;width:0;height:1pt;z-index:-25165619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txQEAAIEDAAAOAAAAZHJzL2Uyb0RvYy54bWysU9uO2yAQfa/Uf0C8N3ayl26tkFW1q1SV&#10;Vm2k7X4AxhAjYaAzJHb+vgNJN2n3rWoeyNwYzjkzXt5Pg2N7DWiDF3w+qznTXoXO+q3gLz/WH+44&#10;wyR9J13wWvCDRn6/ev9uOcZGL0IfXKeBUROPzRgF71OKTVWh6vUgcRai9pQ0AQaZyIVt1YEcqfvg&#10;qkVd31ZjgC5CUBqRoo/HJF+V/sZolb4bgzoxJzhhS+WEcrb5rFZL2WxBxt6qEwz5DygGaT09+trq&#10;USbJdmDftBqsgoDBpJkKQxWMsUoXDsRmXv/F5rmXURcuJA7GV5nw/7VV3/bPcQMkwxixQTIzi8nA&#10;kP8JH5sEv7m6vq1rku8g+NXHOzJPwukpMUUFlFKUK9HqfD0Cpi86DCwbggNNo4gk90+Y6Ekq/V2S&#10;X8PgbLe2zhUHtu2DA7aXNLl1+eVh0ZU/ypzPxT7ka8d0jlRnMtlKUzsx2wm+yC1ypA3dYQMMo1pb&#10;wvYkMW0k0OTnnI20DYLjz50EzZn76knuT/PrxQ2tz6UDl0576Uiv+kBLphJwdnQeUlm6I9jPuxSM&#10;LQqcwZxQ05wLy9NO5kW69EvV+ctZ/QIAAP//AwBQSwMEFAAGAAgAAAAhAB4Q6tLYAAAABAEAAA8A&#10;AABkcnMvZG93bnJldi54bWxMj0FLw0AQhe+C/2EZwYu0G4sViZkUEQp6bBt63mSnSXB3NmY3bfz3&#10;jl708uDxhve+KTazd+pMY+wDI9wvM1DETbA9twjVYbt4AhWTYWtcYEL4ogib8vqqMLkNF97ReZ9a&#10;JSUcc4PQpTTkWsemI2/iMgzEkp3C6E0SO7bajuYi5d7pVZY9am96loXODPTaUfOxnzzCev3JVfUe&#10;t5mbTH182+nDXXtCvL2ZX55BJZrT3zH84As6lMJUh4ltVA5h8SCvJARRSX9djbDKQJeF/g9ffgMA&#10;AP//AwBQSwECLQAUAAYACAAAACEAtoM4kv4AAADhAQAAEwAAAAAAAAAAAAAAAAAAAAAAW0NvbnRl&#10;bnRfVHlwZXNdLnhtbFBLAQItABQABgAIAAAAIQA4/SH/1gAAAJQBAAALAAAAAAAAAAAAAAAAAC8B&#10;AABfcmVscy8ucmVsc1BLAQItABQABgAIAAAAIQCgvT+txQEAAIEDAAAOAAAAAAAAAAAAAAAAAC4C&#10;AABkcnMvZTJvRG9jLnhtbFBLAQItABQABgAIAAAAIQAeEOrS2AAAAAQBAAAPAAAAAAAAAAAAAAAA&#10;AB8EAABkcnMvZG93bnJldi54bWxQSwUGAAAAAAQABADzAAAAJAUAAAAA&#10;" stroked="f">
              <v:textbox inset="2.53958mm,2.53958mm,2.53958mm,2.53958mm">
                <w:txbxContent>
                  <w:p w14:paraId="224B0014" w14:textId="77777777" w:rsidR="00ED13DB" w:rsidRDefault="008E2347">
                    <w:pPr>
                      <w:spacing w:line="240" w:lineRule="auto"/>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0322"/>
    <w:multiLevelType w:val="multilevel"/>
    <w:tmpl w:val="B87AA5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A51EB0"/>
    <w:multiLevelType w:val="multilevel"/>
    <w:tmpl w:val="081C7E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FC705FA"/>
    <w:multiLevelType w:val="multilevel"/>
    <w:tmpl w:val="D7FC9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7A3BEF"/>
    <w:multiLevelType w:val="multilevel"/>
    <w:tmpl w:val="F7482B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3C4751"/>
    <w:multiLevelType w:val="multilevel"/>
    <w:tmpl w:val="8772BE14"/>
    <w:lvl w:ilvl="0">
      <w:start w:val="1"/>
      <w:numFmt w:val="decimal"/>
      <w:lvlText w:val="%1."/>
      <w:lvlJc w:val="left"/>
      <w:pPr>
        <w:ind w:left="360" w:hanging="360"/>
      </w:pPr>
      <w:rPr>
        <w:rFonts w:ascii="Garamond" w:eastAsia="Garamond" w:hAnsi="Garamond" w:cs="Garamond"/>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0447B50"/>
    <w:multiLevelType w:val="multilevel"/>
    <w:tmpl w:val="DE946CE6"/>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51D7B34"/>
    <w:multiLevelType w:val="multilevel"/>
    <w:tmpl w:val="77D003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8AD2DF6"/>
    <w:multiLevelType w:val="multilevel"/>
    <w:tmpl w:val="F8F46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56A24BC"/>
    <w:multiLevelType w:val="multilevel"/>
    <w:tmpl w:val="16C6048E"/>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9" w15:restartNumberingAfterBreak="0">
    <w:nsid w:val="5EB935C5"/>
    <w:multiLevelType w:val="multilevel"/>
    <w:tmpl w:val="2B7C8E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60C2FC1"/>
    <w:multiLevelType w:val="multilevel"/>
    <w:tmpl w:val="54468852"/>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CD8633A"/>
    <w:multiLevelType w:val="multilevel"/>
    <w:tmpl w:val="D58638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FD346FC"/>
    <w:multiLevelType w:val="multilevel"/>
    <w:tmpl w:val="F966786C"/>
    <w:lvl w:ilvl="0">
      <w:start w:val="1"/>
      <w:numFmt w:val="bullet"/>
      <w:lvlText w:val="▪"/>
      <w:lvlJc w:val="left"/>
      <w:pPr>
        <w:ind w:left="580" w:hanging="360"/>
      </w:pPr>
      <w:rPr>
        <w:rFonts w:ascii="Noto Sans Symbols" w:eastAsia="Noto Sans Symbols" w:hAnsi="Noto Sans Symbols" w:cs="Noto Sans Symbols"/>
      </w:rPr>
    </w:lvl>
    <w:lvl w:ilvl="1">
      <w:start w:val="1"/>
      <w:numFmt w:val="bullet"/>
      <w:lvlText w:val="o"/>
      <w:lvlJc w:val="left"/>
      <w:pPr>
        <w:ind w:left="1300" w:hanging="360"/>
      </w:pPr>
      <w:rPr>
        <w:rFonts w:ascii="Courier New" w:eastAsia="Courier New" w:hAnsi="Courier New" w:cs="Courier New"/>
      </w:rPr>
    </w:lvl>
    <w:lvl w:ilvl="2">
      <w:start w:val="1"/>
      <w:numFmt w:val="bullet"/>
      <w:lvlText w:val="▪"/>
      <w:lvlJc w:val="left"/>
      <w:pPr>
        <w:ind w:left="2020" w:hanging="360"/>
      </w:pPr>
      <w:rPr>
        <w:rFonts w:ascii="Noto Sans Symbols" w:eastAsia="Noto Sans Symbols" w:hAnsi="Noto Sans Symbols" w:cs="Noto Sans Symbols"/>
      </w:rPr>
    </w:lvl>
    <w:lvl w:ilvl="3">
      <w:start w:val="1"/>
      <w:numFmt w:val="bullet"/>
      <w:lvlText w:val="●"/>
      <w:lvlJc w:val="left"/>
      <w:pPr>
        <w:ind w:left="2740" w:hanging="360"/>
      </w:pPr>
      <w:rPr>
        <w:rFonts w:ascii="Noto Sans Symbols" w:eastAsia="Noto Sans Symbols" w:hAnsi="Noto Sans Symbols" w:cs="Noto Sans Symbols"/>
      </w:rPr>
    </w:lvl>
    <w:lvl w:ilvl="4">
      <w:start w:val="1"/>
      <w:numFmt w:val="bullet"/>
      <w:lvlText w:val="o"/>
      <w:lvlJc w:val="left"/>
      <w:pPr>
        <w:ind w:left="3460" w:hanging="360"/>
      </w:pPr>
      <w:rPr>
        <w:rFonts w:ascii="Courier New" w:eastAsia="Courier New" w:hAnsi="Courier New" w:cs="Courier New"/>
      </w:rPr>
    </w:lvl>
    <w:lvl w:ilvl="5">
      <w:start w:val="1"/>
      <w:numFmt w:val="bullet"/>
      <w:lvlText w:val="▪"/>
      <w:lvlJc w:val="left"/>
      <w:pPr>
        <w:ind w:left="4180" w:hanging="360"/>
      </w:pPr>
      <w:rPr>
        <w:rFonts w:ascii="Noto Sans Symbols" w:eastAsia="Noto Sans Symbols" w:hAnsi="Noto Sans Symbols" w:cs="Noto Sans Symbols"/>
      </w:rPr>
    </w:lvl>
    <w:lvl w:ilvl="6">
      <w:start w:val="1"/>
      <w:numFmt w:val="bullet"/>
      <w:lvlText w:val="●"/>
      <w:lvlJc w:val="left"/>
      <w:pPr>
        <w:ind w:left="4900" w:hanging="360"/>
      </w:pPr>
      <w:rPr>
        <w:rFonts w:ascii="Noto Sans Symbols" w:eastAsia="Noto Sans Symbols" w:hAnsi="Noto Sans Symbols" w:cs="Noto Sans Symbols"/>
      </w:rPr>
    </w:lvl>
    <w:lvl w:ilvl="7">
      <w:start w:val="1"/>
      <w:numFmt w:val="bullet"/>
      <w:lvlText w:val="o"/>
      <w:lvlJc w:val="left"/>
      <w:pPr>
        <w:ind w:left="5620" w:hanging="360"/>
      </w:pPr>
      <w:rPr>
        <w:rFonts w:ascii="Courier New" w:eastAsia="Courier New" w:hAnsi="Courier New" w:cs="Courier New"/>
      </w:rPr>
    </w:lvl>
    <w:lvl w:ilvl="8">
      <w:start w:val="1"/>
      <w:numFmt w:val="bullet"/>
      <w:lvlText w:val="▪"/>
      <w:lvlJc w:val="left"/>
      <w:pPr>
        <w:ind w:left="6340" w:hanging="360"/>
      </w:pPr>
      <w:rPr>
        <w:rFonts w:ascii="Noto Sans Symbols" w:eastAsia="Noto Sans Symbols" w:hAnsi="Noto Sans Symbols" w:cs="Noto Sans Symbols"/>
      </w:rPr>
    </w:lvl>
  </w:abstractNum>
  <w:num w:numId="1" w16cid:durableId="1135487064">
    <w:abstractNumId w:val="8"/>
  </w:num>
  <w:num w:numId="2" w16cid:durableId="1997830916">
    <w:abstractNumId w:val="1"/>
  </w:num>
  <w:num w:numId="3" w16cid:durableId="248396153">
    <w:abstractNumId w:val="12"/>
  </w:num>
  <w:num w:numId="4" w16cid:durableId="141121654">
    <w:abstractNumId w:val="9"/>
  </w:num>
  <w:num w:numId="5" w16cid:durableId="2082747059">
    <w:abstractNumId w:val="6"/>
  </w:num>
  <w:num w:numId="6" w16cid:durableId="1235554277">
    <w:abstractNumId w:val="5"/>
  </w:num>
  <w:num w:numId="7" w16cid:durableId="115295526">
    <w:abstractNumId w:val="10"/>
  </w:num>
  <w:num w:numId="8" w16cid:durableId="309798180">
    <w:abstractNumId w:val="0"/>
  </w:num>
  <w:num w:numId="9" w16cid:durableId="59209777">
    <w:abstractNumId w:val="3"/>
  </w:num>
  <w:num w:numId="10" w16cid:durableId="1421180069">
    <w:abstractNumId w:val="11"/>
  </w:num>
  <w:num w:numId="11" w16cid:durableId="404837476">
    <w:abstractNumId w:val="2"/>
  </w:num>
  <w:num w:numId="12" w16cid:durableId="1504248500">
    <w:abstractNumId w:val="7"/>
  </w:num>
  <w:num w:numId="13" w16cid:durableId="1394816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87E"/>
    <w:rsid w:val="000975AC"/>
    <w:rsid w:val="000B0886"/>
    <w:rsid w:val="003F5F1D"/>
    <w:rsid w:val="005409D7"/>
    <w:rsid w:val="00606FF8"/>
    <w:rsid w:val="006E087E"/>
    <w:rsid w:val="00732EFC"/>
    <w:rsid w:val="00752466"/>
    <w:rsid w:val="00807D06"/>
    <w:rsid w:val="00870326"/>
    <w:rsid w:val="008E2347"/>
    <w:rsid w:val="00A8347F"/>
    <w:rsid w:val="00AA0EBD"/>
    <w:rsid w:val="00C053C4"/>
    <w:rsid w:val="00CA0F39"/>
    <w:rsid w:val="00DA6B1F"/>
    <w:rsid w:val="00F52833"/>
    <w:rsid w:val="00F957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D79EB"/>
  <w15:chartTrackingRefBased/>
  <w15:docId w15:val="{1921A01F-8650-1043-A435-373695A9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87E"/>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6E087E"/>
    <w:pPr>
      <w:spacing w:before="240" w:after="240"/>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6E087E"/>
    <w:pPr>
      <w:spacing w:line="240" w:lineRule="auto"/>
      <w:outlineLvl w:val="1"/>
    </w:pPr>
    <w:rPr>
      <w:rFonts w:ascii="Times New Roman" w:eastAsia="Times New Roman" w:hAnsi="Times New Roman" w:cs="Times New Roman"/>
      <w:b/>
      <w:i/>
      <w:sz w:val="24"/>
      <w:szCs w:val="24"/>
    </w:rPr>
  </w:style>
  <w:style w:type="paragraph" w:styleId="Heading3">
    <w:name w:val="heading 3"/>
    <w:basedOn w:val="Heading1"/>
    <w:next w:val="Normal"/>
    <w:link w:val="Heading3Char"/>
    <w:uiPriority w:val="9"/>
    <w:unhideWhenUsed/>
    <w:qFormat/>
    <w:rsid w:val="006E087E"/>
    <w:pPr>
      <w:outlineLvl w:val="2"/>
    </w:pPr>
  </w:style>
  <w:style w:type="paragraph" w:styleId="Heading4">
    <w:name w:val="heading 4"/>
    <w:basedOn w:val="Normal"/>
    <w:next w:val="Normal"/>
    <w:link w:val="Heading4Char"/>
    <w:uiPriority w:val="9"/>
    <w:unhideWhenUsed/>
    <w:qFormat/>
    <w:rsid w:val="006E087E"/>
    <w:pPr>
      <w:spacing w:line="240" w:lineRule="auto"/>
      <w:outlineLvl w:val="3"/>
    </w:pPr>
    <w:rPr>
      <w:rFonts w:ascii="Times New Roman" w:eastAsia="Times New Roman" w:hAnsi="Times New Roman" w:cs="Times New Roman"/>
      <w:b/>
      <w:i/>
      <w:sz w:val="24"/>
      <w:szCs w:val="24"/>
      <w:u w:val="single"/>
    </w:rPr>
  </w:style>
  <w:style w:type="paragraph" w:styleId="Heading5">
    <w:name w:val="heading 5"/>
    <w:basedOn w:val="Normal"/>
    <w:next w:val="Normal"/>
    <w:link w:val="Heading5Char"/>
    <w:uiPriority w:val="9"/>
    <w:semiHidden/>
    <w:unhideWhenUsed/>
    <w:qFormat/>
    <w:rsid w:val="006E087E"/>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6E087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87E"/>
    <w:rPr>
      <w:rFonts w:ascii="Times New Roman" w:eastAsia="Times New Roman" w:hAnsi="Times New Roman" w:cs="Times New Roman"/>
      <w:b/>
      <w:kern w:val="0"/>
      <w:lang w:val="en"/>
      <w14:ligatures w14:val="none"/>
    </w:rPr>
  </w:style>
  <w:style w:type="character" w:customStyle="1" w:styleId="Heading2Char">
    <w:name w:val="Heading 2 Char"/>
    <w:basedOn w:val="DefaultParagraphFont"/>
    <w:link w:val="Heading2"/>
    <w:uiPriority w:val="9"/>
    <w:rsid w:val="006E087E"/>
    <w:rPr>
      <w:rFonts w:ascii="Times New Roman" w:eastAsia="Times New Roman" w:hAnsi="Times New Roman" w:cs="Times New Roman"/>
      <w:b/>
      <w:i/>
      <w:kern w:val="0"/>
      <w:lang w:val="en"/>
      <w14:ligatures w14:val="none"/>
    </w:rPr>
  </w:style>
  <w:style w:type="character" w:customStyle="1" w:styleId="Heading3Char">
    <w:name w:val="Heading 3 Char"/>
    <w:basedOn w:val="DefaultParagraphFont"/>
    <w:link w:val="Heading3"/>
    <w:uiPriority w:val="9"/>
    <w:rsid w:val="006E087E"/>
    <w:rPr>
      <w:rFonts w:ascii="Times New Roman" w:eastAsia="Times New Roman" w:hAnsi="Times New Roman" w:cs="Times New Roman"/>
      <w:b/>
      <w:kern w:val="0"/>
      <w:lang w:val="en"/>
      <w14:ligatures w14:val="none"/>
    </w:rPr>
  </w:style>
  <w:style w:type="character" w:customStyle="1" w:styleId="Heading4Char">
    <w:name w:val="Heading 4 Char"/>
    <w:basedOn w:val="DefaultParagraphFont"/>
    <w:link w:val="Heading4"/>
    <w:uiPriority w:val="9"/>
    <w:rsid w:val="006E087E"/>
    <w:rPr>
      <w:rFonts w:ascii="Times New Roman" w:eastAsia="Times New Roman" w:hAnsi="Times New Roman" w:cs="Times New Roman"/>
      <w:b/>
      <w:i/>
      <w:kern w:val="0"/>
      <w:u w:val="single"/>
      <w:lang w:val="en"/>
      <w14:ligatures w14:val="none"/>
    </w:rPr>
  </w:style>
  <w:style w:type="character" w:customStyle="1" w:styleId="Heading5Char">
    <w:name w:val="Heading 5 Char"/>
    <w:basedOn w:val="DefaultParagraphFont"/>
    <w:link w:val="Heading5"/>
    <w:uiPriority w:val="9"/>
    <w:semiHidden/>
    <w:rsid w:val="006E087E"/>
    <w:rPr>
      <w:rFonts w:ascii="Arial" w:eastAsia="Arial" w:hAnsi="Arial" w:cs="Arial"/>
      <w:color w:val="666666"/>
      <w:kern w:val="0"/>
      <w:sz w:val="22"/>
      <w:szCs w:val="22"/>
      <w:lang w:val="en"/>
      <w14:ligatures w14:val="none"/>
    </w:rPr>
  </w:style>
  <w:style w:type="character" w:customStyle="1" w:styleId="Heading6Char">
    <w:name w:val="Heading 6 Char"/>
    <w:basedOn w:val="DefaultParagraphFont"/>
    <w:link w:val="Heading6"/>
    <w:uiPriority w:val="9"/>
    <w:semiHidden/>
    <w:rsid w:val="006E087E"/>
    <w:rPr>
      <w:rFonts w:ascii="Arial" w:eastAsia="Arial" w:hAnsi="Arial" w:cs="Arial"/>
      <w:i/>
      <w:color w:val="666666"/>
      <w:kern w:val="0"/>
      <w:sz w:val="22"/>
      <w:szCs w:val="22"/>
      <w:lang w:val="en"/>
      <w14:ligatures w14:val="none"/>
    </w:rPr>
  </w:style>
  <w:style w:type="paragraph" w:styleId="Title">
    <w:name w:val="Title"/>
    <w:basedOn w:val="Normal"/>
    <w:next w:val="Normal"/>
    <w:link w:val="TitleChar"/>
    <w:uiPriority w:val="10"/>
    <w:qFormat/>
    <w:rsid w:val="006E087E"/>
    <w:pPr>
      <w:keepNext/>
      <w:keepLines/>
      <w:spacing w:after="60"/>
    </w:pPr>
    <w:rPr>
      <w:sz w:val="52"/>
      <w:szCs w:val="52"/>
    </w:rPr>
  </w:style>
  <w:style w:type="character" w:customStyle="1" w:styleId="TitleChar">
    <w:name w:val="Title Char"/>
    <w:basedOn w:val="DefaultParagraphFont"/>
    <w:link w:val="Title"/>
    <w:uiPriority w:val="10"/>
    <w:rsid w:val="006E087E"/>
    <w:rPr>
      <w:rFonts w:ascii="Arial" w:eastAsia="Arial" w:hAnsi="Arial" w:cs="Arial"/>
      <w:kern w:val="0"/>
      <w:sz w:val="52"/>
      <w:szCs w:val="52"/>
      <w:lang w:val="en"/>
      <w14:ligatures w14:val="none"/>
    </w:rPr>
  </w:style>
  <w:style w:type="paragraph" w:styleId="Subtitle">
    <w:name w:val="Subtitle"/>
    <w:basedOn w:val="Normal"/>
    <w:next w:val="Normal"/>
    <w:link w:val="SubtitleChar"/>
    <w:uiPriority w:val="11"/>
    <w:qFormat/>
    <w:rsid w:val="006E087E"/>
    <w:pPr>
      <w:keepNext/>
      <w:keepLines/>
      <w:spacing w:after="320"/>
    </w:pPr>
    <w:rPr>
      <w:color w:val="666666"/>
      <w:sz w:val="30"/>
      <w:szCs w:val="30"/>
    </w:rPr>
  </w:style>
  <w:style w:type="character" w:customStyle="1" w:styleId="SubtitleChar">
    <w:name w:val="Subtitle Char"/>
    <w:basedOn w:val="DefaultParagraphFont"/>
    <w:link w:val="Subtitle"/>
    <w:uiPriority w:val="11"/>
    <w:rsid w:val="006E087E"/>
    <w:rPr>
      <w:rFonts w:ascii="Arial" w:eastAsia="Arial" w:hAnsi="Arial" w:cs="Arial"/>
      <w:color w:val="666666"/>
      <w:kern w:val="0"/>
      <w:sz w:val="30"/>
      <w:szCs w:val="30"/>
      <w:lang w:val="en"/>
      <w14:ligatures w14:val="none"/>
    </w:rPr>
  </w:style>
  <w:style w:type="paragraph" w:styleId="Header">
    <w:name w:val="header"/>
    <w:basedOn w:val="Normal"/>
    <w:link w:val="HeaderChar"/>
    <w:uiPriority w:val="99"/>
    <w:unhideWhenUsed/>
    <w:rsid w:val="006E087E"/>
    <w:pPr>
      <w:tabs>
        <w:tab w:val="center" w:pos="4680"/>
        <w:tab w:val="right" w:pos="9360"/>
      </w:tabs>
      <w:spacing w:line="240" w:lineRule="auto"/>
    </w:pPr>
  </w:style>
  <w:style w:type="character" w:customStyle="1" w:styleId="HeaderChar">
    <w:name w:val="Header Char"/>
    <w:basedOn w:val="DefaultParagraphFont"/>
    <w:link w:val="Header"/>
    <w:uiPriority w:val="99"/>
    <w:rsid w:val="006E087E"/>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6E087E"/>
    <w:pPr>
      <w:tabs>
        <w:tab w:val="center" w:pos="4680"/>
        <w:tab w:val="right" w:pos="9360"/>
      </w:tabs>
      <w:spacing w:line="240" w:lineRule="auto"/>
    </w:pPr>
  </w:style>
  <w:style w:type="character" w:customStyle="1" w:styleId="FooterChar">
    <w:name w:val="Footer Char"/>
    <w:basedOn w:val="DefaultParagraphFont"/>
    <w:link w:val="Footer"/>
    <w:uiPriority w:val="99"/>
    <w:rsid w:val="006E087E"/>
    <w:rPr>
      <w:rFonts w:ascii="Arial" w:eastAsia="Arial" w:hAnsi="Arial" w:cs="Arial"/>
      <w:kern w:val="0"/>
      <w:sz w:val="22"/>
      <w:szCs w:val="22"/>
      <w:lang w:val="en"/>
      <w14:ligatures w14:val="none"/>
    </w:rPr>
  </w:style>
  <w:style w:type="paragraph" w:styleId="NormalWeb">
    <w:name w:val="Normal (Web)"/>
    <w:basedOn w:val="Normal"/>
    <w:uiPriority w:val="99"/>
    <w:unhideWhenUsed/>
    <w:rsid w:val="006E087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semiHidden/>
    <w:unhideWhenUsed/>
    <w:rsid w:val="006E087E"/>
    <w:pPr>
      <w:spacing w:line="240" w:lineRule="auto"/>
    </w:pPr>
    <w:rPr>
      <w:sz w:val="20"/>
      <w:szCs w:val="20"/>
    </w:rPr>
  </w:style>
  <w:style w:type="character" w:customStyle="1" w:styleId="CommentTextChar">
    <w:name w:val="Comment Text Char"/>
    <w:basedOn w:val="DefaultParagraphFont"/>
    <w:link w:val="CommentText"/>
    <w:uiPriority w:val="99"/>
    <w:semiHidden/>
    <w:rsid w:val="006E087E"/>
    <w:rPr>
      <w:rFonts w:ascii="Arial" w:eastAsia="Arial" w:hAnsi="Arial" w:cs="Arial"/>
      <w:kern w:val="0"/>
      <w:sz w:val="20"/>
      <w:szCs w:val="20"/>
      <w:lang w:val="en"/>
      <w14:ligatures w14:val="none"/>
    </w:rPr>
  </w:style>
  <w:style w:type="character" w:styleId="CommentReference">
    <w:name w:val="annotation reference"/>
    <w:basedOn w:val="DefaultParagraphFont"/>
    <w:uiPriority w:val="99"/>
    <w:semiHidden/>
    <w:unhideWhenUsed/>
    <w:rsid w:val="006E087E"/>
    <w:rPr>
      <w:sz w:val="16"/>
      <w:szCs w:val="16"/>
    </w:rPr>
  </w:style>
  <w:style w:type="paragraph" w:customStyle="1" w:styleId="EndNoteBibliographyTitle">
    <w:name w:val="EndNote Bibliography Title"/>
    <w:basedOn w:val="Normal"/>
    <w:link w:val="EndNoteBibliographyTitleChar"/>
    <w:rsid w:val="006E087E"/>
    <w:pPr>
      <w:jc w:val="center"/>
    </w:pPr>
    <w:rPr>
      <w:lang w:val="en-US"/>
    </w:rPr>
  </w:style>
  <w:style w:type="character" w:customStyle="1" w:styleId="EndNoteBibliographyTitleChar">
    <w:name w:val="EndNote Bibliography Title Char"/>
    <w:basedOn w:val="DefaultParagraphFont"/>
    <w:link w:val="EndNoteBibliographyTitle"/>
    <w:rsid w:val="006E087E"/>
    <w:rPr>
      <w:rFonts w:ascii="Arial" w:eastAsia="Arial" w:hAnsi="Arial" w:cs="Arial"/>
      <w:kern w:val="0"/>
      <w:sz w:val="22"/>
      <w:szCs w:val="22"/>
      <w:lang w:val="en-US"/>
      <w14:ligatures w14:val="none"/>
    </w:rPr>
  </w:style>
  <w:style w:type="paragraph" w:customStyle="1" w:styleId="EndNoteBibliography">
    <w:name w:val="EndNote Bibliography"/>
    <w:basedOn w:val="Normal"/>
    <w:link w:val="EndNoteBibliographyChar"/>
    <w:rsid w:val="006E087E"/>
    <w:pPr>
      <w:spacing w:line="240" w:lineRule="auto"/>
    </w:pPr>
    <w:rPr>
      <w:lang w:val="en-US"/>
    </w:rPr>
  </w:style>
  <w:style w:type="character" w:customStyle="1" w:styleId="EndNoteBibliographyChar">
    <w:name w:val="EndNote Bibliography Char"/>
    <w:basedOn w:val="DefaultParagraphFont"/>
    <w:link w:val="EndNoteBibliography"/>
    <w:rsid w:val="006E087E"/>
    <w:rPr>
      <w:rFonts w:ascii="Arial" w:eastAsia="Arial" w:hAnsi="Arial" w:cs="Arial"/>
      <w:kern w:val="0"/>
      <w:sz w:val="22"/>
      <w:szCs w:val="22"/>
      <w:lang w:val="en-US"/>
      <w14:ligatures w14:val="none"/>
    </w:rPr>
  </w:style>
  <w:style w:type="paragraph" w:styleId="Revision">
    <w:name w:val="Revision"/>
    <w:hidden/>
    <w:uiPriority w:val="99"/>
    <w:semiHidden/>
    <w:rsid w:val="006E087E"/>
    <w:rPr>
      <w:rFonts w:ascii="Arial" w:eastAsia="Arial" w:hAnsi="Arial" w:cs="Arial"/>
      <w:kern w:val="0"/>
      <w:sz w:val="22"/>
      <w:szCs w:val="22"/>
      <w:lang w:val="en"/>
      <w14:ligatures w14:val="none"/>
    </w:rPr>
  </w:style>
  <w:style w:type="paragraph" w:styleId="CommentSubject">
    <w:name w:val="annotation subject"/>
    <w:basedOn w:val="CommentText"/>
    <w:next w:val="CommentText"/>
    <w:link w:val="CommentSubjectChar"/>
    <w:uiPriority w:val="99"/>
    <w:semiHidden/>
    <w:unhideWhenUsed/>
    <w:rsid w:val="006E087E"/>
    <w:rPr>
      <w:b/>
      <w:bCs/>
    </w:rPr>
  </w:style>
  <w:style w:type="character" w:customStyle="1" w:styleId="CommentSubjectChar">
    <w:name w:val="Comment Subject Char"/>
    <w:basedOn w:val="CommentTextChar"/>
    <w:link w:val="CommentSubject"/>
    <w:uiPriority w:val="99"/>
    <w:semiHidden/>
    <w:rsid w:val="006E087E"/>
    <w:rPr>
      <w:rFonts w:ascii="Arial" w:eastAsia="Arial" w:hAnsi="Arial" w:cs="Arial"/>
      <w:b/>
      <w:bCs/>
      <w:kern w:val="0"/>
      <w:sz w:val="20"/>
      <w:szCs w:val="20"/>
      <w:lang w:val="en"/>
      <w14:ligatures w14:val="none"/>
    </w:rPr>
  </w:style>
  <w:style w:type="paragraph" w:styleId="ListParagraph">
    <w:name w:val="List Paragraph"/>
    <w:basedOn w:val="Normal"/>
    <w:uiPriority w:val="34"/>
    <w:qFormat/>
    <w:rsid w:val="006E087E"/>
    <w:pPr>
      <w:ind w:left="720"/>
      <w:contextualSpacing/>
    </w:pPr>
  </w:style>
  <w:style w:type="character" w:styleId="Hyperlink">
    <w:name w:val="Hyperlink"/>
    <w:basedOn w:val="DefaultParagraphFont"/>
    <w:uiPriority w:val="99"/>
    <w:unhideWhenUsed/>
    <w:rsid w:val="006E087E"/>
    <w:rPr>
      <w:color w:val="0563C1" w:themeColor="hyperlink"/>
      <w:u w:val="single"/>
    </w:rPr>
  </w:style>
  <w:style w:type="character" w:styleId="UnresolvedMention">
    <w:name w:val="Unresolved Mention"/>
    <w:basedOn w:val="DefaultParagraphFont"/>
    <w:uiPriority w:val="99"/>
    <w:semiHidden/>
    <w:unhideWhenUsed/>
    <w:rsid w:val="006E087E"/>
    <w:rPr>
      <w:color w:val="605E5C"/>
      <w:shd w:val="clear" w:color="auto" w:fill="E1DFDD"/>
    </w:rPr>
  </w:style>
  <w:style w:type="paragraph" w:styleId="NoSpacing">
    <w:name w:val="No Spacing"/>
    <w:uiPriority w:val="1"/>
    <w:qFormat/>
    <w:rsid w:val="006E087E"/>
    <w:rPr>
      <w:rFonts w:ascii="Arial" w:eastAsia="Arial" w:hAnsi="Arial" w:cs="Arial"/>
      <w:kern w:val="0"/>
      <w:sz w:val="22"/>
      <w:szCs w:val="22"/>
      <w:lang w:val="en"/>
      <w14:ligatures w14:val="none"/>
    </w:rPr>
  </w:style>
  <w:style w:type="table" w:styleId="GridTable1Light">
    <w:name w:val="Grid Table 1 Light"/>
    <w:basedOn w:val="TableNormal"/>
    <w:uiPriority w:val="46"/>
    <w:rsid w:val="006E087E"/>
    <w:rPr>
      <w:rFonts w:ascii="Arial" w:eastAsia="Arial" w:hAnsi="Arial" w:cs="Arial"/>
      <w:kern w:val="0"/>
      <w:sz w:val="22"/>
      <w:szCs w:val="22"/>
      <w:lang w:val="en"/>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E087E"/>
    <w:rPr>
      <w:rFonts w:ascii="Arial" w:eastAsia="Arial" w:hAnsi="Arial" w:cs="Arial"/>
      <w:kern w:val="0"/>
      <w:sz w:val="22"/>
      <w:szCs w:val="22"/>
      <w:lang w:val="e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rveymonkey.com/" TargetMode="Externa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sccm.org/getattachment/Clinical-Resources/Guidelines/Guideline-Development-Resources/ACCM-Guidelines-Conflict-of-Interest-COI.pdf?lang=en-US" TargetMode="External"/><Relationship Id="rId12" Type="http://schemas.openxmlformats.org/officeDocument/2006/relationships/footer" Target="footer2.xml"/><Relationship Id="rId17" Type="http://schemas.openxmlformats.org/officeDocument/2006/relationships/hyperlink" Target="http://www.gradepro.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ataparty.ca"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55</Pages>
  <Words>12376</Words>
  <Characters>66835</Characters>
  <Application>Microsoft Office Word</Application>
  <DocSecurity>0</DocSecurity>
  <Lines>3931</Lines>
  <Paragraphs>2140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Kimia Honar</dc:creator>
  <cp:keywords/>
  <dc:description/>
  <cp:lastModifiedBy>Baeuerlein, Christopher</cp:lastModifiedBy>
  <cp:revision>7</cp:revision>
  <dcterms:created xsi:type="dcterms:W3CDTF">2023-06-25T18:04:00Z</dcterms:created>
  <dcterms:modified xsi:type="dcterms:W3CDTF">2023-09-12T13:17:00Z</dcterms:modified>
</cp:coreProperties>
</file>