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C7E9" w14:textId="77777777" w:rsidR="00C978DB" w:rsidRPr="00450DA6" w:rsidRDefault="00C978DB" w:rsidP="00C978DB">
      <w:pPr>
        <w:spacing w:line="360" w:lineRule="auto"/>
        <w:rPr>
          <w:rFonts w:ascii="LMRoman10-Regular" w:eastAsiaTheme="minorEastAsia" w:hAnsi="LMRoman10-Regular" w:cs="LMRoman10-Regular"/>
          <w:b/>
          <w:sz w:val="24"/>
          <w:szCs w:val="24"/>
        </w:rPr>
      </w:pPr>
      <w:r w:rsidRPr="00D7794E">
        <w:rPr>
          <w:rFonts w:ascii="LMRoman10-Regular" w:eastAsiaTheme="minorEastAsia" w:hAnsi="LMRoman10-Regular" w:cs="LMRoman10-Regular"/>
          <w:b/>
          <w:sz w:val="24"/>
          <w:szCs w:val="24"/>
        </w:rPr>
        <w:t xml:space="preserve">Supplemental </w:t>
      </w:r>
      <w:r w:rsidRPr="00450DA6">
        <w:rPr>
          <w:rFonts w:ascii="LMRoman10-Regular" w:eastAsiaTheme="minorEastAsia" w:hAnsi="LMRoman10-Regular" w:cs="LMRoman10-Regular"/>
          <w:b/>
          <w:sz w:val="24"/>
          <w:szCs w:val="24"/>
        </w:rPr>
        <w:t>Figure legends</w:t>
      </w:r>
    </w:p>
    <w:p w14:paraId="5B3B1FAB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</w:p>
    <w:p w14:paraId="063ABDDD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  <w:r w:rsidRPr="00C978DB">
        <w:rPr>
          <w:rFonts w:ascii="LMRoman10-Regular" w:eastAsiaTheme="minorEastAsia" w:hAnsi="LMRoman10-Regular" w:cs="LMRoman10-Regular"/>
          <w:b/>
          <w:sz w:val="24"/>
          <w:szCs w:val="24"/>
        </w:rPr>
        <w:t>Figure E1.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An example of three animals during a 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>20 mL·min</w:t>
      </w:r>
      <w:r w:rsidRPr="002738E0">
        <w:rPr>
          <w:rFonts w:ascii="LMRoman10-Regular" w:eastAsiaTheme="minorEastAsia" w:hAnsi="LMRoman10-Regular" w:cs="LMRoman10-Regular"/>
          <w:sz w:val="24"/>
          <w:szCs w:val="24"/>
          <w:vertAlign w:val="superscript"/>
        </w:rPr>
        <w:t>-1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r>
        <w:rPr>
          <w:rFonts w:ascii="LMRoman10-Regular" w:eastAsiaTheme="minorEastAsia" w:hAnsi="LMRoman10-Regular" w:cs="LMRoman10-Regular"/>
          <w:sz w:val="24"/>
          <w:szCs w:val="24"/>
        </w:rPr>
        <w:t>bleed, showing the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r>
        <w:rPr>
          <w:rFonts w:ascii="LMRoman10-Regular" w:eastAsiaTheme="minorEastAsia" w:hAnsi="LMRoman10-Regular" w:cs="LMRoman10-Regular"/>
          <w:sz w:val="24"/>
          <w:szCs w:val="24"/>
        </w:rPr>
        <w:t>a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 xml:space="preserve">ctivity monitoring 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operating 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 xml:space="preserve">characteristic (AMOC) curves time to detection (TTD) </w:t>
      </w:r>
      <w:r>
        <w:rPr>
          <w:rFonts w:ascii="LMRoman10-Regular" w:eastAsiaTheme="minorEastAsia" w:hAnsi="LMRoman10-Regular" w:cs="LMRoman10-Regular"/>
          <w:sz w:val="24"/>
          <w:szCs w:val="24"/>
        </w:rPr>
        <w:t>plotted as a relative probability of being in a bleeding state from 0 (no bleed) to 1 (bleeding). The dotted red vertical lines represent the start of bleeding and the horizontal black dotted lines represent when 80% of all pigs were detected as a false positive rate of 10</w:t>
      </w:r>
      <w:r w:rsidRPr="00CE7559">
        <w:rPr>
          <w:rFonts w:ascii="LMRoman10-Regular" w:eastAsiaTheme="minorEastAsia" w:hAnsi="LMRoman10-Regular" w:cs="LMRoman10-Regular"/>
          <w:sz w:val="24"/>
          <w:szCs w:val="24"/>
          <w:vertAlign w:val="superscript"/>
        </w:rPr>
        <w:t>-2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for models using 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>simple metrics (SM), beat-to-beat (B2B) and waveform (WF) using a (A) universal baseline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(None)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>, or (B) personalized baseline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(Normalized)</w:t>
      </w:r>
      <w:r w:rsidRPr="002738E0">
        <w:rPr>
          <w:rFonts w:ascii="LMRoman10-Regular" w:eastAsiaTheme="minorEastAsia" w:hAnsi="LMRoman10-Regular" w:cs="LMRoman10-Regular"/>
          <w:sz w:val="24"/>
          <w:szCs w:val="24"/>
        </w:rPr>
        <w:t>.</w:t>
      </w:r>
    </w:p>
    <w:p w14:paraId="1692797D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</w:p>
    <w:p w14:paraId="0C4B7EB7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  <w:r w:rsidRPr="00C978DB">
        <w:rPr>
          <w:rFonts w:ascii="LMRoman10-Regular" w:eastAsiaTheme="minorEastAsia" w:hAnsi="LMRoman10-Regular" w:cs="LMRoman10-Regular"/>
          <w:b/>
          <w:sz w:val="24"/>
          <w:szCs w:val="24"/>
        </w:rPr>
        <w:t>Figure E2.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>AMOC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curve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>s show</w:t>
      </w:r>
      <w:r>
        <w:rPr>
          <w:rFonts w:ascii="LMRoman10-Regular" w:eastAsiaTheme="minorEastAsia" w:hAnsi="LMRoman10-Regular" w:cs="LMRoman10-Regular"/>
          <w:sz w:val="24"/>
          <w:szCs w:val="24"/>
        </w:rPr>
        <w:t>ing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 xml:space="preserve"> the 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average 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 xml:space="preserve">TTD 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of bleeding onset 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 xml:space="preserve">needed to detect 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80% of pigs </w:t>
      </w:r>
      <w:r w:rsidRPr="00CD4C6E">
        <w:rPr>
          <w:rFonts w:ascii="LMRoman10-Regular" w:eastAsiaTheme="minorEastAsia" w:hAnsi="LMRoman10-Regular" w:cs="LMRoman10-Regular"/>
          <w:sz w:val="24"/>
          <w:szCs w:val="24"/>
        </w:rPr>
        <w:t xml:space="preserve">for the 5 and 20 </w:t>
      </w:r>
      <w:r w:rsidRPr="00C34E92">
        <w:rPr>
          <w:sz w:val="24"/>
          <w:szCs w:val="24"/>
        </w:rPr>
        <w:t>mL</w:t>
      </w:r>
      <w:r>
        <w:rPr>
          <w:rFonts w:cstheme="minorHAnsi"/>
          <w:sz w:val="24"/>
          <w:szCs w:val="24"/>
        </w:rPr>
        <w:t>·</w:t>
      </w:r>
      <w:r w:rsidRPr="00C8362F">
        <w:rPr>
          <w:sz w:val="24"/>
          <w:szCs w:val="24"/>
        </w:rPr>
        <w:t>min</w:t>
      </w:r>
      <w:r w:rsidRPr="008A2E98">
        <w:rPr>
          <w:sz w:val="24"/>
          <w:szCs w:val="24"/>
          <w:vertAlign w:val="superscript"/>
        </w:rPr>
        <w:t>-</w:t>
      </w:r>
      <w:r w:rsidRPr="008A2E98">
        <w:rPr>
          <w:rFonts w:ascii="LMRoman10-Regular" w:eastAsiaTheme="minorEastAsia" w:hAnsi="LMRoman10-Regular" w:cs="LMRoman10-Regular"/>
          <w:sz w:val="24"/>
          <w:szCs w:val="24"/>
          <w:vertAlign w:val="superscript"/>
        </w:rPr>
        <w:t>1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proofErr w:type="gramStart"/>
      <w:r w:rsidRPr="00CD4C6E">
        <w:rPr>
          <w:rFonts w:ascii="LMRoman10-Regular" w:eastAsiaTheme="minorEastAsia" w:hAnsi="LMRoman10-Regular" w:cs="LMRoman10-Regular"/>
          <w:sz w:val="24"/>
          <w:szCs w:val="24"/>
        </w:rPr>
        <w:t>cohorts</w:t>
      </w:r>
      <w:proofErr w:type="gramEnd"/>
      <w:r w:rsidRPr="00CD4C6E"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r w:rsidRPr="008A2E98">
        <w:rPr>
          <w:rFonts w:ascii="LMRoman10-Regular" w:eastAsiaTheme="minorEastAsia" w:hAnsi="LMRoman10-Regular" w:cs="LMRoman10-Regular"/>
          <w:sz w:val="24"/>
          <w:szCs w:val="24"/>
        </w:rPr>
        <w:t>for the SM (top), B2B (middle), and WF (bottom) models using either a universal baseline (left) or personalized baseline (right).</w:t>
      </w:r>
    </w:p>
    <w:p w14:paraId="4748DED7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</w:p>
    <w:p w14:paraId="5199A5F6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  <w:r w:rsidRPr="00C978DB">
        <w:rPr>
          <w:rFonts w:ascii="LMRoman10-Regular" w:eastAsiaTheme="minorEastAsia" w:hAnsi="LMRoman10-Regular" w:cs="LMRoman10-Regular"/>
          <w:b/>
          <w:sz w:val="24"/>
          <w:szCs w:val="24"/>
        </w:rPr>
        <w:t>Figure E3.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 xml:space="preserve"> </w:t>
      </w:r>
      <w:r>
        <w:rPr>
          <w:rFonts w:ascii="LMRoman10-Regular" w:eastAsiaTheme="minorEastAsia" w:hAnsi="LMRoman10-Regular" w:cs="LMRoman10-Regular"/>
          <w:sz w:val="24"/>
          <w:szCs w:val="24"/>
        </w:rPr>
        <w:t xml:space="preserve">Examples of 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Individual vital detection performance for the 20 mL·min-1 cohort using a (A) universal baseline or (B) personalized baseline. Vitals are grouped into noninvasive measurements (NIM</w:t>
      </w:r>
      <w:r>
        <w:rPr>
          <w:rFonts w:ascii="LMRoman10-Regular" w:eastAsiaTheme="minorEastAsia" w:hAnsi="LMRoman10-Regular" w:cs="LMRoman10-Regular"/>
          <w:sz w:val="24"/>
          <w:szCs w:val="24"/>
        </w:rPr>
        <w:t>, brown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 or measurements from a central venous catheter (CVC</w:t>
      </w:r>
      <w:r>
        <w:rPr>
          <w:rFonts w:ascii="LMRoman10-Regular" w:eastAsiaTheme="minorEastAsia" w:hAnsi="LMRoman10-Regular" w:cs="LMRoman10-Regular"/>
          <w:sz w:val="24"/>
          <w:szCs w:val="24"/>
        </w:rPr>
        <w:t>, blue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), pulmonary artery catheter (PAC</w:t>
      </w:r>
      <w:r>
        <w:rPr>
          <w:rFonts w:ascii="LMRoman10-Regular" w:eastAsiaTheme="minorEastAsia" w:hAnsi="LMRoman10-Regular" w:cs="LMRoman10-Regular"/>
          <w:sz w:val="24"/>
          <w:szCs w:val="24"/>
        </w:rPr>
        <w:t>, purple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), or arterial catheter (ART</w:t>
      </w:r>
      <w:r>
        <w:rPr>
          <w:rFonts w:ascii="LMRoman10-Regular" w:eastAsiaTheme="minorEastAsia" w:hAnsi="LMRoman10-Regular" w:cs="LMRoman10-Regular"/>
          <w:sz w:val="24"/>
          <w:szCs w:val="24"/>
        </w:rPr>
        <w:t>, red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).</w:t>
      </w:r>
    </w:p>
    <w:p w14:paraId="0E80AFA1" w14:textId="77777777" w:rsidR="00C978DB" w:rsidRPr="0068294A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</w:p>
    <w:p w14:paraId="79DE5E1F" w14:textId="77777777" w:rsidR="00C978DB" w:rsidRDefault="00C978DB" w:rsidP="00C978DB">
      <w:pPr>
        <w:spacing w:line="360" w:lineRule="auto"/>
        <w:rPr>
          <w:rFonts w:ascii="LMRoman10-Regular" w:eastAsiaTheme="minorEastAsia" w:hAnsi="LMRoman10-Regular" w:cs="LMRoman10-Regular"/>
          <w:sz w:val="24"/>
          <w:szCs w:val="24"/>
        </w:rPr>
      </w:pPr>
      <w:r w:rsidRPr="00C978DB">
        <w:rPr>
          <w:rFonts w:ascii="LMRoman10-Regular" w:eastAsiaTheme="minorEastAsia" w:hAnsi="LMRoman10-Regular" w:cs="LMRoman10-Regular"/>
          <w:b/>
          <w:sz w:val="24"/>
          <w:szCs w:val="24"/>
        </w:rPr>
        <w:t>Figure E4.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 xml:space="preserve"> Individual vital detection performance for a subset of the 20 mL·min</w:t>
      </w:r>
      <w:r w:rsidRPr="0068294A">
        <w:rPr>
          <w:rFonts w:ascii="LMRoman10-Regular" w:eastAsiaTheme="minorEastAsia" w:hAnsi="LMRoman10-Regular" w:cs="LMRoman10-Regular"/>
          <w:sz w:val="24"/>
          <w:szCs w:val="24"/>
          <w:vertAlign w:val="superscript"/>
        </w:rPr>
        <w:t>-1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 xml:space="preserve"> cohort using a (A) universal </w:t>
      </w:r>
      <w:bookmarkStart w:id="0" w:name="_GoBack"/>
      <w:bookmarkEnd w:id="0"/>
      <w:r w:rsidRPr="0068294A">
        <w:rPr>
          <w:rFonts w:ascii="LMRoman10-Regular" w:eastAsiaTheme="minorEastAsia" w:hAnsi="LMRoman10-Regular" w:cs="LMRoman10-Regular"/>
          <w:sz w:val="24"/>
          <w:szCs w:val="24"/>
        </w:rPr>
        <w:t>baseline or (B) personalized baseline. Vitals are grouped into noninvasive measurements (NIM</w:t>
      </w:r>
      <w:r>
        <w:rPr>
          <w:rFonts w:ascii="LMRoman10-Regular" w:eastAsiaTheme="minorEastAsia" w:hAnsi="LMRoman10-Regular" w:cs="LMRoman10-Regular"/>
          <w:sz w:val="24"/>
          <w:szCs w:val="24"/>
        </w:rPr>
        <w:t>, brown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 or measurements from a central venous catheter (CVC</w:t>
      </w:r>
      <w:r>
        <w:rPr>
          <w:rFonts w:ascii="LMRoman10-Regular" w:eastAsiaTheme="minorEastAsia" w:hAnsi="LMRoman10-Regular" w:cs="LMRoman10-Regular"/>
          <w:sz w:val="24"/>
          <w:szCs w:val="24"/>
        </w:rPr>
        <w:t>, blue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), pulmonary artery catheter (PAC</w:t>
      </w:r>
      <w:r>
        <w:rPr>
          <w:rFonts w:ascii="LMRoman10-Regular" w:eastAsiaTheme="minorEastAsia" w:hAnsi="LMRoman10-Regular" w:cs="LMRoman10-Regular"/>
          <w:sz w:val="24"/>
          <w:szCs w:val="24"/>
        </w:rPr>
        <w:t>, purple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), or arterial catheter (ART</w:t>
      </w:r>
      <w:r>
        <w:rPr>
          <w:rFonts w:ascii="LMRoman10-Regular" w:eastAsiaTheme="minorEastAsia" w:hAnsi="LMRoman10-Regular" w:cs="LMRoman10-Regular"/>
          <w:sz w:val="24"/>
          <w:szCs w:val="24"/>
        </w:rPr>
        <w:t>, red</w:t>
      </w:r>
      <w:r w:rsidRPr="0068294A">
        <w:rPr>
          <w:rFonts w:ascii="LMRoman10-Regular" w:eastAsiaTheme="minorEastAsia" w:hAnsi="LMRoman10-Regular" w:cs="LMRoman10-Regular"/>
          <w:sz w:val="24"/>
          <w:szCs w:val="24"/>
        </w:rPr>
        <w:t>). The subset includes only 27 pigs after removing 11 with no stable baseline or data with too many artifacts.</w:t>
      </w:r>
    </w:p>
    <w:p w14:paraId="62CDB2A9" w14:textId="77777777" w:rsidR="00B42549" w:rsidRDefault="00077452" w:rsidP="00C978DB">
      <w:pPr>
        <w:spacing w:line="360" w:lineRule="auto"/>
      </w:pPr>
    </w:p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B"/>
    <w:rsid w:val="00077452"/>
    <w:rsid w:val="00657CF7"/>
    <w:rsid w:val="00742FE5"/>
    <w:rsid w:val="00C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1790"/>
  <w15:chartTrackingRefBased/>
  <w15:docId w15:val="{8CBA3F6D-AA43-4C6B-B2FE-A75D6293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95DDC-BADB-4DF3-8AD6-EA2FFAC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E089F-9C46-40C4-ABDF-1A615057F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84A70-8692-4B17-8B3F-5440F2A361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2019-09-25T19:34:00Z</dcterms:created>
  <dcterms:modified xsi:type="dcterms:W3CDTF">2019-09-25T20:43:00Z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