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
        <w:tblW w:w="0" w:type="auto"/>
        <w:tblBorders>
          <w:left w:val="none" w:sz="0" w:space="0" w:color="auto"/>
          <w:right w:val="none" w:sz="0" w:space="0" w:color="auto"/>
        </w:tblBorders>
        <w:tblLook w:val="04A0" w:firstRow="1" w:lastRow="0" w:firstColumn="1" w:lastColumn="0" w:noHBand="0" w:noVBand="1"/>
      </w:tblPr>
      <w:tblGrid>
        <w:gridCol w:w="3085"/>
        <w:gridCol w:w="6157"/>
      </w:tblGrid>
      <w:tr w:rsidR="00586D31" w:rsidRPr="00586D31" w14:paraId="6F0B0292" w14:textId="77777777" w:rsidTr="009614C4">
        <w:tc>
          <w:tcPr>
            <w:tcW w:w="3085" w:type="dxa"/>
            <w:tcBorders>
              <w:bottom w:val="single" w:sz="4" w:space="0" w:color="auto"/>
              <w:right w:val="nil"/>
            </w:tcBorders>
            <w:shd w:val="clear" w:color="auto" w:fill="D9D9D9" w:themeFill="background1" w:themeFillShade="D9"/>
          </w:tcPr>
          <w:p w14:paraId="637AB93C"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auto"/>
                <w:sz w:val="24"/>
                <w:szCs w:val="24"/>
              </w:rPr>
            </w:pPr>
            <w:r w:rsidRPr="00586D31">
              <w:rPr>
                <w:rFonts w:asciiTheme="minorHAnsi" w:hAnsiTheme="minorHAnsi"/>
                <w:b/>
                <w:color w:val="auto"/>
                <w:sz w:val="24"/>
                <w:szCs w:val="24"/>
              </w:rPr>
              <w:t>Stage</w:t>
            </w:r>
          </w:p>
        </w:tc>
        <w:tc>
          <w:tcPr>
            <w:tcW w:w="6157" w:type="dxa"/>
            <w:tcBorders>
              <w:left w:val="nil"/>
              <w:bottom w:val="single" w:sz="4" w:space="0" w:color="auto"/>
            </w:tcBorders>
            <w:shd w:val="clear" w:color="auto" w:fill="D9D9D9" w:themeFill="background1" w:themeFillShade="D9"/>
          </w:tcPr>
          <w:p w14:paraId="76211AB8"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auto"/>
                <w:sz w:val="24"/>
                <w:szCs w:val="24"/>
              </w:rPr>
            </w:pPr>
            <w:r w:rsidRPr="00586D31">
              <w:rPr>
                <w:rFonts w:asciiTheme="minorHAnsi" w:hAnsiTheme="minorHAnsi"/>
                <w:b/>
                <w:color w:val="auto"/>
                <w:sz w:val="24"/>
                <w:szCs w:val="24"/>
              </w:rPr>
              <w:t>Process</w:t>
            </w:r>
          </w:p>
        </w:tc>
      </w:tr>
      <w:tr w:rsidR="00586D31" w:rsidRPr="00586D31" w14:paraId="77D18FE1" w14:textId="77777777" w:rsidTr="009614C4">
        <w:tc>
          <w:tcPr>
            <w:tcW w:w="3085" w:type="dxa"/>
            <w:tcBorders>
              <w:bottom w:val="nil"/>
              <w:right w:val="nil"/>
            </w:tcBorders>
          </w:tcPr>
          <w:p w14:paraId="146E9374"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One</w:t>
            </w:r>
          </w:p>
        </w:tc>
        <w:tc>
          <w:tcPr>
            <w:tcW w:w="6157" w:type="dxa"/>
            <w:tcBorders>
              <w:left w:val="nil"/>
              <w:bottom w:val="nil"/>
            </w:tcBorders>
          </w:tcPr>
          <w:p w14:paraId="711B78B8"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Preliminary Sweeps of data</w:t>
            </w:r>
          </w:p>
          <w:p w14:paraId="45F311CC"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 xml:space="preserve">Development of initial coding </w:t>
            </w:r>
          </w:p>
          <w:p w14:paraId="18FE88C4" w14:textId="77777777" w:rsidR="0057569B"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Preliminary sweeps of the data were undertaken by two researchers and discussed at length with the analysis team.  Initial broad themes and categories were created. </w:t>
            </w:r>
            <w:r w:rsidR="00290D6E" w:rsidRPr="00586D31">
              <w:rPr>
                <w:rFonts w:asciiTheme="minorHAnsi" w:hAnsiTheme="minorHAnsi"/>
                <w:color w:val="auto"/>
                <w:sz w:val="24"/>
                <w:szCs w:val="24"/>
              </w:rPr>
              <w:t xml:space="preserve">No qualitative software was used. </w:t>
            </w:r>
          </w:p>
        </w:tc>
      </w:tr>
      <w:tr w:rsidR="00586D31" w:rsidRPr="00586D31" w14:paraId="3CFE96D1" w14:textId="77777777" w:rsidTr="009614C4">
        <w:tc>
          <w:tcPr>
            <w:tcW w:w="3085" w:type="dxa"/>
            <w:tcBorders>
              <w:top w:val="nil"/>
              <w:bottom w:val="nil"/>
              <w:right w:val="nil"/>
            </w:tcBorders>
          </w:tcPr>
          <w:p w14:paraId="3D89B249"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Two</w:t>
            </w:r>
          </w:p>
        </w:tc>
        <w:tc>
          <w:tcPr>
            <w:tcW w:w="6157" w:type="dxa"/>
            <w:tcBorders>
              <w:top w:val="nil"/>
              <w:left w:val="nil"/>
              <w:bottom w:val="nil"/>
            </w:tcBorders>
          </w:tcPr>
          <w:p w14:paraId="6689649F"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Two coding frameworks created</w:t>
            </w:r>
          </w:p>
          <w:p w14:paraId="3FE61A41" w14:textId="77777777" w:rsidR="0057569B"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One of the coding frameworks was related to those who had and had not been to THRIVE </w:t>
            </w:r>
            <w:proofErr w:type="spellStart"/>
            <w:r w:rsidRPr="00586D31">
              <w:rPr>
                <w:rFonts w:asciiTheme="minorHAnsi" w:hAnsiTheme="minorHAnsi"/>
                <w:color w:val="auto"/>
                <w:sz w:val="24"/>
                <w:szCs w:val="24"/>
              </w:rPr>
              <w:t>programmes</w:t>
            </w:r>
            <w:proofErr w:type="spellEnd"/>
            <w:r w:rsidRPr="00586D31">
              <w:rPr>
                <w:rFonts w:asciiTheme="minorHAnsi" w:hAnsiTheme="minorHAnsi"/>
                <w:color w:val="auto"/>
                <w:sz w:val="24"/>
                <w:szCs w:val="24"/>
              </w:rPr>
              <w:t xml:space="preserve">.  Themes were developed in relation to these groups and synthesized from the initial sweeps of the data and coding.  </w:t>
            </w:r>
          </w:p>
          <w:p w14:paraId="7989F811" w14:textId="77777777" w:rsidR="009614C4"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These coding frameworks were developed through the number of times participants discussed a central theme and to what extent they stated it had impacted recovery.  </w:t>
            </w:r>
          </w:p>
        </w:tc>
      </w:tr>
      <w:tr w:rsidR="00586D31" w:rsidRPr="00586D31" w14:paraId="0DB3BF7B" w14:textId="77777777" w:rsidTr="009614C4">
        <w:tc>
          <w:tcPr>
            <w:tcW w:w="3085" w:type="dxa"/>
            <w:tcBorders>
              <w:top w:val="nil"/>
              <w:bottom w:val="nil"/>
              <w:right w:val="nil"/>
            </w:tcBorders>
          </w:tcPr>
          <w:p w14:paraId="0DECA679"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Three</w:t>
            </w:r>
          </w:p>
        </w:tc>
        <w:tc>
          <w:tcPr>
            <w:tcW w:w="6157" w:type="dxa"/>
            <w:tcBorders>
              <w:top w:val="nil"/>
              <w:left w:val="nil"/>
              <w:bottom w:val="nil"/>
            </w:tcBorders>
          </w:tcPr>
          <w:p w14:paraId="4ABB1B91"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Initial coding built under key themes</w:t>
            </w:r>
          </w:p>
          <w:p w14:paraId="071D5894"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Iterative checking of codes a</w:t>
            </w:r>
            <w:bookmarkStart w:id="0" w:name="_GoBack"/>
            <w:bookmarkEnd w:id="0"/>
            <w:r w:rsidRPr="00586D31">
              <w:rPr>
                <w:rFonts w:asciiTheme="minorHAnsi" w:hAnsiTheme="minorHAnsi"/>
                <w:b/>
                <w:bCs/>
                <w:color w:val="auto"/>
                <w:sz w:val="24"/>
                <w:szCs w:val="24"/>
              </w:rPr>
              <w:t xml:space="preserve">cross the interview transcripts </w:t>
            </w:r>
          </w:p>
          <w:p w14:paraId="0BDBE383" w14:textId="77777777" w:rsidR="0057569B"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Undertaken by the entire analysis team and discussed with other members of the authorship team and participants.  </w:t>
            </w:r>
          </w:p>
        </w:tc>
      </w:tr>
      <w:tr w:rsidR="00586D31" w:rsidRPr="00586D31" w14:paraId="181E7477" w14:textId="77777777" w:rsidTr="009614C4">
        <w:tc>
          <w:tcPr>
            <w:tcW w:w="3085" w:type="dxa"/>
            <w:tcBorders>
              <w:top w:val="nil"/>
              <w:bottom w:val="nil"/>
              <w:right w:val="nil"/>
            </w:tcBorders>
          </w:tcPr>
          <w:p w14:paraId="43C58F93"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Four</w:t>
            </w:r>
          </w:p>
        </w:tc>
        <w:tc>
          <w:tcPr>
            <w:tcW w:w="6157" w:type="dxa"/>
            <w:tcBorders>
              <w:top w:val="nil"/>
              <w:left w:val="nil"/>
              <w:bottom w:val="nil"/>
            </w:tcBorders>
          </w:tcPr>
          <w:p w14:paraId="0D21D598"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Definition and classification of key themes</w:t>
            </w:r>
          </w:p>
          <w:p w14:paraId="660BDDDE"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 xml:space="preserve">Creation of conceptual frameworks </w:t>
            </w:r>
          </w:p>
          <w:p w14:paraId="704B6995" w14:textId="77777777" w:rsidR="0057569B"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Three conference calls took place with the analysis team to define the final themes and create initial conceptual frameworks related to the findings.  </w:t>
            </w:r>
          </w:p>
        </w:tc>
      </w:tr>
      <w:tr w:rsidR="00586D31" w:rsidRPr="00586D31" w14:paraId="4AC04663" w14:textId="77777777" w:rsidTr="009614C4">
        <w:tc>
          <w:tcPr>
            <w:tcW w:w="3085" w:type="dxa"/>
            <w:tcBorders>
              <w:top w:val="nil"/>
              <w:right w:val="nil"/>
            </w:tcBorders>
          </w:tcPr>
          <w:p w14:paraId="6366AC1B"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Five </w:t>
            </w:r>
          </w:p>
        </w:tc>
        <w:tc>
          <w:tcPr>
            <w:tcW w:w="6157" w:type="dxa"/>
            <w:tcBorders>
              <w:top w:val="nil"/>
              <w:left w:val="nil"/>
            </w:tcBorders>
          </w:tcPr>
          <w:p w14:paraId="74E56E75"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Extraction of quotes</w:t>
            </w:r>
          </w:p>
          <w:p w14:paraId="20CB78DD" w14:textId="77777777" w:rsidR="0057569B" w:rsidRPr="00586D31" w:rsidRDefault="0057569B"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color w:val="auto"/>
                <w:sz w:val="24"/>
                <w:szCs w:val="24"/>
              </w:rPr>
            </w:pPr>
            <w:r w:rsidRPr="00586D31">
              <w:rPr>
                <w:rFonts w:asciiTheme="minorHAnsi" w:hAnsiTheme="minorHAnsi"/>
                <w:b/>
                <w:bCs/>
                <w:color w:val="auto"/>
                <w:sz w:val="24"/>
                <w:szCs w:val="24"/>
              </w:rPr>
              <w:t xml:space="preserve">Review of conceptual models </w:t>
            </w:r>
          </w:p>
          <w:p w14:paraId="38E88197" w14:textId="77777777" w:rsidR="009614C4" w:rsidRPr="00586D31" w:rsidRDefault="009614C4" w:rsidP="00F006B7">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24"/>
                <w:szCs w:val="24"/>
              </w:rPr>
            </w:pPr>
            <w:r w:rsidRPr="00586D31">
              <w:rPr>
                <w:rFonts w:asciiTheme="minorHAnsi" w:hAnsiTheme="minorHAnsi"/>
                <w:color w:val="auto"/>
                <w:sz w:val="24"/>
                <w:szCs w:val="24"/>
              </w:rPr>
              <w:t xml:space="preserve">Member checking and peer review were undertaken at this stage. Extraction of quotes were undertaken by two researchers.  Conceptual models were iteratively checked, initially by the primary analysis team, then by the wider authorship team.  </w:t>
            </w:r>
          </w:p>
        </w:tc>
      </w:tr>
    </w:tbl>
    <w:p w14:paraId="4D591736" w14:textId="05DD7D00" w:rsidR="0057569B" w:rsidRPr="00586D31" w:rsidRDefault="00586D31" w:rsidP="0057569B">
      <w:pPr>
        <w:pStyle w:val="EndNoteBibliography"/>
        <w:spacing w:after="0"/>
        <w:rPr>
          <w:color w:val="auto"/>
          <w:sz w:val="24"/>
          <w:szCs w:val="24"/>
        </w:rPr>
      </w:pPr>
      <w:r w:rsidRPr="00586D31">
        <w:rPr>
          <w:rFonts w:cs="Helvetica"/>
          <w:b/>
          <w:iCs/>
          <w:color w:val="auto"/>
        </w:rPr>
        <w:t>Supplemental File</w:t>
      </w:r>
      <w:r w:rsidRPr="00586D31">
        <w:rPr>
          <w:rFonts w:asciiTheme="minorHAnsi" w:hAnsiTheme="minorHAnsi"/>
          <w:b/>
          <w:color w:val="auto"/>
          <w:sz w:val="24"/>
          <w:szCs w:val="24"/>
          <w:lang w:val="en-GB"/>
        </w:rPr>
        <w:t xml:space="preserve"> </w:t>
      </w:r>
      <w:r w:rsidR="00B948EA" w:rsidRPr="00586D31">
        <w:rPr>
          <w:rFonts w:asciiTheme="minorHAnsi" w:hAnsiTheme="minorHAnsi"/>
          <w:b/>
          <w:color w:val="auto"/>
          <w:sz w:val="24"/>
          <w:szCs w:val="24"/>
          <w:lang w:val="en-GB"/>
        </w:rPr>
        <w:t>2</w:t>
      </w:r>
      <w:r w:rsidR="0057569B" w:rsidRPr="00586D31">
        <w:rPr>
          <w:rFonts w:asciiTheme="minorHAnsi" w:hAnsiTheme="minorHAnsi"/>
          <w:b/>
          <w:color w:val="auto"/>
          <w:sz w:val="24"/>
          <w:szCs w:val="24"/>
          <w:lang w:val="en-GB"/>
        </w:rPr>
        <w:t>. Five Stage of the Data Analysis Process</w:t>
      </w:r>
    </w:p>
    <w:p w14:paraId="6DDC44E3" w14:textId="77777777" w:rsidR="008D5D21" w:rsidRPr="00586D31" w:rsidRDefault="00586D31">
      <w:pPr>
        <w:rPr>
          <w:lang w:val="en-US"/>
        </w:rPr>
      </w:pPr>
    </w:p>
    <w:sectPr w:rsidR="008D5D21" w:rsidRPr="00586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9B"/>
    <w:rsid w:val="00290D6E"/>
    <w:rsid w:val="0057569B"/>
    <w:rsid w:val="00586D31"/>
    <w:rsid w:val="009614C4"/>
    <w:rsid w:val="00A363AC"/>
    <w:rsid w:val="00B948EA"/>
    <w:rsid w:val="00CF2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75B2"/>
  <w15:docId w15:val="{01CDCFEA-2AE4-4BBF-8E8B-CBD65F18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rsid w:val="0057569B"/>
    <w:pPr>
      <w:pBdr>
        <w:top w:val="nil"/>
        <w:left w:val="nil"/>
        <w:bottom w:val="nil"/>
        <w:right w:val="nil"/>
        <w:between w:val="nil"/>
        <w:bar w:val="nil"/>
      </w:pBdr>
      <w:spacing w:line="240" w:lineRule="auto"/>
      <w:jc w:val="both"/>
    </w:pPr>
    <w:rPr>
      <w:rFonts w:ascii="Cambria" w:eastAsia="Cambria" w:hAnsi="Cambria" w:cs="Cambria"/>
      <w:color w:val="000000"/>
      <w:u w:color="000000"/>
      <w:bdr w:val="nil"/>
      <w:lang w:val="en-US"/>
    </w:rPr>
  </w:style>
  <w:style w:type="table" w:styleId="TableGrid">
    <w:name w:val="Table Grid"/>
    <w:basedOn w:val="TableNormal"/>
    <w:uiPriority w:val="59"/>
    <w:rsid w:val="0057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D0858962CEA4CBBCFC1AB1099BD4C" ma:contentTypeVersion="11" ma:contentTypeDescription="Create a new document." ma:contentTypeScope="" ma:versionID="1dda8c1f2c33cd762304f279a3de1ae2">
  <xsd:schema xmlns:xsd="http://www.w3.org/2001/XMLSchema" xmlns:xs="http://www.w3.org/2001/XMLSchema" xmlns:p="http://schemas.microsoft.com/office/2006/metadata/properties" xmlns:ns3="01f8c249-2c58-4e13-8ec2-45593a1d3135" xmlns:ns4="ee9513b1-20b0-46fb-8747-1a2c7cffda88" targetNamespace="http://schemas.microsoft.com/office/2006/metadata/properties" ma:root="true" ma:fieldsID="2e625453f197e4c35ed8fc440296abee" ns3:_="" ns4:_="">
    <xsd:import namespace="01f8c249-2c58-4e13-8ec2-45593a1d3135"/>
    <xsd:import namespace="ee9513b1-20b0-46fb-8747-1a2c7cffda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c249-2c58-4e13-8ec2-45593a1d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513b1-20b0-46fb-8747-1a2c7cffd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1490-D050-443E-A99A-3D3DDFAEE3D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e9513b1-20b0-46fb-8747-1a2c7cffda88"/>
    <ds:schemaRef ds:uri="http://purl.org/dc/terms/"/>
    <ds:schemaRef ds:uri="http://schemas.microsoft.com/office/2006/metadata/properties"/>
    <ds:schemaRef ds:uri="01f8c249-2c58-4e13-8ec2-45593a1d3135"/>
    <ds:schemaRef ds:uri="http://www.w3.org/XML/1998/namespace"/>
    <ds:schemaRef ds:uri="http://purl.org/dc/dcmitype/"/>
  </ds:schemaRefs>
</ds:datastoreItem>
</file>

<file path=customXml/itemProps2.xml><?xml version="1.0" encoding="utf-8"?>
<ds:datastoreItem xmlns:ds="http://schemas.openxmlformats.org/officeDocument/2006/customXml" ds:itemID="{9BB99017-2853-497E-8EB1-3BAC2A4C2028}">
  <ds:schemaRefs>
    <ds:schemaRef ds:uri="http://schemas.microsoft.com/sharepoint/v3/contenttype/forms"/>
  </ds:schemaRefs>
</ds:datastoreItem>
</file>

<file path=customXml/itemProps3.xml><?xml version="1.0" encoding="utf-8"?>
<ds:datastoreItem xmlns:ds="http://schemas.openxmlformats.org/officeDocument/2006/customXml" ds:itemID="{8FD44A55-B86B-480F-AE79-3D75F091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c249-2c58-4e13-8ec2-45593a1d3135"/>
    <ds:schemaRef ds:uri="ee9513b1-20b0-46fb-8747-1a2c7cff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jmp34a</dc:creator>
  <cp:lastModifiedBy>Baeuerlein, Christopher</cp:lastModifiedBy>
  <cp:revision>3</cp:revision>
  <dcterms:created xsi:type="dcterms:W3CDTF">2020-01-21T11:41:00Z</dcterms:created>
  <dcterms:modified xsi:type="dcterms:W3CDTF">2020-03-11T19:09:00Z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0x010100746D0858962CEA4CBBCFC1AB1099BD4C</vt:lpwstr>
  </property>
</Properties>
</file>