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54CB" w14:textId="77777777" w:rsidR="00037250" w:rsidRPr="00CC0983" w:rsidRDefault="00A616D6" w:rsidP="0005558A">
      <w:pPr>
        <w:spacing w:after="0" w:line="240" w:lineRule="auto"/>
        <w:jc w:val="center"/>
        <w:rPr>
          <w:rFonts w:ascii="Times New Roman" w:eastAsiaTheme="minorEastAsia" w:hAnsi="Times New Roman" w:cs="Times New Roman"/>
          <w:b/>
          <w:sz w:val="24"/>
          <w:szCs w:val="24"/>
          <w:lang w:val="en-CA" w:eastAsia="ja-JP"/>
        </w:rPr>
      </w:pPr>
      <w:r w:rsidRPr="00CC0983">
        <w:rPr>
          <w:rFonts w:ascii="Times New Roman" w:eastAsiaTheme="minorEastAsia" w:hAnsi="Times New Roman" w:cs="Times New Roman"/>
          <w:b/>
          <w:sz w:val="24"/>
          <w:szCs w:val="24"/>
          <w:lang w:val="en-CA" w:eastAsia="ja-JP"/>
        </w:rPr>
        <w:t>SUPPLEMENT</w:t>
      </w:r>
      <w:r w:rsidR="003A5C45" w:rsidRPr="00CC0983">
        <w:rPr>
          <w:rFonts w:ascii="Times New Roman" w:eastAsiaTheme="minorEastAsia" w:hAnsi="Times New Roman" w:cs="Times New Roman"/>
          <w:b/>
          <w:sz w:val="24"/>
          <w:szCs w:val="24"/>
          <w:lang w:val="en-CA" w:eastAsia="ja-JP"/>
        </w:rPr>
        <w:t>AL DIGITAL CONTENT</w:t>
      </w:r>
    </w:p>
    <w:p w14:paraId="3A609EE0" w14:textId="77777777" w:rsidR="00A43A56" w:rsidRPr="00CC0983" w:rsidRDefault="00A43A56" w:rsidP="0005558A">
      <w:pPr>
        <w:spacing w:after="0" w:line="240" w:lineRule="auto"/>
        <w:jc w:val="center"/>
        <w:rPr>
          <w:rFonts w:ascii="Times New Roman" w:eastAsiaTheme="minorEastAsia" w:hAnsi="Times New Roman" w:cs="Times New Roman"/>
          <w:b/>
          <w:sz w:val="24"/>
          <w:szCs w:val="24"/>
          <w:lang w:val="en-CA" w:eastAsia="ja-JP"/>
        </w:rPr>
      </w:pPr>
    </w:p>
    <w:p w14:paraId="27BBDAE2" w14:textId="77777777" w:rsidR="00037250" w:rsidRPr="00CC0983" w:rsidRDefault="00A616D6" w:rsidP="0005558A">
      <w:pPr>
        <w:spacing w:after="0" w:line="240" w:lineRule="auto"/>
        <w:jc w:val="center"/>
        <w:rPr>
          <w:rFonts w:ascii="Times New Roman" w:eastAsiaTheme="minorEastAsia" w:hAnsi="Times New Roman" w:cs="Times New Roman"/>
          <w:b/>
          <w:sz w:val="24"/>
          <w:szCs w:val="24"/>
          <w:lang w:val="en-CA" w:eastAsia="ja-JP"/>
        </w:rPr>
      </w:pPr>
      <w:r w:rsidRPr="00CC0983">
        <w:rPr>
          <w:rFonts w:ascii="Times New Roman" w:eastAsiaTheme="minorEastAsia" w:hAnsi="Times New Roman" w:cs="Times New Roman"/>
          <w:b/>
          <w:sz w:val="24"/>
          <w:szCs w:val="24"/>
          <w:lang w:val="en-CA" w:eastAsia="ja-JP"/>
        </w:rPr>
        <w:t>TABLE OF CONTENTS</w:t>
      </w:r>
    </w:p>
    <w:p w14:paraId="6CC8CBF8" w14:textId="77777777" w:rsidR="00A43A56" w:rsidRPr="00CC0983" w:rsidRDefault="00A43A56" w:rsidP="0005558A">
      <w:pPr>
        <w:spacing w:after="0" w:line="240" w:lineRule="auto"/>
        <w:jc w:val="center"/>
        <w:rPr>
          <w:rFonts w:ascii="Times New Roman" w:eastAsiaTheme="minorEastAsia" w:hAnsi="Times New Roman" w:cs="Times New Roman"/>
          <w:b/>
          <w:sz w:val="24"/>
          <w:szCs w:val="24"/>
          <w:lang w:val="en-CA" w:eastAsia="ja-JP"/>
        </w:rPr>
      </w:pPr>
    </w:p>
    <w:p w14:paraId="6E45C7F3" w14:textId="77777777" w:rsidR="00BD2D69" w:rsidRPr="00CC0983" w:rsidRDefault="00F033AA" w:rsidP="00CC0983">
      <w:pPr>
        <w:spacing w:after="0" w:line="240" w:lineRule="auto"/>
        <w:jc w:val="both"/>
        <w:rPr>
          <w:rFonts w:ascii="Times New Roman" w:eastAsiaTheme="minorEastAsia" w:hAnsi="Times New Roman" w:cs="Times New Roman"/>
          <w:sz w:val="24"/>
          <w:szCs w:val="24"/>
          <w:lang w:val="en-CA" w:eastAsia="ja-JP"/>
        </w:rPr>
      </w:pPr>
      <w:r w:rsidRPr="00CC0983">
        <w:rPr>
          <w:rFonts w:ascii="Times New Roman" w:eastAsiaTheme="minorEastAsia" w:hAnsi="Times New Roman" w:cs="Times New Roman"/>
          <w:b/>
          <w:sz w:val="24"/>
          <w:szCs w:val="24"/>
          <w:lang w:val="en-CA" w:eastAsia="ja-JP"/>
        </w:rPr>
        <w:t>SUPPLEME</w:t>
      </w:r>
      <w:r w:rsidR="00EE68F5">
        <w:rPr>
          <w:rFonts w:ascii="Times New Roman" w:eastAsiaTheme="minorEastAsia" w:hAnsi="Times New Roman" w:cs="Times New Roman"/>
          <w:b/>
          <w:sz w:val="24"/>
          <w:szCs w:val="24"/>
          <w:lang w:val="en-CA" w:eastAsia="ja-JP"/>
        </w:rPr>
        <w:t>N</w:t>
      </w:r>
      <w:r w:rsidRPr="00CC0983">
        <w:rPr>
          <w:rFonts w:ascii="Times New Roman" w:eastAsiaTheme="minorEastAsia" w:hAnsi="Times New Roman" w:cs="Times New Roman"/>
          <w:b/>
          <w:sz w:val="24"/>
          <w:szCs w:val="24"/>
          <w:lang w:val="en-CA" w:eastAsia="ja-JP"/>
        </w:rPr>
        <w:t>TAL</w:t>
      </w:r>
      <w:r w:rsidR="002E74EE" w:rsidRPr="00CC0983">
        <w:rPr>
          <w:rFonts w:ascii="Times New Roman" w:eastAsiaTheme="minorEastAsia" w:hAnsi="Times New Roman" w:cs="Times New Roman"/>
          <w:b/>
          <w:sz w:val="24"/>
          <w:szCs w:val="24"/>
          <w:lang w:val="en-CA" w:eastAsia="ja-JP"/>
        </w:rPr>
        <w:t xml:space="preserve"> </w:t>
      </w:r>
      <w:r w:rsidR="00BD2D69" w:rsidRPr="00CC0983">
        <w:rPr>
          <w:rFonts w:ascii="Times New Roman" w:eastAsiaTheme="minorEastAsia" w:hAnsi="Times New Roman" w:cs="Times New Roman"/>
          <w:b/>
          <w:sz w:val="24"/>
          <w:szCs w:val="24"/>
          <w:lang w:val="en-CA" w:eastAsia="ja-JP"/>
        </w:rPr>
        <w:t>TEXT</w:t>
      </w:r>
      <w:r w:rsidR="0005558A">
        <w:rPr>
          <w:rFonts w:ascii="Times New Roman" w:eastAsiaTheme="minorEastAsia" w:hAnsi="Times New Roman" w:cs="Times New Roman"/>
          <w:b/>
          <w:sz w:val="24"/>
          <w:szCs w:val="24"/>
          <w:lang w:val="en-CA" w:eastAsia="ja-JP"/>
        </w:rPr>
        <w:t>S</w:t>
      </w:r>
      <w:r w:rsidR="00BD2D69" w:rsidRPr="00CC0983">
        <w:rPr>
          <w:rFonts w:ascii="Times New Roman" w:eastAsiaTheme="minorEastAsia" w:hAnsi="Times New Roman" w:cs="Times New Roman"/>
          <w:sz w:val="24"/>
          <w:szCs w:val="24"/>
          <w:lang w:val="en-CA" w:eastAsia="ja-JP"/>
        </w:rPr>
        <w:t xml:space="preserve"> </w:t>
      </w:r>
    </w:p>
    <w:p w14:paraId="0614B3FC" w14:textId="77777777" w:rsidR="00A43A56" w:rsidRPr="00CC0983" w:rsidRDefault="00A43A56" w:rsidP="00CC0983">
      <w:pPr>
        <w:spacing w:after="0" w:line="240" w:lineRule="auto"/>
        <w:jc w:val="both"/>
        <w:rPr>
          <w:rFonts w:ascii="Times New Roman" w:eastAsiaTheme="minorEastAsia" w:hAnsi="Times New Roman" w:cs="Times New Roman"/>
          <w:sz w:val="24"/>
          <w:szCs w:val="24"/>
          <w:lang w:val="en-CA" w:eastAsia="ja-JP"/>
        </w:rPr>
      </w:pPr>
    </w:p>
    <w:p w14:paraId="63498404" w14:textId="77777777" w:rsidR="009779C3" w:rsidRPr="00CC0983" w:rsidRDefault="00774B2D"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072F4F" w:rsidRPr="00CC0983">
        <w:rPr>
          <w:rFonts w:ascii="Times New Roman" w:eastAsiaTheme="minorEastAsia" w:hAnsi="Times New Roman" w:cs="Times New Roman"/>
          <w:sz w:val="20"/>
          <w:szCs w:val="20"/>
          <w:lang w:val="en-CA" w:eastAsia="ja-JP"/>
        </w:rPr>
        <w:t xml:space="preserve">1: </w:t>
      </w:r>
      <w:r w:rsidR="00244E51" w:rsidRPr="00CC0983">
        <w:rPr>
          <w:rFonts w:ascii="Times New Roman" w:eastAsiaTheme="minorEastAsia" w:hAnsi="Times New Roman" w:cs="Times New Roman"/>
          <w:sz w:val="20"/>
          <w:szCs w:val="20"/>
          <w:lang w:val="en-CA" w:eastAsia="ja-JP"/>
        </w:rPr>
        <w:t>Details of</w:t>
      </w:r>
      <w:r w:rsidR="00D0004E" w:rsidRPr="00CC0983">
        <w:rPr>
          <w:rFonts w:ascii="Times New Roman" w:eastAsiaTheme="minorEastAsia" w:hAnsi="Times New Roman" w:cs="Times New Roman"/>
          <w:sz w:val="20"/>
          <w:szCs w:val="20"/>
          <w:lang w:val="en-CA" w:eastAsia="ja-JP"/>
        </w:rPr>
        <w:t xml:space="preserve"> patients and data collection</w:t>
      </w:r>
      <w:r w:rsidR="009779C3" w:rsidRPr="00CC0983">
        <w:rPr>
          <w:rFonts w:ascii="Times New Roman" w:eastAsiaTheme="minorEastAsia" w:hAnsi="Times New Roman" w:cs="Times New Roman"/>
          <w:sz w:val="20"/>
          <w:szCs w:val="20"/>
          <w:lang w:val="en-CA" w:eastAsia="ja-JP"/>
        </w:rPr>
        <w:t xml:space="preserve"> </w:t>
      </w:r>
    </w:p>
    <w:p w14:paraId="165A7382" w14:textId="77777777" w:rsidR="00BD2D69" w:rsidRPr="00CC0983" w:rsidRDefault="00774B2D"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072F4F" w:rsidRPr="00CC0983">
        <w:rPr>
          <w:rFonts w:ascii="Times New Roman" w:eastAsiaTheme="minorEastAsia" w:hAnsi="Times New Roman" w:cs="Times New Roman"/>
          <w:sz w:val="20"/>
          <w:szCs w:val="20"/>
          <w:lang w:val="en-CA" w:eastAsia="ja-JP"/>
        </w:rPr>
        <w:t xml:space="preserve">2: </w:t>
      </w:r>
      <w:r w:rsidR="00D0004E" w:rsidRPr="00CC0983">
        <w:rPr>
          <w:rFonts w:ascii="Times New Roman" w:eastAsiaTheme="minorEastAsia" w:hAnsi="Times New Roman" w:cs="Times New Roman"/>
          <w:sz w:val="20"/>
          <w:szCs w:val="20"/>
          <w:lang w:val="en-CA" w:eastAsia="ja-JP"/>
        </w:rPr>
        <w:t>Formulation of the CLOGLOG m</w:t>
      </w:r>
      <w:r w:rsidR="00A11529" w:rsidRPr="00CC0983">
        <w:rPr>
          <w:rFonts w:ascii="Times New Roman" w:eastAsiaTheme="minorEastAsia" w:hAnsi="Times New Roman" w:cs="Times New Roman"/>
          <w:sz w:val="20"/>
          <w:szCs w:val="20"/>
          <w:lang w:val="en-CA" w:eastAsia="ja-JP"/>
        </w:rPr>
        <w:t>odel and the estimation method</w:t>
      </w:r>
    </w:p>
    <w:p w14:paraId="270E04D7" w14:textId="77777777" w:rsidR="00BD2D69" w:rsidRPr="00CC0983" w:rsidRDefault="00774B2D"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072F4F" w:rsidRPr="00CC0983">
        <w:rPr>
          <w:rFonts w:ascii="Times New Roman" w:eastAsiaTheme="minorEastAsia" w:hAnsi="Times New Roman" w:cs="Times New Roman"/>
          <w:sz w:val="20"/>
          <w:szCs w:val="20"/>
          <w:lang w:val="en-CA" w:eastAsia="ja-JP"/>
        </w:rPr>
        <w:t xml:space="preserve">3: </w:t>
      </w:r>
      <w:r w:rsidR="00D0004E" w:rsidRPr="00CC0983">
        <w:rPr>
          <w:rFonts w:ascii="Times New Roman" w:eastAsiaTheme="minorEastAsia" w:hAnsi="Times New Roman" w:cs="Times New Roman"/>
          <w:sz w:val="20"/>
          <w:szCs w:val="20"/>
          <w:lang w:val="en-CA" w:eastAsia="ja-JP"/>
        </w:rPr>
        <w:t>Alternative w</w:t>
      </w:r>
      <w:r w:rsidR="00BD2D69" w:rsidRPr="00CC0983">
        <w:rPr>
          <w:rFonts w:ascii="Times New Roman" w:eastAsiaTheme="minorEastAsia" w:hAnsi="Times New Roman" w:cs="Times New Roman"/>
          <w:sz w:val="20"/>
          <w:szCs w:val="20"/>
          <w:lang w:val="en-CA" w:eastAsia="ja-JP"/>
        </w:rPr>
        <w:t xml:space="preserve">ays </w:t>
      </w:r>
      <w:r w:rsidR="00D0004E" w:rsidRPr="00CC0983">
        <w:rPr>
          <w:rFonts w:ascii="Times New Roman" w:eastAsiaTheme="minorEastAsia" w:hAnsi="Times New Roman" w:cs="Times New Roman"/>
          <w:sz w:val="20"/>
          <w:szCs w:val="20"/>
          <w:lang w:val="en-CA" w:eastAsia="ja-JP"/>
        </w:rPr>
        <w:t>of specifying the level and change v</w:t>
      </w:r>
      <w:r w:rsidR="00713819" w:rsidRPr="00CC0983">
        <w:rPr>
          <w:rFonts w:ascii="Times New Roman" w:eastAsiaTheme="minorEastAsia" w:hAnsi="Times New Roman" w:cs="Times New Roman"/>
          <w:sz w:val="20"/>
          <w:szCs w:val="20"/>
          <w:lang w:val="en-CA" w:eastAsia="ja-JP"/>
        </w:rPr>
        <w:t>ariables</w:t>
      </w:r>
      <w:r w:rsidR="00BD2D69" w:rsidRPr="00CC0983">
        <w:rPr>
          <w:rFonts w:ascii="Times New Roman" w:eastAsiaTheme="minorEastAsia" w:hAnsi="Times New Roman" w:cs="Times New Roman"/>
          <w:sz w:val="20"/>
          <w:szCs w:val="20"/>
          <w:lang w:val="en-CA" w:eastAsia="ja-JP"/>
        </w:rPr>
        <w:t xml:space="preserve"> of TVBIs</w:t>
      </w:r>
      <w:r w:rsidR="00072F4F" w:rsidRPr="00CC0983">
        <w:rPr>
          <w:rFonts w:ascii="Times New Roman" w:eastAsiaTheme="minorEastAsia" w:hAnsi="Times New Roman" w:cs="Times New Roman"/>
          <w:sz w:val="20"/>
          <w:szCs w:val="20"/>
          <w:lang w:val="en-CA" w:eastAsia="ja-JP"/>
        </w:rPr>
        <w:t xml:space="preserve"> </w:t>
      </w:r>
    </w:p>
    <w:p w14:paraId="5FDC71F0" w14:textId="77777777" w:rsidR="00BD2D69" w:rsidRPr="00CC0983" w:rsidRDefault="00774B2D"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072F4F" w:rsidRPr="00CC0983">
        <w:rPr>
          <w:rFonts w:ascii="Times New Roman" w:eastAsiaTheme="minorEastAsia" w:hAnsi="Times New Roman" w:cs="Times New Roman"/>
          <w:sz w:val="20"/>
          <w:szCs w:val="20"/>
          <w:lang w:val="en-CA" w:eastAsia="ja-JP"/>
        </w:rPr>
        <w:t xml:space="preserve">4: </w:t>
      </w:r>
      <w:r w:rsidR="00D0004E" w:rsidRPr="00CC0983">
        <w:rPr>
          <w:rFonts w:ascii="Times New Roman" w:eastAsiaTheme="minorEastAsia" w:hAnsi="Times New Roman" w:cs="Times New Roman"/>
          <w:sz w:val="20"/>
          <w:szCs w:val="20"/>
          <w:lang w:val="en-CA" w:eastAsia="ja-JP"/>
        </w:rPr>
        <w:t>Temporal p</w:t>
      </w:r>
      <w:r w:rsidR="00BD2D69" w:rsidRPr="00CC0983">
        <w:rPr>
          <w:rFonts w:ascii="Times New Roman" w:eastAsiaTheme="minorEastAsia" w:hAnsi="Times New Roman" w:cs="Times New Roman"/>
          <w:sz w:val="20"/>
          <w:szCs w:val="20"/>
          <w:lang w:val="en-CA" w:eastAsia="ja-JP"/>
        </w:rPr>
        <w:t xml:space="preserve">attern of the </w:t>
      </w:r>
      <w:r w:rsidR="00D0004E" w:rsidRPr="00CC0983">
        <w:rPr>
          <w:rFonts w:ascii="Times New Roman" w:eastAsiaTheme="minorEastAsia" w:hAnsi="Times New Roman" w:cs="Times New Roman"/>
          <w:sz w:val="20"/>
          <w:szCs w:val="20"/>
          <w:lang w:val="en-CA" w:eastAsia="ja-JP"/>
        </w:rPr>
        <w:t>d</w:t>
      </w:r>
      <w:r w:rsidR="00561DB5" w:rsidRPr="00CC0983">
        <w:rPr>
          <w:rFonts w:ascii="Times New Roman" w:eastAsiaTheme="minorEastAsia" w:hAnsi="Times New Roman" w:cs="Times New Roman"/>
          <w:sz w:val="20"/>
          <w:szCs w:val="20"/>
          <w:lang w:val="en-CA" w:eastAsia="ja-JP"/>
        </w:rPr>
        <w:t xml:space="preserve">aily </w:t>
      </w:r>
      <w:r w:rsidR="00D0004E" w:rsidRPr="00CC0983">
        <w:rPr>
          <w:rFonts w:ascii="Times New Roman" w:eastAsiaTheme="minorEastAsia" w:hAnsi="Times New Roman" w:cs="Times New Roman"/>
          <w:sz w:val="20"/>
          <w:szCs w:val="20"/>
          <w:lang w:val="en-CA" w:eastAsia="ja-JP"/>
        </w:rPr>
        <w:t>hazard of d</w:t>
      </w:r>
      <w:r w:rsidR="00BD2D69" w:rsidRPr="00CC0983">
        <w:rPr>
          <w:rFonts w:ascii="Times New Roman" w:eastAsiaTheme="minorEastAsia" w:hAnsi="Times New Roman" w:cs="Times New Roman"/>
          <w:sz w:val="20"/>
          <w:szCs w:val="20"/>
          <w:lang w:val="en-CA" w:eastAsia="ja-JP"/>
        </w:rPr>
        <w:t xml:space="preserve">ying </w:t>
      </w:r>
    </w:p>
    <w:p w14:paraId="270BE91E" w14:textId="77777777" w:rsidR="000D76F0" w:rsidRPr="00CC0983" w:rsidRDefault="00774B2D"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D0004E" w:rsidRPr="00CC0983">
        <w:rPr>
          <w:rFonts w:ascii="Times New Roman" w:eastAsiaTheme="minorEastAsia" w:hAnsi="Times New Roman" w:cs="Times New Roman"/>
          <w:sz w:val="20"/>
          <w:szCs w:val="20"/>
          <w:lang w:val="en-CA" w:eastAsia="ja-JP"/>
        </w:rPr>
        <w:t>5: Dependence of the face</w:t>
      </w:r>
      <w:r w:rsidR="00D15A2F" w:rsidRPr="00CC0983">
        <w:rPr>
          <w:rFonts w:ascii="Times New Roman" w:eastAsiaTheme="minorEastAsia" w:hAnsi="Times New Roman" w:cs="Times New Roman"/>
          <w:sz w:val="20"/>
          <w:szCs w:val="20"/>
          <w:lang w:val="en-CA" w:eastAsia="ja-JP"/>
        </w:rPr>
        <w:t xml:space="preserve"> value of AUC on the choice of the set of outcomes to be predicted</w:t>
      </w:r>
      <w:r w:rsidR="000D76F0" w:rsidRPr="00CC0983">
        <w:rPr>
          <w:rFonts w:ascii="Times New Roman" w:eastAsiaTheme="minorEastAsia" w:hAnsi="Times New Roman" w:cs="Times New Roman"/>
          <w:sz w:val="20"/>
          <w:szCs w:val="20"/>
          <w:lang w:val="en-CA" w:eastAsia="ja-JP"/>
        </w:rPr>
        <w:t xml:space="preserve"> </w:t>
      </w:r>
    </w:p>
    <w:p w14:paraId="0EFAF114" w14:textId="77777777" w:rsidR="00D639E0" w:rsidRPr="00CC0983" w:rsidRDefault="00774B2D"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0D76F0" w:rsidRPr="00CC0983">
        <w:rPr>
          <w:rFonts w:ascii="Times New Roman" w:eastAsiaTheme="minorEastAsia" w:hAnsi="Times New Roman" w:cs="Times New Roman"/>
          <w:sz w:val="20"/>
          <w:szCs w:val="20"/>
          <w:lang w:val="en-CA" w:eastAsia="ja-JP"/>
        </w:rPr>
        <w:t>6</w:t>
      </w:r>
      <w:r w:rsidR="00D0004E" w:rsidRPr="00CC0983">
        <w:rPr>
          <w:rFonts w:ascii="Times New Roman" w:eastAsiaTheme="minorEastAsia" w:hAnsi="Times New Roman" w:cs="Times New Roman"/>
          <w:sz w:val="20"/>
          <w:szCs w:val="20"/>
          <w:lang w:val="en-CA" w:eastAsia="ja-JP"/>
        </w:rPr>
        <w:t>: How the Day 1 v</w:t>
      </w:r>
      <w:r w:rsidR="00EE49FC" w:rsidRPr="00CC0983">
        <w:rPr>
          <w:rFonts w:ascii="Times New Roman" w:eastAsiaTheme="minorEastAsia" w:hAnsi="Times New Roman" w:cs="Times New Roman"/>
          <w:sz w:val="20"/>
          <w:szCs w:val="20"/>
          <w:lang w:val="en-CA" w:eastAsia="ja-JP"/>
        </w:rPr>
        <w:t>ariable of creatinine lost its u</w:t>
      </w:r>
      <w:r w:rsidR="00D639E0" w:rsidRPr="00CC0983">
        <w:rPr>
          <w:rFonts w:ascii="Times New Roman" w:eastAsiaTheme="minorEastAsia" w:hAnsi="Times New Roman" w:cs="Times New Roman"/>
          <w:sz w:val="20"/>
          <w:szCs w:val="20"/>
          <w:lang w:val="en-CA" w:eastAsia="ja-JP"/>
        </w:rPr>
        <w:t xml:space="preserve">sefulness in </w:t>
      </w:r>
      <w:r w:rsidR="00EE49FC" w:rsidRPr="00CC0983">
        <w:rPr>
          <w:rFonts w:ascii="Times New Roman" w:eastAsiaTheme="minorEastAsia" w:hAnsi="Times New Roman" w:cs="Times New Roman"/>
          <w:sz w:val="20"/>
          <w:szCs w:val="20"/>
          <w:lang w:val="en-CA" w:eastAsia="ja-JP"/>
        </w:rPr>
        <w:t>the CLOGLOG m</w:t>
      </w:r>
      <w:r w:rsidR="00D639E0" w:rsidRPr="00CC0983">
        <w:rPr>
          <w:rFonts w:ascii="Times New Roman" w:eastAsiaTheme="minorEastAsia" w:hAnsi="Times New Roman" w:cs="Times New Roman"/>
          <w:sz w:val="20"/>
          <w:szCs w:val="20"/>
          <w:lang w:val="en-CA" w:eastAsia="ja-JP"/>
        </w:rPr>
        <w:t xml:space="preserve">odel                  </w:t>
      </w:r>
    </w:p>
    <w:p w14:paraId="4BFF4330" w14:textId="77777777" w:rsidR="00D639E0" w:rsidRPr="00CC0983" w:rsidRDefault="00774B2D"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5702D3" w:rsidRPr="00CC0983">
        <w:rPr>
          <w:rFonts w:ascii="Times New Roman" w:eastAsiaTheme="minorEastAsia" w:hAnsi="Times New Roman" w:cs="Times New Roman"/>
          <w:sz w:val="20"/>
          <w:szCs w:val="20"/>
          <w:lang w:val="en-CA" w:eastAsia="ja-JP"/>
        </w:rPr>
        <w:t>7</w:t>
      </w:r>
      <w:r w:rsidR="00EE49FC" w:rsidRPr="00CC0983">
        <w:rPr>
          <w:rFonts w:ascii="Times New Roman" w:eastAsiaTheme="minorEastAsia" w:hAnsi="Times New Roman" w:cs="Times New Roman"/>
          <w:sz w:val="20"/>
          <w:szCs w:val="20"/>
          <w:lang w:val="en-CA" w:eastAsia="ja-JP"/>
        </w:rPr>
        <w:t>: Evaluation of the relative importance among TVBIs and the relat</w:t>
      </w:r>
      <w:r w:rsidR="005702D3" w:rsidRPr="00CC0983">
        <w:rPr>
          <w:rFonts w:ascii="Times New Roman" w:eastAsiaTheme="minorEastAsia" w:hAnsi="Times New Roman" w:cs="Times New Roman"/>
          <w:sz w:val="20"/>
          <w:szCs w:val="20"/>
          <w:lang w:val="en-CA" w:eastAsia="ja-JP"/>
        </w:rPr>
        <w:t>ive importance between the day 1</w:t>
      </w:r>
      <w:r w:rsidR="00EE49FC" w:rsidRPr="00CC0983">
        <w:rPr>
          <w:rFonts w:ascii="Times New Roman" w:eastAsiaTheme="minorEastAsia" w:hAnsi="Times New Roman" w:cs="Times New Roman"/>
          <w:sz w:val="20"/>
          <w:szCs w:val="20"/>
          <w:lang w:val="en-CA" w:eastAsia="ja-JP"/>
        </w:rPr>
        <w:t xml:space="preserve"> and change variables of e</w:t>
      </w:r>
      <w:r w:rsidR="001773DB" w:rsidRPr="00CC0983">
        <w:rPr>
          <w:rFonts w:ascii="Times New Roman" w:eastAsiaTheme="minorEastAsia" w:hAnsi="Times New Roman" w:cs="Times New Roman"/>
          <w:sz w:val="20"/>
          <w:szCs w:val="20"/>
          <w:lang w:val="en-CA" w:eastAsia="ja-JP"/>
        </w:rPr>
        <w:t>ach TVBI</w:t>
      </w:r>
      <w:r w:rsidR="00D639E0" w:rsidRPr="00CC0983">
        <w:rPr>
          <w:rFonts w:ascii="Times New Roman" w:eastAsiaTheme="minorEastAsia" w:hAnsi="Times New Roman" w:cs="Times New Roman"/>
          <w:sz w:val="20"/>
          <w:szCs w:val="20"/>
          <w:lang w:val="en-CA" w:eastAsia="ja-JP"/>
        </w:rPr>
        <w:t xml:space="preserve"> </w:t>
      </w:r>
    </w:p>
    <w:p w14:paraId="1AC167C0" w14:textId="77777777" w:rsidR="00D92A57" w:rsidRPr="00CC0983" w:rsidRDefault="00774B2D" w:rsidP="00CC0983">
      <w:pPr>
        <w:spacing w:after="0" w:line="240" w:lineRule="auto"/>
        <w:jc w:val="both"/>
        <w:rPr>
          <w:rFonts w:ascii="Times New Roman" w:hAnsi="Times New Roman" w:cs="Times New Roman"/>
          <w:sz w:val="20"/>
          <w:szCs w:val="20"/>
          <w:shd w:val="clear" w:color="auto" w:fill="FFFFFF"/>
        </w:rPr>
      </w:pPr>
      <w:r w:rsidRPr="00CC0983">
        <w:rPr>
          <w:rFonts w:ascii="Times New Roman" w:eastAsiaTheme="minorEastAsia" w:hAnsi="Times New Roman" w:cs="Times New Roman"/>
          <w:sz w:val="20"/>
          <w:szCs w:val="20"/>
          <w:lang w:val="en-CA" w:eastAsia="ja-JP"/>
        </w:rPr>
        <w:t xml:space="preserve">Supplemental Text </w:t>
      </w:r>
      <w:r w:rsidR="005702D3" w:rsidRPr="00CC0983">
        <w:rPr>
          <w:rFonts w:ascii="Times New Roman" w:eastAsiaTheme="minorEastAsia" w:hAnsi="Times New Roman" w:cs="Times New Roman"/>
          <w:sz w:val="20"/>
          <w:szCs w:val="20"/>
          <w:lang w:val="en-CA" w:eastAsia="ja-JP"/>
        </w:rPr>
        <w:t>8</w:t>
      </w:r>
      <w:r w:rsidR="00EE49FC" w:rsidRPr="00CC0983">
        <w:rPr>
          <w:rFonts w:ascii="Times New Roman" w:eastAsiaTheme="minorEastAsia" w:hAnsi="Times New Roman" w:cs="Times New Roman"/>
          <w:sz w:val="20"/>
          <w:szCs w:val="20"/>
          <w:lang w:val="en-CA" w:eastAsia="ja-JP"/>
        </w:rPr>
        <w:t>: Insights from the temporal p</w:t>
      </w:r>
      <w:r w:rsidR="00D92A57" w:rsidRPr="00CC0983">
        <w:rPr>
          <w:rFonts w:ascii="Times New Roman" w:eastAsiaTheme="minorEastAsia" w:hAnsi="Times New Roman" w:cs="Times New Roman"/>
          <w:sz w:val="20"/>
          <w:szCs w:val="20"/>
          <w:lang w:val="en-CA" w:eastAsia="ja-JP"/>
        </w:rPr>
        <w:t xml:space="preserve">atterns of TVBIs </w:t>
      </w:r>
    </w:p>
    <w:p w14:paraId="08B5E607" w14:textId="77777777" w:rsidR="00B30872" w:rsidRPr="00CC0983" w:rsidRDefault="00774B2D"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5702D3" w:rsidRPr="00CC0983">
        <w:rPr>
          <w:rFonts w:ascii="Times New Roman" w:eastAsiaTheme="minorEastAsia" w:hAnsi="Times New Roman" w:cs="Times New Roman"/>
          <w:sz w:val="20"/>
          <w:szCs w:val="20"/>
          <w:lang w:val="en-CA" w:eastAsia="ja-JP"/>
        </w:rPr>
        <w:t>9</w:t>
      </w:r>
      <w:r w:rsidR="00B30872" w:rsidRPr="00CC0983">
        <w:rPr>
          <w:rFonts w:ascii="Times New Roman" w:eastAsiaTheme="minorEastAsia" w:hAnsi="Times New Roman" w:cs="Times New Roman"/>
          <w:sz w:val="20"/>
          <w:szCs w:val="20"/>
          <w:lang w:val="en-CA" w:eastAsia="ja-JP"/>
        </w:rPr>
        <w:t xml:space="preserve">: Construction </w:t>
      </w:r>
      <w:r w:rsidR="00666EF9" w:rsidRPr="00CC0983">
        <w:rPr>
          <w:rFonts w:ascii="Times New Roman" w:eastAsiaTheme="minorEastAsia" w:hAnsi="Times New Roman" w:cs="Times New Roman"/>
          <w:sz w:val="20"/>
          <w:szCs w:val="20"/>
          <w:lang w:val="en-CA" w:eastAsia="ja-JP"/>
        </w:rPr>
        <w:t xml:space="preserve">and </w:t>
      </w:r>
      <w:r w:rsidR="00EE49FC" w:rsidRPr="00CC0983">
        <w:rPr>
          <w:rFonts w:ascii="Times New Roman" w:eastAsiaTheme="minorEastAsia" w:hAnsi="Times New Roman" w:cs="Times New Roman"/>
          <w:sz w:val="20"/>
          <w:szCs w:val="20"/>
          <w:lang w:val="en-CA" w:eastAsia="ja-JP"/>
        </w:rPr>
        <w:t>u</w:t>
      </w:r>
      <w:r w:rsidR="008C17C8" w:rsidRPr="00CC0983">
        <w:rPr>
          <w:rFonts w:ascii="Times New Roman" w:eastAsiaTheme="minorEastAsia" w:hAnsi="Times New Roman" w:cs="Times New Roman"/>
          <w:sz w:val="20"/>
          <w:szCs w:val="20"/>
          <w:lang w:val="en-CA" w:eastAsia="ja-JP"/>
        </w:rPr>
        <w:t xml:space="preserve">se </w:t>
      </w:r>
      <w:r w:rsidR="00EE49FC" w:rsidRPr="00CC0983">
        <w:rPr>
          <w:rFonts w:ascii="Times New Roman" w:eastAsiaTheme="minorEastAsia" w:hAnsi="Times New Roman" w:cs="Times New Roman"/>
          <w:sz w:val="20"/>
          <w:szCs w:val="20"/>
          <w:lang w:val="en-CA" w:eastAsia="ja-JP"/>
        </w:rPr>
        <w:t>of mortality risk profiles for individual septic p</w:t>
      </w:r>
      <w:r w:rsidR="00B30872" w:rsidRPr="00CC0983">
        <w:rPr>
          <w:rFonts w:ascii="Times New Roman" w:eastAsiaTheme="minorEastAsia" w:hAnsi="Times New Roman" w:cs="Times New Roman"/>
          <w:sz w:val="20"/>
          <w:szCs w:val="20"/>
          <w:lang w:val="en-CA" w:eastAsia="ja-JP"/>
        </w:rPr>
        <w:t xml:space="preserve">atients </w:t>
      </w:r>
    </w:p>
    <w:p w14:paraId="454653A3" w14:textId="77777777" w:rsidR="001F5508" w:rsidRPr="00CC0983" w:rsidRDefault="001F5508"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10: Validation  </w:t>
      </w:r>
    </w:p>
    <w:p w14:paraId="36037DCA" w14:textId="77777777" w:rsidR="004461E0" w:rsidRPr="00CC0983" w:rsidRDefault="00774B2D" w:rsidP="00CC0983">
      <w:pPr>
        <w:spacing w:after="0" w:line="240" w:lineRule="auto"/>
        <w:jc w:val="both"/>
        <w:rPr>
          <w:rFonts w:ascii="Times New Roman" w:eastAsiaTheme="minorEastAsia" w:hAnsi="Times New Roman" w:cs="Times New Roman"/>
          <w:b/>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1F5508" w:rsidRPr="00CC0983">
        <w:rPr>
          <w:rFonts w:ascii="Times New Roman" w:eastAsiaTheme="minorEastAsia" w:hAnsi="Times New Roman" w:cs="Times New Roman"/>
          <w:sz w:val="20"/>
          <w:szCs w:val="20"/>
          <w:lang w:val="en-CA" w:eastAsia="ja-JP"/>
        </w:rPr>
        <w:t>11</w:t>
      </w:r>
      <w:r w:rsidR="00EE49FC" w:rsidRPr="00CC0983">
        <w:rPr>
          <w:rFonts w:ascii="Times New Roman" w:eastAsiaTheme="minorEastAsia" w:hAnsi="Times New Roman" w:cs="Times New Roman"/>
          <w:sz w:val="20"/>
          <w:szCs w:val="20"/>
          <w:lang w:val="en-CA" w:eastAsia="ja-JP"/>
        </w:rPr>
        <w:t>: Assessment of the predictive p</w:t>
      </w:r>
      <w:r w:rsidR="004461E0" w:rsidRPr="00CC0983">
        <w:rPr>
          <w:rFonts w:ascii="Times New Roman" w:eastAsiaTheme="minorEastAsia" w:hAnsi="Times New Roman" w:cs="Times New Roman"/>
          <w:sz w:val="20"/>
          <w:szCs w:val="20"/>
          <w:lang w:val="en-CA" w:eastAsia="ja-JP"/>
        </w:rPr>
        <w:t xml:space="preserve">owers of MODS, SOFA and APACHE II </w:t>
      </w:r>
    </w:p>
    <w:p w14:paraId="3EFD859A" w14:textId="77777777" w:rsidR="004669B8" w:rsidRPr="00CC0983" w:rsidRDefault="00774B2D"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1F5508" w:rsidRPr="00CC0983">
        <w:rPr>
          <w:rFonts w:ascii="Times New Roman" w:eastAsiaTheme="minorEastAsia" w:hAnsi="Times New Roman" w:cs="Times New Roman"/>
          <w:sz w:val="20"/>
          <w:szCs w:val="20"/>
          <w:lang w:val="en-CA" w:eastAsia="ja-JP"/>
        </w:rPr>
        <w:t>12</w:t>
      </w:r>
      <w:r w:rsidR="00EE49FC" w:rsidRPr="00CC0983">
        <w:rPr>
          <w:rFonts w:ascii="Times New Roman" w:eastAsiaTheme="minorEastAsia" w:hAnsi="Times New Roman" w:cs="Times New Roman"/>
          <w:sz w:val="20"/>
          <w:szCs w:val="20"/>
          <w:lang w:val="en-CA" w:eastAsia="ja-JP"/>
        </w:rPr>
        <w:t>: Assessment of the u</w:t>
      </w:r>
      <w:r w:rsidR="00292EB1" w:rsidRPr="00CC0983">
        <w:rPr>
          <w:rFonts w:ascii="Times New Roman" w:eastAsiaTheme="minorEastAsia" w:hAnsi="Times New Roman" w:cs="Times New Roman"/>
          <w:sz w:val="20"/>
          <w:szCs w:val="20"/>
          <w:lang w:val="en-CA" w:eastAsia="ja-JP"/>
        </w:rPr>
        <w:t>sefulness of</w:t>
      </w:r>
      <w:r w:rsidR="00EE49FC" w:rsidRPr="00CC0983">
        <w:rPr>
          <w:rFonts w:ascii="Times New Roman" w:eastAsiaTheme="minorEastAsia" w:hAnsi="Times New Roman" w:cs="Times New Roman"/>
          <w:sz w:val="20"/>
          <w:szCs w:val="20"/>
          <w:lang w:val="en-CA" w:eastAsia="ja-JP"/>
        </w:rPr>
        <w:t xml:space="preserve"> four a</w:t>
      </w:r>
      <w:r w:rsidR="00292EB1" w:rsidRPr="00CC0983">
        <w:rPr>
          <w:rFonts w:ascii="Times New Roman" w:eastAsiaTheme="minorEastAsia" w:hAnsi="Times New Roman" w:cs="Times New Roman"/>
          <w:sz w:val="20"/>
          <w:szCs w:val="20"/>
          <w:lang w:val="en-CA" w:eastAsia="ja-JP"/>
        </w:rPr>
        <w:t>dditional TVBIs</w:t>
      </w:r>
      <w:r w:rsidR="00744601" w:rsidRPr="00CC0983">
        <w:rPr>
          <w:rFonts w:ascii="Times New Roman" w:eastAsiaTheme="minorEastAsia" w:hAnsi="Times New Roman" w:cs="Times New Roman"/>
          <w:b/>
          <w:sz w:val="20"/>
          <w:szCs w:val="20"/>
          <w:lang w:val="en-CA" w:eastAsia="ja-JP"/>
        </w:rPr>
        <w:t xml:space="preserve"> </w:t>
      </w:r>
      <w:r w:rsidR="00EE49FC" w:rsidRPr="00CC0983">
        <w:rPr>
          <w:rFonts w:ascii="Times New Roman" w:eastAsiaTheme="minorEastAsia" w:hAnsi="Times New Roman" w:cs="Times New Roman"/>
          <w:sz w:val="20"/>
          <w:szCs w:val="20"/>
          <w:lang w:val="en-CA" w:eastAsia="ja-JP"/>
        </w:rPr>
        <w:t>and other contextual v</w:t>
      </w:r>
      <w:r w:rsidR="00744601" w:rsidRPr="00CC0983">
        <w:rPr>
          <w:rFonts w:ascii="Times New Roman" w:eastAsiaTheme="minorEastAsia" w:hAnsi="Times New Roman" w:cs="Times New Roman"/>
          <w:sz w:val="20"/>
          <w:szCs w:val="20"/>
          <w:lang w:val="en-CA" w:eastAsia="ja-JP"/>
        </w:rPr>
        <w:t>ariables</w:t>
      </w:r>
      <w:r w:rsidR="00006DDA" w:rsidRPr="00CC0983">
        <w:rPr>
          <w:rFonts w:ascii="Times New Roman" w:eastAsiaTheme="minorEastAsia" w:hAnsi="Times New Roman" w:cs="Times New Roman"/>
          <w:sz w:val="20"/>
          <w:szCs w:val="20"/>
          <w:lang w:val="en-CA" w:eastAsia="ja-JP"/>
        </w:rPr>
        <w:t xml:space="preserve"> </w:t>
      </w:r>
    </w:p>
    <w:p w14:paraId="1EFB28E8" w14:textId="77777777" w:rsidR="00C1606A" w:rsidRPr="00CC0983" w:rsidRDefault="00774B2D"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5702D3" w:rsidRPr="00CC0983">
        <w:rPr>
          <w:rFonts w:ascii="Times New Roman" w:eastAsiaTheme="minorEastAsia" w:hAnsi="Times New Roman" w:cs="Times New Roman"/>
          <w:sz w:val="20"/>
          <w:szCs w:val="20"/>
          <w:lang w:val="en-CA" w:eastAsia="ja-JP"/>
        </w:rPr>
        <w:t>1</w:t>
      </w:r>
      <w:r w:rsidR="001F5508" w:rsidRPr="00CC0983">
        <w:rPr>
          <w:rFonts w:ascii="Times New Roman" w:eastAsiaTheme="minorEastAsia" w:hAnsi="Times New Roman" w:cs="Times New Roman"/>
          <w:sz w:val="20"/>
          <w:szCs w:val="20"/>
          <w:lang w:val="en-CA" w:eastAsia="ja-JP"/>
        </w:rPr>
        <w:t>3</w:t>
      </w:r>
      <w:r w:rsidR="00D0004E" w:rsidRPr="00CC0983">
        <w:rPr>
          <w:rFonts w:ascii="Times New Roman" w:eastAsiaTheme="minorEastAsia" w:hAnsi="Times New Roman" w:cs="Times New Roman"/>
          <w:sz w:val="20"/>
          <w:szCs w:val="20"/>
          <w:lang w:val="en-CA" w:eastAsia="ja-JP"/>
        </w:rPr>
        <w:t xml:space="preserve">: </w:t>
      </w:r>
      <w:r w:rsidR="00EE49FC" w:rsidRPr="00CC0983">
        <w:rPr>
          <w:rFonts w:ascii="Times New Roman" w:eastAsiaTheme="minorEastAsia" w:hAnsi="Times New Roman" w:cs="Times New Roman"/>
          <w:sz w:val="20"/>
          <w:szCs w:val="20"/>
          <w:lang w:val="en-CA" w:eastAsia="ja-JP"/>
        </w:rPr>
        <w:t>Addition of the information on the s</w:t>
      </w:r>
      <w:r w:rsidR="00C1606A" w:rsidRPr="00CC0983">
        <w:rPr>
          <w:rFonts w:ascii="Times New Roman" w:eastAsiaTheme="minorEastAsia" w:hAnsi="Times New Roman" w:cs="Times New Roman"/>
          <w:sz w:val="20"/>
          <w:szCs w:val="20"/>
          <w:lang w:val="en-CA" w:eastAsia="ja-JP"/>
        </w:rPr>
        <w:t xml:space="preserve">ites </w:t>
      </w:r>
      <w:r w:rsidR="00EE49FC" w:rsidRPr="00CC0983">
        <w:rPr>
          <w:rFonts w:ascii="Times New Roman" w:eastAsiaTheme="minorEastAsia" w:hAnsi="Times New Roman" w:cs="Times New Roman"/>
          <w:sz w:val="20"/>
          <w:szCs w:val="20"/>
          <w:lang w:val="en-CA" w:eastAsia="ja-JP"/>
        </w:rPr>
        <w:t>and types of positive c</w:t>
      </w:r>
      <w:r w:rsidR="00D0004E" w:rsidRPr="00CC0983">
        <w:rPr>
          <w:rFonts w:ascii="Times New Roman" w:eastAsiaTheme="minorEastAsia" w:hAnsi="Times New Roman" w:cs="Times New Roman"/>
          <w:sz w:val="20"/>
          <w:szCs w:val="20"/>
          <w:lang w:val="en-CA" w:eastAsia="ja-JP"/>
        </w:rPr>
        <w:t>ultures h</w:t>
      </w:r>
      <w:r w:rsidR="00EE49FC" w:rsidRPr="00CC0983">
        <w:rPr>
          <w:rFonts w:ascii="Times New Roman" w:eastAsiaTheme="minorEastAsia" w:hAnsi="Times New Roman" w:cs="Times New Roman"/>
          <w:sz w:val="20"/>
          <w:szCs w:val="20"/>
          <w:lang w:val="en-CA" w:eastAsia="ja-JP"/>
        </w:rPr>
        <w:t>ad little effect on the predictive power of the CLOGLOG m</w:t>
      </w:r>
      <w:r w:rsidR="00C1606A" w:rsidRPr="00CC0983">
        <w:rPr>
          <w:rFonts w:ascii="Times New Roman" w:eastAsiaTheme="minorEastAsia" w:hAnsi="Times New Roman" w:cs="Times New Roman"/>
          <w:sz w:val="20"/>
          <w:szCs w:val="20"/>
          <w:lang w:val="en-CA" w:eastAsia="ja-JP"/>
        </w:rPr>
        <w:t xml:space="preserve">odel </w:t>
      </w:r>
    </w:p>
    <w:p w14:paraId="245D1C75" w14:textId="77777777" w:rsidR="002F7831" w:rsidRDefault="00774B2D"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sz w:val="20"/>
          <w:szCs w:val="20"/>
          <w:lang w:val="en-CA" w:eastAsia="ja-JP"/>
        </w:rPr>
        <w:t xml:space="preserve">Supplemental Text </w:t>
      </w:r>
      <w:r w:rsidR="005702D3" w:rsidRPr="00CC0983">
        <w:rPr>
          <w:rFonts w:ascii="Times New Roman" w:eastAsiaTheme="minorEastAsia" w:hAnsi="Times New Roman" w:cs="Times New Roman"/>
          <w:sz w:val="20"/>
          <w:szCs w:val="20"/>
          <w:lang w:val="en-CA" w:eastAsia="ja-JP"/>
        </w:rPr>
        <w:t>14</w:t>
      </w:r>
      <w:r w:rsidR="00EE49FC" w:rsidRPr="00CC0983">
        <w:rPr>
          <w:rFonts w:ascii="Times New Roman" w:eastAsiaTheme="minorEastAsia" w:hAnsi="Times New Roman" w:cs="Times New Roman"/>
          <w:sz w:val="20"/>
          <w:szCs w:val="20"/>
          <w:lang w:val="en-CA" w:eastAsia="ja-JP"/>
        </w:rPr>
        <w:t xml:space="preserve">: </w:t>
      </w:r>
      <w:r w:rsidR="005702D3" w:rsidRPr="00CC0983">
        <w:rPr>
          <w:rFonts w:ascii="Times New Roman" w:eastAsiaTheme="minorEastAsia" w:hAnsi="Times New Roman" w:cs="Times New Roman"/>
          <w:sz w:val="20"/>
          <w:szCs w:val="20"/>
          <w:lang w:val="en-CA" w:eastAsia="ja-JP"/>
        </w:rPr>
        <w:t>Comparison of the CLOGLOG model with two versions of the Cox model</w:t>
      </w:r>
      <w:r w:rsidR="009B7B3D" w:rsidRPr="00CC0983">
        <w:rPr>
          <w:rFonts w:ascii="Times New Roman" w:eastAsiaTheme="minorEastAsia" w:hAnsi="Times New Roman" w:cs="Times New Roman"/>
          <w:sz w:val="20"/>
          <w:szCs w:val="20"/>
          <w:lang w:val="en-CA" w:eastAsia="ja-JP"/>
        </w:rPr>
        <w:t xml:space="preserve"> </w:t>
      </w:r>
    </w:p>
    <w:p w14:paraId="2319759E" w14:textId="77777777" w:rsidR="004363F1" w:rsidRPr="00FE2774" w:rsidRDefault="004363F1" w:rsidP="004363F1">
      <w:pPr>
        <w:spacing w:after="0" w:line="240" w:lineRule="auto"/>
        <w:rPr>
          <w:rFonts w:ascii="Times New Roman" w:eastAsiaTheme="minorEastAsia" w:hAnsi="Times New Roman" w:cs="Times New Roman"/>
          <w:color w:val="000000" w:themeColor="text1"/>
          <w:sz w:val="20"/>
          <w:szCs w:val="20"/>
          <w:lang w:val="en-CA" w:eastAsia="ja-JP"/>
        </w:rPr>
      </w:pPr>
      <w:r w:rsidRPr="000132B2">
        <w:rPr>
          <w:rFonts w:ascii="Times New Roman" w:eastAsiaTheme="minorEastAsia" w:hAnsi="Times New Roman" w:cs="Times New Roman"/>
          <w:color w:val="000000" w:themeColor="text1"/>
          <w:sz w:val="20"/>
          <w:szCs w:val="20"/>
          <w:lang w:val="en-CA" w:eastAsia="ja-JP"/>
        </w:rPr>
        <w:t xml:space="preserve">Supplemental </w:t>
      </w:r>
      <w:r w:rsidR="008375B9" w:rsidRPr="000132B2">
        <w:rPr>
          <w:rFonts w:ascii="Times New Roman" w:eastAsiaTheme="minorEastAsia" w:hAnsi="Times New Roman" w:cs="Times New Roman"/>
          <w:color w:val="000000" w:themeColor="text1"/>
          <w:sz w:val="20"/>
          <w:szCs w:val="20"/>
          <w:lang w:val="en-CA" w:eastAsia="ja-JP"/>
        </w:rPr>
        <w:t>Text 15: Obtaining</w:t>
      </w:r>
      <w:r w:rsidRPr="000132B2">
        <w:rPr>
          <w:rFonts w:ascii="Times New Roman" w:eastAsiaTheme="minorEastAsia" w:hAnsi="Times New Roman" w:cs="Times New Roman"/>
          <w:color w:val="000000" w:themeColor="text1"/>
          <w:sz w:val="20"/>
          <w:szCs w:val="20"/>
          <w:lang w:val="en-CA" w:eastAsia="ja-JP"/>
        </w:rPr>
        <w:t xml:space="preserve"> similar</w:t>
      </w:r>
      <w:r w:rsidR="008375B9" w:rsidRPr="000132B2">
        <w:rPr>
          <w:rFonts w:ascii="Times New Roman" w:eastAsiaTheme="minorEastAsia" w:hAnsi="Times New Roman" w:cs="Times New Roman"/>
          <w:color w:val="000000" w:themeColor="text1"/>
          <w:sz w:val="20"/>
          <w:szCs w:val="20"/>
          <w:lang w:val="en-CA" w:eastAsia="ja-JP"/>
        </w:rPr>
        <w:t xml:space="preserve"> longitudinal</w:t>
      </w:r>
      <w:r w:rsidR="004775DC" w:rsidRPr="000132B2">
        <w:rPr>
          <w:rFonts w:ascii="Times New Roman" w:eastAsiaTheme="minorEastAsia" w:hAnsi="Times New Roman" w:cs="Times New Roman"/>
          <w:color w:val="000000" w:themeColor="text1"/>
          <w:sz w:val="20"/>
          <w:szCs w:val="20"/>
          <w:lang w:val="en-CA" w:eastAsia="ja-JP"/>
        </w:rPr>
        <w:t xml:space="preserve"> insights from a</w:t>
      </w:r>
      <w:r w:rsidRPr="000132B2">
        <w:rPr>
          <w:rFonts w:ascii="Times New Roman" w:eastAsiaTheme="minorEastAsia" w:hAnsi="Times New Roman" w:cs="Times New Roman"/>
          <w:color w:val="000000" w:themeColor="text1"/>
          <w:sz w:val="20"/>
          <w:szCs w:val="20"/>
          <w:lang w:val="en-CA" w:eastAsia="ja-JP"/>
        </w:rPr>
        <w:t xml:space="preserve"> longitudinal logit model</w:t>
      </w:r>
      <w:r w:rsidR="004775DC" w:rsidRPr="000132B2">
        <w:rPr>
          <w:rFonts w:ascii="Times New Roman" w:eastAsiaTheme="minorEastAsia" w:hAnsi="Times New Roman" w:cs="Times New Roman"/>
          <w:color w:val="000000" w:themeColor="text1"/>
          <w:sz w:val="20"/>
          <w:szCs w:val="20"/>
          <w:lang w:val="en-CA" w:eastAsia="ja-JP"/>
        </w:rPr>
        <w:t xml:space="preserve"> or a longitudinal </w:t>
      </w:r>
      <w:proofErr w:type="spellStart"/>
      <w:r w:rsidR="004775DC" w:rsidRPr="000132B2">
        <w:rPr>
          <w:rFonts w:ascii="Times New Roman" w:eastAsiaTheme="minorEastAsia" w:hAnsi="Times New Roman" w:cs="Times New Roman"/>
          <w:color w:val="000000" w:themeColor="text1"/>
          <w:sz w:val="20"/>
          <w:szCs w:val="20"/>
          <w:lang w:val="en-CA" w:eastAsia="ja-JP"/>
        </w:rPr>
        <w:t>probit</w:t>
      </w:r>
      <w:proofErr w:type="spellEnd"/>
      <w:r w:rsidR="004775DC" w:rsidRPr="000132B2">
        <w:rPr>
          <w:rFonts w:ascii="Times New Roman" w:eastAsiaTheme="minorEastAsia" w:hAnsi="Times New Roman" w:cs="Times New Roman"/>
          <w:color w:val="000000" w:themeColor="text1"/>
          <w:sz w:val="20"/>
          <w:szCs w:val="20"/>
          <w:lang w:val="en-CA" w:eastAsia="ja-JP"/>
        </w:rPr>
        <w:t xml:space="preserve"> model</w:t>
      </w:r>
      <w:r w:rsidRPr="00FE2774">
        <w:rPr>
          <w:rFonts w:ascii="Times New Roman" w:eastAsiaTheme="minorEastAsia" w:hAnsi="Times New Roman" w:cs="Times New Roman"/>
          <w:color w:val="000000" w:themeColor="text1"/>
          <w:sz w:val="20"/>
          <w:szCs w:val="20"/>
          <w:lang w:val="en-CA" w:eastAsia="ja-JP"/>
        </w:rPr>
        <w:t xml:space="preserve"> </w:t>
      </w:r>
    </w:p>
    <w:p w14:paraId="22C20252" w14:textId="77777777" w:rsidR="009B7B3D" w:rsidRPr="00CC0983" w:rsidRDefault="009B7B3D" w:rsidP="00CC0983">
      <w:pPr>
        <w:spacing w:after="0" w:line="240" w:lineRule="auto"/>
        <w:jc w:val="both"/>
        <w:rPr>
          <w:rFonts w:ascii="Times New Roman" w:eastAsiaTheme="minorEastAsia" w:hAnsi="Times New Roman" w:cs="Times New Roman"/>
          <w:sz w:val="20"/>
          <w:szCs w:val="20"/>
          <w:lang w:val="en-CA" w:eastAsia="ja-JP"/>
        </w:rPr>
      </w:pPr>
    </w:p>
    <w:p w14:paraId="07DFC80D" w14:textId="77777777" w:rsidR="002E74EE" w:rsidRPr="00CC0983" w:rsidRDefault="00F96C96" w:rsidP="00CC0983">
      <w:pPr>
        <w:spacing w:after="0" w:line="240" w:lineRule="auto"/>
        <w:jc w:val="both"/>
        <w:rPr>
          <w:rFonts w:ascii="Times New Roman" w:eastAsiaTheme="minorEastAsia" w:hAnsi="Times New Roman" w:cs="Times New Roman"/>
          <w:sz w:val="20"/>
          <w:szCs w:val="20"/>
          <w:lang w:val="en-CA" w:eastAsia="ja-JP"/>
        </w:rPr>
      </w:pPr>
      <w:r w:rsidRPr="00CC0983">
        <w:rPr>
          <w:rFonts w:ascii="Times New Roman" w:eastAsiaTheme="minorEastAsia" w:hAnsi="Times New Roman" w:cs="Times New Roman"/>
          <w:b/>
          <w:sz w:val="24"/>
          <w:szCs w:val="24"/>
          <w:lang w:val="en-CA" w:eastAsia="ja-JP"/>
        </w:rPr>
        <w:t>SUPPLEME</w:t>
      </w:r>
      <w:r w:rsidR="00EE68F5">
        <w:rPr>
          <w:rFonts w:ascii="Times New Roman" w:eastAsiaTheme="minorEastAsia" w:hAnsi="Times New Roman" w:cs="Times New Roman"/>
          <w:b/>
          <w:sz w:val="24"/>
          <w:szCs w:val="24"/>
          <w:lang w:val="en-CA" w:eastAsia="ja-JP"/>
        </w:rPr>
        <w:t>N</w:t>
      </w:r>
      <w:r w:rsidRPr="00CC0983">
        <w:rPr>
          <w:rFonts w:ascii="Times New Roman" w:eastAsiaTheme="minorEastAsia" w:hAnsi="Times New Roman" w:cs="Times New Roman"/>
          <w:b/>
          <w:sz w:val="24"/>
          <w:szCs w:val="24"/>
          <w:lang w:val="en-CA" w:eastAsia="ja-JP"/>
        </w:rPr>
        <w:t>TAL</w:t>
      </w:r>
      <w:r w:rsidR="002E74EE" w:rsidRPr="00CC0983">
        <w:rPr>
          <w:rFonts w:ascii="Times New Roman" w:eastAsiaTheme="minorEastAsia" w:hAnsi="Times New Roman" w:cs="Times New Roman"/>
          <w:b/>
          <w:sz w:val="24"/>
          <w:szCs w:val="24"/>
          <w:lang w:val="en-CA" w:eastAsia="ja-JP"/>
        </w:rPr>
        <w:t xml:space="preserve"> TABLES</w:t>
      </w:r>
      <w:r w:rsidR="002E74EE" w:rsidRPr="00CC0983">
        <w:rPr>
          <w:rFonts w:ascii="Times New Roman" w:eastAsiaTheme="minorEastAsia" w:hAnsi="Times New Roman" w:cs="Times New Roman"/>
          <w:sz w:val="20"/>
          <w:szCs w:val="20"/>
          <w:lang w:val="en-CA" w:eastAsia="ja-JP"/>
        </w:rPr>
        <w:t xml:space="preserve"> </w:t>
      </w:r>
    </w:p>
    <w:p w14:paraId="2F0A6068" w14:textId="77777777" w:rsidR="00A43A56" w:rsidRPr="00CC0983" w:rsidRDefault="00A43A56" w:rsidP="00CC0983">
      <w:pPr>
        <w:spacing w:after="0" w:line="240" w:lineRule="auto"/>
        <w:jc w:val="both"/>
        <w:rPr>
          <w:rFonts w:ascii="Times New Roman" w:hAnsi="Times New Roman" w:cs="Times New Roman"/>
          <w:sz w:val="20"/>
          <w:szCs w:val="20"/>
        </w:rPr>
      </w:pPr>
    </w:p>
    <w:p w14:paraId="3C214CC6" w14:textId="77777777" w:rsidR="00D97E5B" w:rsidRPr="004363F1" w:rsidRDefault="00774B2D" w:rsidP="00CC0983">
      <w:pPr>
        <w:spacing w:after="0" w:line="240" w:lineRule="auto"/>
        <w:jc w:val="both"/>
        <w:rPr>
          <w:rFonts w:ascii="Times New Roman" w:hAnsi="Times New Roman" w:cs="Times New Roman"/>
          <w:sz w:val="20"/>
          <w:szCs w:val="20"/>
        </w:rPr>
      </w:pPr>
      <w:r w:rsidRPr="004363F1">
        <w:rPr>
          <w:rFonts w:ascii="Times New Roman" w:hAnsi="Times New Roman" w:cs="Times New Roman"/>
          <w:sz w:val="20"/>
          <w:szCs w:val="20"/>
        </w:rPr>
        <w:t xml:space="preserve">Supplemental Table </w:t>
      </w:r>
      <w:r w:rsidR="00D97E5B" w:rsidRPr="004363F1">
        <w:rPr>
          <w:rFonts w:ascii="Times New Roman" w:hAnsi="Times New Roman" w:cs="Times New Roman"/>
          <w:sz w:val="20"/>
          <w:szCs w:val="20"/>
        </w:rPr>
        <w:t xml:space="preserve">1.  Summary of septic patient recruitment from 9 participating </w:t>
      </w:r>
      <w:proofErr w:type="spellStart"/>
      <w:r w:rsidR="00D97E5B" w:rsidRPr="004363F1">
        <w:rPr>
          <w:rFonts w:ascii="Times New Roman" w:hAnsi="Times New Roman" w:cs="Times New Roman"/>
          <w:sz w:val="20"/>
          <w:szCs w:val="20"/>
        </w:rPr>
        <w:t>centres</w:t>
      </w:r>
      <w:proofErr w:type="spellEnd"/>
      <w:r w:rsidR="00D97E5B" w:rsidRPr="004363F1">
        <w:rPr>
          <w:rFonts w:ascii="Times New Roman" w:hAnsi="Times New Roman" w:cs="Times New Roman"/>
          <w:sz w:val="20"/>
          <w:szCs w:val="20"/>
        </w:rPr>
        <w:t xml:space="preserve"> </w:t>
      </w:r>
    </w:p>
    <w:p w14:paraId="648B1D59" w14:textId="77777777" w:rsidR="00E21FB4" w:rsidRPr="004363F1" w:rsidRDefault="00774B2D" w:rsidP="00CC0983">
      <w:pPr>
        <w:spacing w:after="0" w:line="240" w:lineRule="auto"/>
        <w:jc w:val="both"/>
        <w:rPr>
          <w:rFonts w:ascii="Times New Roman" w:hAnsi="Times New Roman" w:cs="Times New Roman"/>
          <w:sz w:val="20"/>
          <w:szCs w:val="20"/>
        </w:rPr>
      </w:pPr>
      <w:r w:rsidRPr="004363F1">
        <w:rPr>
          <w:rFonts w:ascii="Times New Roman" w:hAnsi="Times New Roman" w:cs="Times New Roman"/>
          <w:sz w:val="20"/>
          <w:szCs w:val="20"/>
        </w:rPr>
        <w:t xml:space="preserve">Supplemental Table </w:t>
      </w:r>
      <w:r w:rsidR="005F45A4" w:rsidRPr="004363F1">
        <w:rPr>
          <w:rFonts w:ascii="Times New Roman" w:hAnsi="Times New Roman" w:cs="Times New Roman"/>
          <w:sz w:val="20"/>
          <w:szCs w:val="20"/>
        </w:rPr>
        <w:t>2</w:t>
      </w:r>
      <w:r w:rsidR="00696A9D" w:rsidRPr="004363F1">
        <w:rPr>
          <w:rFonts w:ascii="Times New Roman" w:hAnsi="Times New Roman" w:cs="Times New Roman"/>
          <w:sz w:val="20"/>
          <w:szCs w:val="20"/>
        </w:rPr>
        <w:t xml:space="preserve">. The means and standard deviations of the six TVBIs of the 356 septic patients with mon-missing values as of </w:t>
      </w:r>
      <w:proofErr w:type="spellStart"/>
      <w:r w:rsidR="00696A9D" w:rsidRPr="004363F1">
        <w:rPr>
          <w:rFonts w:ascii="Times New Roman" w:hAnsi="Times New Roman" w:cs="Times New Roman"/>
          <w:sz w:val="20"/>
          <w:szCs w:val="20"/>
        </w:rPr>
        <w:t>Day</w:t>
      </w:r>
      <w:proofErr w:type="spellEnd"/>
      <w:r w:rsidR="00696A9D" w:rsidRPr="004363F1">
        <w:rPr>
          <w:rFonts w:ascii="Times New Roman" w:hAnsi="Times New Roman" w:cs="Times New Roman"/>
          <w:sz w:val="20"/>
          <w:szCs w:val="20"/>
        </w:rPr>
        <w:t xml:space="preserve"> 1 and the last Day: Non-survivors versus s</w:t>
      </w:r>
      <w:r w:rsidR="00E21FB4" w:rsidRPr="004363F1">
        <w:rPr>
          <w:rFonts w:ascii="Times New Roman" w:hAnsi="Times New Roman" w:cs="Times New Roman"/>
          <w:sz w:val="20"/>
          <w:szCs w:val="20"/>
        </w:rPr>
        <w:t xml:space="preserve">urvivors </w:t>
      </w:r>
    </w:p>
    <w:p w14:paraId="47F1BBDE" w14:textId="77777777" w:rsidR="00B55295" w:rsidRPr="004363F1" w:rsidRDefault="00774B2D" w:rsidP="00CC0983">
      <w:pPr>
        <w:spacing w:after="0" w:line="240" w:lineRule="auto"/>
        <w:jc w:val="both"/>
        <w:rPr>
          <w:rFonts w:ascii="Times New Roman" w:hAnsi="Times New Roman" w:cs="Times New Roman"/>
          <w:sz w:val="20"/>
          <w:szCs w:val="20"/>
        </w:rPr>
      </w:pPr>
      <w:r w:rsidRPr="004363F1">
        <w:rPr>
          <w:rFonts w:ascii="Times New Roman" w:hAnsi="Times New Roman" w:cs="Times New Roman"/>
          <w:sz w:val="20"/>
          <w:szCs w:val="20"/>
        </w:rPr>
        <w:t xml:space="preserve">Supplemental Table </w:t>
      </w:r>
      <w:r w:rsidR="005F45A4" w:rsidRPr="004363F1">
        <w:rPr>
          <w:rFonts w:ascii="Times New Roman" w:hAnsi="Times New Roman" w:cs="Times New Roman"/>
          <w:sz w:val="20"/>
          <w:szCs w:val="20"/>
        </w:rPr>
        <w:t>3</w:t>
      </w:r>
      <w:r w:rsidR="00696A9D" w:rsidRPr="004363F1">
        <w:rPr>
          <w:rFonts w:ascii="Times New Roman" w:hAnsi="Times New Roman" w:cs="Times New Roman"/>
          <w:sz w:val="20"/>
          <w:szCs w:val="20"/>
        </w:rPr>
        <w:t>. How the Day 1 Variable of creatinine lost its usefulness in the CLOGLOG Model for 356 septic p</w:t>
      </w:r>
      <w:r w:rsidR="00B55295" w:rsidRPr="004363F1">
        <w:rPr>
          <w:rFonts w:ascii="Times New Roman" w:hAnsi="Times New Roman" w:cs="Times New Roman"/>
          <w:sz w:val="20"/>
          <w:szCs w:val="20"/>
        </w:rPr>
        <w:t xml:space="preserve">atients </w:t>
      </w:r>
    </w:p>
    <w:p w14:paraId="1FC11A01" w14:textId="77777777" w:rsidR="00D97E5B" w:rsidRPr="004363F1" w:rsidRDefault="00774B2D" w:rsidP="00CC0983">
      <w:pPr>
        <w:spacing w:after="0" w:line="240" w:lineRule="auto"/>
        <w:jc w:val="both"/>
        <w:rPr>
          <w:rFonts w:ascii="Times New Roman" w:hAnsi="Times New Roman" w:cs="Times New Roman"/>
          <w:sz w:val="20"/>
          <w:szCs w:val="20"/>
        </w:rPr>
      </w:pPr>
      <w:r w:rsidRPr="004363F1">
        <w:rPr>
          <w:rFonts w:ascii="Times New Roman" w:hAnsi="Times New Roman" w:cs="Times New Roman"/>
          <w:sz w:val="20"/>
          <w:szCs w:val="20"/>
        </w:rPr>
        <w:t xml:space="preserve">Supplemental Table </w:t>
      </w:r>
      <w:r w:rsidR="001A236A" w:rsidRPr="004363F1">
        <w:rPr>
          <w:rFonts w:ascii="Times New Roman" w:hAnsi="Times New Roman" w:cs="Times New Roman"/>
          <w:sz w:val="20"/>
          <w:szCs w:val="20"/>
        </w:rPr>
        <w:t>4</w:t>
      </w:r>
      <w:r w:rsidR="00FD0472" w:rsidRPr="004363F1">
        <w:rPr>
          <w:rFonts w:ascii="Times New Roman" w:hAnsi="Times New Roman" w:cs="Times New Roman"/>
          <w:sz w:val="20"/>
          <w:szCs w:val="20"/>
        </w:rPr>
        <w:t>. Computation of the pred</w:t>
      </w:r>
      <w:r w:rsidR="00FE62F4" w:rsidRPr="004363F1">
        <w:rPr>
          <w:rFonts w:ascii="Times New Roman" w:hAnsi="Times New Roman" w:cs="Times New Roman"/>
          <w:sz w:val="20"/>
          <w:szCs w:val="20"/>
        </w:rPr>
        <w:t>ictive powers of the predictive</w:t>
      </w:r>
      <w:r w:rsidR="00FD0472" w:rsidRPr="004363F1">
        <w:rPr>
          <w:rFonts w:ascii="Times New Roman" w:hAnsi="Times New Roman" w:cs="Times New Roman"/>
          <w:sz w:val="20"/>
          <w:szCs w:val="20"/>
        </w:rPr>
        <w:t xml:space="preserve"> variables from differences in</w:t>
      </w:r>
      <w:r w:rsidR="00696A9D" w:rsidRPr="004363F1">
        <w:rPr>
          <w:rFonts w:ascii="Times New Roman" w:hAnsi="Times New Roman" w:cs="Times New Roman"/>
          <w:sz w:val="20"/>
          <w:szCs w:val="20"/>
        </w:rPr>
        <w:t xml:space="preserve"> the additive terms of log of h</w:t>
      </w:r>
      <w:r w:rsidR="0038155B" w:rsidRPr="004363F1">
        <w:rPr>
          <w:rFonts w:ascii="Times New Roman" w:hAnsi="Times New Roman" w:cs="Times New Roman"/>
          <w:sz w:val="20"/>
          <w:szCs w:val="20"/>
        </w:rPr>
        <w:t xml:space="preserve">azard between (1) </w:t>
      </w:r>
      <w:r w:rsidR="00FE62F4" w:rsidRPr="004363F1">
        <w:rPr>
          <w:rFonts w:ascii="Times New Roman" w:hAnsi="Times New Roman" w:cs="Times New Roman"/>
          <w:sz w:val="20"/>
          <w:szCs w:val="20"/>
        </w:rPr>
        <w:t>the Mean of N</w:t>
      </w:r>
      <w:r w:rsidR="0038155B" w:rsidRPr="004363F1">
        <w:rPr>
          <w:rFonts w:ascii="Times New Roman" w:hAnsi="Times New Roman" w:cs="Times New Roman"/>
          <w:sz w:val="20"/>
          <w:szCs w:val="20"/>
        </w:rPr>
        <w:t xml:space="preserve">on-survivors and (2) </w:t>
      </w:r>
      <w:r w:rsidR="00FE62F4" w:rsidRPr="004363F1">
        <w:rPr>
          <w:rFonts w:ascii="Times New Roman" w:hAnsi="Times New Roman" w:cs="Times New Roman"/>
          <w:sz w:val="20"/>
          <w:szCs w:val="20"/>
        </w:rPr>
        <w:t xml:space="preserve">the </w:t>
      </w:r>
      <w:r w:rsidR="0038155B" w:rsidRPr="004363F1">
        <w:rPr>
          <w:rFonts w:ascii="Times New Roman" w:hAnsi="Times New Roman" w:cs="Times New Roman"/>
          <w:sz w:val="20"/>
          <w:szCs w:val="20"/>
        </w:rPr>
        <w:t>Mean of Survivors,</w:t>
      </w:r>
      <w:r w:rsidR="0038155B" w:rsidRPr="004363F1">
        <w:rPr>
          <w:sz w:val="20"/>
          <w:szCs w:val="20"/>
        </w:rPr>
        <w:t xml:space="preserve"> </w:t>
      </w:r>
      <w:r w:rsidR="00696A9D" w:rsidRPr="004363F1">
        <w:rPr>
          <w:rFonts w:ascii="Times New Roman" w:hAnsi="Times New Roman" w:cs="Times New Roman"/>
          <w:sz w:val="20"/>
          <w:szCs w:val="20"/>
        </w:rPr>
        <w:t>based on the estimated c</w:t>
      </w:r>
      <w:r w:rsidR="0038155B" w:rsidRPr="004363F1">
        <w:rPr>
          <w:rFonts w:ascii="Times New Roman" w:hAnsi="Times New Roman" w:cs="Times New Roman"/>
          <w:sz w:val="20"/>
          <w:szCs w:val="20"/>
        </w:rPr>
        <w:t xml:space="preserve">oefficients of </w:t>
      </w:r>
      <w:r w:rsidR="00696A9D" w:rsidRPr="004363F1">
        <w:rPr>
          <w:rFonts w:ascii="Times New Roman" w:hAnsi="Times New Roman" w:cs="Times New Roman"/>
          <w:sz w:val="20"/>
          <w:szCs w:val="20"/>
        </w:rPr>
        <w:t>the CLOGLOG m</w:t>
      </w:r>
      <w:r w:rsidR="0038155B" w:rsidRPr="004363F1">
        <w:rPr>
          <w:rFonts w:ascii="Times New Roman" w:hAnsi="Times New Roman" w:cs="Times New Roman"/>
          <w:sz w:val="20"/>
          <w:szCs w:val="20"/>
        </w:rPr>
        <w:t xml:space="preserve">odel </w:t>
      </w:r>
    </w:p>
    <w:p w14:paraId="4E0F507C" w14:textId="77777777" w:rsidR="00667E59" w:rsidRPr="004363F1" w:rsidRDefault="00774B2D" w:rsidP="00CC0983">
      <w:pPr>
        <w:spacing w:after="0" w:line="240" w:lineRule="auto"/>
        <w:jc w:val="both"/>
        <w:rPr>
          <w:rFonts w:ascii="Times New Roman" w:eastAsiaTheme="minorEastAsia" w:hAnsi="Times New Roman" w:cs="Times New Roman"/>
          <w:sz w:val="20"/>
          <w:szCs w:val="20"/>
          <w:lang w:eastAsia="ja-JP"/>
        </w:rPr>
      </w:pPr>
      <w:r w:rsidRPr="004363F1">
        <w:rPr>
          <w:rFonts w:ascii="Times New Roman" w:eastAsiaTheme="minorEastAsia" w:hAnsi="Times New Roman" w:cs="Times New Roman"/>
          <w:sz w:val="20"/>
          <w:szCs w:val="20"/>
          <w:lang w:eastAsia="ja-JP"/>
        </w:rPr>
        <w:t xml:space="preserve">Supplemental Table </w:t>
      </w:r>
      <w:r w:rsidR="001E6E30" w:rsidRPr="004363F1">
        <w:rPr>
          <w:rFonts w:ascii="Times New Roman" w:eastAsiaTheme="minorEastAsia" w:hAnsi="Times New Roman" w:cs="Times New Roman"/>
          <w:sz w:val="20"/>
          <w:szCs w:val="20"/>
          <w:lang w:eastAsia="ja-JP"/>
        </w:rPr>
        <w:t>5</w:t>
      </w:r>
      <w:r w:rsidR="00696A9D" w:rsidRPr="004363F1">
        <w:rPr>
          <w:rFonts w:ascii="Times New Roman" w:eastAsiaTheme="minorEastAsia" w:hAnsi="Times New Roman" w:cs="Times New Roman"/>
          <w:sz w:val="20"/>
          <w:szCs w:val="20"/>
          <w:lang w:eastAsia="ja-JP"/>
        </w:rPr>
        <w:t>. The predictive powers of the level and change variables of the TVBIs and t</w:t>
      </w:r>
      <w:r w:rsidR="00517D80" w:rsidRPr="004363F1">
        <w:rPr>
          <w:rFonts w:ascii="Times New Roman" w:eastAsiaTheme="minorEastAsia" w:hAnsi="Times New Roman" w:cs="Times New Roman"/>
          <w:sz w:val="20"/>
          <w:szCs w:val="20"/>
          <w:lang w:eastAsia="ja-JP"/>
        </w:rPr>
        <w:t>heir Relative Importance</w:t>
      </w:r>
      <w:r w:rsidR="00427C4E" w:rsidRPr="004363F1">
        <w:rPr>
          <w:rFonts w:ascii="Times New Roman" w:eastAsiaTheme="minorEastAsia" w:hAnsi="Times New Roman" w:cs="Times New Roman"/>
          <w:sz w:val="20"/>
          <w:szCs w:val="20"/>
          <w:lang w:eastAsia="ja-JP"/>
        </w:rPr>
        <w:t xml:space="preserve"> </w:t>
      </w:r>
    </w:p>
    <w:p w14:paraId="3C8F80C2" w14:textId="77777777" w:rsidR="001B3683" w:rsidRPr="004363F1" w:rsidRDefault="00774B2D" w:rsidP="00CC0983">
      <w:pPr>
        <w:spacing w:after="0" w:line="240" w:lineRule="auto"/>
        <w:jc w:val="both"/>
        <w:rPr>
          <w:rFonts w:ascii="Times New Roman" w:eastAsiaTheme="minorEastAsia" w:hAnsi="Times New Roman" w:cs="Times New Roman"/>
          <w:sz w:val="20"/>
          <w:szCs w:val="20"/>
          <w:lang w:eastAsia="ja-JP"/>
        </w:rPr>
      </w:pPr>
      <w:r w:rsidRPr="004363F1">
        <w:rPr>
          <w:rFonts w:ascii="Times New Roman" w:eastAsiaTheme="minorEastAsia" w:hAnsi="Times New Roman" w:cs="Times New Roman"/>
          <w:sz w:val="20"/>
          <w:szCs w:val="20"/>
          <w:lang w:eastAsia="ja-JP"/>
        </w:rPr>
        <w:t xml:space="preserve">Supplemental Table </w:t>
      </w:r>
      <w:r w:rsidR="001E6E30" w:rsidRPr="004363F1">
        <w:rPr>
          <w:rFonts w:ascii="Times New Roman" w:eastAsiaTheme="minorEastAsia" w:hAnsi="Times New Roman" w:cs="Times New Roman"/>
          <w:sz w:val="20"/>
          <w:szCs w:val="20"/>
          <w:lang w:eastAsia="ja-JP"/>
        </w:rPr>
        <w:t>6</w:t>
      </w:r>
      <w:r w:rsidR="00696A9D" w:rsidRPr="004363F1">
        <w:rPr>
          <w:rFonts w:ascii="Times New Roman" w:eastAsiaTheme="minorEastAsia" w:hAnsi="Times New Roman" w:cs="Times New Roman"/>
          <w:sz w:val="20"/>
          <w:szCs w:val="20"/>
          <w:lang w:eastAsia="ja-JP"/>
        </w:rPr>
        <w:t>. The primary data of Patient A and the benchmark for c</w:t>
      </w:r>
      <w:r w:rsidR="001B3683" w:rsidRPr="004363F1">
        <w:rPr>
          <w:rFonts w:ascii="Times New Roman" w:eastAsiaTheme="minorEastAsia" w:hAnsi="Times New Roman" w:cs="Times New Roman"/>
          <w:sz w:val="20"/>
          <w:szCs w:val="20"/>
          <w:lang w:eastAsia="ja-JP"/>
        </w:rPr>
        <w:t xml:space="preserve">onstructing </w:t>
      </w:r>
      <w:r w:rsidR="00696A9D" w:rsidRPr="004363F1">
        <w:rPr>
          <w:rFonts w:ascii="Times New Roman" w:eastAsiaTheme="minorEastAsia" w:hAnsi="Times New Roman" w:cs="Times New Roman"/>
          <w:sz w:val="20"/>
          <w:szCs w:val="20"/>
          <w:lang w:eastAsia="ja-JP"/>
        </w:rPr>
        <w:t>his mortality r</w:t>
      </w:r>
      <w:r w:rsidR="001B3683" w:rsidRPr="004363F1">
        <w:rPr>
          <w:rFonts w:ascii="Times New Roman" w:eastAsiaTheme="minorEastAsia" w:hAnsi="Times New Roman" w:cs="Times New Roman"/>
          <w:sz w:val="20"/>
          <w:szCs w:val="20"/>
          <w:lang w:eastAsia="ja-JP"/>
        </w:rPr>
        <w:t xml:space="preserve">isk </w:t>
      </w:r>
      <w:r w:rsidR="00696A9D" w:rsidRPr="004363F1">
        <w:rPr>
          <w:rFonts w:ascii="Times New Roman" w:eastAsiaTheme="minorEastAsia" w:hAnsi="Times New Roman" w:cs="Times New Roman"/>
          <w:sz w:val="20"/>
          <w:szCs w:val="20"/>
          <w:lang w:eastAsia="ja-JP"/>
        </w:rPr>
        <w:t>p</w:t>
      </w:r>
      <w:r w:rsidR="001B3683" w:rsidRPr="004363F1">
        <w:rPr>
          <w:rFonts w:ascii="Times New Roman" w:eastAsiaTheme="minorEastAsia" w:hAnsi="Times New Roman" w:cs="Times New Roman"/>
          <w:sz w:val="20"/>
          <w:szCs w:val="20"/>
          <w:lang w:eastAsia="ja-JP"/>
        </w:rPr>
        <w:t xml:space="preserve">rofile </w:t>
      </w:r>
    </w:p>
    <w:p w14:paraId="684B78E7" w14:textId="77777777" w:rsidR="001B3683" w:rsidRPr="004363F1" w:rsidRDefault="00774B2D" w:rsidP="00CC0983">
      <w:pPr>
        <w:spacing w:after="0" w:line="240" w:lineRule="auto"/>
        <w:jc w:val="both"/>
        <w:rPr>
          <w:rFonts w:ascii="Times New Roman" w:eastAsiaTheme="minorEastAsia" w:hAnsi="Times New Roman" w:cs="Times New Roman"/>
          <w:sz w:val="20"/>
          <w:szCs w:val="20"/>
          <w:lang w:eastAsia="ja-JP"/>
        </w:rPr>
      </w:pPr>
      <w:r w:rsidRPr="004363F1">
        <w:rPr>
          <w:rFonts w:ascii="Times New Roman" w:eastAsiaTheme="minorEastAsia" w:hAnsi="Times New Roman" w:cs="Times New Roman"/>
          <w:sz w:val="20"/>
          <w:szCs w:val="20"/>
          <w:lang w:eastAsia="ja-JP"/>
        </w:rPr>
        <w:t xml:space="preserve">Supplemental Table </w:t>
      </w:r>
      <w:r w:rsidR="001E6E30" w:rsidRPr="004363F1">
        <w:rPr>
          <w:rFonts w:ascii="Times New Roman" w:eastAsiaTheme="minorEastAsia" w:hAnsi="Times New Roman" w:cs="Times New Roman"/>
          <w:sz w:val="20"/>
          <w:szCs w:val="20"/>
          <w:lang w:eastAsia="ja-JP"/>
        </w:rPr>
        <w:t>7</w:t>
      </w:r>
      <w:r w:rsidR="00D74FB8" w:rsidRPr="004363F1">
        <w:rPr>
          <w:rFonts w:ascii="Times New Roman" w:eastAsiaTheme="minorEastAsia" w:hAnsi="Times New Roman" w:cs="Times New Roman"/>
          <w:sz w:val="20"/>
          <w:szCs w:val="20"/>
          <w:lang w:eastAsia="ja-JP"/>
        </w:rPr>
        <w:t>. The c</w:t>
      </w:r>
      <w:r w:rsidR="00E54D10" w:rsidRPr="004363F1">
        <w:rPr>
          <w:rFonts w:ascii="Times New Roman" w:eastAsiaTheme="minorEastAsia" w:hAnsi="Times New Roman" w:cs="Times New Roman"/>
          <w:sz w:val="20"/>
          <w:szCs w:val="20"/>
          <w:lang w:eastAsia="ja-JP"/>
        </w:rPr>
        <w:t>onstruction of Patient A's mortality risk p</w:t>
      </w:r>
      <w:r w:rsidR="0036447D" w:rsidRPr="004363F1">
        <w:rPr>
          <w:rFonts w:ascii="Times New Roman" w:eastAsiaTheme="minorEastAsia" w:hAnsi="Times New Roman" w:cs="Times New Roman"/>
          <w:sz w:val="20"/>
          <w:szCs w:val="20"/>
          <w:lang w:eastAsia="ja-JP"/>
        </w:rPr>
        <w:t>rofile, b</w:t>
      </w:r>
      <w:r w:rsidR="00AE0010" w:rsidRPr="004363F1">
        <w:rPr>
          <w:rFonts w:ascii="Times New Roman" w:eastAsiaTheme="minorEastAsia" w:hAnsi="Times New Roman" w:cs="Times New Roman"/>
          <w:sz w:val="20"/>
          <w:szCs w:val="20"/>
          <w:lang w:eastAsia="ja-JP"/>
        </w:rPr>
        <w:t xml:space="preserve">ased on the CLOGLOG </w:t>
      </w:r>
      <w:r w:rsidR="0036447D" w:rsidRPr="004363F1">
        <w:rPr>
          <w:rFonts w:ascii="Times New Roman" w:eastAsiaTheme="minorEastAsia" w:hAnsi="Times New Roman" w:cs="Times New Roman"/>
          <w:sz w:val="20"/>
          <w:szCs w:val="20"/>
          <w:lang w:eastAsia="ja-JP"/>
        </w:rPr>
        <w:t>model, with the mean of best 10% of survivors used for setting up the b</w:t>
      </w:r>
      <w:r w:rsidR="00AE0010" w:rsidRPr="004363F1">
        <w:rPr>
          <w:rFonts w:ascii="Times New Roman" w:eastAsiaTheme="minorEastAsia" w:hAnsi="Times New Roman" w:cs="Times New Roman"/>
          <w:sz w:val="20"/>
          <w:szCs w:val="20"/>
          <w:lang w:eastAsia="ja-JP"/>
        </w:rPr>
        <w:t xml:space="preserve">enchmark </w:t>
      </w:r>
    </w:p>
    <w:p w14:paraId="326A1B5F" w14:textId="77777777" w:rsidR="00AE0010" w:rsidRPr="004363F1" w:rsidRDefault="00774B2D" w:rsidP="00CC0983">
      <w:pPr>
        <w:spacing w:after="0" w:line="240" w:lineRule="auto"/>
        <w:jc w:val="both"/>
        <w:rPr>
          <w:rFonts w:ascii="Times New Roman" w:eastAsiaTheme="minorEastAsia" w:hAnsi="Times New Roman" w:cs="Times New Roman"/>
          <w:sz w:val="20"/>
          <w:szCs w:val="20"/>
          <w:lang w:eastAsia="ja-JP"/>
        </w:rPr>
      </w:pPr>
      <w:r w:rsidRPr="004363F1">
        <w:rPr>
          <w:rFonts w:ascii="Times New Roman" w:eastAsiaTheme="minorEastAsia" w:hAnsi="Times New Roman" w:cs="Times New Roman"/>
          <w:sz w:val="20"/>
          <w:szCs w:val="20"/>
          <w:lang w:eastAsia="ja-JP"/>
        </w:rPr>
        <w:t xml:space="preserve">Supplemental Table </w:t>
      </w:r>
      <w:r w:rsidR="001E6E30" w:rsidRPr="004363F1">
        <w:rPr>
          <w:rFonts w:ascii="Times New Roman" w:eastAsiaTheme="minorEastAsia" w:hAnsi="Times New Roman" w:cs="Times New Roman"/>
          <w:sz w:val="20"/>
          <w:szCs w:val="20"/>
          <w:lang w:eastAsia="ja-JP"/>
        </w:rPr>
        <w:t>8</w:t>
      </w:r>
      <w:r w:rsidR="00D74FB8" w:rsidRPr="004363F1">
        <w:rPr>
          <w:rFonts w:ascii="Times New Roman" w:eastAsiaTheme="minorEastAsia" w:hAnsi="Times New Roman" w:cs="Times New Roman"/>
          <w:sz w:val="20"/>
          <w:szCs w:val="20"/>
          <w:lang w:eastAsia="ja-JP"/>
        </w:rPr>
        <w:t>. The primary d</w:t>
      </w:r>
      <w:r w:rsidR="00AE0010" w:rsidRPr="004363F1">
        <w:rPr>
          <w:rFonts w:ascii="Times New Roman" w:eastAsiaTheme="minorEastAsia" w:hAnsi="Times New Roman" w:cs="Times New Roman"/>
          <w:sz w:val="20"/>
          <w:szCs w:val="20"/>
          <w:lang w:eastAsia="ja-JP"/>
        </w:rPr>
        <w:t xml:space="preserve">ata of Patient </w:t>
      </w:r>
      <w:r w:rsidR="00AE0010" w:rsidRPr="004363F1">
        <w:rPr>
          <w:rFonts w:ascii="Times New Roman" w:eastAsiaTheme="minorEastAsia" w:hAnsi="Times New Roman" w:cs="Times New Roman"/>
          <w:b/>
          <w:sz w:val="20"/>
          <w:szCs w:val="20"/>
          <w:lang w:eastAsia="ja-JP"/>
        </w:rPr>
        <w:t>B</w:t>
      </w:r>
      <w:r w:rsidR="0036447D" w:rsidRPr="004363F1">
        <w:rPr>
          <w:rFonts w:ascii="Times New Roman" w:eastAsiaTheme="minorEastAsia" w:hAnsi="Times New Roman" w:cs="Times New Roman"/>
          <w:sz w:val="20"/>
          <w:szCs w:val="20"/>
          <w:lang w:eastAsia="ja-JP"/>
        </w:rPr>
        <w:t xml:space="preserve"> and the b</w:t>
      </w:r>
      <w:r w:rsidR="00D74FB8" w:rsidRPr="004363F1">
        <w:rPr>
          <w:rFonts w:ascii="Times New Roman" w:eastAsiaTheme="minorEastAsia" w:hAnsi="Times New Roman" w:cs="Times New Roman"/>
          <w:sz w:val="20"/>
          <w:szCs w:val="20"/>
          <w:lang w:eastAsia="ja-JP"/>
        </w:rPr>
        <w:t>enchmark for c</w:t>
      </w:r>
      <w:r w:rsidR="00AE0010" w:rsidRPr="004363F1">
        <w:rPr>
          <w:rFonts w:ascii="Times New Roman" w:eastAsiaTheme="minorEastAsia" w:hAnsi="Times New Roman" w:cs="Times New Roman"/>
          <w:sz w:val="20"/>
          <w:szCs w:val="20"/>
          <w:lang w:eastAsia="ja-JP"/>
        </w:rPr>
        <w:t xml:space="preserve">onstructing </w:t>
      </w:r>
      <w:r w:rsidR="00D74FB8" w:rsidRPr="004363F1">
        <w:rPr>
          <w:rFonts w:ascii="Times New Roman" w:eastAsiaTheme="minorEastAsia" w:hAnsi="Times New Roman" w:cs="Times New Roman"/>
          <w:sz w:val="20"/>
          <w:szCs w:val="20"/>
          <w:lang w:eastAsia="ja-JP"/>
        </w:rPr>
        <w:t>his mortality risk p</w:t>
      </w:r>
      <w:r w:rsidR="00AE0010" w:rsidRPr="004363F1">
        <w:rPr>
          <w:rFonts w:ascii="Times New Roman" w:eastAsiaTheme="minorEastAsia" w:hAnsi="Times New Roman" w:cs="Times New Roman"/>
          <w:sz w:val="20"/>
          <w:szCs w:val="20"/>
          <w:lang w:eastAsia="ja-JP"/>
        </w:rPr>
        <w:t xml:space="preserve">rofile </w:t>
      </w:r>
    </w:p>
    <w:p w14:paraId="2BA8E31B" w14:textId="77777777" w:rsidR="00AE0010" w:rsidRPr="004363F1" w:rsidRDefault="00774B2D" w:rsidP="00CC0983">
      <w:pPr>
        <w:spacing w:after="0" w:line="240" w:lineRule="auto"/>
        <w:jc w:val="both"/>
        <w:rPr>
          <w:rFonts w:ascii="Times New Roman" w:eastAsiaTheme="minorEastAsia" w:hAnsi="Times New Roman" w:cs="Times New Roman"/>
          <w:sz w:val="20"/>
          <w:szCs w:val="20"/>
          <w:lang w:eastAsia="ja-JP"/>
        </w:rPr>
      </w:pPr>
      <w:r w:rsidRPr="004363F1">
        <w:rPr>
          <w:rFonts w:ascii="Times New Roman" w:eastAsiaTheme="minorEastAsia" w:hAnsi="Times New Roman" w:cs="Times New Roman"/>
          <w:sz w:val="20"/>
          <w:szCs w:val="20"/>
          <w:lang w:eastAsia="ja-JP"/>
        </w:rPr>
        <w:t xml:space="preserve">Supplemental Table </w:t>
      </w:r>
      <w:r w:rsidR="001E6E30" w:rsidRPr="004363F1">
        <w:rPr>
          <w:rFonts w:ascii="Times New Roman" w:eastAsiaTheme="minorEastAsia" w:hAnsi="Times New Roman" w:cs="Times New Roman"/>
          <w:sz w:val="20"/>
          <w:szCs w:val="20"/>
          <w:lang w:eastAsia="ja-JP"/>
        </w:rPr>
        <w:t>9</w:t>
      </w:r>
      <w:r w:rsidR="00D74FB8" w:rsidRPr="004363F1">
        <w:rPr>
          <w:rFonts w:ascii="Times New Roman" w:eastAsiaTheme="minorEastAsia" w:hAnsi="Times New Roman" w:cs="Times New Roman"/>
          <w:sz w:val="20"/>
          <w:szCs w:val="20"/>
          <w:lang w:eastAsia="ja-JP"/>
        </w:rPr>
        <w:t>. The c</w:t>
      </w:r>
      <w:r w:rsidR="00AE0010" w:rsidRPr="004363F1">
        <w:rPr>
          <w:rFonts w:ascii="Times New Roman" w:eastAsiaTheme="minorEastAsia" w:hAnsi="Times New Roman" w:cs="Times New Roman"/>
          <w:sz w:val="20"/>
          <w:szCs w:val="20"/>
          <w:lang w:eastAsia="ja-JP"/>
        </w:rPr>
        <w:t>onstruction of Patient B</w:t>
      </w:r>
      <w:r w:rsidR="0036447D" w:rsidRPr="004363F1">
        <w:rPr>
          <w:rFonts w:ascii="Times New Roman" w:eastAsiaTheme="minorEastAsia" w:hAnsi="Times New Roman" w:cs="Times New Roman"/>
          <w:sz w:val="20"/>
          <w:szCs w:val="20"/>
          <w:lang w:eastAsia="ja-JP"/>
        </w:rPr>
        <w:t xml:space="preserve">'s mortality risk profile, based on </w:t>
      </w:r>
      <w:r w:rsidR="00AE0010" w:rsidRPr="004363F1">
        <w:rPr>
          <w:rFonts w:ascii="Times New Roman" w:eastAsiaTheme="minorEastAsia" w:hAnsi="Times New Roman" w:cs="Times New Roman"/>
          <w:sz w:val="20"/>
          <w:szCs w:val="20"/>
          <w:lang w:eastAsia="ja-JP"/>
        </w:rPr>
        <w:t xml:space="preserve">the CLOGLOG </w:t>
      </w:r>
      <w:r w:rsidR="0036447D" w:rsidRPr="004363F1">
        <w:rPr>
          <w:rFonts w:ascii="Times New Roman" w:eastAsiaTheme="minorEastAsia" w:hAnsi="Times New Roman" w:cs="Times New Roman"/>
          <w:sz w:val="20"/>
          <w:szCs w:val="20"/>
          <w:lang w:eastAsia="ja-JP"/>
        </w:rPr>
        <w:t>Model, with the mean of best 10% of survivors used for setting up the b</w:t>
      </w:r>
      <w:r w:rsidR="00AE0010" w:rsidRPr="004363F1">
        <w:rPr>
          <w:rFonts w:ascii="Times New Roman" w:eastAsiaTheme="minorEastAsia" w:hAnsi="Times New Roman" w:cs="Times New Roman"/>
          <w:sz w:val="20"/>
          <w:szCs w:val="20"/>
          <w:lang w:eastAsia="ja-JP"/>
        </w:rPr>
        <w:t xml:space="preserve">enchmark </w:t>
      </w:r>
    </w:p>
    <w:p w14:paraId="091D4340" w14:textId="77777777" w:rsidR="0068025B" w:rsidRPr="004363F1" w:rsidRDefault="0068025B"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Supplemental Table 10. Baseline Characteristics of the 28 Septic Patients in the Validation Group</w:t>
      </w:r>
    </w:p>
    <w:p w14:paraId="42A9A9D1" w14:textId="77777777" w:rsidR="00177B24" w:rsidRPr="004363F1" w:rsidRDefault="009375DE"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 xml:space="preserve">Supplemental Table 11. The Results of the </w:t>
      </w:r>
      <w:proofErr w:type="gramStart"/>
      <w:r w:rsidRPr="004363F1">
        <w:rPr>
          <w:rFonts w:ascii="Times New Roman" w:eastAsiaTheme="minorEastAsia" w:hAnsi="Times New Roman" w:cs="Times New Roman"/>
          <w:sz w:val="20"/>
          <w:szCs w:val="20"/>
          <w:lang w:val="en-CA" w:eastAsia="ja-JP"/>
        </w:rPr>
        <w:t>10 Fold</w:t>
      </w:r>
      <w:proofErr w:type="gramEnd"/>
      <w:r w:rsidRPr="004363F1">
        <w:rPr>
          <w:rFonts w:ascii="Times New Roman" w:eastAsiaTheme="minorEastAsia" w:hAnsi="Times New Roman" w:cs="Times New Roman"/>
          <w:sz w:val="20"/>
          <w:szCs w:val="20"/>
          <w:lang w:val="en-CA" w:eastAsia="ja-JP"/>
        </w:rPr>
        <w:t xml:space="preserve"> </w:t>
      </w:r>
      <w:r w:rsidR="00CB2D11" w:rsidRPr="004363F1">
        <w:rPr>
          <w:rFonts w:ascii="Times New Roman" w:eastAsiaTheme="minorEastAsia" w:hAnsi="Times New Roman" w:cs="Times New Roman"/>
          <w:sz w:val="20"/>
          <w:szCs w:val="20"/>
          <w:lang w:val="en-CA" w:eastAsia="ja-JP"/>
        </w:rPr>
        <w:t>Cross-validation</w:t>
      </w:r>
      <w:r w:rsidRPr="004363F1">
        <w:rPr>
          <w:rFonts w:ascii="Times New Roman" w:eastAsiaTheme="minorEastAsia" w:hAnsi="Times New Roman" w:cs="Times New Roman"/>
          <w:sz w:val="20"/>
          <w:szCs w:val="20"/>
          <w:lang w:val="en-CA" w:eastAsia="ja-JP"/>
        </w:rPr>
        <w:t xml:space="preserve"> for the Best CLOGLOG Model shown in Table</w:t>
      </w:r>
      <w:r w:rsidR="00C567BE" w:rsidRPr="004363F1">
        <w:rPr>
          <w:rFonts w:ascii="Times New Roman" w:eastAsiaTheme="minorEastAsia" w:hAnsi="Times New Roman" w:cs="Times New Roman"/>
          <w:sz w:val="20"/>
          <w:szCs w:val="20"/>
          <w:lang w:val="en-CA" w:eastAsia="ja-JP"/>
        </w:rPr>
        <w:t xml:space="preserve"> 2 of the Manusc</w:t>
      </w:r>
      <w:r w:rsidRPr="004363F1">
        <w:rPr>
          <w:rFonts w:ascii="Times New Roman" w:eastAsiaTheme="minorEastAsia" w:hAnsi="Times New Roman" w:cs="Times New Roman"/>
          <w:sz w:val="20"/>
          <w:szCs w:val="20"/>
          <w:lang w:val="en-CA" w:eastAsia="ja-JP"/>
        </w:rPr>
        <w:t>ript</w:t>
      </w:r>
    </w:p>
    <w:p w14:paraId="01E4A047" w14:textId="77777777" w:rsidR="008C2C7B" w:rsidRPr="004363F1" w:rsidRDefault="00774B2D" w:rsidP="00CC0983">
      <w:pPr>
        <w:spacing w:after="0" w:line="240" w:lineRule="auto"/>
        <w:jc w:val="both"/>
        <w:rPr>
          <w:rFonts w:ascii="Times New Roman" w:eastAsiaTheme="minorEastAsia" w:hAnsi="Times New Roman" w:cs="Times New Roman"/>
          <w:sz w:val="20"/>
          <w:szCs w:val="20"/>
          <w:lang w:eastAsia="ja-JP"/>
        </w:rPr>
      </w:pPr>
      <w:r w:rsidRPr="004363F1">
        <w:rPr>
          <w:rFonts w:ascii="Times New Roman" w:eastAsiaTheme="minorEastAsia" w:hAnsi="Times New Roman" w:cs="Times New Roman"/>
          <w:sz w:val="20"/>
          <w:szCs w:val="20"/>
          <w:lang w:eastAsia="ja-JP"/>
        </w:rPr>
        <w:t xml:space="preserve">Supplemental Table </w:t>
      </w:r>
      <w:r w:rsidR="001E6E30" w:rsidRPr="004363F1">
        <w:rPr>
          <w:rFonts w:ascii="Times New Roman" w:eastAsiaTheme="minorEastAsia" w:hAnsi="Times New Roman" w:cs="Times New Roman"/>
          <w:sz w:val="20"/>
          <w:szCs w:val="20"/>
          <w:lang w:eastAsia="ja-JP"/>
        </w:rPr>
        <w:t>1</w:t>
      </w:r>
      <w:r w:rsidR="0068025B" w:rsidRPr="004363F1">
        <w:rPr>
          <w:rFonts w:ascii="Times New Roman" w:eastAsiaTheme="minorEastAsia" w:hAnsi="Times New Roman" w:cs="Times New Roman"/>
          <w:sz w:val="20"/>
          <w:szCs w:val="20"/>
          <w:lang w:eastAsia="ja-JP"/>
        </w:rPr>
        <w:t>2</w:t>
      </w:r>
      <w:r w:rsidR="00ED486C" w:rsidRPr="004363F1">
        <w:rPr>
          <w:rFonts w:ascii="Times New Roman" w:eastAsiaTheme="minorEastAsia" w:hAnsi="Times New Roman" w:cs="Times New Roman"/>
          <w:sz w:val="20"/>
          <w:szCs w:val="20"/>
          <w:lang w:eastAsia="ja-JP"/>
        </w:rPr>
        <w:t xml:space="preserve">. </w:t>
      </w:r>
      <w:r w:rsidR="0036447D" w:rsidRPr="004363F1">
        <w:rPr>
          <w:rFonts w:ascii="Times New Roman" w:eastAsiaTheme="minorEastAsia" w:hAnsi="Times New Roman" w:cs="Times New Roman"/>
          <w:sz w:val="20"/>
          <w:szCs w:val="20"/>
          <w:lang w:eastAsia="ja-JP"/>
        </w:rPr>
        <w:t>Estimation results of the CLOGLOG model for assessing the predictive p</w:t>
      </w:r>
      <w:r w:rsidR="008C2C7B" w:rsidRPr="004363F1">
        <w:rPr>
          <w:rFonts w:ascii="Times New Roman" w:eastAsiaTheme="minorEastAsia" w:hAnsi="Times New Roman" w:cs="Times New Roman"/>
          <w:sz w:val="20"/>
          <w:szCs w:val="20"/>
          <w:lang w:eastAsia="ja-JP"/>
        </w:rPr>
        <w:t>owers of MODS</w:t>
      </w:r>
      <w:r w:rsidR="00B95122" w:rsidRPr="004363F1">
        <w:rPr>
          <w:rFonts w:ascii="Times New Roman" w:eastAsiaTheme="minorEastAsia" w:hAnsi="Times New Roman" w:cs="Times New Roman"/>
          <w:sz w:val="20"/>
          <w:szCs w:val="20"/>
          <w:lang w:eastAsia="ja-JP"/>
        </w:rPr>
        <w:t>, SOFA,</w:t>
      </w:r>
      <w:r w:rsidR="00ED486C" w:rsidRPr="004363F1">
        <w:rPr>
          <w:rFonts w:ascii="Times New Roman" w:eastAsiaTheme="minorEastAsia" w:hAnsi="Times New Roman" w:cs="Times New Roman"/>
          <w:sz w:val="20"/>
          <w:szCs w:val="20"/>
          <w:lang w:eastAsia="ja-JP"/>
        </w:rPr>
        <w:t xml:space="preserve"> </w:t>
      </w:r>
      <w:r w:rsidR="008C2C7B" w:rsidRPr="004363F1">
        <w:rPr>
          <w:rFonts w:ascii="Times New Roman" w:eastAsiaTheme="minorEastAsia" w:hAnsi="Times New Roman" w:cs="Times New Roman"/>
          <w:sz w:val="20"/>
          <w:szCs w:val="20"/>
          <w:lang w:eastAsia="ja-JP"/>
        </w:rPr>
        <w:t xml:space="preserve">and </w:t>
      </w:r>
      <w:r w:rsidR="00B95122" w:rsidRPr="004363F1">
        <w:rPr>
          <w:rFonts w:ascii="Times New Roman" w:eastAsiaTheme="minorEastAsia" w:hAnsi="Times New Roman" w:cs="Times New Roman"/>
          <w:sz w:val="20"/>
          <w:szCs w:val="20"/>
          <w:lang w:eastAsia="ja-JP"/>
        </w:rPr>
        <w:t>APACHE II</w:t>
      </w:r>
    </w:p>
    <w:p w14:paraId="3AE5861B" w14:textId="77777777" w:rsidR="006E10EC" w:rsidRPr="004363F1" w:rsidRDefault="00774B2D" w:rsidP="00CC0983">
      <w:pPr>
        <w:spacing w:after="0" w:line="240" w:lineRule="auto"/>
        <w:jc w:val="both"/>
        <w:rPr>
          <w:rFonts w:ascii="Times New Roman" w:eastAsiaTheme="minorEastAsia" w:hAnsi="Times New Roman" w:cs="Times New Roman"/>
          <w:sz w:val="20"/>
          <w:szCs w:val="20"/>
          <w:lang w:eastAsia="ja-JP"/>
        </w:rPr>
      </w:pPr>
      <w:r w:rsidRPr="004363F1">
        <w:rPr>
          <w:rFonts w:ascii="Times New Roman" w:eastAsiaTheme="minorEastAsia" w:hAnsi="Times New Roman" w:cs="Times New Roman"/>
          <w:sz w:val="20"/>
          <w:szCs w:val="20"/>
          <w:lang w:eastAsia="ja-JP"/>
        </w:rPr>
        <w:t xml:space="preserve">Supplemental </w:t>
      </w:r>
      <w:r w:rsidR="008C2C7B" w:rsidRPr="004363F1">
        <w:rPr>
          <w:rFonts w:ascii="Times New Roman" w:eastAsiaTheme="minorEastAsia" w:hAnsi="Times New Roman" w:cs="Times New Roman"/>
          <w:sz w:val="20"/>
          <w:szCs w:val="20"/>
          <w:lang w:eastAsia="ja-JP"/>
        </w:rPr>
        <w:t xml:space="preserve">Table </w:t>
      </w:r>
      <w:r w:rsidR="00B95122" w:rsidRPr="004363F1">
        <w:rPr>
          <w:rFonts w:ascii="Times New Roman" w:eastAsiaTheme="minorEastAsia" w:hAnsi="Times New Roman" w:cs="Times New Roman"/>
          <w:sz w:val="20"/>
          <w:szCs w:val="20"/>
          <w:lang w:eastAsia="ja-JP"/>
        </w:rPr>
        <w:t>13</w:t>
      </w:r>
      <w:r w:rsidR="0036447D" w:rsidRPr="004363F1">
        <w:rPr>
          <w:rFonts w:ascii="Times New Roman" w:eastAsiaTheme="minorEastAsia" w:hAnsi="Times New Roman" w:cs="Times New Roman"/>
          <w:sz w:val="20"/>
          <w:szCs w:val="20"/>
          <w:lang w:eastAsia="ja-JP"/>
        </w:rPr>
        <w:t>. The estimated coefficients of four a</w:t>
      </w:r>
      <w:r w:rsidR="00292EB1" w:rsidRPr="004363F1">
        <w:rPr>
          <w:rFonts w:ascii="Times New Roman" w:eastAsiaTheme="minorEastAsia" w:hAnsi="Times New Roman" w:cs="Times New Roman"/>
          <w:sz w:val="20"/>
          <w:szCs w:val="20"/>
          <w:lang w:eastAsia="ja-JP"/>
        </w:rPr>
        <w:t xml:space="preserve">dditional </w:t>
      </w:r>
      <w:r w:rsidR="0036447D" w:rsidRPr="004363F1">
        <w:rPr>
          <w:rFonts w:ascii="Times New Roman" w:eastAsiaTheme="minorEastAsia" w:hAnsi="Times New Roman" w:cs="Times New Roman"/>
          <w:sz w:val="20"/>
          <w:szCs w:val="20"/>
          <w:lang w:eastAsia="ja-JP"/>
        </w:rPr>
        <w:t>TVBIs and other c</w:t>
      </w:r>
      <w:r w:rsidR="00E57B79" w:rsidRPr="004363F1">
        <w:rPr>
          <w:rFonts w:ascii="Times New Roman" w:eastAsiaTheme="minorEastAsia" w:hAnsi="Times New Roman" w:cs="Times New Roman"/>
          <w:sz w:val="20"/>
          <w:szCs w:val="20"/>
          <w:lang w:eastAsia="ja-JP"/>
        </w:rPr>
        <w:t>ontext</w:t>
      </w:r>
      <w:r w:rsidR="0036447D" w:rsidRPr="004363F1">
        <w:rPr>
          <w:rFonts w:ascii="Times New Roman" w:eastAsiaTheme="minorEastAsia" w:hAnsi="Times New Roman" w:cs="Times New Roman"/>
          <w:sz w:val="20"/>
          <w:szCs w:val="20"/>
          <w:lang w:eastAsia="ja-JP"/>
        </w:rPr>
        <w:t>ual v</w:t>
      </w:r>
      <w:r w:rsidR="00E57B79" w:rsidRPr="004363F1">
        <w:rPr>
          <w:rFonts w:ascii="Times New Roman" w:eastAsiaTheme="minorEastAsia" w:hAnsi="Times New Roman" w:cs="Times New Roman"/>
          <w:sz w:val="20"/>
          <w:szCs w:val="20"/>
          <w:lang w:eastAsia="ja-JP"/>
        </w:rPr>
        <w:t>ariables</w:t>
      </w:r>
      <w:r w:rsidR="00292EB1" w:rsidRPr="004363F1">
        <w:rPr>
          <w:rFonts w:ascii="Times New Roman" w:eastAsiaTheme="minorEastAsia" w:hAnsi="Times New Roman" w:cs="Times New Roman"/>
          <w:sz w:val="20"/>
          <w:szCs w:val="20"/>
          <w:lang w:eastAsia="ja-JP"/>
        </w:rPr>
        <w:t>,</w:t>
      </w:r>
      <w:r w:rsidR="00292EB1" w:rsidRPr="004363F1">
        <w:rPr>
          <w:sz w:val="20"/>
          <w:szCs w:val="20"/>
        </w:rPr>
        <w:t xml:space="preserve"> </w:t>
      </w:r>
      <w:r w:rsidR="0036447D" w:rsidRPr="004363F1">
        <w:rPr>
          <w:rFonts w:ascii="Times New Roman" w:eastAsiaTheme="minorEastAsia" w:hAnsi="Times New Roman" w:cs="Times New Roman"/>
          <w:sz w:val="20"/>
          <w:szCs w:val="20"/>
          <w:lang w:eastAsia="ja-JP"/>
        </w:rPr>
        <w:t>obtained by inserting each of them s</w:t>
      </w:r>
      <w:r w:rsidR="00292EB1" w:rsidRPr="004363F1">
        <w:rPr>
          <w:rFonts w:ascii="Times New Roman" w:eastAsiaTheme="minorEastAsia" w:hAnsi="Times New Roman" w:cs="Times New Roman"/>
          <w:sz w:val="20"/>
          <w:szCs w:val="20"/>
          <w:lang w:eastAsia="ja-JP"/>
        </w:rPr>
        <w:t xml:space="preserve">eparately into </w:t>
      </w:r>
      <w:r w:rsidR="0036447D" w:rsidRPr="004363F1">
        <w:rPr>
          <w:rFonts w:ascii="Times New Roman" w:eastAsiaTheme="minorEastAsia" w:hAnsi="Times New Roman" w:cs="Times New Roman"/>
          <w:sz w:val="20"/>
          <w:szCs w:val="20"/>
          <w:lang w:eastAsia="ja-JP"/>
        </w:rPr>
        <w:t>the CLOGLOG model s</w:t>
      </w:r>
      <w:r w:rsidR="00292EB1" w:rsidRPr="004363F1">
        <w:rPr>
          <w:rFonts w:ascii="Times New Roman" w:eastAsiaTheme="minorEastAsia" w:hAnsi="Times New Roman" w:cs="Times New Roman"/>
          <w:sz w:val="20"/>
          <w:szCs w:val="20"/>
          <w:lang w:eastAsia="ja-JP"/>
        </w:rPr>
        <w:t xml:space="preserve">hown in Table 2 </w:t>
      </w:r>
    </w:p>
    <w:p w14:paraId="12568A23" w14:textId="77777777" w:rsidR="005D2AB6" w:rsidRPr="004363F1" w:rsidRDefault="00774B2D" w:rsidP="00CC0983">
      <w:pPr>
        <w:spacing w:after="0" w:line="240" w:lineRule="auto"/>
        <w:jc w:val="both"/>
        <w:rPr>
          <w:rFonts w:ascii="Times New Roman" w:eastAsiaTheme="minorEastAsia" w:hAnsi="Times New Roman" w:cs="Times New Roman"/>
          <w:sz w:val="20"/>
          <w:szCs w:val="20"/>
          <w:lang w:eastAsia="ja-JP"/>
        </w:rPr>
      </w:pPr>
      <w:r w:rsidRPr="004363F1">
        <w:rPr>
          <w:rFonts w:ascii="Times New Roman" w:eastAsiaTheme="minorEastAsia" w:hAnsi="Times New Roman" w:cs="Times New Roman"/>
          <w:sz w:val="20"/>
          <w:szCs w:val="20"/>
          <w:lang w:eastAsia="ja-JP"/>
        </w:rPr>
        <w:t xml:space="preserve">Supplemental </w:t>
      </w:r>
      <w:r w:rsidR="008C2C7B" w:rsidRPr="004363F1">
        <w:rPr>
          <w:rFonts w:ascii="Times New Roman" w:eastAsiaTheme="minorEastAsia" w:hAnsi="Times New Roman" w:cs="Times New Roman"/>
          <w:sz w:val="20"/>
          <w:szCs w:val="20"/>
          <w:lang w:eastAsia="ja-JP"/>
        </w:rPr>
        <w:t xml:space="preserve">Table </w:t>
      </w:r>
      <w:r w:rsidR="00B95122" w:rsidRPr="004363F1">
        <w:rPr>
          <w:rFonts w:ascii="Times New Roman" w:eastAsiaTheme="minorEastAsia" w:hAnsi="Times New Roman" w:cs="Times New Roman"/>
          <w:sz w:val="20"/>
          <w:szCs w:val="20"/>
          <w:lang w:eastAsia="ja-JP"/>
        </w:rPr>
        <w:t>14</w:t>
      </w:r>
      <w:r w:rsidR="0036447D" w:rsidRPr="004363F1">
        <w:rPr>
          <w:rFonts w:ascii="Times New Roman" w:eastAsiaTheme="minorEastAsia" w:hAnsi="Times New Roman" w:cs="Times New Roman"/>
          <w:sz w:val="20"/>
          <w:szCs w:val="20"/>
          <w:lang w:eastAsia="ja-JP"/>
        </w:rPr>
        <w:t>. The addition of information on the sites and types of positive cultures had little effect on the p</w:t>
      </w:r>
      <w:r w:rsidR="005D2AB6" w:rsidRPr="004363F1">
        <w:rPr>
          <w:rFonts w:ascii="Times New Roman" w:eastAsiaTheme="minorEastAsia" w:hAnsi="Times New Roman" w:cs="Times New Roman"/>
          <w:sz w:val="20"/>
          <w:szCs w:val="20"/>
          <w:lang w:eastAsia="ja-JP"/>
        </w:rPr>
        <w:t>red</w:t>
      </w:r>
      <w:r w:rsidR="0036447D" w:rsidRPr="004363F1">
        <w:rPr>
          <w:rFonts w:ascii="Times New Roman" w:eastAsiaTheme="minorEastAsia" w:hAnsi="Times New Roman" w:cs="Times New Roman"/>
          <w:sz w:val="20"/>
          <w:szCs w:val="20"/>
          <w:lang w:eastAsia="ja-JP"/>
        </w:rPr>
        <w:t>ictive p</w:t>
      </w:r>
      <w:r w:rsidR="005D2AB6" w:rsidRPr="004363F1">
        <w:rPr>
          <w:rFonts w:ascii="Times New Roman" w:eastAsiaTheme="minorEastAsia" w:hAnsi="Times New Roman" w:cs="Times New Roman"/>
          <w:sz w:val="20"/>
          <w:szCs w:val="20"/>
          <w:lang w:eastAsia="ja-JP"/>
        </w:rPr>
        <w:t xml:space="preserve">ower (AUC or Rho-square) of </w:t>
      </w:r>
      <w:r w:rsidR="0036447D" w:rsidRPr="004363F1">
        <w:rPr>
          <w:rFonts w:ascii="Times New Roman" w:eastAsiaTheme="minorEastAsia" w:hAnsi="Times New Roman" w:cs="Times New Roman"/>
          <w:sz w:val="20"/>
          <w:szCs w:val="20"/>
          <w:lang w:eastAsia="ja-JP"/>
        </w:rPr>
        <w:t>the CLOGLOG m</w:t>
      </w:r>
      <w:r w:rsidR="005D2AB6" w:rsidRPr="004363F1">
        <w:rPr>
          <w:rFonts w:ascii="Times New Roman" w:eastAsiaTheme="minorEastAsia" w:hAnsi="Times New Roman" w:cs="Times New Roman"/>
          <w:sz w:val="20"/>
          <w:szCs w:val="20"/>
          <w:lang w:eastAsia="ja-JP"/>
        </w:rPr>
        <w:t xml:space="preserve">odel </w:t>
      </w:r>
    </w:p>
    <w:p w14:paraId="1CFE2068" w14:textId="77777777" w:rsidR="009B7B3D" w:rsidRDefault="00774B2D"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 xml:space="preserve">Supplemental </w:t>
      </w:r>
      <w:r w:rsidR="00B95122" w:rsidRPr="004363F1">
        <w:rPr>
          <w:rFonts w:ascii="Times New Roman" w:eastAsiaTheme="minorEastAsia" w:hAnsi="Times New Roman" w:cs="Times New Roman"/>
          <w:sz w:val="20"/>
          <w:szCs w:val="20"/>
          <w:lang w:val="en-CA" w:eastAsia="ja-JP"/>
        </w:rPr>
        <w:t>Table 15</w:t>
      </w:r>
      <w:r w:rsidR="0036447D" w:rsidRPr="004363F1">
        <w:rPr>
          <w:rFonts w:ascii="Times New Roman" w:eastAsiaTheme="minorEastAsia" w:hAnsi="Times New Roman" w:cs="Times New Roman"/>
          <w:sz w:val="20"/>
          <w:szCs w:val="20"/>
          <w:lang w:val="en-CA" w:eastAsia="ja-JP"/>
        </w:rPr>
        <w:t xml:space="preserve">.  </w:t>
      </w:r>
      <w:r w:rsidR="007323CE" w:rsidRPr="004363F1">
        <w:rPr>
          <w:rFonts w:ascii="Times New Roman" w:eastAsiaTheme="minorEastAsia" w:hAnsi="Times New Roman" w:cs="Times New Roman"/>
          <w:sz w:val="20"/>
          <w:szCs w:val="20"/>
          <w:lang w:val="en-CA" w:eastAsia="ja-JP"/>
        </w:rPr>
        <w:t>Comparison of the CLOGLOG Model with</w:t>
      </w:r>
      <w:r w:rsidR="00AB7EAA" w:rsidRPr="004363F1">
        <w:rPr>
          <w:rFonts w:ascii="Times New Roman" w:eastAsiaTheme="minorEastAsia" w:hAnsi="Times New Roman" w:cs="Times New Roman"/>
          <w:sz w:val="20"/>
          <w:szCs w:val="20"/>
          <w:lang w:val="en-CA" w:eastAsia="ja-JP"/>
        </w:rPr>
        <w:t xml:space="preserve"> Two Versions of the Cox Model for 356</w:t>
      </w:r>
      <w:r w:rsidR="00397452" w:rsidRPr="004363F1">
        <w:rPr>
          <w:rFonts w:ascii="Times New Roman" w:eastAsiaTheme="minorEastAsia" w:hAnsi="Times New Roman" w:cs="Times New Roman"/>
          <w:sz w:val="20"/>
          <w:szCs w:val="20"/>
          <w:lang w:val="en-CA" w:eastAsia="ja-JP"/>
        </w:rPr>
        <w:t xml:space="preserve"> </w:t>
      </w:r>
      <w:r w:rsidR="00AB7EAA" w:rsidRPr="004363F1">
        <w:rPr>
          <w:rFonts w:ascii="Times New Roman" w:eastAsiaTheme="minorEastAsia" w:hAnsi="Times New Roman" w:cs="Times New Roman"/>
          <w:sz w:val="20"/>
          <w:szCs w:val="20"/>
          <w:lang w:val="en-CA" w:eastAsia="ja-JP"/>
        </w:rPr>
        <w:t>Septic Patients</w:t>
      </w:r>
    </w:p>
    <w:p w14:paraId="5C2DF864" w14:textId="77777777" w:rsidR="00CF7620" w:rsidRPr="000132B2" w:rsidRDefault="00CF7620" w:rsidP="00CC0983">
      <w:pPr>
        <w:spacing w:after="0" w:line="240" w:lineRule="auto"/>
        <w:jc w:val="both"/>
        <w:rPr>
          <w:rFonts w:ascii="Times New Roman" w:eastAsiaTheme="minorEastAsia" w:hAnsi="Times New Roman" w:cs="Times New Roman"/>
          <w:sz w:val="20"/>
          <w:szCs w:val="20"/>
          <w:lang w:val="en-CA" w:eastAsia="ja-JP"/>
        </w:rPr>
      </w:pPr>
      <w:r w:rsidRPr="000132B2">
        <w:rPr>
          <w:rFonts w:ascii="Times New Roman" w:eastAsiaTheme="minorEastAsia" w:hAnsi="Times New Roman" w:cs="Times New Roman"/>
          <w:sz w:val="20"/>
          <w:szCs w:val="20"/>
          <w:lang w:val="en-CA" w:eastAsia="ja-JP"/>
        </w:rPr>
        <w:lastRenderedPageBreak/>
        <w:t>Supplemental Table 16. The Computation of Patient A's Probability of Dying in 28 Days and the Construction of His Mortality Risk Profile, Based on the Lo</w:t>
      </w:r>
      <w:r w:rsidR="00966873" w:rsidRPr="000132B2">
        <w:rPr>
          <w:rFonts w:ascii="Times New Roman" w:eastAsiaTheme="minorEastAsia" w:hAnsi="Times New Roman" w:cs="Times New Roman"/>
          <w:sz w:val="20"/>
          <w:szCs w:val="20"/>
          <w:lang w:val="en-CA" w:eastAsia="ja-JP"/>
        </w:rPr>
        <w:t>n</w:t>
      </w:r>
      <w:r w:rsidRPr="000132B2">
        <w:rPr>
          <w:rFonts w:ascii="Times New Roman" w:eastAsiaTheme="minorEastAsia" w:hAnsi="Times New Roman" w:cs="Times New Roman"/>
          <w:sz w:val="20"/>
          <w:szCs w:val="20"/>
          <w:lang w:val="en-CA" w:eastAsia="ja-JP"/>
        </w:rPr>
        <w:t>gitudinal Logit Model, with the Mean of Best Decile of Survivors Used for Setting up the Benchmark</w:t>
      </w:r>
    </w:p>
    <w:p w14:paraId="6A9F0086" w14:textId="77777777" w:rsidR="001D7689" w:rsidRPr="004363F1" w:rsidRDefault="001D7689" w:rsidP="00CC0983">
      <w:pPr>
        <w:spacing w:after="0" w:line="240" w:lineRule="auto"/>
        <w:jc w:val="both"/>
        <w:rPr>
          <w:rFonts w:ascii="Times New Roman" w:eastAsiaTheme="minorEastAsia" w:hAnsi="Times New Roman" w:cs="Times New Roman"/>
          <w:sz w:val="20"/>
          <w:szCs w:val="20"/>
          <w:lang w:val="en-CA" w:eastAsia="ja-JP"/>
        </w:rPr>
      </w:pPr>
      <w:r w:rsidRPr="000132B2">
        <w:rPr>
          <w:rFonts w:ascii="Times New Roman" w:eastAsiaTheme="minorEastAsia" w:hAnsi="Times New Roman" w:cs="Times New Roman"/>
          <w:sz w:val="20"/>
          <w:szCs w:val="20"/>
          <w:lang w:val="en-CA" w:eastAsia="ja-JP"/>
        </w:rPr>
        <w:t>Supplement</w:t>
      </w:r>
      <w:r w:rsidR="007E68FF" w:rsidRPr="000132B2">
        <w:rPr>
          <w:rFonts w:ascii="Times New Roman" w:eastAsiaTheme="minorEastAsia" w:hAnsi="Times New Roman" w:cs="Times New Roman"/>
          <w:sz w:val="20"/>
          <w:szCs w:val="20"/>
          <w:lang w:val="en-CA" w:eastAsia="ja-JP"/>
        </w:rPr>
        <w:t>al</w:t>
      </w:r>
      <w:r w:rsidR="00CF7620" w:rsidRPr="000132B2">
        <w:rPr>
          <w:rFonts w:ascii="Times New Roman" w:eastAsiaTheme="minorEastAsia" w:hAnsi="Times New Roman" w:cs="Times New Roman"/>
          <w:sz w:val="20"/>
          <w:szCs w:val="20"/>
          <w:lang w:val="en-CA" w:eastAsia="ja-JP"/>
        </w:rPr>
        <w:t xml:space="preserve"> Table 17</w:t>
      </w:r>
      <w:r w:rsidRPr="000132B2">
        <w:rPr>
          <w:rFonts w:ascii="Times New Roman" w:eastAsiaTheme="minorEastAsia" w:hAnsi="Times New Roman" w:cs="Times New Roman"/>
          <w:sz w:val="20"/>
          <w:szCs w:val="20"/>
          <w:lang w:val="en-CA" w:eastAsia="ja-JP"/>
        </w:rPr>
        <w:t>. Simple Correlation Coefficients of the Day 1 and Change Variables of the 6 T</w:t>
      </w:r>
      <w:r w:rsidR="00912F80" w:rsidRPr="000132B2">
        <w:rPr>
          <w:rFonts w:ascii="Times New Roman" w:eastAsiaTheme="minorEastAsia" w:hAnsi="Times New Roman" w:cs="Times New Roman"/>
          <w:sz w:val="20"/>
          <w:szCs w:val="20"/>
          <w:lang w:val="en-CA" w:eastAsia="ja-JP"/>
        </w:rPr>
        <w:t>VBIs: Based</w:t>
      </w:r>
      <w:r w:rsidR="00912F80" w:rsidRPr="004363F1">
        <w:rPr>
          <w:rFonts w:ascii="Times New Roman" w:eastAsiaTheme="minorEastAsia" w:hAnsi="Times New Roman" w:cs="Times New Roman"/>
          <w:sz w:val="20"/>
          <w:szCs w:val="20"/>
          <w:lang w:val="en-CA" w:eastAsia="ja-JP"/>
        </w:rPr>
        <w:t xml:space="preserve"> on the 6,724 Person-</w:t>
      </w:r>
      <w:r w:rsidRPr="004363F1">
        <w:rPr>
          <w:rFonts w:ascii="Times New Roman" w:eastAsiaTheme="minorEastAsia" w:hAnsi="Times New Roman" w:cs="Times New Roman"/>
          <w:sz w:val="20"/>
          <w:szCs w:val="20"/>
          <w:lang w:val="en-CA" w:eastAsia="ja-JP"/>
        </w:rPr>
        <w:t>day Records of 356 Septic Patients</w:t>
      </w:r>
    </w:p>
    <w:p w14:paraId="70E3F99B" w14:textId="77777777" w:rsidR="001D7689" w:rsidRPr="004363F1" w:rsidRDefault="001D7689" w:rsidP="00CC0983">
      <w:pPr>
        <w:spacing w:after="0" w:line="240" w:lineRule="auto"/>
        <w:jc w:val="both"/>
        <w:rPr>
          <w:rFonts w:ascii="Times New Roman" w:eastAsiaTheme="minorEastAsia" w:hAnsi="Times New Roman" w:cs="Times New Roman"/>
          <w:color w:val="FF0000"/>
          <w:sz w:val="20"/>
          <w:szCs w:val="20"/>
          <w:lang w:val="en-CA" w:eastAsia="ja-JP"/>
        </w:rPr>
      </w:pPr>
    </w:p>
    <w:p w14:paraId="74EBA2D8" w14:textId="77777777" w:rsidR="001D7689" w:rsidRPr="004363F1" w:rsidRDefault="001D7689" w:rsidP="00CC0983">
      <w:pPr>
        <w:spacing w:after="0" w:line="240" w:lineRule="auto"/>
        <w:jc w:val="both"/>
        <w:rPr>
          <w:rFonts w:ascii="Times New Roman" w:eastAsiaTheme="minorEastAsia" w:hAnsi="Times New Roman" w:cs="Times New Roman"/>
          <w:color w:val="FF0000"/>
          <w:sz w:val="20"/>
          <w:szCs w:val="20"/>
          <w:lang w:val="en-CA" w:eastAsia="ja-JP"/>
        </w:rPr>
      </w:pPr>
    </w:p>
    <w:p w14:paraId="0ED33C45" w14:textId="77777777" w:rsidR="002E74EE" w:rsidRPr="004363F1" w:rsidRDefault="00F96C96" w:rsidP="00CC0983">
      <w:pPr>
        <w:spacing w:after="0" w:line="240" w:lineRule="auto"/>
        <w:jc w:val="both"/>
        <w:rPr>
          <w:rFonts w:ascii="Times New Roman" w:eastAsiaTheme="minorEastAsia" w:hAnsi="Times New Roman" w:cs="Times New Roman"/>
          <w:sz w:val="24"/>
          <w:szCs w:val="24"/>
          <w:lang w:val="en-CA" w:eastAsia="ja-JP"/>
        </w:rPr>
      </w:pPr>
      <w:r w:rsidRPr="004363F1">
        <w:rPr>
          <w:rFonts w:ascii="Times New Roman" w:eastAsiaTheme="minorEastAsia" w:hAnsi="Times New Roman" w:cs="Times New Roman"/>
          <w:b/>
          <w:sz w:val="24"/>
          <w:szCs w:val="24"/>
          <w:lang w:val="en-CA" w:eastAsia="ja-JP"/>
        </w:rPr>
        <w:t>SUPPLEMETAL</w:t>
      </w:r>
      <w:r w:rsidR="002E74EE" w:rsidRPr="004363F1">
        <w:rPr>
          <w:rFonts w:ascii="Times New Roman" w:eastAsiaTheme="minorEastAsia" w:hAnsi="Times New Roman" w:cs="Times New Roman"/>
          <w:b/>
          <w:sz w:val="24"/>
          <w:szCs w:val="24"/>
          <w:lang w:val="en-CA" w:eastAsia="ja-JP"/>
        </w:rPr>
        <w:t xml:space="preserve"> FIGURE</w:t>
      </w:r>
      <w:r w:rsidR="00D0017C" w:rsidRPr="004363F1">
        <w:rPr>
          <w:rFonts w:ascii="Times New Roman" w:eastAsiaTheme="minorEastAsia" w:hAnsi="Times New Roman" w:cs="Times New Roman"/>
          <w:b/>
          <w:sz w:val="24"/>
          <w:szCs w:val="24"/>
          <w:lang w:val="en-CA" w:eastAsia="ja-JP"/>
        </w:rPr>
        <w:t>S</w:t>
      </w:r>
      <w:r w:rsidR="002E74EE" w:rsidRPr="004363F1">
        <w:rPr>
          <w:rFonts w:ascii="Times New Roman" w:eastAsiaTheme="minorEastAsia" w:hAnsi="Times New Roman" w:cs="Times New Roman"/>
          <w:sz w:val="24"/>
          <w:szCs w:val="24"/>
          <w:lang w:val="en-CA" w:eastAsia="ja-JP"/>
        </w:rPr>
        <w:t xml:space="preserve"> </w:t>
      </w:r>
    </w:p>
    <w:p w14:paraId="58BBEA06" w14:textId="77777777" w:rsidR="00E43260" w:rsidRDefault="00E43260" w:rsidP="00CC0983">
      <w:pPr>
        <w:spacing w:after="0" w:line="240" w:lineRule="auto"/>
        <w:jc w:val="both"/>
        <w:rPr>
          <w:rFonts w:ascii="Times New Roman" w:eastAsiaTheme="minorEastAsia" w:hAnsi="Times New Roman" w:cs="Times New Roman"/>
          <w:sz w:val="20"/>
          <w:szCs w:val="20"/>
          <w:lang w:eastAsia="ja-JP"/>
        </w:rPr>
      </w:pPr>
    </w:p>
    <w:p w14:paraId="3C0DC28B" w14:textId="77777777" w:rsidR="00B072E0" w:rsidRPr="004363F1" w:rsidRDefault="00774B2D" w:rsidP="00CC0983">
      <w:pPr>
        <w:spacing w:after="0" w:line="240" w:lineRule="auto"/>
        <w:jc w:val="both"/>
        <w:rPr>
          <w:rFonts w:ascii="Times New Roman" w:eastAsiaTheme="minorEastAsia" w:hAnsi="Times New Roman" w:cs="Times New Roman"/>
          <w:sz w:val="20"/>
          <w:szCs w:val="20"/>
          <w:lang w:eastAsia="ja-JP"/>
        </w:rPr>
      </w:pPr>
      <w:r w:rsidRPr="004363F1">
        <w:rPr>
          <w:rFonts w:ascii="Times New Roman" w:eastAsiaTheme="minorEastAsia" w:hAnsi="Times New Roman" w:cs="Times New Roman"/>
          <w:sz w:val="20"/>
          <w:szCs w:val="20"/>
          <w:lang w:eastAsia="ja-JP"/>
        </w:rPr>
        <w:t xml:space="preserve">Supplemental Figure </w:t>
      </w:r>
      <w:r w:rsidR="00B072E0" w:rsidRPr="004363F1">
        <w:rPr>
          <w:rFonts w:ascii="Times New Roman" w:eastAsiaTheme="minorEastAsia" w:hAnsi="Times New Roman" w:cs="Times New Roman"/>
          <w:sz w:val="20"/>
          <w:szCs w:val="20"/>
          <w:lang w:eastAsia="ja-JP"/>
        </w:rPr>
        <w:t xml:space="preserve">1. The contrast between the exponential form and the power form for the specification of the dependence of the hazard on the current variable of platelet count in the CLOGLOG model </w:t>
      </w:r>
    </w:p>
    <w:p w14:paraId="76ED2A94" w14:textId="77777777" w:rsidR="00BD2D69" w:rsidRPr="004363F1" w:rsidRDefault="00774B2D"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eastAsia="ja-JP"/>
        </w:rPr>
        <w:t xml:space="preserve">Supplemental Figure </w:t>
      </w:r>
      <w:r w:rsidR="00B072E0" w:rsidRPr="004363F1">
        <w:rPr>
          <w:rFonts w:ascii="Times New Roman" w:eastAsiaTheme="minorEastAsia" w:hAnsi="Times New Roman" w:cs="Times New Roman"/>
          <w:sz w:val="20"/>
          <w:szCs w:val="20"/>
          <w:lang w:eastAsia="ja-JP"/>
        </w:rPr>
        <w:t>2</w:t>
      </w:r>
      <w:r w:rsidR="0036447D" w:rsidRPr="004363F1">
        <w:rPr>
          <w:rFonts w:ascii="Times New Roman" w:eastAsiaTheme="minorEastAsia" w:hAnsi="Times New Roman" w:cs="Times New Roman"/>
          <w:sz w:val="20"/>
          <w:szCs w:val="20"/>
          <w:lang w:eastAsia="ja-JP"/>
        </w:rPr>
        <w:t>. Temporal patterns of the observed and predicted daily Hazard of d</w:t>
      </w:r>
      <w:r w:rsidR="0038155B" w:rsidRPr="004363F1">
        <w:rPr>
          <w:rFonts w:ascii="Times New Roman" w:eastAsiaTheme="minorEastAsia" w:hAnsi="Times New Roman" w:cs="Times New Roman"/>
          <w:sz w:val="20"/>
          <w:szCs w:val="20"/>
          <w:lang w:eastAsia="ja-JP"/>
        </w:rPr>
        <w:t xml:space="preserve">ying </w:t>
      </w:r>
    </w:p>
    <w:p w14:paraId="0387790A" w14:textId="77777777" w:rsidR="008838F0" w:rsidRPr="004363F1" w:rsidRDefault="00774B2D" w:rsidP="00CC0983">
      <w:pPr>
        <w:spacing w:after="0" w:line="240" w:lineRule="auto"/>
        <w:jc w:val="both"/>
        <w:rPr>
          <w:rFonts w:ascii="Times New Roman" w:eastAsiaTheme="minorEastAsia" w:hAnsi="Times New Roman" w:cs="Times New Roman"/>
          <w:bCs/>
          <w:sz w:val="20"/>
          <w:szCs w:val="20"/>
          <w:lang w:val="en-CA" w:eastAsia="ja-JP"/>
        </w:rPr>
      </w:pPr>
      <w:r w:rsidRPr="004363F1">
        <w:rPr>
          <w:rFonts w:ascii="Times New Roman" w:eastAsiaTheme="minorEastAsia" w:hAnsi="Times New Roman" w:cs="Times New Roman"/>
          <w:bCs/>
          <w:sz w:val="20"/>
          <w:szCs w:val="20"/>
          <w:lang w:eastAsia="ja-JP"/>
        </w:rPr>
        <w:t xml:space="preserve">Supplemental Figure </w:t>
      </w:r>
      <w:r w:rsidR="00771092" w:rsidRPr="004363F1">
        <w:rPr>
          <w:rFonts w:ascii="Times New Roman" w:eastAsiaTheme="minorEastAsia" w:hAnsi="Times New Roman" w:cs="Times New Roman"/>
          <w:bCs/>
          <w:sz w:val="20"/>
          <w:szCs w:val="20"/>
          <w:lang w:eastAsia="ja-JP"/>
        </w:rPr>
        <w:t>3</w:t>
      </w:r>
      <w:r w:rsidR="00734930">
        <w:rPr>
          <w:rFonts w:ascii="Times New Roman" w:eastAsiaTheme="minorEastAsia" w:hAnsi="Times New Roman" w:cs="Times New Roman"/>
          <w:bCs/>
          <w:sz w:val="20"/>
          <w:szCs w:val="20"/>
          <w:lang w:eastAsia="ja-JP"/>
        </w:rPr>
        <w:t xml:space="preserve">.  </w:t>
      </w:r>
      <w:r w:rsidR="00734930" w:rsidRPr="009B42F4">
        <w:rPr>
          <w:rFonts w:ascii="Times New Roman" w:eastAsiaTheme="minorEastAsia" w:hAnsi="Times New Roman" w:cs="Times New Roman"/>
          <w:bCs/>
          <w:sz w:val="20"/>
          <w:szCs w:val="20"/>
          <w:lang w:eastAsia="ja-JP"/>
        </w:rPr>
        <w:t>The</w:t>
      </w:r>
      <w:r w:rsidR="00F92FAE" w:rsidRPr="009B42F4">
        <w:rPr>
          <w:rFonts w:ascii="Times New Roman" w:eastAsiaTheme="minorEastAsia" w:hAnsi="Times New Roman" w:cs="Times New Roman"/>
          <w:bCs/>
          <w:sz w:val="20"/>
          <w:szCs w:val="20"/>
          <w:lang w:eastAsia="ja-JP"/>
        </w:rPr>
        <w:t xml:space="preserve"> mortality risk profile</w:t>
      </w:r>
      <w:r w:rsidR="00F92FAE" w:rsidRPr="004363F1">
        <w:rPr>
          <w:rFonts w:ascii="Times New Roman" w:eastAsiaTheme="minorEastAsia" w:hAnsi="Times New Roman" w:cs="Times New Roman"/>
          <w:bCs/>
          <w:sz w:val="20"/>
          <w:szCs w:val="20"/>
          <w:lang w:eastAsia="ja-JP"/>
        </w:rPr>
        <w:t xml:space="preserve"> </w:t>
      </w:r>
      <w:r w:rsidR="008838F0" w:rsidRPr="004363F1">
        <w:rPr>
          <w:rFonts w:ascii="Times New Roman" w:eastAsiaTheme="minorEastAsia" w:hAnsi="Times New Roman" w:cs="Times New Roman"/>
          <w:bCs/>
          <w:sz w:val="20"/>
          <w:szCs w:val="20"/>
          <w:lang w:eastAsia="ja-JP"/>
        </w:rPr>
        <w:t>of Patient B that highlights the relative contribution of each T</w:t>
      </w:r>
      <w:r w:rsidR="00F92FAE" w:rsidRPr="004363F1">
        <w:rPr>
          <w:rFonts w:ascii="Times New Roman" w:eastAsiaTheme="minorEastAsia" w:hAnsi="Times New Roman" w:cs="Times New Roman"/>
          <w:bCs/>
          <w:sz w:val="20"/>
          <w:szCs w:val="20"/>
          <w:lang w:eastAsia="ja-JP"/>
        </w:rPr>
        <w:t xml:space="preserve">VBI to the risk of dying </w:t>
      </w:r>
    </w:p>
    <w:p w14:paraId="7F3B1F1D" w14:textId="77777777" w:rsidR="003F1B24" w:rsidRPr="004363F1" w:rsidRDefault="00774B2D" w:rsidP="00CC0983">
      <w:pPr>
        <w:spacing w:after="0" w:line="240" w:lineRule="auto"/>
        <w:jc w:val="both"/>
        <w:rPr>
          <w:rFonts w:ascii="Times New Roman" w:eastAsiaTheme="minorEastAsia" w:hAnsi="Times New Roman" w:cs="Times New Roman"/>
          <w:sz w:val="20"/>
          <w:szCs w:val="20"/>
          <w:lang w:eastAsia="ja-JP"/>
        </w:rPr>
      </w:pPr>
      <w:r w:rsidRPr="004363F1">
        <w:rPr>
          <w:rFonts w:ascii="Times New Roman" w:eastAsiaTheme="minorEastAsia" w:hAnsi="Times New Roman" w:cs="Times New Roman"/>
          <w:sz w:val="20"/>
          <w:szCs w:val="20"/>
          <w:lang w:eastAsia="ja-JP"/>
        </w:rPr>
        <w:t xml:space="preserve">Supplemental Figure </w:t>
      </w:r>
      <w:r w:rsidR="00771092" w:rsidRPr="004363F1">
        <w:rPr>
          <w:rFonts w:ascii="Times New Roman" w:eastAsiaTheme="minorEastAsia" w:hAnsi="Times New Roman" w:cs="Times New Roman"/>
          <w:sz w:val="20"/>
          <w:szCs w:val="20"/>
          <w:lang w:eastAsia="ja-JP"/>
        </w:rPr>
        <w:t>4</w:t>
      </w:r>
      <w:r w:rsidR="00CC6F98" w:rsidRPr="004363F1">
        <w:rPr>
          <w:rFonts w:ascii="Times New Roman" w:eastAsiaTheme="minorEastAsia" w:hAnsi="Times New Roman" w:cs="Times New Roman"/>
          <w:sz w:val="20"/>
          <w:szCs w:val="20"/>
          <w:lang w:eastAsia="ja-JP"/>
        </w:rPr>
        <w:t>. The ROC curves for the derivation and validation groups, using the probability of dying in 28 Days as the c</w:t>
      </w:r>
      <w:r w:rsidR="003F1B24" w:rsidRPr="004363F1">
        <w:rPr>
          <w:rFonts w:ascii="Times New Roman" w:eastAsiaTheme="minorEastAsia" w:hAnsi="Times New Roman" w:cs="Times New Roman"/>
          <w:sz w:val="20"/>
          <w:szCs w:val="20"/>
          <w:lang w:eastAsia="ja-JP"/>
        </w:rPr>
        <w:t xml:space="preserve">lassifier </w:t>
      </w:r>
    </w:p>
    <w:p w14:paraId="1A259B5E" w14:textId="77777777" w:rsidR="005D7B63" w:rsidRPr="00734930" w:rsidRDefault="00734930" w:rsidP="00CC0983">
      <w:pPr>
        <w:jc w:val="both"/>
        <w:rPr>
          <w:rFonts w:ascii="Times New Roman" w:eastAsiaTheme="minorEastAsia" w:hAnsi="Times New Roman" w:cs="Times New Roman"/>
          <w:sz w:val="20"/>
          <w:szCs w:val="20"/>
          <w:lang w:val="en-CA" w:eastAsia="ja-JP"/>
        </w:rPr>
      </w:pPr>
      <w:r w:rsidRPr="000132B2">
        <w:rPr>
          <w:rFonts w:ascii="Times New Roman" w:eastAsiaTheme="minorEastAsia" w:hAnsi="Times New Roman" w:cs="Times New Roman"/>
          <w:bCs/>
          <w:sz w:val="20"/>
          <w:szCs w:val="20"/>
          <w:lang w:eastAsia="ja-JP"/>
        </w:rPr>
        <w:t xml:space="preserve">Supplemental Figure 5.  The mortality risk profile of Patient A that highlights the relative contribution of each TVBI to the risk of dying: generated by </w:t>
      </w:r>
      <w:r w:rsidRPr="000132B2">
        <w:rPr>
          <w:rFonts w:ascii="Times New Roman" w:eastAsiaTheme="minorEastAsia" w:hAnsi="Times New Roman" w:cs="Times New Roman"/>
          <w:bCs/>
          <w:i/>
          <w:iCs/>
          <w:sz w:val="20"/>
          <w:szCs w:val="20"/>
          <w:lang w:eastAsia="ja-JP"/>
        </w:rPr>
        <w:t>Longitudinal Logit Model</w:t>
      </w:r>
    </w:p>
    <w:p w14:paraId="2FC61421" w14:textId="77777777" w:rsidR="00734930" w:rsidRDefault="00734930">
      <w:pPr>
        <w:rPr>
          <w:rFonts w:ascii="Times New Roman" w:eastAsiaTheme="minorEastAsia" w:hAnsi="Times New Roman" w:cs="Times New Roman"/>
          <w:b/>
          <w:sz w:val="24"/>
          <w:szCs w:val="24"/>
          <w:lang w:val="en-CA" w:eastAsia="ja-JP"/>
        </w:rPr>
      </w:pPr>
      <w:r>
        <w:rPr>
          <w:rFonts w:ascii="Times New Roman" w:eastAsiaTheme="minorEastAsia" w:hAnsi="Times New Roman" w:cs="Times New Roman"/>
          <w:b/>
          <w:sz w:val="24"/>
          <w:szCs w:val="24"/>
          <w:lang w:val="en-CA" w:eastAsia="ja-JP"/>
        </w:rPr>
        <w:br w:type="page"/>
      </w:r>
    </w:p>
    <w:p w14:paraId="5CFF0B8E" w14:textId="77777777" w:rsidR="00BD2D69" w:rsidRPr="004363F1" w:rsidRDefault="00D51905" w:rsidP="00CC0983">
      <w:pPr>
        <w:spacing w:after="0" w:line="240" w:lineRule="auto"/>
        <w:jc w:val="both"/>
        <w:rPr>
          <w:rFonts w:ascii="Times New Roman" w:eastAsiaTheme="minorEastAsia" w:hAnsi="Times New Roman" w:cs="Times New Roman"/>
          <w:b/>
          <w:sz w:val="24"/>
          <w:szCs w:val="24"/>
          <w:lang w:val="en-CA" w:eastAsia="ja-JP"/>
        </w:rPr>
      </w:pPr>
      <w:r w:rsidRPr="004363F1">
        <w:rPr>
          <w:rFonts w:ascii="Times New Roman" w:eastAsiaTheme="minorEastAsia" w:hAnsi="Times New Roman" w:cs="Times New Roman"/>
          <w:b/>
          <w:sz w:val="24"/>
          <w:szCs w:val="24"/>
          <w:lang w:val="en-CA" w:eastAsia="ja-JP"/>
        </w:rPr>
        <w:lastRenderedPageBreak/>
        <w:t>SUPPLEMETAL</w:t>
      </w:r>
      <w:r w:rsidR="00D0017C" w:rsidRPr="004363F1">
        <w:rPr>
          <w:rFonts w:ascii="Times New Roman" w:eastAsiaTheme="minorEastAsia" w:hAnsi="Times New Roman" w:cs="Times New Roman"/>
          <w:b/>
          <w:sz w:val="24"/>
          <w:szCs w:val="24"/>
          <w:lang w:val="en-CA" w:eastAsia="ja-JP"/>
        </w:rPr>
        <w:t xml:space="preserve"> TEXT</w:t>
      </w:r>
      <w:r w:rsidRPr="004363F1">
        <w:rPr>
          <w:rFonts w:ascii="Times New Roman" w:eastAsiaTheme="minorEastAsia" w:hAnsi="Times New Roman" w:cs="Times New Roman"/>
          <w:b/>
          <w:sz w:val="24"/>
          <w:szCs w:val="24"/>
          <w:lang w:val="en-CA" w:eastAsia="ja-JP"/>
        </w:rPr>
        <w:t>S</w:t>
      </w:r>
    </w:p>
    <w:p w14:paraId="3F6B310F" w14:textId="77777777" w:rsidR="00B93990" w:rsidRPr="004363F1" w:rsidRDefault="00B93990"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4"/>
          <w:szCs w:val="24"/>
          <w:lang w:val="en-CA" w:eastAsia="ja-JP"/>
        </w:rPr>
        <w:tab/>
      </w:r>
      <w:r w:rsidR="00320912" w:rsidRPr="004363F1">
        <w:rPr>
          <w:rFonts w:ascii="Times New Roman" w:eastAsiaTheme="minorEastAsia" w:hAnsi="Times New Roman" w:cs="Times New Roman"/>
          <w:sz w:val="20"/>
          <w:szCs w:val="20"/>
          <w:lang w:val="en-CA" w:eastAsia="ja-JP"/>
        </w:rPr>
        <w:t xml:space="preserve">This </w:t>
      </w:r>
      <w:r w:rsidR="005D7B63" w:rsidRPr="004363F1">
        <w:rPr>
          <w:rFonts w:ascii="Times New Roman" w:eastAsiaTheme="minorEastAsia" w:hAnsi="Times New Roman" w:cs="Times New Roman"/>
          <w:sz w:val="20"/>
          <w:szCs w:val="20"/>
          <w:lang w:val="en-CA" w:eastAsia="ja-JP"/>
        </w:rPr>
        <w:t>S</w:t>
      </w:r>
      <w:r w:rsidR="007C79A4" w:rsidRPr="004363F1">
        <w:rPr>
          <w:rFonts w:ascii="Times New Roman" w:eastAsiaTheme="minorEastAsia" w:hAnsi="Times New Roman" w:cs="Times New Roman"/>
          <w:sz w:val="20"/>
          <w:szCs w:val="20"/>
          <w:lang w:val="en-CA" w:eastAsia="ja-JP"/>
        </w:rPr>
        <w:t>upplement</w:t>
      </w:r>
      <w:r w:rsidR="00320912" w:rsidRPr="004363F1">
        <w:rPr>
          <w:rFonts w:ascii="Times New Roman" w:eastAsiaTheme="minorEastAsia" w:hAnsi="Times New Roman" w:cs="Times New Roman"/>
          <w:sz w:val="20"/>
          <w:szCs w:val="20"/>
          <w:lang w:val="en-CA" w:eastAsia="ja-JP"/>
        </w:rPr>
        <w:t xml:space="preserve"> is organized into 15 Supplemental Texts. Supplementary Texts 1-13</w:t>
      </w:r>
      <w:r w:rsidR="000242F4" w:rsidRPr="004363F1">
        <w:rPr>
          <w:rFonts w:ascii="Times New Roman" w:eastAsiaTheme="minorEastAsia" w:hAnsi="Times New Roman" w:cs="Times New Roman"/>
          <w:sz w:val="20"/>
          <w:szCs w:val="20"/>
          <w:lang w:val="en-CA" w:eastAsia="ja-JP"/>
        </w:rPr>
        <w:t xml:space="preserve"> </w:t>
      </w:r>
      <w:r w:rsidR="007C79A4" w:rsidRPr="004363F1">
        <w:rPr>
          <w:rFonts w:ascii="Times New Roman" w:eastAsiaTheme="minorEastAsia" w:hAnsi="Times New Roman" w:cs="Times New Roman"/>
          <w:sz w:val="20"/>
          <w:szCs w:val="20"/>
          <w:lang w:val="en-CA" w:eastAsia="ja-JP"/>
        </w:rPr>
        <w:t>provide</w:t>
      </w:r>
      <w:r w:rsidR="002A56E8" w:rsidRPr="004363F1">
        <w:rPr>
          <w:rFonts w:ascii="Times New Roman" w:eastAsiaTheme="minorEastAsia" w:hAnsi="Times New Roman" w:cs="Times New Roman"/>
          <w:sz w:val="20"/>
          <w:szCs w:val="20"/>
          <w:lang w:val="en-CA" w:eastAsia="ja-JP"/>
        </w:rPr>
        <w:t xml:space="preserve"> a more detailed description of the data collection method and the statistical analyses.  </w:t>
      </w:r>
      <w:r w:rsidR="00320912" w:rsidRPr="004363F1">
        <w:rPr>
          <w:rFonts w:ascii="Times New Roman" w:eastAsiaTheme="minorEastAsia" w:hAnsi="Times New Roman" w:cs="Times New Roman"/>
          <w:sz w:val="20"/>
          <w:szCs w:val="20"/>
          <w:lang w:val="en-CA" w:eastAsia="ja-JP"/>
        </w:rPr>
        <w:t>Supplementary Texts 14</w:t>
      </w:r>
      <w:r w:rsidR="002A56E8" w:rsidRPr="004363F1">
        <w:rPr>
          <w:rFonts w:ascii="Times New Roman" w:eastAsiaTheme="minorEastAsia" w:hAnsi="Times New Roman" w:cs="Times New Roman"/>
          <w:sz w:val="20"/>
          <w:szCs w:val="20"/>
          <w:lang w:val="en-CA" w:eastAsia="ja-JP"/>
        </w:rPr>
        <w:t xml:space="preserve"> </w:t>
      </w:r>
      <w:r w:rsidR="002671A5" w:rsidRPr="004363F1">
        <w:rPr>
          <w:rFonts w:ascii="Times New Roman" w:eastAsiaTheme="minorEastAsia" w:hAnsi="Times New Roman" w:cs="Times New Roman"/>
          <w:sz w:val="20"/>
          <w:szCs w:val="20"/>
          <w:lang w:val="en-CA" w:eastAsia="ja-JP"/>
        </w:rPr>
        <w:t xml:space="preserve">shows that </w:t>
      </w:r>
      <w:r w:rsidR="007C79A4" w:rsidRPr="004363F1">
        <w:rPr>
          <w:rFonts w:ascii="Times New Roman" w:eastAsiaTheme="minorEastAsia" w:hAnsi="Times New Roman" w:cs="Times New Roman"/>
          <w:sz w:val="20"/>
          <w:szCs w:val="20"/>
          <w:lang w:val="en-CA" w:eastAsia="ja-JP"/>
        </w:rPr>
        <w:t xml:space="preserve">the CLOGLOG model </w:t>
      </w:r>
      <w:r w:rsidR="002671A5" w:rsidRPr="004363F1">
        <w:rPr>
          <w:rFonts w:ascii="Times New Roman" w:eastAsiaTheme="minorEastAsia" w:hAnsi="Times New Roman" w:cs="Times New Roman"/>
          <w:sz w:val="20"/>
          <w:szCs w:val="20"/>
          <w:lang w:val="en-CA" w:eastAsia="ja-JP"/>
        </w:rPr>
        <w:t xml:space="preserve">is a versatile version of the Cox model and is better than </w:t>
      </w:r>
      <w:r w:rsidR="00D51905" w:rsidRPr="004363F1">
        <w:rPr>
          <w:rFonts w:ascii="Times New Roman" w:eastAsiaTheme="minorEastAsia" w:hAnsi="Times New Roman" w:cs="Times New Roman"/>
          <w:sz w:val="20"/>
          <w:szCs w:val="20"/>
          <w:lang w:val="en-CA" w:eastAsia="ja-JP"/>
        </w:rPr>
        <w:t>two versions of the Cox model</w:t>
      </w:r>
      <w:r w:rsidR="00534FC3" w:rsidRPr="004363F1">
        <w:rPr>
          <w:rFonts w:ascii="Times New Roman" w:eastAsiaTheme="minorEastAsia" w:hAnsi="Times New Roman" w:cs="Times New Roman"/>
          <w:sz w:val="20"/>
          <w:szCs w:val="20"/>
          <w:lang w:val="en-CA" w:eastAsia="ja-JP"/>
        </w:rPr>
        <w:t xml:space="preserve"> </w:t>
      </w:r>
      <w:r w:rsidR="00C73457" w:rsidRPr="004363F1">
        <w:rPr>
          <w:rFonts w:ascii="Times New Roman" w:eastAsiaTheme="minorEastAsia" w:hAnsi="Times New Roman" w:cs="Times New Roman"/>
          <w:sz w:val="20"/>
          <w:szCs w:val="20"/>
          <w:lang w:val="en-CA" w:eastAsia="ja-JP"/>
        </w:rPr>
        <w:t>for achieving longitudinal insights</w:t>
      </w:r>
      <w:r w:rsidR="00D51905" w:rsidRPr="004363F1">
        <w:rPr>
          <w:rFonts w:ascii="Times New Roman" w:eastAsiaTheme="minorEastAsia" w:hAnsi="Times New Roman" w:cs="Times New Roman"/>
          <w:sz w:val="20"/>
          <w:szCs w:val="20"/>
          <w:lang w:val="en-CA" w:eastAsia="ja-JP"/>
        </w:rPr>
        <w:t>.</w:t>
      </w:r>
      <w:r w:rsidR="00373229">
        <w:rPr>
          <w:rFonts w:ascii="Times New Roman" w:eastAsiaTheme="minorEastAsia" w:hAnsi="Times New Roman" w:cs="Times New Roman"/>
          <w:sz w:val="20"/>
          <w:szCs w:val="20"/>
          <w:lang w:val="en-CA" w:eastAsia="ja-JP"/>
        </w:rPr>
        <w:t xml:space="preserve"> </w:t>
      </w:r>
      <w:r w:rsidR="007D7FAF" w:rsidRPr="00554619">
        <w:rPr>
          <w:rFonts w:ascii="Times New Roman" w:eastAsiaTheme="minorEastAsia" w:hAnsi="Times New Roman" w:cs="Times New Roman"/>
          <w:sz w:val="20"/>
          <w:szCs w:val="20"/>
          <w:lang w:val="en-CA" w:eastAsia="ja-JP"/>
        </w:rPr>
        <w:t xml:space="preserve">For researchers who are more comfortable with using logit models, </w:t>
      </w:r>
      <w:r w:rsidR="002A56E8" w:rsidRPr="00554619">
        <w:rPr>
          <w:rFonts w:ascii="Times New Roman" w:eastAsiaTheme="minorEastAsia" w:hAnsi="Times New Roman" w:cs="Times New Roman"/>
          <w:sz w:val="20"/>
          <w:szCs w:val="20"/>
          <w:lang w:val="en-CA" w:eastAsia="ja-JP"/>
        </w:rPr>
        <w:t>Suppl</w:t>
      </w:r>
      <w:r w:rsidR="00D51905" w:rsidRPr="00554619">
        <w:rPr>
          <w:rFonts w:ascii="Times New Roman" w:eastAsiaTheme="minorEastAsia" w:hAnsi="Times New Roman" w:cs="Times New Roman"/>
          <w:sz w:val="20"/>
          <w:szCs w:val="20"/>
          <w:lang w:val="en-CA" w:eastAsia="ja-JP"/>
        </w:rPr>
        <w:t xml:space="preserve">ement </w:t>
      </w:r>
      <w:r w:rsidR="002671A5" w:rsidRPr="00554619">
        <w:rPr>
          <w:rFonts w:ascii="Times New Roman" w:eastAsiaTheme="minorEastAsia" w:hAnsi="Times New Roman" w:cs="Times New Roman"/>
          <w:sz w:val="20"/>
          <w:szCs w:val="20"/>
          <w:lang w:val="en-CA" w:eastAsia="ja-JP"/>
        </w:rPr>
        <w:t xml:space="preserve">15 demonstrates that </w:t>
      </w:r>
      <w:r w:rsidR="00A40888" w:rsidRPr="00554619">
        <w:rPr>
          <w:rFonts w:ascii="Times New Roman" w:eastAsiaTheme="minorEastAsia" w:hAnsi="Times New Roman" w:cs="Times New Roman"/>
          <w:sz w:val="20"/>
          <w:szCs w:val="20"/>
          <w:lang w:val="en-CA" w:eastAsia="ja-JP"/>
        </w:rPr>
        <w:t>similar longitudinal insight</w:t>
      </w:r>
      <w:r w:rsidR="007D7FAF" w:rsidRPr="00554619">
        <w:rPr>
          <w:rFonts w:ascii="Times New Roman" w:eastAsiaTheme="minorEastAsia" w:hAnsi="Times New Roman" w:cs="Times New Roman"/>
          <w:sz w:val="20"/>
          <w:szCs w:val="20"/>
          <w:lang w:val="en-CA" w:eastAsia="ja-JP"/>
        </w:rPr>
        <w:t>s</w:t>
      </w:r>
      <w:r w:rsidR="00A40888" w:rsidRPr="00554619">
        <w:rPr>
          <w:rFonts w:ascii="Times New Roman" w:eastAsiaTheme="minorEastAsia" w:hAnsi="Times New Roman" w:cs="Times New Roman"/>
          <w:sz w:val="20"/>
          <w:szCs w:val="20"/>
          <w:lang w:val="en-CA" w:eastAsia="ja-JP"/>
        </w:rPr>
        <w:t xml:space="preserve"> can be obtained by </w:t>
      </w:r>
      <w:r w:rsidR="007D7FAF" w:rsidRPr="00554619">
        <w:rPr>
          <w:rFonts w:ascii="Times New Roman" w:eastAsiaTheme="minorEastAsia" w:hAnsi="Times New Roman" w:cs="Times New Roman"/>
          <w:sz w:val="20"/>
          <w:szCs w:val="20"/>
          <w:lang w:val="en-CA" w:eastAsia="ja-JP"/>
        </w:rPr>
        <w:t xml:space="preserve">using </w:t>
      </w:r>
      <w:r w:rsidR="00A40888" w:rsidRPr="00554619">
        <w:rPr>
          <w:rFonts w:ascii="Times New Roman" w:eastAsiaTheme="minorEastAsia" w:hAnsi="Times New Roman" w:cs="Times New Roman"/>
          <w:sz w:val="20"/>
          <w:szCs w:val="20"/>
          <w:lang w:val="en-CA" w:eastAsia="ja-JP"/>
        </w:rPr>
        <w:t xml:space="preserve">a </w:t>
      </w:r>
      <w:r w:rsidR="007D7FAF" w:rsidRPr="00554619">
        <w:rPr>
          <w:rFonts w:ascii="Times New Roman" w:eastAsiaTheme="minorEastAsia" w:hAnsi="Times New Roman" w:cs="Times New Roman"/>
          <w:sz w:val="20"/>
          <w:szCs w:val="20"/>
          <w:lang w:val="en-CA" w:eastAsia="ja-JP"/>
        </w:rPr>
        <w:t>“</w:t>
      </w:r>
      <w:r w:rsidR="00A40888" w:rsidRPr="00554619">
        <w:rPr>
          <w:rFonts w:ascii="Times New Roman" w:eastAsiaTheme="minorEastAsia" w:hAnsi="Times New Roman" w:cs="Times New Roman"/>
          <w:sz w:val="20"/>
          <w:szCs w:val="20"/>
          <w:lang w:val="en-CA" w:eastAsia="ja-JP"/>
        </w:rPr>
        <w:t>longitudinal logit model</w:t>
      </w:r>
      <w:r w:rsidR="007D7FAF" w:rsidRPr="00554619">
        <w:rPr>
          <w:rFonts w:ascii="Times New Roman" w:eastAsiaTheme="minorEastAsia" w:hAnsi="Times New Roman" w:cs="Times New Roman"/>
          <w:sz w:val="20"/>
          <w:szCs w:val="20"/>
          <w:lang w:val="en-CA" w:eastAsia="ja-JP"/>
        </w:rPr>
        <w:t>”</w:t>
      </w:r>
      <w:r w:rsidR="00A40888">
        <w:rPr>
          <w:rFonts w:ascii="Times New Roman" w:eastAsiaTheme="minorEastAsia" w:hAnsi="Times New Roman" w:cs="Times New Roman"/>
          <w:sz w:val="20"/>
          <w:szCs w:val="20"/>
          <w:lang w:val="en-CA" w:eastAsia="ja-JP"/>
        </w:rPr>
        <w:t>.</w:t>
      </w:r>
      <w:r w:rsidR="002671A5" w:rsidRPr="004363F1">
        <w:rPr>
          <w:rFonts w:ascii="Times New Roman" w:eastAsiaTheme="minorEastAsia" w:hAnsi="Times New Roman" w:cs="Times New Roman"/>
          <w:sz w:val="20"/>
          <w:szCs w:val="20"/>
          <w:lang w:val="en-CA" w:eastAsia="ja-JP"/>
        </w:rPr>
        <w:t xml:space="preserve"> Supplemental Tables and Figures are arranged according to the sequence of the</w:t>
      </w:r>
      <w:r w:rsidR="00D51905" w:rsidRPr="004363F1">
        <w:rPr>
          <w:rFonts w:ascii="Times New Roman" w:eastAsiaTheme="minorEastAsia" w:hAnsi="Times New Roman" w:cs="Times New Roman"/>
          <w:sz w:val="20"/>
          <w:szCs w:val="20"/>
          <w:lang w:val="en-CA" w:eastAsia="ja-JP"/>
        </w:rPr>
        <w:t xml:space="preserve"> Supplemental </w:t>
      </w:r>
      <w:r w:rsidR="002671A5" w:rsidRPr="004363F1">
        <w:rPr>
          <w:rFonts w:ascii="Times New Roman" w:eastAsiaTheme="minorEastAsia" w:hAnsi="Times New Roman" w:cs="Times New Roman"/>
          <w:sz w:val="20"/>
          <w:szCs w:val="20"/>
          <w:lang w:val="en-CA" w:eastAsia="ja-JP"/>
        </w:rPr>
        <w:t>Texts</w:t>
      </w:r>
      <w:r w:rsidR="002A56E8" w:rsidRPr="004363F1">
        <w:rPr>
          <w:rFonts w:ascii="Times New Roman" w:eastAsiaTheme="minorEastAsia" w:hAnsi="Times New Roman" w:cs="Times New Roman"/>
          <w:sz w:val="20"/>
          <w:szCs w:val="20"/>
          <w:lang w:val="en-CA" w:eastAsia="ja-JP"/>
        </w:rPr>
        <w:t>.</w:t>
      </w:r>
    </w:p>
    <w:p w14:paraId="0E45EA90" w14:textId="77777777" w:rsidR="008663DD" w:rsidRDefault="008663DD" w:rsidP="00CC0983">
      <w:pPr>
        <w:spacing w:after="0" w:line="240" w:lineRule="auto"/>
        <w:jc w:val="both"/>
        <w:rPr>
          <w:rFonts w:ascii="Times New Roman" w:eastAsiaTheme="minorEastAsia" w:hAnsi="Times New Roman" w:cs="Times New Roman"/>
          <w:b/>
          <w:sz w:val="20"/>
          <w:szCs w:val="20"/>
          <w:lang w:val="en-CA" w:eastAsia="ja-JP"/>
        </w:rPr>
      </w:pPr>
    </w:p>
    <w:p w14:paraId="2B444F2F" w14:textId="77777777" w:rsidR="009779C3" w:rsidRPr="004363F1" w:rsidRDefault="00774B2D" w:rsidP="00CC0983">
      <w:pPr>
        <w:spacing w:after="0" w:line="240" w:lineRule="auto"/>
        <w:jc w:val="both"/>
        <w:rPr>
          <w:rFonts w:ascii="Times New Roman" w:eastAsiaTheme="minorEastAsia" w:hAnsi="Times New Roman" w:cs="Times New Roman"/>
          <w:b/>
          <w:sz w:val="20"/>
          <w:szCs w:val="20"/>
          <w:lang w:val="en-CA" w:eastAsia="ja-JP"/>
        </w:rPr>
      </w:pPr>
      <w:r w:rsidRPr="004363F1">
        <w:rPr>
          <w:rFonts w:ascii="Times New Roman" w:eastAsiaTheme="minorEastAsia" w:hAnsi="Times New Roman" w:cs="Times New Roman"/>
          <w:b/>
          <w:sz w:val="20"/>
          <w:szCs w:val="20"/>
          <w:lang w:val="en-CA" w:eastAsia="ja-JP"/>
        </w:rPr>
        <w:t xml:space="preserve">Supplemental Text </w:t>
      </w:r>
      <w:r w:rsidR="00072F4F" w:rsidRPr="004363F1">
        <w:rPr>
          <w:rFonts w:ascii="Times New Roman" w:eastAsiaTheme="minorEastAsia" w:hAnsi="Times New Roman" w:cs="Times New Roman"/>
          <w:b/>
          <w:sz w:val="20"/>
          <w:szCs w:val="20"/>
          <w:lang w:val="en-CA" w:eastAsia="ja-JP"/>
        </w:rPr>
        <w:t xml:space="preserve">1: </w:t>
      </w:r>
      <w:r w:rsidR="00244E51" w:rsidRPr="004363F1">
        <w:rPr>
          <w:rFonts w:ascii="Times New Roman" w:eastAsiaTheme="minorEastAsia" w:hAnsi="Times New Roman" w:cs="Times New Roman"/>
          <w:b/>
          <w:sz w:val="20"/>
          <w:szCs w:val="20"/>
          <w:lang w:val="en-CA" w:eastAsia="ja-JP"/>
        </w:rPr>
        <w:t xml:space="preserve">Details of </w:t>
      </w:r>
      <w:r w:rsidR="00166D3D" w:rsidRPr="004363F1">
        <w:rPr>
          <w:rFonts w:ascii="Times New Roman" w:eastAsiaTheme="minorEastAsia" w:hAnsi="Times New Roman" w:cs="Times New Roman"/>
          <w:b/>
          <w:sz w:val="20"/>
          <w:szCs w:val="20"/>
          <w:lang w:val="en-CA" w:eastAsia="ja-JP"/>
        </w:rPr>
        <w:t>data c</w:t>
      </w:r>
      <w:r w:rsidR="009779C3" w:rsidRPr="004363F1">
        <w:rPr>
          <w:rFonts w:ascii="Times New Roman" w:eastAsiaTheme="minorEastAsia" w:hAnsi="Times New Roman" w:cs="Times New Roman"/>
          <w:b/>
          <w:sz w:val="20"/>
          <w:szCs w:val="20"/>
          <w:lang w:val="en-CA" w:eastAsia="ja-JP"/>
        </w:rPr>
        <w:t>ollection</w:t>
      </w:r>
      <w:r w:rsidR="00166D3D" w:rsidRPr="004363F1">
        <w:rPr>
          <w:rFonts w:ascii="Times New Roman" w:eastAsiaTheme="minorEastAsia" w:hAnsi="Times New Roman" w:cs="Times New Roman"/>
          <w:b/>
          <w:sz w:val="20"/>
          <w:szCs w:val="20"/>
          <w:lang w:val="en-CA" w:eastAsia="ja-JP"/>
        </w:rPr>
        <w:t xml:space="preserve"> m</w:t>
      </w:r>
      <w:r w:rsidR="00244E51" w:rsidRPr="004363F1">
        <w:rPr>
          <w:rFonts w:ascii="Times New Roman" w:eastAsiaTheme="minorEastAsia" w:hAnsi="Times New Roman" w:cs="Times New Roman"/>
          <w:b/>
          <w:sz w:val="20"/>
          <w:szCs w:val="20"/>
          <w:lang w:val="en-CA" w:eastAsia="ja-JP"/>
        </w:rPr>
        <w:t>ethod</w:t>
      </w:r>
      <w:r w:rsidR="00166D3D" w:rsidRPr="004363F1">
        <w:rPr>
          <w:rFonts w:ascii="Times New Roman" w:eastAsiaTheme="minorEastAsia" w:hAnsi="Times New Roman" w:cs="Times New Roman"/>
          <w:b/>
          <w:sz w:val="20"/>
          <w:szCs w:val="20"/>
          <w:lang w:val="en-CA" w:eastAsia="ja-JP"/>
        </w:rPr>
        <w:t>s</w:t>
      </w:r>
    </w:p>
    <w:p w14:paraId="769E92BD" w14:textId="77777777" w:rsidR="00A43A56" w:rsidRPr="004363F1" w:rsidRDefault="00A43A56" w:rsidP="00CC0983">
      <w:pPr>
        <w:spacing w:after="0" w:line="240" w:lineRule="auto"/>
        <w:jc w:val="both"/>
        <w:rPr>
          <w:rFonts w:ascii="Times New Roman" w:hAnsi="Times New Roman" w:cs="Times New Roman"/>
          <w:b/>
          <w:sz w:val="20"/>
          <w:szCs w:val="20"/>
          <w:lang w:val="en-CA"/>
        </w:rPr>
      </w:pPr>
    </w:p>
    <w:p w14:paraId="3C70669B" w14:textId="77777777" w:rsidR="000C63FF" w:rsidRPr="004363F1" w:rsidRDefault="00A8523B" w:rsidP="00CC0983">
      <w:pPr>
        <w:spacing w:after="0" w:line="240" w:lineRule="auto"/>
        <w:jc w:val="both"/>
        <w:rPr>
          <w:rFonts w:ascii="Times New Roman" w:hAnsi="Times New Roman" w:cs="Times New Roman"/>
          <w:b/>
          <w:sz w:val="20"/>
          <w:szCs w:val="20"/>
          <w:lang w:val="en-CA"/>
        </w:rPr>
      </w:pPr>
      <w:r w:rsidRPr="004363F1">
        <w:rPr>
          <w:rFonts w:ascii="Times New Roman" w:hAnsi="Times New Roman" w:cs="Times New Roman"/>
          <w:b/>
          <w:sz w:val="20"/>
          <w:szCs w:val="20"/>
          <w:lang w:val="en-CA"/>
        </w:rPr>
        <w:t>Patients and inclusion</w:t>
      </w:r>
      <w:r w:rsidR="000C63FF" w:rsidRPr="004363F1">
        <w:rPr>
          <w:rFonts w:ascii="Times New Roman" w:hAnsi="Times New Roman" w:cs="Times New Roman"/>
          <w:b/>
          <w:sz w:val="20"/>
          <w:szCs w:val="20"/>
          <w:lang w:val="en-CA"/>
        </w:rPr>
        <w:t xml:space="preserve"> criteria</w:t>
      </w:r>
    </w:p>
    <w:p w14:paraId="3F1D0B38" w14:textId="77777777" w:rsidR="000C63FF" w:rsidRPr="004363F1" w:rsidRDefault="000C63FF" w:rsidP="00CC0983">
      <w:pPr>
        <w:spacing w:after="0" w:line="240" w:lineRule="auto"/>
        <w:jc w:val="both"/>
        <w:rPr>
          <w:rFonts w:ascii="Times New Roman" w:hAnsi="Times New Roman" w:cs="Times New Roman"/>
          <w:sz w:val="20"/>
          <w:szCs w:val="20"/>
          <w:lang w:val="en-CA"/>
        </w:rPr>
      </w:pPr>
      <w:r w:rsidRPr="004363F1">
        <w:rPr>
          <w:rFonts w:ascii="Times New Roman" w:hAnsi="Times New Roman" w:cs="Times New Roman"/>
          <w:sz w:val="20"/>
          <w:szCs w:val="20"/>
        </w:rPr>
        <w:tab/>
      </w:r>
      <w:r w:rsidR="003D4669" w:rsidRPr="004363F1">
        <w:rPr>
          <w:rFonts w:ascii="Times New Roman" w:hAnsi="Times New Roman"/>
          <w:sz w:val="20"/>
          <w:szCs w:val="20"/>
        </w:rPr>
        <w:t>Our data are from a prospective, multi-</w:t>
      </w:r>
      <w:proofErr w:type="spellStart"/>
      <w:r w:rsidR="003D4669" w:rsidRPr="004363F1">
        <w:rPr>
          <w:rFonts w:ascii="Times New Roman" w:hAnsi="Times New Roman"/>
          <w:sz w:val="20"/>
          <w:szCs w:val="20"/>
        </w:rPr>
        <w:t>centre</w:t>
      </w:r>
      <w:proofErr w:type="spellEnd"/>
      <w:r w:rsidR="003D4669" w:rsidRPr="004363F1">
        <w:rPr>
          <w:rFonts w:ascii="Times New Roman" w:hAnsi="Times New Roman"/>
          <w:sz w:val="20"/>
          <w:szCs w:val="20"/>
        </w:rPr>
        <w:t xml:space="preserve"> observational study of 392 septic ICU patients (the DYNAMICS Study, Clinical Trials.gov </w:t>
      </w:r>
      <w:proofErr w:type="gramStart"/>
      <w:r w:rsidR="003D4669" w:rsidRPr="004363F1">
        <w:rPr>
          <w:rFonts w:ascii="Times New Roman" w:hAnsi="Times New Roman"/>
          <w:sz w:val="20"/>
          <w:szCs w:val="20"/>
        </w:rPr>
        <w:t>Identifier:NCT</w:t>
      </w:r>
      <w:proofErr w:type="gramEnd"/>
      <w:r w:rsidR="003D4669" w:rsidRPr="004363F1">
        <w:rPr>
          <w:rFonts w:ascii="Times New Roman" w:hAnsi="Times New Roman"/>
          <w:sz w:val="20"/>
          <w:szCs w:val="20"/>
        </w:rPr>
        <w:t xml:space="preserve">01355042).  </w:t>
      </w:r>
      <w:r w:rsidR="003D4669" w:rsidRPr="004363F1">
        <w:rPr>
          <w:rFonts w:ascii="Times New Roman" w:hAnsi="Times New Roman" w:cs="Times New Roman"/>
          <w:sz w:val="20"/>
          <w:szCs w:val="20"/>
        </w:rPr>
        <w:t>The</w:t>
      </w:r>
      <w:r w:rsidRPr="004363F1">
        <w:rPr>
          <w:rFonts w:ascii="Times New Roman" w:hAnsi="Times New Roman" w:cs="Times New Roman"/>
          <w:sz w:val="20"/>
          <w:szCs w:val="20"/>
        </w:rPr>
        <w:t xml:space="preserve"> study was approved by the Research Ethics Boards of all participating centers.  Written </w:t>
      </w:r>
      <w:r w:rsidRPr="004363F1">
        <w:rPr>
          <w:rFonts w:ascii="Times New Roman" w:eastAsia="Calibri" w:hAnsi="Times New Roman" w:cs="Times New Roman"/>
          <w:sz w:val="20"/>
          <w:szCs w:val="20"/>
        </w:rPr>
        <w:t xml:space="preserve">informed consent was obtained from the patient or substitute decision-maker prior to enrolment into the study.  When a priori consent was not feasible, a deferred consent approach was used.  </w:t>
      </w:r>
      <w:r w:rsidRPr="004363F1">
        <w:rPr>
          <w:rFonts w:ascii="Times New Roman" w:hAnsi="Times New Roman" w:cs="Times New Roman"/>
          <w:sz w:val="20"/>
          <w:szCs w:val="20"/>
          <w:lang w:val="en-CA"/>
        </w:rPr>
        <w:t xml:space="preserve">All septic events were adjudicated by at least 2 experienced ICU </w:t>
      </w:r>
      <w:r w:rsidR="006E6F5B" w:rsidRPr="004363F1">
        <w:rPr>
          <w:rFonts w:ascii="Times New Roman" w:hAnsi="Times New Roman" w:cs="Times New Roman"/>
          <w:sz w:val="20"/>
          <w:szCs w:val="20"/>
          <w:lang w:val="en-CA"/>
        </w:rPr>
        <w:t xml:space="preserve">physicians. </w:t>
      </w:r>
      <w:r w:rsidRPr="004363F1">
        <w:rPr>
          <w:rFonts w:ascii="Times New Roman" w:hAnsi="Times New Roman" w:cs="Times New Roman"/>
          <w:sz w:val="20"/>
          <w:szCs w:val="20"/>
          <w:lang w:val="en-CA"/>
        </w:rPr>
        <w:t xml:space="preserve">The inclusion criteria were a modification of those defined by </w:t>
      </w:r>
      <w:r w:rsidRPr="004363F1">
        <w:rPr>
          <w:rFonts w:ascii="Times New Roman" w:hAnsi="Times New Roman" w:cs="Times New Roman"/>
          <w:sz w:val="20"/>
          <w:szCs w:val="20"/>
        </w:rPr>
        <w:t xml:space="preserve">Bernard </w:t>
      </w:r>
      <w:r w:rsidRPr="004363F1">
        <w:rPr>
          <w:rFonts w:ascii="Times New Roman" w:hAnsi="Times New Roman" w:cs="Times New Roman"/>
          <w:i/>
          <w:iCs/>
          <w:sz w:val="20"/>
          <w:szCs w:val="20"/>
        </w:rPr>
        <w:t>et al</w:t>
      </w:r>
      <w:r w:rsidRPr="004363F1">
        <w:rPr>
          <w:rFonts w:ascii="Times New Roman" w:hAnsi="Times New Roman" w:cs="Times New Roman"/>
          <w:sz w:val="20"/>
          <w:szCs w:val="20"/>
        </w:rPr>
        <w:t>.</w:t>
      </w:r>
      <w:r w:rsidR="0009784B" w:rsidRPr="004363F1">
        <w:rPr>
          <w:rFonts w:ascii="Times New Roman" w:hAnsi="Times New Roman" w:cs="Times New Roman"/>
          <w:sz w:val="20"/>
          <w:szCs w:val="20"/>
        </w:rPr>
        <w:fldChar w:fldCharType="begin"/>
      </w:r>
      <w:r w:rsidR="00200E17" w:rsidRPr="004363F1">
        <w:rPr>
          <w:rFonts w:ascii="Times New Roman" w:hAnsi="Times New Roman" w:cs="Times New Roman"/>
          <w:sz w:val="20"/>
          <w:szCs w:val="20"/>
        </w:rPr>
        <w:instrText xml:space="preserve"> ADDIN REFMGR.CITE &lt;Refman&gt;&lt;Cite&gt;&lt;Author&gt;Bernard&lt;/Author&gt;&lt;Year&gt;2001&lt;/Year&gt;&lt;RecNum&gt;324&lt;/RecNum&gt;&lt;IDText&gt;Efficacy and safety of recombinant human activated protein C for severe sepsis&lt;/IDText&gt;&lt;MDL Ref_Type="Journal"&gt;&lt;Ref_Type&gt;Journal&lt;/Ref_Type&gt;&lt;Ref_ID&gt;324&lt;/Ref_ID&gt;&lt;Title_Primary&gt;Efficacy and safety of recombinant human activated protein C for severe sepsis&lt;/Title_Primary&gt;&lt;Authors_Primary&gt;Bernard,G.R.&lt;/Authors_Primary&gt;&lt;Authors_Primary&gt;Vincent,J.L.&lt;/Authors_Primary&gt;&lt;Authors_Primary&gt;Laterre,P.F.&lt;/Authors_Primary&gt;&lt;Authors_Primary&gt;LaRosa,S.P.&lt;/Authors_Primary&gt;&lt;Authors_Primary&gt;Dhainaut,J.F.&lt;/Authors_Primary&gt;&lt;Authors_Primary&gt;Lopez-Rodriguez,A.&lt;/Authors_Primary&gt;&lt;Authors_Primary&gt;Steingrub,J.S.&lt;/Authors_Primary&gt;&lt;Authors_Primary&gt;Garber,G.E.&lt;/Authors_Primary&gt;&lt;Authors_Primary&gt;Helterbrand,J.D.&lt;/Authors_Primary&gt;&lt;Authors_Primary&gt;Ely,E.W.&lt;/Authors_Primary&gt;&lt;Authors_Primary&gt;Fisher,C.J.,Jr.&lt;/Authors_Primary&gt;&lt;Date_Primary&gt;2001/3/8&lt;/Date_Primary&gt;&lt;Keywords&gt;adverse effects&lt;/Keywords&gt;&lt;Keywords&gt;analysis&lt;/Keywords&gt;&lt;Keywords&gt;Anti-Inflammatory Agents,Non-Steroidal&lt;/Keywords&gt;&lt;Keywords&gt;Antibodies&lt;/Keywords&gt;&lt;Keywords&gt;blood&lt;/Keywords&gt;&lt;Keywords&gt;chemically induced&lt;/Keywords&gt;&lt;Keywords&gt;Double-Blind Method&lt;/Keywords&gt;&lt;Keywords&gt;drug therapy&lt;/Keywords&gt;&lt;Keywords&gt;Fibrin&lt;/Keywords&gt;&lt;Keywords&gt;Fibrin Fibrinogen Degradation Products&lt;/Keywords&gt;&lt;Keywords&gt;Fibrinogen&lt;/Keywords&gt;&lt;Keywords&gt;Fibrinolytic Agents&lt;/Keywords&gt;&lt;Keywords&gt;Hemorrhage&lt;/Keywords&gt;&lt;Keywords&gt;Human&lt;/Keywords&gt;&lt;Keywords&gt;Infection&lt;/Keywords&gt;&lt;Keywords&gt;Inflammation&lt;/Keywords&gt;&lt;Keywords&gt;Interleukin-6&lt;/Keywords&gt;&lt;Keywords&gt;methods&lt;/Keywords&gt;&lt;Keywords&gt;mortality&lt;/Keywords&gt;&lt;Keywords&gt;pharmacology&lt;/Keywords&gt;&lt;Keywords&gt;physiopathology&lt;/Keywords&gt;&lt;Keywords&gt;Prospective Studies&lt;/Keywords&gt;&lt;Keywords&gt;Protein C&lt;/Keywords&gt;&lt;Keywords&gt;Proteins&lt;/Keywords&gt;&lt;Keywords&gt;Recombinant Proteins&lt;/Keywords&gt;&lt;Keywords&gt;Risk&lt;/Keywords&gt;&lt;Keywords&gt;Sepsis&lt;/Keywords&gt;&lt;Keywords&gt;Sepsis Syndrome&lt;/Keywords&gt;&lt;Keywords&gt;Support,Non-U.S.Gov&amp;apos;t&lt;/Keywords&gt;&lt;Keywords&gt;Survival Analysis&lt;/Keywords&gt;&lt;Keywords&gt;therapeutic use&lt;/Keywords&gt;&lt;Keywords&gt;United States&lt;/Keywords&gt;&lt;Reprint&gt;Not in File&lt;/Reprint&gt;&lt;Start_Page&gt;699&lt;/Start_Page&gt;&lt;End_Page&gt;709&lt;/End_Page&gt;&lt;Periodical&gt;N.Engl.J.Med.&lt;/Periodical&gt;&lt;Volume&gt;344&lt;/Volume&gt;&lt;Issue&gt;10&lt;/Issue&gt;&lt;Address&gt;Division of Allergy, Pulmonary and Critical Care Medicine, Vanderbilt University School of Medicine, Nashville, TN 37232, USA gordonbernard@mcmailvanderbiltedu&lt;/Address&gt;&lt;Web_URL&gt;PM:11236773&lt;/Web_URL&gt;&lt;ZZ_JournalFull&gt;&lt;f name="System"&gt;New England Journal of Medicine&lt;/f&gt;&lt;/ZZ_JournalFull&gt;&lt;ZZ_JournalStdAbbrev&gt;&lt;f name="System"&gt;N.Engl.J.Med.&lt;/f&gt;&lt;/ZZ_JournalStdAbbrev&gt;&lt;ZZ_JournalUser1&gt;&lt;f name="System"&gt;NEJM&lt;/f&gt;&lt;/ZZ_JournalUser1&gt;&lt;ZZ_WorkformID&gt;1&lt;/ZZ_WorkformID&gt;&lt;/MDL&gt;&lt;/Cite&gt;&lt;/Refman&gt;</w:instrText>
      </w:r>
      <w:r w:rsidR="0009784B" w:rsidRPr="004363F1">
        <w:rPr>
          <w:rFonts w:ascii="Times New Roman" w:hAnsi="Times New Roman" w:cs="Times New Roman"/>
          <w:sz w:val="20"/>
          <w:szCs w:val="20"/>
        </w:rPr>
        <w:fldChar w:fldCharType="separate"/>
      </w:r>
      <w:r w:rsidR="007E1D4C" w:rsidRPr="004363F1">
        <w:rPr>
          <w:rFonts w:ascii="Times New Roman" w:hAnsi="Times New Roman" w:cs="Times New Roman"/>
          <w:sz w:val="20"/>
          <w:szCs w:val="20"/>
        </w:rPr>
        <w:t>(1)</w:t>
      </w:r>
      <w:r w:rsidR="0009784B" w:rsidRPr="004363F1">
        <w:rPr>
          <w:rFonts w:ascii="Times New Roman" w:hAnsi="Times New Roman" w:cs="Times New Roman"/>
          <w:sz w:val="20"/>
          <w:szCs w:val="20"/>
        </w:rPr>
        <w:fldChar w:fldCharType="end"/>
      </w:r>
      <w:r w:rsidRPr="004363F1">
        <w:rPr>
          <w:rFonts w:ascii="Times New Roman" w:hAnsi="Times New Roman" w:cs="Times New Roman"/>
          <w:sz w:val="20"/>
          <w:szCs w:val="20"/>
        </w:rPr>
        <w:t xml:space="preserve">.  Patients </w:t>
      </w:r>
      <w:r w:rsidR="00A8523B" w:rsidRPr="004363F1">
        <w:rPr>
          <w:rFonts w:ascii="Times New Roman" w:hAnsi="Times New Roman" w:cs="Times New Roman"/>
          <w:sz w:val="20"/>
          <w:szCs w:val="20"/>
        </w:rPr>
        <w:t xml:space="preserve">must have </w:t>
      </w:r>
      <w:r w:rsidRPr="004363F1">
        <w:rPr>
          <w:rFonts w:ascii="Times New Roman" w:hAnsi="Times New Roman" w:cs="Times New Roman"/>
          <w:sz w:val="20"/>
          <w:szCs w:val="20"/>
        </w:rPr>
        <w:t xml:space="preserve">a confirmed or suspected infection on the basis of clinical data at the time of screening, at least one dysfunctional organ system, </w:t>
      </w:r>
      <w:r w:rsidR="0009784B" w:rsidRPr="004363F1">
        <w:rPr>
          <w:rFonts w:ascii="Times New Roman" w:hAnsi="Times New Roman" w:cs="Times New Roman"/>
          <w:sz w:val="20"/>
          <w:szCs w:val="20"/>
        </w:rPr>
        <w:t>≥</w:t>
      </w:r>
      <w:r w:rsidRPr="004363F1">
        <w:rPr>
          <w:rFonts w:ascii="Times New Roman" w:hAnsi="Times New Roman" w:cs="Times New Roman"/>
          <w:sz w:val="20"/>
          <w:szCs w:val="20"/>
        </w:rPr>
        <w:t>3 signs of systemic inflammatory response syndrome (SIRS), and were expected to remain in the ICU for ≥ 72 hours.  The presence of organ dysfunction are: (1) SBP ≤90 mm Hg or MAP ≤70 mm Hg or SBP &lt; 40 mm Hg for at least 1 hour despite fluid resuscitation, adequate intravascular volume status, or use of vasopressor in attempt to maintain systolic BP ≥90 or MAP ≥ 70 mm Hg, (2) P/F Ratio ≤ 250 in the presence of other dysfunctional organs or systems, or ≤ 200 if lung is the only dysfunctional organ, (3) acute rise in creatinine &gt; 171 mM or urine output &lt;0.5 ml/kg body weight for 1 hour despite adequate fluid resuscitation, (4) unexplained metabolic acidosis (pH ≤ 7.30 or base deficit ≥ 5 with lactate &gt; 1.5 times the upper limit of normal, and (5) platelet count &lt; 50,000 or a 50% drop over the 3 days prior to ICU admission.  The inclusion criteria for septic shock are the same as t</w:t>
      </w:r>
      <w:r w:rsidR="006E6F5B" w:rsidRPr="004363F1">
        <w:rPr>
          <w:rFonts w:ascii="Times New Roman" w:hAnsi="Times New Roman" w:cs="Times New Roman"/>
          <w:sz w:val="20"/>
          <w:szCs w:val="20"/>
        </w:rPr>
        <w:t xml:space="preserve">hose for sepsis except that </w:t>
      </w:r>
      <w:r w:rsidRPr="004363F1">
        <w:rPr>
          <w:rFonts w:ascii="Times New Roman" w:hAnsi="Times New Roman" w:cs="Times New Roman"/>
          <w:sz w:val="20"/>
          <w:szCs w:val="20"/>
        </w:rPr>
        <w:t>patient</w:t>
      </w:r>
      <w:r w:rsidR="006E6F5B" w:rsidRPr="004363F1">
        <w:rPr>
          <w:rFonts w:ascii="Times New Roman" w:hAnsi="Times New Roman" w:cs="Times New Roman"/>
          <w:sz w:val="20"/>
          <w:szCs w:val="20"/>
        </w:rPr>
        <w:t>s</w:t>
      </w:r>
      <w:r w:rsidRPr="004363F1">
        <w:rPr>
          <w:rFonts w:ascii="Times New Roman" w:hAnsi="Times New Roman" w:cs="Times New Roman"/>
          <w:sz w:val="20"/>
          <w:szCs w:val="20"/>
        </w:rPr>
        <w:t xml:space="preserve"> must be on vasopressors within the previous 24 hours.  Patients were excluded if they </w:t>
      </w:r>
      <w:r w:rsidR="0009784B" w:rsidRPr="004363F1">
        <w:rPr>
          <w:rFonts w:ascii="Times New Roman" w:hAnsi="Times New Roman" w:cs="Times New Roman"/>
          <w:sz w:val="20"/>
          <w:szCs w:val="20"/>
        </w:rPr>
        <w:t xml:space="preserve">were &lt; 18 years old, </w:t>
      </w:r>
      <w:r w:rsidRPr="004363F1">
        <w:rPr>
          <w:rFonts w:ascii="Times New Roman" w:hAnsi="Times New Roman" w:cs="Times New Roman"/>
          <w:sz w:val="20"/>
          <w:szCs w:val="20"/>
        </w:rPr>
        <w:t>pregnant or breastfeeding, or wer</w:t>
      </w:r>
      <w:r w:rsidR="0009784B" w:rsidRPr="004363F1">
        <w:rPr>
          <w:rFonts w:ascii="Times New Roman" w:hAnsi="Times New Roman" w:cs="Times New Roman"/>
          <w:sz w:val="20"/>
          <w:szCs w:val="20"/>
        </w:rPr>
        <w:t>e receiving palliative care</w:t>
      </w:r>
      <w:r w:rsidRPr="004363F1">
        <w:rPr>
          <w:rFonts w:ascii="Times New Roman" w:hAnsi="Times New Roman" w:cs="Times New Roman"/>
          <w:sz w:val="20"/>
          <w:szCs w:val="20"/>
        </w:rPr>
        <w:t>.</w:t>
      </w:r>
      <w:r w:rsidR="00744408" w:rsidRPr="004363F1">
        <w:rPr>
          <w:rFonts w:ascii="Times New Roman" w:hAnsi="Times New Roman" w:cs="Times New Roman"/>
          <w:sz w:val="20"/>
          <w:szCs w:val="20"/>
        </w:rPr>
        <w:t xml:space="preserve"> </w:t>
      </w:r>
      <w:r w:rsidR="00744408" w:rsidRPr="004363F1">
        <w:rPr>
          <w:rFonts w:ascii="Times New Roman" w:hAnsi="Times New Roman"/>
          <w:sz w:val="20"/>
          <w:szCs w:val="20"/>
        </w:rPr>
        <w:t xml:space="preserve">Deferred informed consent was obtained for enrolment in 64.8 % of the patients and </w:t>
      </w:r>
      <w:r w:rsidR="00744408" w:rsidRPr="004363F1">
        <w:rPr>
          <w:rFonts w:ascii="Times New Roman" w:hAnsi="Times New Roman"/>
          <w:i/>
          <w:sz w:val="20"/>
          <w:szCs w:val="20"/>
        </w:rPr>
        <w:t>a priori</w:t>
      </w:r>
      <w:r w:rsidR="00744408" w:rsidRPr="004363F1">
        <w:rPr>
          <w:rFonts w:ascii="Times New Roman" w:hAnsi="Times New Roman"/>
          <w:sz w:val="20"/>
          <w:szCs w:val="20"/>
        </w:rPr>
        <w:t xml:space="preserve"> consent was obtained for 34.2 % of the patients.</w:t>
      </w:r>
    </w:p>
    <w:p w14:paraId="5844450D" w14:textId="77777777" w:rsidR="00A43A56" w:rsidRPr="004363F1" w:rsidRDefault="00A43A56" w:rsidP="00CC0983">
      <w:pPr>
        <w:spacing w:after="0" w:line="240" w:lineRule="auto"/>
        <w:jc w:val="both"/>
        <w:rPr>
          <w:rFonts w:ascii="Times New Roman" w:hAnsi="Times New Roman" w:cs="Times New Roman"/>
          <w:b/>
          <w:sz w:val="20"/>
          <w:szCs w:val="20"/>
          <w:lang w:val="en-CA"/>
        </w:rPr>
      </w:pPr>
    </w:p>
    <w:p w14:paraId="4E19D82B" w14:textId="77777777" w:rsidR="000C63FF" w:rsidRPr="004363F1" w:rsidRDefault="000C63FF" w:rsidP="00CC0983">
      <w:pPr>
        <w:spacing w:after="0" w:line="240" w:lineRule="auto"/>
        <w:jc w:val="both"/>
        <w:rPr>
          <w:rFonts w:ascii="Times New Roman" w:hAnsi="Times New Roman" w:cs="Times New Roman"/>
          <w:b/>
          <w:sz w:val="20"/>
          <w:szCs w:val="20"/>
          <w:lang w:val="en-CA"/>
        </w:rPr>
      </w:pPr>
      <w:r w:rsidRPr="004363F1">
        <w:rPr>
          <w:rFonts w:ascii="Times New Roman" w:hAnsi="Times New Roman" w:cs="Times New Roman"/>
          <w:b/>
          <w:sz w:val="20"/>
          <w:szCs w:val="20"/>
          <w:lang w:val="en-CA"/>
        </w:rPr>
        <w:t>Clinical data collection</w:t>
      </w:r>
    </w:p>
    <w:p w14:paraId="5086B84C" w14:textId="77777777" w:rsidR="000C63FF" w:rsidRPr="004363F1" w:rsidRDefault="000C63FF" w:rsidP="00CC0983">
      <w:pPr>
        <w:spacing w:after="0" w:line="240" w:lineRule="auto"/>
        <w:jc w:val="both"/>
        <w:rPr>
          <w:rFonts w:ascii="Times New Roman" w:hAnsi="Times New Roman" w:cs="Times New Roman"/>
          <w:sz w:val="20"/>
          <w:szCs w:val="20"/>
          <w:lang w:val="en-CA"/>
        </w:rPr>
      </w:pPr>
      <w:r w:rsidRPr="004363F1">
        <w:rPr>
          <w:rFonts w:ascii="Times New Roman" w:hAnsi="Times New Roman" w:cs="Times New Roman"/>
          <w:b/>
          <w:sz w:val="20"/>
          <w:szCs w:val="20"/>
          <w:lang w:val="en-CA"/>
        </w:rPr>
        <w:tab/>
      </w:r>
      <w:r w:rsidRPr="004363F1">
        <w:rPr>
          <w:rFonts w:ascii="Times New Roman" w:hAnsi="Times New Roman" w:cs="Times New Roman"/>
          <w:sz w:val="20"/>
          <w:szCs w:val="20"/>
          <w:lang w:val="en-CA"/>
        </w:rPr>
        <w:t>Baseline characteristics include demographic information, organ function</w:t>
      </w:r>
      <w:r w:rsidR="006E6F5B" w:rsidRPr="004363F1">
        <w:rPr>
          <w:rFonts w:ascii="Times New Roman" w:hAnsi="Times New Roman" w:cs="Times New Roman"/>
          <w:sz w:val="20"/>
          <w:szCs w:val="20"/>
          <w:lang w:val="en-CA"/>
        </w:rPr>
        <w:t xml:space="preserve"> scores (MODS, SOFA</w:t>
      </w:r>
      <w:r w:rsidR="00A8523B" w:rsidRPr="004363F1">
        <w:rPr>
          <w:rFonts w:ascii="Times New Roman" w:hAnsi="Times New Roman" w:cs="Times New Roman"/>
          <w:sz w:val="20"/>
          <w:szCs w:val="20"/>
          <w:lang w:val="en-CA"/>
        </w:rPr>
        <w:t>)</w:t>
      </w:r>
      <w:r w:rsidRPr="004363F1">
        <w:rPr>
          <w:rFonts w:ascii="Times New Roman" w:hAnsi="Times New Roman" w:cs="Times New Roman"/>
          <w:sz w:val="20"/>
          <w:szCs w:val="20"/>
          <w:lang w:val="en-CA"/>
        </w:rPr>
        <w:t xml:space="preserve">, pre-existing conditions, sites </w:t>
      </w:r>
      <w:r w:rsidR="006E6F5B" w:rsidRPr="004363F1">
        <w:rPr>
          <w:rFonts w:ascii="Times New Roman" w:hAnsi="Times New Roman" w:cs="Times New Roman"/>
          <w:sz w:val="20"/>
          <w:szCs w:val="20"/>
          <w:lang w:val="en-CA"/>
        </w:rPr>
        <w:t>and types</w:t>
      </w:r>
      <w:r w:rsidRPr="004363F1">
        <w:rPr>
          <w:rFonts w:ascii="Times New Roman" w:hAnsi="Times New Roman" w:cs="Times New Roman"/>
          <w:sz w:val="20"/>
          <w:szCs w:val="20"/>
          <w:lang w:val="en-CA"/>
        </w:rPr>
        <w:t xml:space="preserve"> of infection, APACHE II score, use of mechanical ventilation, and use of vasopressor/inotropes. Daily data included culture results, organ function, hematologic and other laboratory</w:t>
      </w:r>
      <w:r w:rsidR="006E6F5B" w:rsidRPr="004363F1">
        <w:rPr>
          <w:rFonts w:ascii="Times New Roman" w:hAnsi="Times New Roman" w:cs="Times New Roman"/>
          <w:sz w:val="20"/>
          <w:szCs w:val="20"/>
          <w:lang w:val="en-CA"/>
        </w:rPr>
        <w:t xml:space="preserve"> tests, and type/</w:t>
      </w:r>
      <w:r w:rsidRPr="004363F1">
        <w:rPr>
          <w:rFonts w:ascii="Times New Roman" w:hAnsi="Times New Roman" w:cs="Times New Roman"/>
          <w:sz w:val="20"/>
          <w:szCs w:val="20"/>
          <w:lang w:val="en-CA"/>
        </w:rPr>
        <w:t xml:space="preserve">quantity of resuscitation fluid.  </w:t>
      </w:r>
    </w:p>
    <w:p w14:paraId="5B590ACF" w14:textId="77777777" w:rsidR="00A43A56" w:rsidRPr="004363F1" w:rsidRDefault="00A43A56" w:rsidP="00CC0983">
      <w:pPr>
        <w:spacing w:after="0" w:line="240" w:lineRule="auto"/>
        <w:jc w:val="both"/>
        <w:rPr>
          <w:rFonts w:ascii="Times New Roman" w:hAnsi="Times New Roman" w:cs="Times New Roman"/>
          <w:b/>
          <w:sz w:val="20"/>
          <w:szCs w:val="20"/>
          <w:lang w:val="en-CA"/>
        </w:rPr>
      </w:pPr>
    </w:p>
    <w:p w14:paraId="020080D1" w14:textId="77777777" w:rsidR="000C63FF" w:rsidRPr="004363F1" w:rsidRDefault="000C63FF" w:rsidP="00CC0983">
      <w:pPr>
        <w:spacing w:after="0" w:line="240" w:lineRule="auto"/>
        <w:jc w:val="both"/>
        <w:rPr>
          <w:rFonts w:ascii="Times New Roman" w:hAnsi="Times New Roman" w:cs="Times New Roman"/>
          <w:b/>
          <w:sz w:val="20"/>
          <w:szCs w:val="20"/>
          <w:lang w:val="en-CA"/>
        </w:rPr>
      </w:pPr>
      <w:r w:rsidRPr="004363F1">
        <w:rPr>
          <w:rFonts w:ascii="Times New Roman" w:hAnsi="Times New Roman" w:cs="Times New Roman"/>
          <w:b/>
          <w:sz w:val="20"/>
          <w:szCs w:val="20"/>
          <w:lang w:val="en-CA"/>
        </w:rPr>
        <w:t>Blood collection</w:t>
      </w:r>
    </w:p>
    <w:p w14:paraId="685A8EB1" w14:textId="77777777" w:rsidR="000C63FF" w:rsidRPr="004363F1" w:rsidRDefault="00A8523B" w:rsidP="00CC0983">
      <w:pPr>
        <w:spacing w:after="0" w:line="240" w:lineRule="auto"/>
        <w:ind w:firstLine="720"/>
        <w:jc w:val="both"/>
        <w:rPr>
          <w:rFonts w:ascii="Times New Roman" w:hAnsi="Times New Roman" w:cs="Times New Roman"/>
          <w:sz w:val="20"/>
          <w:szCs w:val="20"/>
        </w:rPr>
      </w:pPr>
      <w:r w:rsidRPr="004363F1">
        <w:rPr>
          <w:rFonts w:ascii="Times New Roman" w:eastAsia="Calibri" w:hAnsi="Times New Roman" w:cs="Times New Roman"/>
          <w:sz w:val="20"/>
          <w:szCs w:val="20"/>
        </w:rPr>
        <w:t>Patient</w:t>
      </w:r>
      <w:r w:rsidR="000C63FF" w:rsidRPr="004363F1">
        <w:rPr>
          <w:rFonts w:ascii="Times New Roman" w:hAnsi="Times New Roman" w:cs="Times New Roman"/>
          <w:sz w:val="20"/>
          <w:szCs w:val="20"/>
        </w:rPr>
        <w:t xml:space="preserve"> blood samples were collected within 24 hours of meeting the inclusion criteria for</w:t>
      </w:r>
      <w:r w:rsidR="001864A0" w:rsidRPr="004363F1">
        <w:rPr>
          <w:rFonts w:ascii="Times New Roman" w:hAnsi="Times New Roman" w:cs="Times New Roman"/>
          <w:sz w:val="20"/>
          <w:szCs w:val="20"/>
        </w:rPr>
        <w:t xml:space="preserve"> sepsis</w:t>
      </w:r>
      <w:r w:rsidR="000C63FF" w:rsidRPr="004363F1">
        <w:rPr>
          <w:rFonts w:ascii="Times New Roman" w:hAnsi="Times New Roman" w:cs="Times New Roman"/>
          <w:sz w:val="20"/>
          <w:szCs w:val="20"/>
        </w:rPr>
        <w:t>.  Blood was obtained at baseline, then daily for the first week, followed by once a week for the duration of the patients’ stay in the ICU.  The blood was processed within two hours of blood co</w:t>
      </w:r>
      <w:r w:rsidR="00CF4DB3" w:rsidRPr="004363F1">
        <w:rPr>
          <w:rFonts w:ascii="Times New Roman" w:hAnsi="Times New Roman" w:cs="Times New Roman"/>
          <w:sz w:val="20"/>
          <w:szCs w:val="20"/>
        </w:rPr>
        <w:t>llection.  Briefly, blood (4.5 mL</w:t>
      </w:r>
      <w:r w:rsidR="000C63FF" w:rsidRPr="004363F1">
        <w:rPr>
          <w:rFonts w:ascii="Times New Roman" w:hAnsi="Times New Roman" w:cs="Times New Roman"/>
          <w:sz w:val="20"/>
          <w:szCs w:val="20"/>
        </w:rPr>
        <w:t>) was collected from existing</w:t>
      </w:r>
      <w:r w:rsidR="00CF4DB3" w:rsidRPr="004363F1">
        <w:rPr>
          <w:rFonts w:ascii="Times New Roman" w:hAnsi="Times New Roman" w:cs="Times New Roman"/>
          <w:sz w:val="20"/>
          <w:szCs w:val="20"/>
        </w:rPr>
        <w:t xml:space="preserve"> arterial or venous lines (or by venipuncture with a 20-gauge needle) into Becton Dickinson buffered sodium citrate vacutainer tubes (0.105M trisodium citrate).  </w:t>
      </w:r>
      <w:r w:rsidR="000C63FF" w:rsidRPr="004363F1">
        <w:rPr>
          <w:rFonts w:ascii="Times New Roman" w:hAnsi="Times New Roman" w:cs="Times New Roman"/>
          <w:sz w:val="20"/>
          <w:szCs w:val="20"/>
        </w:rPr>
        <w:t>The blood was centrif</w:t>
      </w:r>
      <w:r w:rsidR="00CF4DB3" w:rsidRPr="004363F1">
        <w:rPr>
          <w:rFonts w:ascii="Times New Roman" w:hAnsi="Times New Roman" w:cs="Times New Roman"/>
          <w:sz w:val="20"/>
          <w:szCs w:val="20"/>
        </w:rPr>
        <w:t>uged at 1,7</w:t>
      </w:r>
      <w:r w:rsidR="000C63FF" w:rsidRPr="004363F1">
        <w:rPr>
          <w:rFonts w:ascii="Times New Roman" w:hAnsi="Times New Roman" w:cs="Times New Roman"/>
          <w:sz w:val="20"/>
          <w:szCs w:val="20"/>
        </w:rPr>
        <w:t>00 x g for 10 min at 20</w:t>
      </w:r>
      <w:r w:rsidR="000C63FF" w:rsidRPr="004363F1">
        <w:rPr>
          <w:rFonts w:ascii="Times New Roman" w:hAnsi="Times New Roman" w:cs="Times New Roman"/>
          <w:sz w:val="20"/>
          <w:szCs w:val="20"/>
          <w:vertAlign w:val="superscript"/>
        </w:rPr>
        <w:t>o</w:t>
      </w:r>
      <w:r w:rsidR="000C63FF" w:rsidRPr="004363F1">
        <w:rPr>
          <w:rFonts w:ascii="Times New Roman" w:hAnsi="Times New Roman" w:cs="Times New Roman"/>
          <w:sz w:val="20"/>
          <w:szCs w:val="20"/>
        </w:rPr>
        <w:t>C</w:t>
      </w:r>
      <w:r w:rsidR="00CF4DB3" w:rsidRPr="004363F1">
        <w:rPr>
          <w:rFonts w:ascii="Times New Roman" w:hAnsi="Times New Roman" w:cs="Times New Roman"/>
          <w:sz w:val="20"/>
          <w:szCs w:val="20"/>
        </w:rPr>
        <w:t xml:space="preserve"> (with the brake off)</w:t>
      </w:r>
      <w:r w:rsidR="000C63FF" w:rsidRPr="004363F1">
        <w:rPr>
          <w:rFonts w:ascii="Times New Roman" w:hAnsi="Times New Roman" w:cs="Times New Roman"/>
          <w:sz w:val="20"/>
          <w:szCs w:val="20"/>
        </w:rPr>
        <w:t>, and the plasma wa</w:t>
      </w:r>
      <w:r w:rsidRPr="004363F1">
        <w:rPr>
          <w:rFonts w:ascii="Times New Roman" w:hAnsi="Times New Roman" w:cs="Times New Roman"/>
          <w:sz w:val="20"/>
          <w:szCs w:val="20"/>
        </w:rPr>
        <w:t xml:space="preserve">s stored as 200 </w:t>
      </w:r>
      <w:proofErr w:type="spellStart"/>
      <w:r w:rsidRPr="004363F1">
        <w:rPr>
          <w:rFonts w:ascii="Times New Roman" w:hAnsi="Times New Roman" w:cs="Times New Roman"/>
          <w:sz w:val="20"/>
          <w:szCs w:val="20"/>
        </w:rPr>
        <w:t>uL</w:t>
      </w:r>
      <w:proofErr w:type="spellEnd"/>
      <w:r w:rsidRPr="004363F1">
        <w:rPr>
          <w:rFonts w:ascii="Times New Roman" w:hAnsi="Times New Roman" w:cs="Times New Roman"/>
          <w:sz w:val="20"/>
          <w:szCs w:val="20"/>
        </w:rPr>
        <w:t xml:space="preserve"> aliquots at -</w:t>
      </w:r>
      <w:r w:rsidR="000C63FF" w:rsidRPr="004363F1">
        <w:rPr>
          <w:rFonts w:ascii="Times New Roman" w:hAnsi="Times New Roman" w:cs="Times New Roman"/>
          <w:sz w:val="20"/>
          <w:szCs w:val="20"/>
        </w:rPr>
        <w:t>80</w:t>
      </w:r>
      <w:r w:rsidR="000C63FF" w:rsidRPr="004363F1">
        <w:rPr>
          <w:rFonts w:ascii="Times New Roman" w:hAnsi="Times New Roman" w:cs="Times New Roman"/>
          <w:sz w:val="20"/>
          <w:szCs w:val="20"/>
          <w:vertAlign w:val="superscript"/>
        </w:rPr>
        <w:t>o</w:t>
      </w:r>
      <w:r w:rsidR="000C63FF" w:rsidRPr="004363F1">
        <w:rPr>
          <w:rFonts w:ascii="Times New Roman" w:hAnsi="Times New Roman" w:cs="Times New Roman"/>
          <w:sz w:val="20"/>
          <w:szCs w:val="20"/>
        </w:rPr>
        <w:t xml:space="preserve">C and thawed at the time of assays.  </w:t>
      </w:r>
    </w:p>
    <w:p w14:paraId="7521020E" w14:textId="77777777" w:rsidR="00A43A56" w:rsidRPr="004363F1" w:rsidRDefault="00A43A56" w:rsidP="00CC0983">
      <w:pPr>
        <w:autoSpaceDE w:val="0"/>
        <w:autoSpaceDN w:val="0"/>
        <w:adjustRightInd w:val="0"/>
        <w:spacing w:after="0" w:line="240" w:lineRule="auto"/>
        <w:jc w:val="both"/>
        <w:rPr>
          <w:rFonts w:ascii="Times New Roman" w:hAnsi="Times New Roman" w:cs="Times New Roman"/>
          <w:b/>
          <w:sz w:val="20"/>
          <w:szCs w:val="20"/>
        </w:rPr>
      </w:pPr>
    </w:p>
    <w:p w14:paraId="0E58B732" w14:textId="77777777" w:rsidR="000C63FF" w:rsidRPr="004363F1" w:rsidRDefault="000C63FF" w:rsidP="00CC0983">
      <w:pPr>
        <w:jc w:val="both"/>
        <w:rPr>
          <w:rFonts w:ascii="Times New Roman" w:hAnsi="Times New Roman" w:cs="Times New Roman"/>
          <w:b/>
          <w:sz w:val="20"/>
          <w:szCs w:val="20"/>
        </w:rPr>
      </w:pPr>
      <w:r w:rsidRPr="004363F1">
        <w:rPr>
          <w:rFonts w:ascii="Times New Roman" w:hAnsi="Times New Roman" w:cs="Times New Roman"/>
          <w:b/>
          <w:sz w:val="20"/>
          <w:szCs w:val="20"/>
        </w:rPr>
        <w:t xml:space="preserve">Plasma samples from healthy controls.  </w:t>
      </w:r>
    </w:p>
    <w:p w14:paraId="7C78A00C" w14:textId="77777777" w:rsidR="000C63FF" w:rsidRPr="004363F1" w:rsidRDefault="000C63FF" w:rsidP="00CC0983">
      <w:pPr>
        <w:autoSpaceDE w:val="0"/>
        <w:autoSpaceDN w:val="0"/>
        <w:adjustRightInd w:val="0"/>
        <w:spacing w:after="0" w:line="240" w:lineRule="auto"/>
        <w:jc w:val="both"/>
        <w:rPr>
          <w:rFonts w:ascii="Times New Roman" w:eastAsia="Calibri" w:hAnsi="Times New Roman" w:cs="Times New Roman"/>
          <w:sz w:val="20"/>
          <w:szCs w:val="20"/>
        </w:rPr>
      </w:pPr>
      <w:r w:rsidRPr="004363F1">
        <w:rPr>
          <w:rFonts w:ascii="Times New Roman" w:hAnsi="Times New Roman" w:cs="Times New Roman"/>
          <w:b/>
          <w:sz w:val="20"/>
          <w:szCs w:val="20"/>
        </w:rPr>
        <w:tab/>
      </w:r>
      <w:r w:rsidRPr="004363F1">
        <w:rPr>
          <w:rFonts w:ascii="Times New Roman" w:eastAsia="Calibri" w:hAnsi="Times New Roman" w:cs="Times New Roman"/>
          <w:sz w:val="20"/>
          <w:szCs w:val="20"/>
        </w:rPr>
        <w:t>Pla</w:t>
      </w:r>
      <w:r w:rsidR="00C65A2D" w:rsidRPr="004363F1">
        <w:rPr>
          <w:rFonts w:ascii="Times New Roman" w:eastAsia="Calibri" w:hAnsi="Times New Roman" w:cs="Times New Roman"/>
          <w:sz w:val="20"/>
          <w:szCs w:val="20"/>
        </w:rPr>
        <w:t>sma samples were obtained from 3</w:t>
      </w:r>
      <w:r w:rsidRPr="004363F1">
        <w:rPr>
          <w:rFonts w:ascii="Times New Roman" w:eastAsia="Calibri" w:hAnsi="Times New Roman" w:cs="Times New Roman"/>
          <w:sz w:val="20"/>
          <w:szCs w:val="20"/>
        </w:rPr>
        <w:t>4 healthy adult volunteers who were not receiving medication at the time of blood sampling.  No attempt to match cases and controls was made.</w:t>
      </w:r>
    </w:p>
    <w:p w14:paraId="3AA0F6FA" w14:textId="77777777" w:rsidR="00A43A56" w:rsidRPr="004363F1" w:rsidRDefault="00A43A56" w:rsidP="00CC0983">
      <w:pPr>
        <w:autoSpaceDE w:val="0"/>
        <w:autoSpaceDN w:val="0"/>
        <w:adjustRightInd w:val="0"/>
        <w:spacing w:after="0" w:line="240" w:lineRule="auto"/>
        <w:jc w:val="both"/>
        <w:rPr>
          <w:rFonts w:ascii="Times New Roman" w:eastAsia="Calibri" w:hAnsi="Times New Roman" w:cs="Times New Roman"/>
          <w:sz w:val="20"/>
          <w:szCs w:val="20"/>
        </w:rPr>
      </w:pPr>
    </w:p>
    <w:p w14:paraId="4C2FB028" w14:textId="77777777" w:rsidR="000C63FF" w:rsidRPr="004363F1" w:rsidRDefault="000C63FF" w:rsidP="00CC0983">
      <w:pPr>
        <w:autoSpaceDE w:val="0"/>
        <w:autoSpaceDN w:val="0"/>
        <w:adjustRightInd w:val="0"/>
        <w:spacing w:after="0" w:line="240" w:lineRule="auto"/>
        <w:jc w:val="both"/>
        <w:rPr>
          <w:rFonts w:eastAsia="Calibri"/>
          <w:sz w:val="20"/>
          <w:szCs w:val="20"/>
        </w:rPr>
      </w:pPr>
      <w:r w:rsidRPr="004363F1">
        <w:rPr>
          <w:rFonts w:ascii="Times New Roman" w:eastAsia="Calibri" w:hAnsi="Times New Roman" w:cs="Times New Roman"/>
          <w:sz w:val="20"/>
          <w:szCs w:val="20"/>
        </w:rPr>
        <w:t>Q</w:t>
      </w:r>
      <w:r w:rsidRPr="004363F1">
        <w:rPr>
          <w:rFonts w:ascii="Times New Roman" w:hAnsi="Times New Roman" w:cs="Times New Roman"/>
          <w:b/>
          <w:sz w:val="20"/>
          <w:szCs w:val="20"/>
        </w:rPr>
        <w:t xml:space="preserve">uantification of </w:t>
      </w:r>
      <w:proofErr w:type="spellStart"/>
      <w:r w:rsidRPr="004363F1">
        <w:rPr>
          <w:rFonts w:ascii="Times New Roman" w:hAnsi="Times New Roman" w:cs="Times New Roman"/>
          <w:b/>
          <w:sz w:val="20"/>
          <w:szCs w:val="20"/>
        </w:rPr>
        <w:t>cfDNA</w:t>
      </w:r>
      <w:proofErr w:type="spellEnd"/>
      <w:r w:rsidRPr="004363F1">
        <w:rPr>
          <w:rFonts w:ascii="Times New Roman" w:hAnsi="Times New Roman" w:cs="Times New Roman"/>
          <w:b/>
          <w:sz w:val="20"/>
          <w:szCs w:val="20"/>
        </w:rPr>
        <w:t xml:space="preserve"> and protein C levels in plasma</w:t>
      </w:r>
    </w:p>
    <w:p w14:paraId="5C85D87A" w14:textId="77777777" w:rsidR="000C63FF" w:rsidRPr="004363F1" w:rsidRDefault="00A8523B" w:rsidP="00CC0983">
      <w:pPr>
        <w:autoSpaceDE w:val="0"/>
        <w:autoSpaceDN w:val="0"/>
        <w:adjustRightInd w:val="0"/>
        <w:spacing w:after="0" w:line="240" w:lineRule="auto"/>
        <w:jc w:val="both"/>
        <w:rPr>
          <w:rFonts w:eastAsia="Calibri"/>
          <w:sz w:val="20"/>
          <w:szCs w:val="20"/>
        </w:rPr>
      </w:pPr>
      <w:r w:rsidRPr="004363F1">
        <w:rPr>
          <w:rFonts w:ascii="Times New Roman" w:eastAsia="Times New Roman" w:hAnsi="Times New Roman" w:cs="Times New Roman"/>
          <w:sz w:val="20"/>
          <w:szCs w:val="20"/>
        </w:rPr>
        <w:tab/>
      </w:r>
      <w:proofErr w:type="spellStart"/>
      <w:r w:rsidR="000C63FF" w:rsidRPr="004363F1">
        <w:rPr>
          <w:rFonts w:ascii="Times New Roman" w:eastAsia="Times New Roman" w:hAnsi="Times New Roman" w:cs="Times New Roman"/>
          <w:sz w:val="20"/>
          <w:szCs w:val="20"/>
        </w:rPr>
        <w:t>cfDNA</w:t>
      </w:r>
      <w:proofErr w:type="spellEnd"/>
      <w:r w:rsidR="000C63FF" w:rsidRPr="004363F1">
        <w:rPr>
          <w:rFonts w:ascii="Times New Roman" w:eastAsia="Times New Roman" w:hAnsi="Times New Roman" w:cs="Times New Roman"/>
          <w:sz w:val="20"/>
          <w:szCs w:val="20"/>
        </w:rPr>
        <w:t xml:space="preserve"> was isolated from 200 µL of plasma using the </w:t>
      </w:r>
      <w:proofErr w:type="spellStart"/>
      <w:r w:rsidR="000C63FF" w:rsidRPr="004363F1">
        <w:rPr>
          <w:rFonts w:ascii="Times New Roman" w:eastAsia="Times New Roman" w:hAnsi="Times New Roman" w:cs="Times New Roman"/>
          <w:sz w:val="20"/>
          <w:szCs w:val="20"/>
        </w:rPr>
        <w:t>QIAamp</w:t>
      </w:r>
      <w:proofErr w:type="spellEnd"/>
      <w:r w:rsidR="000C63FF" w:rsidRPr="004363F1">
        <w:rPr>
          <w:rFonts w:ascii="Times New Roman" w:eastAsia="Times New Roman" w:hAnsi="Times New Roman" w:cs="Times New Roman"/>
          <w:sz w:val="20"/>
          <w:szCs w:val="20"/>
        </w:rPr>
        <w:t xml:space="preserve"> DNA Blood Mini Kit (Qiagen, Valencia, CA).  The concentration of the DNA was measured by UV absorbance at 260 nm using a spectrophotometer (</w:t>
      </w:r>
      <w:proofErr w:type="spellStart"/>
      <w:r w:rsidR="000C63FF" w:rsidRPr="004363F1">
        <w:rPr>
          <w:rFonts w:ascii="Times New Roman" w:hAnsi="Times New Roman" w:cs="Times New Roman"/>
          <w:sz w:val="20"/>
          <w:szCs w:val="20"/>
        </w:rPr>
        <w:t>BioPhotometer</w:t>
      </w:r>
      <w:proofErr w:type="spellEnd"/>
      <w:r w:rsidR="000C63FF" w:rsidRPr="004363F1">
        <w:rPr>
          <w:rFonts w:ascii="Times New Roman" w:hAnsi="Times New Roman" w:cs="Times New Roman"/>
          <w:sz w:val="20"/>
          <w:szCs w:val="20"/>
        </w:rPr>
        <w:t xml:space="preserve"> Plus, Eppendorf, Mississauga,</w:t>
      </w:r>
      <w:r w:rsidR="00A30820" w:rsidRPr="004363F1">
        <w:rPr>
          <w:rFonts w:eastAsia="Calibri"/>
          <w:sz w:val="20"/>
          <w:szCs w:val="20"/>
        </w:rPr>
        <w:t xml:space="preserve"> </w:t>
      </w:r>
      <w:r w:rsidR="000C63FF" w:rsidRPr="004363F1">
        <w:rPr>
          <w:rFonts w:ascii="Times New Roman" w:hAnsi="Times New Roman" w:cs="Times New Roman"/>
          <w:sz w:val="20"/>
          <w:szCs w:val="20"/>
        </w:rPr>
        <w:t>ON</w:t>
      </w:r>
      <w:r w:rsidR="005D7B63" w:rsidRPr="004363F1">
        <w:rPr>
          <w:rFonts w:ascii="Times New Roman" w:eastAsia="Times New Roman" w:hAnsi="Times New Roman" w:cs="Times New Roman"/>
          <w:sz w:val="20"/>
          <w:szCs w:val="20"/>
        </w:rPr>
        <w:t xml:space="preserve">).  </w:t>
      </w:r>
      <w:r w:rsidR="000C63FF" w:rsidRPr="004363F1">
        <w:rPr>
          <w:rFonts w:ascii="Times New Roman" w:eastAsia="Times New Roman" w:hAnsi="Times New Roman" w:cs="Times New Roman"/>
          <w:sz w:val="20"/>
          <w:szCs w:val="20"/>
        </w:rPr>
        <w:t>DNA</w:t>
      </w:r>
      <w:r w:rsidR="005D7B63" w:rsidRPr="004363F1">
        <w:rPr>
          <w:rFonts w:ascii="Times New Roman" w:eastAsia="Times New Roman" w:hAnsi="Times New Roman" w:cs="Times New Roman"/>
          <w:sz w:val="20"/>
          <w:szCs w:val="20"/>
        </w:rPr>
        <w:t xml:space="preserve"> purity</w:t>
      </w:r>
      <w:r w:rsidR="000C63FF" w:rsidRPr="004363F1">
        <w:rPr>
          <w:rFonts w:ascii="Times New Roman" w:eastAsia="Times New Roman" w:hAnsi="Times New Roman" w:cs="Times New Roman"/>
          <w:sz w:val="20"/>
          <w:szCs w:val="20"/>
        </w:rPr>
        <w:t xml:space="preserve"> was confirmed by determining the OD</w:t>
      </w:r>
      <w:r w:rsidR="000C63FF" w:rsidRPr="004363F1">
        <w:rPr>
          <w:rFonts w:ascii="Times New Roman" w:eastAsia="Times New Roman" w:hAnsi="Times New Roman" w:cs="Times New Roman"/>
          <w:sz w:val="20"/>
          <w:szCs w:val="20"/>
          <w:vertAlign w:val="subscript"/>
        </w:rPr>
        <w:t>260</w:t>
      </w:r>
      <w:r w:rsidR="000C63FF" w:rsidRPr="004363F1">
        <w:rPr>
          <w:rFonts w:ascii="Times New Roman" w:eastAsia="Times New Roman" w:hAnsi="Times New Roman" w:cs="Times New Roman"/>
          <w:sz w:val="20"/>
          <w:szCs w:val="20"/>
        </w:rPr>
        <w:t>/OD</w:t>
      </w:r>
      <w:r w:rsidR="000C63FF" w:rsidRPr="004363F1">
        <w:rPr>
          <w:rFonts w:ascii="Times New Roman" w:eastAsia="Times New Roman" w:hAnsi="Times New Roman" w:cs="Times New Roman"/>
          <w:sz w:val="20"/>
          <w:szCs w:val="20"/>
          <w:vertAlign w:val="subscript"/>
        </w:rPr>
        <w:t>280</w:t>
      </w:r>
      <w:r w:rsidR="000C63FF" w:rsidRPr="004363F1">
        <w:rPr>
          <w:rFonts w:ascii="Times New Roman" w:eastAsia="Times New Roman" w:hAnsi="Times New Roman" w:cs="Times New Roman"/>
          <w:sz w:val="20"/>
          <w:szCs w:val="20"/>
        </w:rPr>
        <w:t xml:space="preserve"> ratio.  Plasma levels of </w:t>
      </w:r>
      <w:r w:rsidR="000C63FF" w:rsidRPr="004363F1">
        <w:rPr>
          <w:rFonts w:ascii="Times New Roman" w:hAnsi="Times New Roman" w:cs="Times New Roman"/>
          <w:sz w:val="20"/>
          <w:szCs w:val="20"/>
        </w:rPr>
        <w:t xml:space="preserve">protein C antigen were quantified by an enzyme immunoassay (Affinity Biologicals Inc., Ancaster, ON). </w:t>
      </w:r>
    </w:p>
    <w:p w14:paraId="15CEBA62" w14:textId="77777777" w:rsidR="00A43A56" w:rsidRPr="004363F1" w:rsidRDefault="00A43A56" w:rsidP="00CC0983">
      <w:pPr>
        <w:spacing w:after="0" w:line="240" w:lineRule="auto"/>
        <w:jc w:val="both"/>
        <w:rPr>
          <w:rFonts w:ascii="Times New Roman" w:eastAsiaTheme="minorEastAsia" w:hAnsi="Times New Roman" w:cs="Times New Roman"/>
          <w:b/>
          <w:sz w:val="24"/>
          <w:szCs w:val="24"/>
          <w:lang w:val="en-CA" w:eastAsia="ja-JP"/>
        </w:rPr>
      </w:pPr>
    </w:p>
    <w:p w14:paraId="36D0F0F5" w14:textId="77777777" w:rsidR="00037250" w:rsidRPr="004363F1" w:rsidRDefault="00774B2D" w:rsidP="00CC0983">
      <w:pPr>
        <w:spacing w:after="0" w:line="240" w:lineRule="auto"/>
        <w:jc w:val="both"/>
        <w:rPr>
          <w:rFonts w:ascii="Times New Roman" w:hAnsi="Times New Roman" w:cs="Times New Roman"/>
          <w:sz w:val="24"/>
          <w:szCs w:val="24"/>
        </w:rPr>
      </w:pPr>
      <w:r w:rsidRPr="004363F1">
        <w:rPr>
          <w:rFonts w:ascii="Times New Roman" w:eastAsiaTheme="minorEastAsia" w:hAnsi="Times New Roman" w:cs="Times New Roman"/>
          <w:b/>
          <w:sz w:val="24"/>
          <w:szCs w:val="24"/>
          <w:lang w:val="en-CA" w:eastAsia="ja-JP"/>
        </w:rPr>
        <w:t xml:space="preserve">Supplemental Text </w:t>
      </w:r>
      <w:r w:rsidR="00072F4F" w:rsidRPr="004363F1">
        <w:rPr>
          <w:rFonts w:ascii="Times New Roman" w:eastAsiaTheme="minorEastAsia" w:hAnsi="Times New Roman" w:cs="Times New Roman"/>
          <w:b/>
          <w:sz w:val="24"/>
          <w:szCs w:val="24"/>
          <w:lang w:val="en-CA" w:eastAsia="ja-JP"/>
        </w:rPr>
        <w:t xml:space="preserve">2: </w:t>
      </w:r>
      <w:r w:rsidR="0080180A" w:rsidRPr="004363F1">
        <w:rPr>
          <w:rFonts w:ascii="Times New Roman" w:eastAsiaTheme="minorEastAsia" w:hAnsi="Times New Roman" w:cs="Times New Roman"/>
          <w:b/>
          <w:sz w:val="24"/>
          <w:szCs w:val="24"/>
          <w:lang w:val="en-CA" w:eastAsia="ja-JP"/>
        </w:rPr>
        <w:t xml:space="preserve">Formulation of </w:t>
      </w:r>
      <w:r w:rsidR="00166D3D" w:rsidRPr="004363F1">
        <w:rPr>
          <w:rFonts w:ascii="Times New Roman" w:eastAsiaTheme="minorEastAsia" w:hAnsi="Times New Roman" w:cs="Times New Roman"/>
          <w:b/>
          <w:sz w:val="24"/>
          <w:szCs w:val="24"/>
          <w:lang w:val="en-CA" w:eastAsia="ja-JP"/>
        </w:rPr>
        <w:t>the CLOGLOG m</w:t>
      </w:r>
      <w:r w:rsidR="00037250" w:rsidRPr="004363F1">
        <w:rPr>
          <w:rFonts w:ascii="Times New Roman" w:eastAsiaTheme="minorEastAsia" w:hAnsi="Times New Roman" w:cs="Times New Roman"/>
          <w:b/>
          <w:sz w:val="24"/>
          <w:szCs w:val="24"/>
          <w:lang w:val="en-CA" w:eastAsia="ja-JP"/>
        </w:rPr>
        <w:t>odel</w:t>
      </w:r>
      <w:r w:rsidR="00A11529" w:rsidRPr="004363F1">
        <w:rPr>
          <w:rFonts w:ascii="Times New Roman" w:eastAsiaTheme="minorEastAsia" w:hAnsi="Times New Roman" w:cs="Times New Roman"/>
          <w:b/>
          <w:sz w:val="24"/>
          <w:szCs w:val="24"/>
          <w:lang w:val="en-CA" w:eastAsia="ja-JP"/>
        </w:rPr>
        <w:t xml:space="preserve"> and the estimation method</w:t>
      </w:r>
    </w:p>
    <w:p w14:paraId="08B8B90E" w14:textId="77777777" w:rsidR="004C4E63" w:rsidRPr="004363F1" w:rsidRDefault="004C4E63" w:rsidP="00CC0983">
      <w:pPr>
        <w:spacing w:after="0" w:line="240" w:lineRule="auto"/>
        <w:ind w:firstLine="720"/>
        <w:jc w:val="both"/>
        <w:rPr>
          <w:rFonts w:ascii="Times New Roman" w:hAnsi="Times New Roman"/>
          <w:sz w:val="20"/>
          <w:szCs w:val="20"/>
        </w:rPr>
      </w:pPr>
      <w:r w:rsidRPr="004363F1">
        <w:rPr>
          <w:rFonts w:ascii="Times New Roman" w:hAnsi="Times New Roman"/>
          <w:sz w:val="20"/>
          <w:szCs w:val="20"/>
        </w:rPr>
        <w:t>Since the daily healt</w:t>
      </w:r>
      <w:r w:rsidR="00A8523B" w:rsidRPr="004363F1">
        <w:rPr>
          <w:rFonts w:ascii="Times New Roman" w:hAnsi="Times New Roman"/>
          <w:sz w:val="20"/>
          <w:szCs w:val="20"/>
        </w:rPr>
        <w:t>h status of each patient changes with</w:t>
      </w:r>
      <w:r w:rsidRPr="004363F1">
        <w:rPr>
          <w:rFonts w:ascii="Times New Roman" w:hAnsi="Times New Roman"/>
          <w:sz w:val="20"/>
          <w:szCs w:val="20"/>
        </w:rPr>
        <w:t xml:space="preserve"> time partly in response to treatments, we used the CLOGLOG model to follow the daily life of each patient.  </w:t>
      </w:r>
      <w:r w:rsidR="009F4209" w:rsidRPr="004363F1">
        <w:rPr>
          <w:rFonts w:ascii="Times New Roman" w:hAnsi="Times New Roman"/>
          <w:sz w:val="20"/>
          <w:szCs w:val="20"/>
        </w:rPr>
        <w:t>Similar to the Cox proportional hazards model, t</w:t>
      </w:r>
      <w:r w:rsidRPr="004363F1">
        <w:rPr>
          <w:rFonts w:ascii="Times New Roman" w:hAnsi="Times New Roman"/>
          <w:sz w:val="20"/>
          <w:szCs w:val="20"/>
        </w:rPr>
        <w:t xml:space="preserve">his model </w:t>
      </w:r>
      <w:r w:rsidR="009F4209" w:rsidRPr="004363F1">
        <w:rPr>
          <w:rFonts w:ascii="Times New Roman" w:hAnsi="Times New Roman"/>
          <w:sz w:val="20"/>
          <w:szCs w:val="20"/>
        </w:rPr>
        <w:t>expresses the hazard of dying as a linear-in-coefficient</w:t>
      </w:r>
      <w:r w:rsidRPr="004363F1">
        <w:rPr>
          <w:rFonts w:ascii="Times New Roman" w:hAnsi="Times New Roman"/>
          <w:sz w:val="20"/>
          <w:szCs w:val="20"/>
        </w:rPr>
        <w:t xml:space="preserve"> exponential </w:t>
      </w:r>
      <w:r w:rsidR="009F4209" w:rsidRPr="004363F1">
        <w:rPr>
          <w:rFonts w:ascii="Times New Roman" w:hAnsi="Times New Roman"/>
          <w:sz w:val="20"/>
          <w:szCs w:val="20"/>
        </w:rPr>
        <w:t>function of observable explanatory variables:</w:t>
      </w:r>
      <w:r w:rsidRPr="004363F1">
        <w:rPr>
          <w:rFonts w:ascii="Times New Roman" w:hAnsi="Times New Roman"/>
          <w:sz w:val="20"/>
          <w:szCs w:val="20"/>
        </w:rPr>
        <w:t xml:space="preserve"> </w:t>
      </w:r>
    </w:p>
    <w:p w14:paraId="319FFD97" w14:textId="77777777" w:rsidR="004C4E63" w:rsidRPr="004363F1" w:rsidRDefault="00E40366" w:rsidP="00CC0983">
      <w:pPr>
        <w:spacing w:after="0" w:line="240" w:lineRule="auto"/>
        <w:jc w:val="both"/>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m:t>
              </m:r>
              <m:sSup>
                <m:sSupPr>
                  <m:ctrlPr>
                    <w:rPr>
                      <w:rFonts w:ascii="Cambria Math" w:hAnsi="Cambria Math"/>
                      <w:i/>
                      <w:sz w:val="20"/>
                      <w:szCs w:val="20"/>
                    </w:rPr>
                  </m:ctrlPr>
                </m:sSupPr>
                <m:e>
                  <m:r>
                    <m:rPr>
                      <m:sty m:val="bi"/>
                    </m:rPr>
                    <w:rPr>
                      <w:rFonts w:ascii="Cambria Math" w:hAnsi="Cambria Math"/>
                      <w:sz w:val="20"/>
                      <w:szCs w:val="20"/>
                    </w:rPr>
                    <m:t>β</m:t>
                  </m:r>
                </m:e>
                <m:sup>
                  <m:r>
                    <w:rPr>
                      <w:rFonts w:ascii="Cambria Math" w:hAnsi="Cambria Math"/>
                      <w:sz w:val="20"/>
                      <w:szCs w:val="20"/>
                    </w:rPr>
                    <m:t>'</m:t>
                  </m:r>
                </m:sup>
              </m:sSup>
              <m:sSub>
                <m:sSubPr>
                  <m:ctrlPr>
                    <w:rPr>
                      <w:rFonts w:ascii="Cambria Math" w:hAnsi="Cambria Math"/>
                      <w:i/>
                      <w:sz w:val="20"/>
                      <w:szCs w:val="20"/>
                    </w:rPr>
                  </m:ctrlPr>
                </m:sSubPr>
                <m:e>
                  <m:r>
                    <m:rPr>
                      <m:sty m:val="bi"/>
                    </m:rPr>
                    <w:rPr>
                      <w:rFonts w:ascii="Cambria Math" w:hAnsi="Cambria Math"/>
                      <w:sz w:val="20"/>
                      <w:szCs w:val="20"/>
                    </w:rPr>
                    <m:t>X</m:t>
                  </m:r>
                </m:e>
                <m:sub>
                  <m:r>
                    <w:rPr>
                      <w:rFonts w:ascii="Cambria Math" w:hAnsi="Cambria Math"/>
                      <w:sz w:val="20"/>
                      <w:szCs w:val="20"/>
                    </w:rPr>
                    <m:t>it</m:t>
                  </m:r>
                </m:sub>
              </m:sSub>
            </m:sup>
          </m:sSup>
          <m:r>
            <w:rPr>
              <w:rFonts w:ascii="Cambria Math" w:hAnsi="Cambria Math"/>
              <w:sz w:val="20"/>
              <w:szCs w:val="20"/>
            </w:rPr>
            <m:t xml:space="preserve">            for i=1,2,…n    and    t=1, 2, ….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 xml:space="preserve">                                                     (1)  </m:t>
          </m:r>
        </m:oMath>
      </m:oMathPara>
    </w:p>
    <w:p w14:paraId="61D069D6" w14:textId="77777777" w:rsidR="001230D2" w:rsidRPr="004363F1" w:rsidRDefault="004C4E63" w:rsidP="00CC0983">
      <w:pPr>
        <w:spacing w:after="0" w:line="240" w:lineRule="auto"/>
        <w:jc w:val="both"/>
        <w:rPr>
          <w:rFonts w:ascii="Times New Roman" w:eastAsiaTheme="minorEastAsia" w:hAnsi="Times New Roman"/>
          <w:sz w:val="20"/>
          <w:szCs w:val="20"/>
        </w:rPr>
      </w:pPr>
      <w:r w:rsidRPr="004363F1">
        <w:rPr>
          <w:rFonts w:ascii="Times New Roman" w:hAnsi="Times New Roman"/>
          <w:sz w:val="20"/>
          <w:szCs w:val="20"/>
        </w:rPr>
        <w:t xml:space="preserve">where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it</m:t>
            </m:r>
          </m:sub>
        </m:sSub>
      </m:oMath>
      <w:r w:rsidRPr="004363F1">
        <w:rPr>
          <w:rFonts w:ascii="Times New Roman" w:hAnsi="Times New Roman"/>
          <w:sz w:val="20"/>
          <w:szCs w:val="20"/>
        </w:rPr>
        <w:t xml:space="preserve">is the ith patient’s hazard of dying at any time point on day t;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oMath>
      <w:r w:rsidRPr="004363F1">
        <w:rPr>
          <w:rFonts w:ascii="Times New Roman" w:hAnsi="Times New Roman"/>
          <w:sz w:val="20"/>
          <w:szCs w:val="20"/>
        </w:rPr>
        <w:t xml:space="preserve"> is an unknown intercept; </w:t>
      </w:r>
      <m:oMath>
        <m:sSup>
          <m:sSupPr>
            <m:ctrlPr>
              <w:rPr>
                <w:rFonts w:ascii="Cambria Math" w:hAnsi="Cambria Math"/>
                <w:i/>
                <w:sz w:val="20"/>
                <w:szCs w:val="20"/>
              </w:rPr>
            </m:ctrlPr>
          </m:sSupPr>
          <m:e>
            <m:r>
              <m:rPr>
                <m:sty m:val="bi"/>
              </m:rPr>
              <w:rPr>
                <w:rFonts w:ascii="Cambria Math" w:hAnsi="Cambria Math"/>
                <w:sz w:val="20"/>
                <w:szCs w:val="20"/>
              </w:rPr>
              <m:t>β</m:t>
            </m:r>
          </m:e>
          <m:sup>
            <m:r>
              <w:rPr>
                <w:rFonts w:ascii="Cambria Math" w:hAnsi="Cambria Math"/>
                <w:sz w:val="20"/>
                <w:szCs w:val="20"/>
              </w:rPr>
              <m:t>'</m:t>
            </m:r>
          </m:sup>
        </m:sSup>
      </m:oMath>
      <w:r w:rsidRPr="004363F1">
        <w:rPr>
          <w:rFonts w:ascii="Times New Roman" w:hAnsi="Times New Roman"/>
          <w:sz w:val="20"/>
          <w:szCs w:val="20"/>
        </w:rPr>
        <w:t xml:space="preserve"> is a row vector of unknown coefficients; </w:t>
      </w:r>
      <m:oMath>
        <m:sSub>
          <m:sSubPr>
            <m:ctrlPr>
              <w:rPr>
                <w:rFonts w:ascii="Cambria Math" w:hAnsi="Cambria Math"/>
                <w:i/>
                <w:sz w:val="20"/>
                <w:szCs w:val="20"/>
              </w:rPr>
            </m:ctrlPr>
          </m:sSubPr>
          <m:e>
            <m:r>
              <m:rPr>
                <m:sty m:val="bi"/>
              </m:rPr>
              <w:rPr>
                <w:rFonts w:ascii="Cambria Math" w:hAnsi="Cambria Math"/>
                <w:sz w:val="20"/>
                <w:szCs w:val="20"/>
              </w:rPr>
              <m:t>X</m:t>
            </m:r>
          </m:e>
          <m:sub>
            <m:r>
              <w:rPr>
                <w:rFonts w:ascii="Cambria Math" w:hAnsi="Cambria Math"/>
                <w:sz w:val="20"/>
                <w:szCs w:val="20"/>
              </w:rPr>
              <m:t>it</m:t>
            </m:r>
          </m:sub>
        </m:sSub>
      </m:oMath>
      <w:r w:rsidRPr="004363F1">
        <w:rPr>
          <w:rFonts w:ascii="Times New Roman" w:hAnsi="Times New Roman"/>
          <w:sz w:val="20"/>
          <w:szCs w:val="20"/>
        </w:rPr>
        <w:t xml:space="preserve">is a column vector of the explanatory variables that reflect the relevant information on the ith patient up to day t; n is the number of patients in the sample; and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 xml:space="preserve"> </m:t>
        </m:r>
      </m:oMath>
      <w:r w:rsidRPr="004363F1">
        <w:rPr>
          <w:rFonts w:ascii="Times New Roman" w:hAnsi="Times New Roman"/>
          <w:sz w:val="20"/>
          <w:szCs w:val="20"/>
        </w:rPr>
        <w:t xml:space="preserve">is the day when the </w:t>
      </w:r>
      <w:proofErr w:type="spellStart"/>
      <w:r w:rsidRPr="004363F1">
        <w:rPr>
          <w:rFonts w:ascii="Times New Roman" w:hAnsi="Times New Roman"/>
          <w:sz w:val="20"/>
          <w:szCs w:val="20"/>
        </w:rPr>
        <w:t>ith</w:t>
      </w:r>
      <w:proofErr w:type="spellEnd"/>
      <w:r w:rsidRPr="004363F1">
        <w:rPr>
          <w:rFonts w:ascii="Times New Roman" w:hAnsi="Times New Roman"/>
          <w:sz w:val="20"/>
          <w:szCs w:val="20"/>
        </w:rPr>
        <w:t xml:space="preserve"> patient died in ICU/hospital, was discharged, or </w:t>
      </w:r>
      <w:r w:rsidR="00025B70" w:rsidRPr="004363F1">
        <w:rPr>
          <w:rFonts w:ascii="Times New Roman" w:hAnsi="Times New Roman"/>
          <w:sz w:val="20"/>
          <w:szCs w:val="20"/>
        </w:rPr>
        <w:t xml:space="preserve">was censored (day </w:t>
      </w:r>
      <w:r w:rsidR="00A8523B" w:rsidRPr="004363F1">
        <w:rPr>
          <w:rFonts w:ascii="Times New Roman" w:hAnsi="Times New Roman"/>
          <w:sz w:val="20"/>
          <w:szCs w:val="20"/>
        </w:rPr>
        <w:t>28</w:t>
      </w:r>
      <w:r w:rsidR="00025B70" w:rsidRPr="004363F1">
        <w:rPr>
          <w:rFonts w:ascii="Times New Roman" w:hAnsi="Times New Roman"/>
          <w:sz w:val="20"/>
          <w:szCs w:val="20"/>
        </w:rPr>
        <w:t>)</w:t>
      </w:r>
      <w:r w:rsidR="00166D3D" w:rsidRPr="004363F1">
        <w:rPr>
          <w:rFonts w:ascii="Times New Roman" w:hAnsi="Times New Roman"/>
          <w:sz w:val="20"/>
          <w:szCs w:val="20"/>
        </w:rPr>
        <w:t>.  A discharge is defined as the transfer of a live patient from the ICU or hospi</w:t>
      </w:r>
      <w:r w:rsidR="00025B70" w:rsidRPr="004363F1">
        <w:rPr>
          <w:rFonts w:ascii="Times New Roman" w:hAnsi="Times New Roman"/>
          <w:sz w:val="20"/>
          <w:szCs w:val="20"/>
        </w:rPr>
        <w:t>tal to home or other institution</w:t>
      </w:r>
      <w:r w:rsidR="00166D3D" w:rsidRPr="004363F1">
        <w:rPr>
          <w:rFonts w:ascii="Times New Roman" w:hAnsi="Times New Roman"/>
          <w:sz w:val="20"/>
          <w:szCs w:val="20"/>
        </w:rPr>
        <w:t xml:space="preserve"> where the </w:t>
      </w:r>
      <w:r w:rsidR="00451F07" w:rsidRPr="004363F1">
        <w:rPr>
          <w:rFonts w:ascii="Times New Roman" w:hAnsi="Times New Roman"/>
          <w:sz w:val="20"/>
          <w:szCs w:val="20"/>
        </w:rPr>
        <w:t xml:space="preserve">information on </w:t>
      </w:r>
      <w:r w:rsidR="00166D3D" w:rsidRPr="004363F1">
        <w:rPr>
          <w:rFonts w:ascii="Times New Roman" w:hAnsi="Times New Roman"/>
          <w:sz w:val="20"/>
          <w:szCs w:val="20"/>
        </w:rPr>
        <w:t xml:space="preserve">mortality status was no longer collected.  Since each live patient is censored on day 28, both the day of death and the day of discharge are </w:t>
      </w:r>
      <w:r w:rsidR="00166D3D" w:rsidRPr="004363F1">
        <w:rPr>
          <w:rFonts w:ascii="Times New Roman" w:hAnsi="Times New Roman" w:cs="Times New Roman"/>
          <w:sz w:val="20"/>
          <w:szCs w:val="20"/>
        </w:rPr>
        <w:t>≤</w:t>
      </w:r>
      <w:r w:rsidR="00166D3D" w:rsidRPr="004363F1">
        <w:rPr>
          <w:rFonts w:ascii="Times New Roman" w:hAnsi="Times New Roman"/>
          <w:sz w:val="20"/>
          <w:szCs w:val="20"/>
        </w:rPr>
        <w:t xml:space="preserve"> 28.  </w:t>
      </w:r>
      <w:r w:rsidRPr="004363F1">
        <w:rPr>
          <w:rFonts w:ascii="Times New Roman" w:hAnsi="Times New Roman"/>
          <w:sz w:val="20"/>
          <w:szCs w:val="20"/>
        </w:rPr>
        <w:t xml:space="preserve">We use day as the unit of time and call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it</m:t>
            </m:r>
          </m:sub>
        </m:sSub>
      </m:oMath>
      <w:r w:rsidRPr="004363F1">
        <w:rPr>
          <w:rFonts w:ascii="Times New Roman" w:hAnsi="Times New Roman"/>
          <w:sz w:val="20"/>
          <w:szCs w:val="20"/>
        </w:rPr>
        <w:t xml:space="preserve"> the </w:t>
      </w:r>
      <w:r w:rsidRPr="004363F1">
        <w:rPr>
          <w:rFonts w:ascii="Times New Roman" w:hAnsi="Times New Roman"/>
          <w:i/>
          <w:sz w:val="20"/>
          <w:szCs w:val="20"/>
        </w:rPr>
        <w:t>daily hazard of dying</w:t>
      </w:r>
      <w:r w:rsidRPr="004363F1">
        <w:rPr>
          <w:rFonts w:ascii="Times New Roman" w:hAnsi="Times New Roman"/>
          <w:sz w:val="20"/>
          <w:szCs w:val="20"/>
        </w:rPr>
        <w:t xml:space="preserve">. Implicit in this formulation is the simplifying assumption that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it</m:t>
            </m:r>
          </m:sub>
        </m:sSub>
      </m:oMath>
      <w:r w:rsidRPr="004363F1">
        <w:rPr>
          <w:rFonts w:ascii="Times New Roman" w:hAnsi="Times New Roman"/>
          <w:sz w:val="20"/>
          <w:szCs w:val="20"/>
        </w:rPr>
        <w:t xml:space="preserve"> remains constant through all time point</w:t>
      </w:r>
      <w:r w:rsidR="00A8523B" w:rsidRPr="004363F1">
        <w:rPr>
          <w:rFonts w:ascii="Times New Roman" w:hAnsi="Times New Roman"/>
          <w:sz w:val="20"/>
          <w:szCs w:val="20"/>
        </w:rPr>
        <w:t>s</w:t>
      </w:r>
      <w:r w:rsidRPr="004363F1">
        <w:rPr>
          <w:rFonts w:ascii="Times New Roman" w:hAnsi="Times New Roman"/>
          <w:sz w:val="20"/>
          <w:szCs w:val="20"/>
        </w:rPr>
        <w:t xml:space="preserve"> on day t. We call </w:t>
      </w:r>
      <w:proofErr w:type="spellStart"/>
      <w:r w:rsidRPr="004363F1">
        <w:rPr>
          <w:rFonts w:ascii="Times New Roman" w:hAnsi="Times New Roman"/>
          <w:sz w:val="20"/>
          <w:szCs w:val="20"/>
        </w:rPr>
        <w:t>t</w:t>
      </w:r>
      <w:proofErr w:type="spellEnd"/>
      <w:r w:rsidRPr="004363F1">
        <w:rPr>
          <w:rFonts w:ascii="Times New Roman" w:hAnsi="Times New Roman"/>
          <w:sz w:val="20"/>
          <w:szCs w:val="20"/>
        </w:rPr>
        <w:t xml:space="preserve"> the </w:t>
      </w:r>
      <w:r w:rsidRPr="004363F1">
        <w:rPr>
          <w:rFonts w:ascii="Times New Roman" w:hAnsi="Times New Roman"/>
          <w:i/>
          <w:sz w:val="20"/>
          <w:szCs w:val="20"/>
        </w:rPr>
        <w:t>current day</w:t>
      </w:r>
      <w:r w:rsidRPr="004363F1">
        <w:rPr>
          <w:rFonts w:ascii="Times New Roman" w:hAnsi="Times New Roman"/>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oMath>
      <w:r w:rsidRPr="004363F1">
        <w:rPr>
          <w:rFonts w:ascii="Times New Roman" w:hAnsi="Times New Roman"/>
          <w:sz w:val="20"/>
          <w:szCs w:val="20"/>
        </w:rPr>
        <w:t xml:space="preserve"> the </w:t>
      </w:r>
      <w:r w:rsidRPr="004363F1">
        <w:rPr>
          <w:rFonts w:ascii="Times New Roman" w:hAnsi="Times New Roman"/>
          <w:i/>
          <w:sz w:val="20"/>
          <w:szCs w:val="20"/>
        </w:rPr>
        <w:t>last day</w:t>
      </w:r>
      <w:r w:rsidRPr="004363F1">
        <w:rPr>
          <w:rFonts w:ascii="Times New Roman" w:hAnsi="Times New Roman"/>
          <w:sz w:val="20"/>
          <w:szCs w:val="20"/>
        </w:rPr>
        <w:t xml:space="preserve"> of the </w:t>
      </w:r>
      <w:proofErr w:type="spellStart"/>
      <w:r w:rsidRPr="004363F1">
        <w:rPr>
          <w:rFonts w:ascii="Times New Roman" w:hAnsi="Times New Roman"/>
          <w:sz w:val="20"/>
          <w:szCs w:val="20"/>
        </w:rPr>
        <w:t>ith</w:t>
      </w:r>
      <w:proofErr w:type="spellEnd"/>
      <w:r w:rsidRPr="004363F1">
        <w:rPr>
          <w:rFonts w:ascii="Times New Roman" w:hAnsi="Times New Roman"/>
          <w:sz w:val="20"/>
          <w:szCs w:val="20"/>
        </w:rPr>
        <w:t xml:space="preserve"> patient.</w:t>
      </w:r>
      <w:r w:rsidR="00A8523B" w:rsidRPr="004363F1">
        <w:rPr>
          <w:rFonts w:ascii="Times New Roman" w:hAnsi="Times New Roman"/>
          <w:sz w:val="20"/>
          <w:szCs w:val="20"/>
        </w:rPr>
        <w:t xml:space="preserve">  </w:t>
      </w:r>
      <w:r w:rsidR="008504B0" w:rsidRPr="004363F1">
        <w:rPr>
          <w:rFonts w:ascii="Times New Roman" w:hAnsi="Times New Roman"/>
          <w:sz w:val="20"/>
          <w:szCs w:val="20"/>
        </w:rPr>
        <w:t xml:space="preserve">We are mainly interested in how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it</m:t>
            </m:r>
          </m:sub>
        </m:sSub>
      </m:oMath>
      <w:r w:rsidR="008504B0" w:rsidRPr="004363F1">
        <w:rPr>
          <w:rFonts w:ascii="Times New Roman" w:eastAsiaTheme="minorEastAsia" w:hAnsi="Times New Roman"/>
          <w:sz w:val="20"/>
          <w:szCs w:val="20"/>
        </w:rPr>
        <w:t xml:space="preserve"> changed through time in response to changes in six time-varying biological indicators (TVBIs).</w:t>
      </w:r>
    </w:p>
    <w:p w14:paraId="13792ABC" w14:textId="77777777" w:rsidR="006C6C7A" w:rsidRPr="004363F1" w:rsidRDefault="001230D2" w:rsidP="00CC0983">
      <w:pPr>
        <w:spacing w:after="0" w:line="240" w:lineRule="auto"/>
        <w:ind w:firstLine="720"/>
        <w:jc w:val="both"/>
        <w:rPr>
          <w:rFonts w:ascii="Times New Roman" w:eastAsia="MS Mincho" w:hAnsi="Times New Roman"/>
          <w:sz w:val="20"/>
          <w:szCs w:val="20"/>
        </w:rPr>
      </w:pPr>
      <w:r w:rsidRPr="004363F1">
        <w:rPr>
          <w:rFonts w:ascii="Times New Roman" w:hAnsi="Times New Roman"/>
          <w:sz w:val="20"/>
          <w:szCs w:val="20"/>
        </w:rPr>
        <w:t>For each of the</w:t>
      </w:r>
      <w:r w:rsidR="00E327DC" w:rsidRPr="004363F1">
        <w:rPr>
          <w:rFonts w:ascii="Times New Roman" w:hAnsi="Times New Roman"/>
          <w:sz w:val="20"/>
          <w:szCs w:val="20"/>
        </w:rPr>
        <w:t xml:space="preserve"> six</w:t>
      </w:r>
      <w:r w:rsidRPr="004363F1">
        <w:rPr>
          <w:rFonts w:ascii="Times New Roman" w:hAnsi="Times New Roman"/>
          <w:sz w:val="20"/>
          <w:szCs w:val="20"/>
        </w:rPr>
        <w:t xml:space="preserve"> TVBIs, we defined the following three analytical variables: (1) the </w:t>
      </w:r>
      <w:r w:rsidRPr="004363F1">
        <w:rPr>
          <w:rFonts w:ascii="Times New Roman" w:hAnsi="Times New Roman"/>
          <w:i/>
          <w:sz w:val="20"/>
          <w:szCs w:val="20"/>
        </w:rPr>
        <w:t>day 1 variable</w:t>
      </w:r>
      <w:r w:rsidRPr="004363F1">
        <w:rPr>
          <w:rFonts w:ascii="Times New Roman" w:hAnsi="Times New Roman"/>
          <w:sz w:val="20"/>
          <w:szCs w:val="20"/>
        </w:rPr>
        <w:t xml:space="preserve">, which assumes the same day 1 value of the indicator for all </w:t>
      </w:r>
      <m:oMath>
        <m:r>
          <w:rPr>
            <w:rFonts w:ascii="Cambria Math" w:hAnsi="Cambria Math"/>
            <w:sz w:val="20"/>
            <w:szCs w:val="20"/>
          </w:rPr>
          <m:t>t</m:t>
        </m:r>
      </m:oMath>
      <w:r w:rsidRPr="004363F1">
        <w:rPr>
          <w:rFonts w:ascii="Times New Roman" w:eastAsia="MS Mincho" w:hAnsi="Times New Roman"/>
          <w:sz w:val="20"/>
          <w:szCs w:val="20"/>
        </w:rPr>
        <w:t xml:space="preserve">; (2) the </w:t>
      </w:r>
      <w:r w:rsidRPr="004363F1">
        <w:rPr>
          <w:rFonts w:ascii="Times New Roman" w:eastAsia="MS Mincho" w:hAnsi="Times New Roman"/>
          <w:i/>
          <w:sz w:val="20"/>
          <w:szCs w:val="20"/>
        </w:rPr>
        <w:t>current variable</w:t>
      </w:r>
      <w:r w:rsidRPr="004363F1">
        <w:rPr>
          <w:rFonts w:ascii="Times New Roman" w:eastAsia="MS Mincho" w:hAnsi="Times New Roman"/>
          <w:sz w:val="20"/>
          <w:szCs w:val="20"/>
        </w:rPr>
        <w:t>, which assumes the observed (directly observed</w:t>
      </w:r>
      <w:r w:rsidRPr="004363F1">
        <w:rPr>
          <w:rFonts w:ascii="Times New Roman" w:hAnsi="Times New Roman"/>
          <w:sz w:val="20"/>
          <w:szCs w:val="20"/>
        </w:rPr>
        <w:t xml:space="preserve"> or imputed) value of the indicator on day </w:t>
      </w:r>
      <m:oMath>
        <m:r>
          <w:rPr>
            <w:rFonts w:ascii="Cambria Math" w:hAnsi="Cambria Math"/>
            <w:sz w:val="20"/>
            <w:szCs w:val="20"/>
          </w:rPr>
          <m:t>t</m:t>
        </m:r>
      </m:oMath>
      <w:r w:rsidRPr="004363F1">
        <w:rPr>
          <w:rFonts w:ascii="Times New Roman" w:eastAsia="MS Mincho" w:hAnsi="Times New Roman"/>
          <w:sz w:val="20"/>
          <w:szCs w:val="20"/>
        </w:rPr>
        <w:t xml:space="preserve">; and (3) the </w:t>
      </w:r>
      <w:r w:rsidRPr="004363F1">
        <w:rPr>
          <w:rFonts w:ascii="Times New Roman" w:eastAsia="MS Mincho" w:hAnsi="Times New Roman"/>
          <w:i/>
          <w:sz w:val="20"/>
          <w:szCs w:val="20"/>
        </w:rPr>
        <w:t>change variable</w:t>
      </w:r>
      <w:r w:rsidRPr="004363F1">
        <w:rPr>
          <w:rFonts w:ascii="Times New Roman" w:eastAsia="MS Mincho" w:hAnsi="Times New Roman"/>
          <w:sz w:val="20"/>
          <w:szCs w:val="20"/>
        </w:rPr>
        <w:t>, which in its sim</w:t>
      </w:r>
      <w:r w:rsidR="00F46018" w:rsidRPr="004363F1">
        <w:rPr>
          <w:rFonts w:ascii="Times New Roman" w:eastAsia="MS Mincho" w:hAnsi="Times New Roman"/>
          <w:sz w:val="20"/>
          <w:szCs w:val="20"/>
        </w:rPr>
        <w:t>ple form is defined as the current</w:t>
      </w:r>
      <w:r w:rsidRPr="004363F1">
        <w:rPr>
          <w:rFonts w:ascii="Times New Roman" w:eastAsia="MS Mincho" w:hAnsi="Times New Roman"/>
          <w:sz w:val="20"/>
          <w:szCs w:val="20"/>
        </w:rPr>
        <w:t xml:space="preserve"> varia</w:t>
      </w:r>
      <w:r w:rsidR="00F46018" w:rsidRPr="004363F1">
        <w:rPr>
          <w:rFonts w:ascii="Times New Roman" w:eastAsia="MS Mincho" w:hAnsi="Times New Roman"/>
          <w:sz w:val="20"/>
          <w:szCs w:val="20"/>
        </w:rPr>
        <w:t>ble minus the day 1</w:t>
      </w:r>
      <w:r w:rsidRPr="004363F1">
        <w:rPr>
          <w:rFonts w:ascii="Times New Roman" w:eastAsia="MS Mincho" w:hAnsi="Times New Roman"/>
          <w:sz w:val="20"/>
          <w:szCs w:val="20"/>
        </w:rPr>
        <w:t xml:space="preserve"> variable. </w:t>
      </w:r>
      <w:r w:rsidR="002C6C85" w:rsidRPr="004363F1">
        <w:rPr>
          <w:rFonts w:ascii="Times New Roman" w:eastAsia="MS Mincho" w:hAnsi="Times New Roman"/>
          <w:sz w:val="20"/>
          <w:szCs w:val="20"/>
        </w:rPr>
        <w:t>E</w:t>
      </w:r>
      <w:r w:rsidR="00973830" w:rsidRPr="004363F1">
        <w:rPr>
          <w:rFonts w:ascii="Times New Roman" w:eastAsia="MS Mincho" w:hAnsi="Times New Roman"/>
          <w:sz w:val="20"/>
          <w:szCs w:val="20"/>
        </w:rPr>
        <w:t xml:space="preserve">ach TVBI is represented by its </w:t>
      </w:r>
      <w:r w:rsidR="00973830" w:rsidRPr="004363F1">
        <w:rPr>
          <w:rFonts w:ascii="Times New Roman" w:eastAsia="MS Mincho" w:hAnsi="Times New Roman"/>
          <w:i/>
          <w:sz w:val="20"/>
          <w:szCs w:val="20"/>
        </w:rPr>
        <w:t>day 1</w:t>
      </w:r>
      <w:r w:rsidR="00973830" w:rsidRPr="004363F1">
        <w:rPr>
          <w:rFonts w:ascii="Times New Roman" w:eastAsia="MS Mincho" w:hAnsi="Times New Roman"/>
          <w:sz w:val="20"/>
          <w:szCs w:val="20"/>
        </w:rPr>
        <w:t xml:space="preserve"> and </w:t>
      </w:r>
      <w:r w:rsidR="00973830" w:rsidRPr="004363F1">
        <w:rPr>
          <w:rFonts w:ascii="Times New Roman" w:eastAsia="MS Mincho" w:hAnsi="Times New Roman"/>
          <w:i/>
          <w:sz w:val="20"/>
          <w:szCs w:val="20"/>
        </w:rPr>
        <w:t>change</w:t>
      </w:r>
      <w:r w:rsidR="00973830" w:rsidRPr="004363F1">
        <w:rPr>
          <w:rFonts w:ascii="Times New Roman" w:eastAsia="MS Mincho" w:hAnsi="Times New Roman"/>
          <w:sz w:val="20"/>
          <w:szCs w:val="20"/>
        </w:rPr>
        <w:t xml:space="preserve"> variables in the </w:t>
      </w:r>
      <w:r w:rsidR="002C6C85" w:rsidRPr="004363F1">
        <w:rPr>
          <w:rFonts w:ascii="Times New Roman" w:eastAsia="MS Mincho" w:hAnsi="Times New Roman"/>
          <w:sz w:val="20"/>
          <w:szCs w:val="20"/>
        </w:rPr>
        <w:t xml:space="preserve">CLOGLOG </w:t>
      </w:r>
      <w:r w:rsidR="00973830" w:rsidRPr="004363F1">
        <w:rPr>
          <w:rFonts w:ascii="Times New Roman" w:eastAsia="MS Mincho" w:hAnsi="Times New Roman"/>
          <w:sz w:val="20"/>
          <w:szCs w:val="20"/>
        </w:rPr>
        <w:t>model</w:t>
      </w:r>
      <w:r w:rsidR="002C6C85" w:rsidRPr="004363F1">
        <w:rPr>
          <w:rFonts w:ascii="Times New Roman" w:eastAsia="MS Mincho" w:hAnsi="Times New Roman"/>
          <w:sz w:val="20"/>
          <w:szCs w:val="20"/>
        </w:rPr>
        <w:t xml:space="preserve">, with the day 1 variable quantifying the </w:t>
      </w:r>
      <w:r w:rsidR="002C6C85" w:rsidRPr="004363F1">
        <w:rPr>
          <w:rFonts w:ascii="Times New Roman" w:eastAsia="MS Mincho" w:hAnsi="Times New Roman"/>
          <w:i/>
          <w:sz w:val="20"/>
          <w:szCs w:val="20"/>
        </w:rPr>
        <w:t>initial</w:t>
      </w:r>
      <w:r w:rsidRPr="004363F1">
        <w:rPr>
          <w:rFonts w:ascii="Times New Roman" w:eastAsia="MS Mincho" w:hAnsi="Times New Roman"/>
          <w:sz w:val="20"/>
          <w:szCs w:val="20"/>
        </w:rPr>
        <w:t xml:space="preserve"> </w:t>
      </w:r>
      <w:r w:rsidRPr="004363F1">
        <w:rPr>
          <w:rFonts w:ascii="Times New Roman" w:eastAsia="MS Mincho" w:hAnsi="Times New Roman"/>
          <w:i/>
          <w:sz w:val="20"/>
          <w:szCs w:val="20"/>
        </w:rPr>
        <w:t>level effect</w:t>
      </w:r>
      <w:r w:rsidRPr="004363F1">
        <w:rPr>
          <w:rFonts w:ascii="Times New Roman" w:eastAsia="MS Mincho" w:hAnsi="Times New Roman"/>
          <w:sz w:val="20"/>
          <w:szCs w:val="20"/>
        </w:rPr>
        <w:t xml:space="preserve">, </w:t>
      </w:r>
      <w:r w:rsidR="002C6C85" w:rsidRPr="004363F1">
        <w:rPr>
          <w:rFonts w:ascii="Times New Roman" w:eastAsia="MS Mincho" w:hAnsi="Times New Roman"/>
          <w:sz w:val="20"/>
          <w:szCs w:val="20"/>
        </w:rPr>
        <w:t>and the change variable</w:t>
      </w:r>
      <w:r w:rsidRPr="004363F1">
        <w:rPr>
          <w:rFonts w:ascii="Times New Roman" w:eastAsia="MS Mincho" w:hAnsi="Times New Roman"/>
          <w:sz w:val="20"/>
          <w:szCs w:val="20"/>
        </w:rPr>
        <w:t xml:space="preserve"> quantify</w:t>
      </w:r>
      <w:r w:rsidR="002C6C85" w:rsidRPr="004363F1">
        <w:rPr>
          <w:rFonts w:ascii="Times New Roman" w:eastAsia="MS Mincho" w:hAnsi="Times New Roman"/>
          <w:sz w:val="20"/>
          <w:szCs w:val="20"/>
        </w:rPr>
        <w:t>ing</w:t>
      </w:r>
      <w:r w:rsidRPr="004363F1">
        <w:rPr>
          <w:rFonts w:ascii="Times New Roman" w:eastAsia="MS Mincho" w:hAnsi="Times New Roman"/>
          <w:sz w:val="20"/>
          <w:szCs w:val="20"/>
        </w:rPr>
        <w:t xml:space="preserve"> the </w:t>
      </w:r>
      <w:r w:rsidRPr="004363F1">
        <w:rPr>
          <w:rFonts w:ascii="Times New Roman" w:eastAsia="MS Mincho" w:hAnsi="Times New Roman"/>
          <w:i/>
          <w:sz w:val="20"/>
          <w:szCs w:val="20"/>
        </w:rPr>
        <w:t>change effect</w:t>
      </w:r>
      <w:r w:rsidR="002C6C85" w:rsidRPr="004363F1">
        <w:rPr>
          <w:rFonts w:ascii="Times New Roman" w:eastAsia="MS Mincho" w:hAnsi="Times New Roman"/>
          <w:i/>
          <w:sz w:val="20"/>
          <w:szCs w:val="20"/>
        </w:rPr>
        <w:t xml:space="preserve"> </w:t>
      </w:r>
      <w:r w:rsidR="002C6C85" w:rsidRPr="004363F1">
        <w:rPr>
          <w:rFonts w:ascii="Times New Roman" w:eastAsia="MS Mincho" w:hAnsi="Times New Roman"/>
          <w:sz w:val="20"/>
          <w:szCs w:val="20"/>
        </w:rPr>
        <w:t xml:space="preserve">since day 1. </w:t>
      </w:r>
      <w:r w:rsidR="00644394" w:rsidRPr="004363F1">
        <w:rPr>
          <w:rFonts w:ascii="Times New Roman" w:eastAsia="MS Mincho" w:hAnsi="Times New Roman"/>
          <w:sz w:val="20"/>
          <w:szCs w:val="20"/>
        </w:rPr>
        <w:t>T</w:t>
      </w:r>
      <w:r w:rsidR="00071931" w:rsidRPr="004363F1">
        <w:rPr>
          <w:rFonts w:ascii="Times New Roman" w:eastAsia="MS Mincho" w:hAnsi="Times New Roman"/>
          <w:sz w:val="20"/>
          <w:szCs w:val="20"/>
        </w:rPr>
        <w:t xml:space="preserve">o enhance the model’s predictive power and </w:t>
      </w:r>
      <w:r w:rsidR="00644394" w:rsidRPr="004363F1">
        <w:rPr>
          <w:rFonts w:ascii="Times New Roman" w:eastAsia="MS Mincho" w:hAnsi="Times New Roman"/>
          <w:sz w:val="20"/>
          <w:szCs w:val="20"/>
        </w:rPr>
        <w:t xml:space="preserve">to </w:t>
      </w:r>
      <w:r w:rsidR="00451F07" w:rsidRPr="004363F1">
        <w:rPr>
          <w:rFonts w:ascii="Times New Roman" w:eastAsia="MS Mincho" w:hAnsi="Times New Roman"/>
          <w:sz w:val="20"/>
          <w:szCs w:val="20"/>
        </w:rPr>
        <w:t xml:space="preserve">obtain </w:t>
      </w:r>
      <w:r w:rsidR="00644394" w:rsidRPr="004363F1">
        <w:rPr>
          <w:rFonts w:ascii="Times New Roman" w:eastAsia="MS Mincho" w:hAnsi="Times New Roman"/>
          <w:sz w:val="20"/>
          <w:szCs w:val="20"/>
        </w:rPr>
        <w:t>biologically meaningful insights</w:t>
      </w:r>
      <w:r w:rsidR="00071931" w:rsidRPr="004363F1">
        <w:rPr>
          <w:rFonts w:ascii="Times New Roman" w:eastAsia="MS Mincho" w:hAnsi="Times New Roman"/>
          <w:sz w:val="20"/>
          <w:szCs w:val="20"/>
        </w:rPr>
        <w:t xml:space="preserve"> in regards to </w:t>
      </w:r>
      <w:r w:rsidR="00BC766B" w:rsidRPr="004363F1">
        <w:rPr>
          <w:rFonts w:ascii="Times New Roman" w:eastAsia="MS Mincho" w:hAnsi="Times New Roman"/>
          <w:sz w:val="20"/>
          <w:szCs w:val="20"/>
        </w:rPr>
        <w:t xml:space="preserve">inter-patient differences and temporal </w:t>
      </w:r>
      <w:r w:rsidR="00071931" w:rsidRPr="004363F1">
        <w:rPr>
          <w:rFonts w:ascii="Times New Roman" w:eastAsia="MS Mincho" w:hAnsi="Times New Roman"/>
          <w:sz w:val="20"/>
          <w:szCs w:val="20"/>
        </w:rPr>
        <w:t xml:space="preserve">changes in TVBI values, we </w:t>
      </w:r>
      <w:r w:rsidR="002C6C85" w:rsidRPr="004363F1">
        <w:rPr>
          <w:rFonts w:ascii="Times New Roman" w:eastAsia="MS Mincho" w:hAnsi="Times New Roman"/>
          <w:sz w:val="20"/>
          <w:szCs w:val="20"/>
        </w:rPr>
        <w:t>transform</w:t>
      </w:r>
      <w:r w:rsidR="00071931" w:rsidRPr="004363F1">
        <w:rPr>
          <w:rFonts w:ascii="Times New Roman" w:eastAsia="MS Mincho" w:hAnsi="Times New Roman"/>
          <w:sz w:val="20"/>
          <w:szCs w:val="20"/>
        </w:rPr>
        <w:t xml:space="preserve"> some of these variables</w:t>
      </w:r>
      <w:r w:rsidR="00F46018" w:rsidRPr="004363F1">
        <w:rPr>
          <w:rFonts w:ascii="Times New Roman" w:eastAsia="MS Mincho" w:hAnsi="Times New Roman"/>
          <w:sz w:val="20"/>
          <w:szCs w:val="20"/>
        </w:rPr>
        <w:t>, as described and explained</w:t>
      </w:r>
      <w:r w:rsidR="00D7303E" w:rsidRPr="004363F1">
        <w:rPr>
          <w:rFonts w:ascii="Times New Roman" w:eastAsia="MS Mincho" w:hAnsi="Times New Roman"/>
          <w:sz w:val="20"/>
          <w:szCs w:val="20"/>
        </w:rPr>
        <w:t xml:space="preserve"> in </w:t>
      </w:r>
      <w:r w:rsidR="00774B2D" w:rsidRPr="004363F1">
        <w:rPr>
          <w:rFonts w:ascii="Times New Roman" w:eastAsia="MS Mincho" w:hAnsi="Times New Roman"/>
          <w:sz w:val="20"/>
          <w:szCs w:val="20"/>
        </w:rPr>
        <w:t xml:space="preserve">Supplemental Text </w:t>
      </w:r>
      <w:r w:rsidR="00071931" w:rsidRPr="004363F1">
        <w:rPr>
          <w:rFonts w:ascii="Times New Roman" w:eastAsia="MS Mincho" w:hAnsi="Times New Roman"/>
          <w:sz w:val="20"/>
          <w:szCs w:val="20"/>
        </w:rPr>
        <w:t>3.</w:t>
      </w:r>
    </w:p>
    <w:p w14:paraId="2A6928AB" w14:textId="77777777" w:rsidR="001230D2" w:rsidRPr="004363F1" w:rsidRDefault="006C6C7A" w:rsidP="00CC0983">
      <w:pPr>
        <w:spacing w:after="0" w:line="240" w:lineRule="auto"/>
        <w:ind w:firstLine="720"/>
        <w:jc w:val="both"/>
        <w:rPr>
          <w:rFonts w:ascii="Times New Roman" w:eastAsia="MS Mincho" w:hAnsi="Times New Roman"/>
          <w:sz w:val="20"/>
          <w:szCs w:val="20"/>
        </w:rPr>
      </w:pPr>
      <w:r w:rsidRPr="004363F1">
        <w:rPr>
          <w:rFonts w:ascii="Times New Roman" w:eastAsia="MS Mincho" w:hAnsi="Times New Roman"/>
          <w:sz w:val="20"/>
          <w:szCs w:val="20"/>
        </w:rPr>
        <w:t xml:space="preserve">For any </w:t>
      </w:r>
      <w:r w:rsidR="00754E58" w:rsidRPr="004363F1">
        <w:rPr>
          <w:rFonts w:ascii="Times New Roman" w:eastAsia="MS Mincho" w:hAnsi="Times New Roman"/>
          <w:sz w:val="20"/>
          <w:szCs w:val="20"/>
        </w:rPr>
        <w:t xml:space="preserve">daily </w:t>
      </w:r>
      <w:r w:rsidRPr="004363F1">
        <w:rPr>
          <w:rFonts w:ascii="Times New Roman" w:eastAsia="MS Mincho" w:hAnsi="Times New Roman"/>
          <w:sz w:val="20"/>
          <w:szCs w:val="20"/>
        </w:rPr>
        <w:t xml:space="preserve">value of a current variable that is not directly observed, we imputed it as follows.  If the day in question is preceded by at least one day with directly observed value and is followed by at least one day with directly observed value, then it is linearly interpolated from the two closest observed values. Otherwise, it is set to be equal to the nearest observed value. </w:t>
      </w:r>
      <w:r w:rsidR="00EA4225" w:rsidRPr="004363F1">
        <w:rPr>
          <w:rFonts w:ascii="Times New Roman" w:eastAsia="MS Mincho" w:hAnsi="Times New Roman"/>
          <w:sz w:val="20"/>
          <w:szCs w:val="20"/>
        </w:rPr>
        <w:t xml:space="preserve">Note that for any TVBI, we do not allow any missing </w:t>
      </w:r>
      <w:r w:rsidR="00863473" w:rsidRPr="004363F1">
        <w:rPr>
          <w:rFonts w:ascii="Times New Roman" w:eastAsia="MS Mincho" w:hAnsi="Times New Roman"/>
          <w:sz w:val="20"/>
          <w:szCs w:val="20"/>
        </w:rPr>
        <w:t xml:space="preserve">daily </w:t>
      </w:r>
      <w:r w:rsidR="00EA4225" w:rsidRPr="004363F1">
        <w:rPr>
          <w:rFonts w:ascii="Times New Roman" w:eastAsia="MS Mincho" w:hAnsi="Times New Roman"/>
          <w:sz w:val="20"/>
          <w:szCs w:val="20"/>
        </w:rPr>
        <w:t>value of a patient be imputed from the observed values of any other patient.</w:t>
      </w:r>
      <w:r w:rsidRPr="004363F1">
        <w:rPr>
          <w:rFonts w:ascii="Times New Roman" w:eastAsia="MS Mincho" w:hAnsi="Times New Roman"/>
          <w:sz w:val="20"/>
          <w:szCs w:val="20"/>
        </w:rPr>
        <w:t xml:space="preserve"> </w:t>
      </w:r>
      <w:r w:rsidR="00F3511B" w:rsidRPr="004363F1">
        <w:rPr>
          <w:rFonts w:ascii="Times New Roman" w:eastAsia="MS Mincho" w:hAnsi="Times New Roman"/>
          <w:sz w:val="20"/>
          <w:szCs w:val="20"/>
        </w:rPr>
        <w:t xml:space="preserve"> </w:t>
      </w:r>
    </w:p>
    <w:p w14:paraId="1F49EEB5" w14:textId="77777777" w:rsidR="00FB601C" w:rsidRPr="004363F1" w:rsidRDefault="00FB601C" w:rsidP="00CC0983">
      <w:pPr>
        <w:spacing w:after="0" w:line="240" w:lineRule="auto"/>
        <w:ind w:firstLine="720"/>
        <w:jc w:val="both"/>
        <w:rPr>
          <w:rFonts w:ascii="Times New Roman" w:eastAsia="MS Mincho" w:hAnsi="Times New Roman"/>
          <w:sz w:val="20"/>
          <w:szCs w:val="20"/>
        </w:rPr>
      </w:pPr>
      <w:r w:rsidRPr="004363F1">
        <w:rPr>
          <w:rFonts w:ascii="Times New Roman" w:eastAsia="MS Mincho" w:hAnsi="Times New Roman"/>
          <w:sz w:val="20"/>
          <w:szCs w:val="20"/>
        </w:rPr>
        <w:t>To reduce the risk of making misleading inference</w:t>
      </w:r>
      <w:r w:rsidR="00780064" w:rsidRPr="004363F1">
        <w:rPr>
          <w:rFonts w:ascii="Times New Roman" w:eastAsia="MS Mincho" w:hAnsi="Times New Roman"/>
          <w:sz w:val="20"/>
          <w:szCs w:val="20"/>
        </w:rPr>
        <w:t>s</w:t>
      </w:r>
      <w:r w:rsidRPr="004363F1">
        <w:rPr>
          <w:rFonts w:ascii="Times New Roman" w:eastAsia="MS Mincho" w:hAnsi="Times New Roman"/>
          <w:sz w:val="20"/>
          <w:szCs w:val="20"/>
        </w:rPr>
        <w:t xml:space="preserve"> from observation</w:t>
      </w:r>
      <w:r w:rsidR="004D62D1" w:rsidRPr="004363F1">
        <w:rPr>
          <w:rFonts w:ascii="Times New Roman" w:eastAsia="MS Mincho" w:hAnsi="Times New Roman"/>
          <w:sz w:val="20"/>
          <w:szCs w:val="20"/>
        </w:rPr>
        <w:t>al</w:t>
      </w:r>
      <w:r w:rsidRPr="004363F1">
        <w:rPr>
          <w:rFonts w:ascii="Times New Roman" w:eastAsia="MS Mincho" w:hAnsi="Times New Roman"/>
          <w:sz w:val="20"/>
          <w:szCs w:val="20"/>
        </w:rPr>
        <w:t xml:space="preserve"> data</w:t>
      </w:r>
      <w:r w:rsidR="00901DD6" w:rsidRPr="004363F1">
        <w:rPr>
          <w:rFonts w:ascii="Times New Roman" w:eastAsia="MS Mincho" w:hAnsi="Times New Roman"/>
          <w:sz w:val="20"/>
          <w:szCs w:val="20"/>
        </w:rPr>
        <w:t xml:space="preserve">, </w:t>
      </w:r>
      <w:r w:rsidRPr="004363F1">
        <w:rPr>
          <w:rFonts w:ascii="Times New Roman" w:eastAsia="MS Mincho" w:hAnsi="Times New Roman"/>
          <w:sz w:val="20"/>
          <w:szCs w:val="20"/>
        </w:rPr>
        <w:t>our model includes the following contextual variables: two preconditions (</w:t>
      </w:r>
      <w:r w:rsidR="00071931" w:rsidRPr="004363F1">
        <w:rPr>
          <w:rFonts w:ascii="Times New Roman" w:eastAsia="MS Mincho" w:hAnsi="Times New Roman"/>
          <w:sz w:val="20"/>
          <w:szCs w:val="20"/>
        </w:rPr>
        <w:t>chronic lung disease and previous brain injury</w:t>
      </w:r>
      <w:r w:rsidR="00757F3C" w:rsidRPr="004363F1">
        <w:rPr>
          <w:rFonts w:ascii="Times New Roman" w:eastAsia="MS Mincho" w:hAnsi="Times New Roman"/>
          <w:sz w:val="20"/>
          <w:szCs w:val="20"/>
        </w:rPr>
        <w:t>,</w:t>
      </w:r>
      <w:r w:rsidR="00757F3C" w:rsidRPr="004363F1">
        <w:rPr>
          <w:rFonts w:ascii="Times New Roman" w:eastAsia="MS Mincho" w:hAnsi="Times New Roman"/>
          <w:color w:val="FF0000"/>
          <w:sz w:val="20"/>
          <w:szCs w:val="20"/>
        </w:rPr>
        <w:t xml:space="preserve"> </w:t>
      </w:r>
      <w:r w:rsidR="00757F3C" w:rsidRPr="004363F1">
        <w:rPr>
          <w:rFonts w:ascii="Times New Roman" w:eastAsia="MS Mincho" w:hAnsi="Times New Roman"/>
          <w:sz w:val="20"/>
          <w:szCs w:val="20"/>
        </w:rPr>
        <w:t>with each represented by a separate dummy variable</w:t>
      </w:r>
      <w:r w:rsidRPr="004363F1">
        <w:rPr>
          <w:rFonts w:ascii="Times New Roman" w:eastAsia="MS Mincho" w:hAnsi="Times New Roman"/>
          <w:sz w:val="20"/>
          <w:szCs w:val="20"/>
        </w:rPr>
        <w:t xml:space="preserve">), age, </w:t>
      </w:r>
      <w:r w:rsidR="00780064" w:rsidRPr="004363F1">
        <w:rPr>
          <w:rFonts w:ascii="Times New Roman" w:eastAsia="MS Mincho" w:hAnsi="Times New Roman"/>
          <w:sz w:val="20"/>
          <w:szCs w:val="20"/>
        </w:rPr>
        <w:t xml:space="preserve">duration of stay, </w:t>
      </w:r>
      <w:r w:rsidRPr="004363F1">
        <w:rPr>
          <w:rFonts w:ascii="Times New Roman" w:eastAsia="MS Mincho" w:hAnsi="Times New Roman"/>
          <w:sz w:val="20"/>
          <w:szCs w:val="20"/>
        </w:rPr>
        <w:t xml:space="preserve">and </w:t>
      </w:r>
      <w:proofErr w:type="gramStart"/>
      <w:r w:rsidR="00780064" w:rsidRPr="004363F1">
        <w:rPr>
          <w:rFonts w:ascii="Times New Roman" w:eastAsia="MS Mincho" w:hAnsi="Times New Roman"/>
          <w:sz w:val="20"/>
          <w:szCs w:val="20"/>
        </w:rPr>
        <w:t>log(</w:t>
      </w:r>
      <w:proofErr w:type="gramEnd"/>
      <w:r w:rsidRPr="004363F1">
        <w:rPr>
          <w:rFonts w:ascii="Times New Roman" w:eastAsia="MS Mincho" w:hAnsi="Times New Roman"/>
          <w:sz w:val="20"/>
          <w:szCs w:val="20"/>
        </w:rPr>
        <w:t>duration</w:t>
      </w:r>
      <w:r w:rsidR="00780064" w:rsidRPr="004363F1">
        <w:rPr>
          <w:rFonts w:ascii="Times New Roman" w:eastAsia="MS Mincho" w:hAnsi="Times New Roman"/>
          <w:sz w:val="20"/>
          <w:szCs w:val="20"/>
        </w:rPr>
        <w:t xml:space="preserve"> of stay)</w:t>
      </w:r>
      <w:r w:rsidRPr="004363F1">
        <w:rPr>
          <w:rFonts w:ascii="Times New Roman" w:eastAsia="MS Mincho" w:hAnsi="Times New Roman"/>
          <w:sz w:val="20"/>
          <w:szCs w:val="20"/>
        </w:rPr>
        <w:t>.</w:t>
      </w:r>
      <w:r w:rsidR="00D7303E" w:rsidRPr="004363F1">
        <w:rPr>
          <w:rFonts w:ascii="Times New Roman" w:eastAsia="MS Mincho" w:hAnsi="Times New Roman"/>
          <w:sz w:val="20"/>
          <w:szCs w:val="20"/>
        </w:rPr>
        <w:t xml:space="preserve">  In </w:t>
      </w:r>
      <w:r w:rsidR="00774B2D" w:rsidRPr="004363F1">
        <w:rPr>
          <w:rFonts w:ascii="Times New Roman" w:eastAsia="MS Mincho" w:hAnsi="Times New Roman"/>
          <w:sz w:val="20"/>
          <w:szCs w:val="20"/>
        </w:rPr>
        <w:t xml:space="preserve">Supplemental Text </w:t>
      </w:r>
      <w:r w:rsidR="00780064" w:rsidRPr="004363F1">
        <w:rPr>
          <w:rFonts w:ascii="Times New Roman" w:eastAsia="MS Mincho" w:hAnsi="Times New Roman"/>
          <w:sz w:val="20"/>
          <w:szCs w:val="20"/>
        </w:rPr>
        <w:t xml:space="preserve">4, we provide evidence that the omission of duration and log(duration) from the model resulted in some misleading findings.  </w:t>
      </w:r>
    </w:p>
    <w:p w14:paraId="72574D46" w14:textId="77777777" w:rsidR="006579D6" w:rsidRPr="004363F1" w:rsidRDefault="006579D6" w:rsidP="00CC0983">
      <w:pPr>
        <w:spacing w:after="0" w:line="240" w:lineRule="auto"/>
        <w:ind w:firstLine="720"/>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To estimate the unknown coe</w:t>
      </w:r>
      <w:r w:rsidR="00A73F16" w:rsidRPr="004363F1">
        <w:rPr>
          <w:rFonts w:ascii="Times New Roman" w:eastAsiaTheme="minorEastAsia" w:hAnsi="Times New Roman" w:cs="Times New Roman"/>
          <w:sz w:val="20"/>
          <w:szCs w:val="20"/>
          <w:lang w:val="en-CA" w:eastAsia="ja-JP"/>
        </w:rPr>
        <w:t xml:space="preserve">fficients </w:t>
      </w:r>
      <w:r w:rsidRPr="004363F1">
        <w:rPr>
          <w:rFonts w:ascii="Times New Roman" w:eastAsiaTheme="minorEastAsia" w:hAnsi="Times New Roman" w:cs="Times New Roman"/>
          <w:sz w:val="20"/>
          <w:szCs w:val="20"/>
          <w:lang w:val="en-CA" w:eastAsia="ja-JP"/>
        </w:rPr>
        <w:t>of the CLOGLOG model</w:t>
      </w:r>
      <w:r w:rsidR="00A73F16" w:rsidRPr="004363F1">
        <w:rPr>
          <w:rFonts w:ascii="Times New Roman" w:eastAsiaTheme="minorEastAsia" w:hAnsi="Times New Roman" w:cs="Times New Roman"/>
          <w:sz w:val="20"/>
          <w:szCs w:val="20"/>
          <w:lang w:val="en-CA" w:eastAsia="ja-JP"/>
        </w:rPr>
        <w:t>, we use</w:t>
      </w:r>
      <w:r w:rsidRPr="004363F1">
        <w:rPr>
          <w:rFonts w:ascii="Times New Roman" w:eastAsiaTheme="minorEastAsia" w:hAnsi="Times New Roman" w:cs="Times New Roman"/>
          <w:sz w:val="20"/>
          <w:szCs w:val="20"/>
          <w:lang w:val="en-CA" w:eastAsia="ja-JP"/>
        </w:rPr>
        <w:t xml:space="preserve"> the </w:t>
      </w:r>
      <w:r w:rsidRPr="004363F1">
        <w:rPr>
          <w:rFonts w:ascii="Times New Roman" w:eastAsiaTheme="minorEastAsia" w:hAnsi="Times New Roman" w:cs="Times New Roman"/>
          <w:i/>
          <w:sz w:val="20"/>
          <w:szCs w:val="20"/>
          <w:lang w:val="en-CA" w:eastAsia="ja-JP"/>
        </w:rPr>
        <w:t>maximum likelihood method</w:t>
      </w:r>
      <w:r w:rsidRPr="004363F1">
        <w:rPr>
          <w:rFonts w:ascii="Times New Roman" w:eastAsiaTheme="minorEastAsia" w:hAnsi="Times New Roman" w:cs="Times New Roman"/>
          <w:sz w:val="20"/>
          <w:szCs w:val="20"/>
          <w:lang w:val="en-CA" w:eastAsia="ja-JP"/>
        </w:rPr>
        <w:t xml:space="preserve"> in the following way. We first </w:t>
      </w:r>
      <w:r w:rsidR="00037250" w:rsidRPr="004363F1">
        <w:rPr>
          <w:rFonts w:ascii="Times New Roman" w:eastAsiaTheme="minorEastAsia" w:hAnsi="Times New Roman" w:cs="Times New Roman"/>
          <w:sz w:val="20"/>
          <w:szCs w:val="20"/>
          <w:lang w:val="en-CA" w:eastAsia="ja-JP"/>
        </w:rPr>
        <w:t>translate the daily hazard of dying</w:t>
      </w:r>
      <w:r w:rsidR="00B257A3" w:rsidRPr="004363F1">
        <w:rPr>
          <w:rFonts w:ascii="Times New Roman" w:eastAsiaTheme="minorEastAsia" w:hAnsi="Times New Roman" w:cs="Times New Roman"/>
          <w:sz w:val="20"/>
          <w:szCs w:val="20"/>
          <w:lang w:val="en-CA" w:eastAsia="ja-JP"/>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it</m:t>
            </m:r>
          </m:sub>
        </m:sSub>
      </m:oMath>
      <w:r w:rsidR="00037250" w:rsidRPr="004363F1">
        <w:rPr>
          <w:rFonts w:ascii="Times New Roman" w:eastAsiaTheme="minorEastAsia" w:hAnsi="Times New Roman" w:cs="Times New Roman"/>
          <w:sz w:val="20"/>
          <w:szCs w:val="20"/>
          <w:lang w:val="en-CA" w:eastAsia="ja-JP"/>
        </w:rPr>
        <w:t xml:space="preserve"> </w:t>
      </w:r>
      <w:r w:rsidRPr="004363F1">
        <w:rPr>
          <w:rFonts w:ascii="Times New Roman" w:eastAsiaTheme="minorEastAsia" w:hAnsi="Times New Roman" w:cs="Times New Roman"/>
          <w:sz w:val="20"/>
          <w:szCs w:val="20"/>
          <w:lang w:val="en-CA" w:eastAsia="ja-JP"/>
        </w:rPr>
        <w:t>in</w:t>
      </w:r>
      <w:r w:rsidR="00037250" w:rsidRPr="004363F1">
        <w:rPr>
          <w:rFonts w:ascii="Times New Roman" w:eastAsiaTheme="minorEastAsia" w:hAnsi="Times New Roman" w:cs="Times New Roman"/>
          <w:sz w:val="20"/>
          <w:szCs w:val="20"/>
          <w:lang w:val="en-CA" w:eastAsia="ja-JP"/>
        </w:rPr>
        <w:t>to the dail</w:t>
      </w:r>
      <w:r w:rsidR="00B257A3" w:rsidRPr="004363F1">
        <w:rPr>
          <w:rFonts w:ascii="Times New Roman" w:eastAsiaTheme="minorEastAsia" w:hAnsi="Times New Roman" w:cs="Times New Roman"/>
          <w:sz w:val="20"/>
          <w:szCs w:val="20"/>
          <w:lang w:val="en-CA" w:eastAsia="ja-JP"/>
        </w:rPr>
        <w:t xml:space="preserve">y probability of </w:t>
      </w:r>
      <w:r w:rsidR="00037250" w:rsidRPr="004363F1">
        <w:rPr>
          <w:rFonts w:ascii="Times New Roman" w:eastAsiaTheme="minorEastAsia" w:hAnsi="Times New Roman" w:cs="Times New Roman"/>
          <w:sz w:val="20"/>
          <w:szCs w:val="20"/>
          <w:lang w:val="en-CA" w:eastAsia="ja-JP"/>
        </w:rPr>
        <w:t>dying</w:t>
      </w:r>
      <w:r w:rsidR="00B257A3" w:rsidRPr="004363F1">
        <w:rPr>
          <w:rFonts w:ascii="Times New Roman" w:eastAsiaTheme="minorEastAsia" w:hAnsi="Times New Roman" w:cs="Times New Roman"/>
          <w:sz w:val="20"/>
          <w:szCs w:val="20"/>
          <w:lang w:val="en-CA" w:eastAsia="ja-JP"/>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it</m:t>
            </m:r>
          </m:sub>
        </m:sSub>
      </m:oMath>
      <w:r w:rsidR="00B257A3" w:rsidRPr="004363F1">
        <w:rPr>
          <w:rFonts w:ascii="Times New Roman" w:eastAsiaTheme="minorEastAsia" w:hAnsi="Times New Roman" w:cs="Times New Roman"/>
          <w:sz w:val="20"/>
          <w:szCs w:val="20"/>
        </w:rPr>
        <w:t xml:space="preserve">, </w:t>
      </w:r>
      <w:r w:rsidR="00B257A3" w:rsidRPr="004363F1">
        <w:rPr>
          <w:rFonts w:ascii="Times New Roman" w:eastAsiaTheme="minorEastAsia" w:hAnsi="Times New Roman" w:cs="Times New Roman"/>
          <w:i/>
          <w:sz w:val="20"/>
          <w:szCs w:val="20"/>
        </w:rPr>
        <w:t>conditional</w:t>
      </w:r>
      <w:r w:rsidR="00B257A3" w:rsidRPr="004363F1">
        <w:rPr>
          <w:rFonts w:ascii="Times New Roman" w:eastAsiaTheme="minorEastAsia" w:hAnsi="Times New Roman" w:cs="Times New Roman"/>
          <w:sz w:val="20"/>
          <w:szCs w:val="20"/>
        </w:rPr>
        <w:t xml:space="preserve"> on the survival to the beginning of day t</w:t>
      </w:r>
      <w:r w:rsidR="00B257A3" w:rsidRPr="004363F1">
        <w:rPr>
          <w:rFonts w:ascii="Times New Roman" w:eastAsiaTheme="minorEastAsia" w:hAnsi="Times New Roman" w:cs="Times New Roman"/>
          <w:sz w:val="20"/>
          <w:szCs w:val="20"/>
          <w:lang w:val="en-CA" w:eastAsia="ja-JP"/>
        </w:rPr>
        <w:t xml:space="preserve">. </w:t>
      </w:r>
      <w:r w:rsidR="00037250" w:rsidRPr="004363F1">
        <w:rPr>
          <w:rFonts w:ascii="Times New Roman" w:eastAsiaTheme="minorEastAsia" w:hAnsi="Times New Roman" w:cs="Times New Roman"/>
          <w:sz w:val="20"/>
          <w:szCs w:val="20"/>
          <w:lang w:val="en-CA" w:eastAsia="ja-JP"/>
        </w:rPr>
        <w:t xml:space="preserve"> </w:t>
      </w:r>
      <w:r w:rsidR="00B257A3" w:rsidRPr="004363F1">
        <w:rPr>
          <w:rFonts w:ascii="Times New Roman" w:eastAsiaTheme="minorEastAsia" w:hAnsi="Times New Roman" w:cs="Times New Roman"/>
          <w:sz w:val="20"/>
          <w:szCs w:val="20"/>
          <w:lang w:val="en-CA" w:eastAsia="ja-JP"/>
        </w:rPr>
        <w:t xml:space="preserve">Since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it</m:t>
            </m:r>
          </m:sub>
        </m:sSub>
      </m:oMath>
      <w:r w:rsidR="00645026" w:rsidRPr="004363F1">
        <w:rPr>
          <w:rFonts w:ascii="Times New Roman" w:eastAsiaTheme="minorEastAsia" w:hAnsi="Times New Roman" w:cs="Times New Roman"/>
          <w:sz w:val="20"/>
          <w:szCs w:val="20"/>
          <w:lang w:val="en-CA" w:eastAsia="ja-JP"/>
        </w:rPr>
        <w:t xml:space="preserve"> </w:t>
      </w:r>
      <w:r w:rsidR="00B257A3" w:rsidRPr="004363F1">
        <w:rPr>
          <w:rFonts w:ascii="Times New Roman" w:eastAsiaTheme="minorEastAsia" w:hAnsi="Times New Roman" w:cs="Times New Roman"/>
          <w:sz w:val="20"/>
          <w:szCs w:val="20"/>
          <w:lang w:val="en-CA" w:eastAsia="ja-JP"/>
        </w:rPr>
        <w:t>is assumed to be co</w:t>
      </w:r>
      <w:r w:rsidRPr="004363F1">
        <w:rPr>
          <w:rFonts w:ascii="Times New Roman" w:eastAsiaTheme="minorEastAsia" w:hAnsi="Times New Roman" w:cs="Times New Roman"/>
          <w:sz w:val="20"/>
          <w:szCs w:val="20"/>
          <w:lang w:val="en-CA" w:eastAsia="ja-JP"/>
        </w:rPr>
        <w:t>nstant through all time point</w:t>
      </w:r>
      <w:r w:rsidR="008113A6" w:rsidRPr="004363F1">
        <w:rPr>
          <w:rFonts w:ascii="Times New Roman" w:eastAsiaTheme="minorEastAsia" w:hAnsi="Times New Roman" w:cs="Times New Roman"/>
          <w:sz w:val="20"/>
          <w:szCs w:val="20"/>
          <w:lang w:val="en-CA" w:eastAsia="ja-JP"/>
        </w:rPr>
        <w:t>s</w:t>
      </w:r>
      <w:r w:rsidRPr="004363F1">
        <w:rPr>
          <w:rFonts w:ascii="Times New Roman" w:eastAsiaTheme="minorEastAsia" w:hAnsi="Times New Roman" w:cs="Times New Roman"/>
          <w:sz w:val="20"/>
          <w:szCs w:val="20"/>
          <w:lang w:val="en-CA" w:eastAsia="ja-JP"/>
        </w:rPr>
        <w:t xml:space="preserve"> on</w:t>
      </w:r>
      <w:r w:rsidR="00B257A3" w:rsidRPr="004363F1">
        <w:rPr>
          <w:rFonts w:ascii="Times New Roman" w:eastAsiaTheme="minorEastAsia" w:hAnsi="Times New Roman" w:cs="Times New Roman"/>
          <w:sz w:val="20"/>
          <w:szCs w:val="20"/>
          <w:lang w:val="en-CA" w:eastAsia="ja-JP"/>
        </w:rPr>
        <w:t xml:space="preserve"> day t,</w:t>
      </w:r>
      <w:r w:rsidR="00A73F16" w:rsidRPr="004363F1">
        <w:rPr>
          <w:rFonts w:ascii="Times New Roman" w:eastAsiaTheme="minorEastAsia" w:hAnsi="Times New Roman" w:cs="Times New Roman"/>
          <w:sz w:val="20"/>
          <w:szCs w:val="20"/>
          <w:lang w:val="en-CA" w:eastAsia="ja-JP"/>
        </w:rPr>
        <w:t xml:space="preserve"> we fi</w:t>
      </w:r>
      <w:r w:rsidR="008113A6" w:rsidRPr="004363F1">
        <w:rPr>
          <w:rFonts w:ascii="Times New Roman" w:eastAsiaTheme="minorEastAsia" w:hAnsi="Times New Roman" w:cs="Times New Roman"/>
          <w:sz w:val="20"/>
          <w:szCs w:val="20"/>
          <w:lang w:val="en-CA" w:eastAsia="ja-JP"/>
        </w:rPr>
        <w:t>nd that</w:t>
      </w:r>
      <w:r w:rsidR="00B257A3" w:rsidRPr="004363F1">
        <w:rPr>
          <w:rFonts w:ascii="Times New Roman" w:eastAsiaTheme="minorEastAsia" w:hAnsi="Times New Roman" w:cs="Times New Roman"/>
          <w:sz w:val="20"/>
          <w:szCs w:val="20"/>
          <w:lang w:val="en-CA" w:eastAsia="ja-JP"/>
        </w:rPr>
        <w:t xml:space="preserve"> </w:t>
      </w:r>
    </w:p>
    <w:p w14:paraId="1A3C6720" w14:textId="77777777" w:rsidR="0047777F" w:rsidRPr="004363F1" w:rsidRDefault="00B257A3" w:rsidP="00CC0983">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lang w:val="en-CA" w:eastAsia="ja-JP"/>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it</m:t>
            </m:r>
          </m:sub>
        </m:sSub>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it</m:t>
                </m:r>
              </m:sub>
            </m:sSub>
          </m:sup>
        </m:sSup>
        <m:r>
          <w:rPr>
            <w:rFonts w:ascii="Cambria Math" w:hAnsi="Cambria Math" w:cs="Times New Roman"/>
            <w:sz w:val="20"/>
            <w:szCs w:val="20"/>
          </w:rPr>
          <m:t xml:space="preserve">=1- </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p>
                  <m:sSupPr>
                    <m:ctrlPr>
                      <w:rPr>
                        <w:rFonts w:ascii="Cambria Math" w:hAnsi="Cambria Math" w:cs="Times New Roman"/>
                        <w:i/>
                        <w:sz w:val="20"/>
                        <w:szCs w:val="20"/>
                      </w:rPr>
                    </m:ctrlPr>
                  </m:sSupPr>
                  <m:e>
                    <m:r>
                      <m:rPr>
                        <m:sty m:val="bi"/>
                      </m:rPr>
                      <w:rPr>
                        <w:rFonts w:ascii="Cambria Math" w:hAnsi="Cambria Math" w:cs="Times New Roman"/>
                        <w:sz w:val="20"/>
                        <w:szCs w:val="20"/>
                      </w:rPr>
                      <m:t>β</m:t>
                    </m:r>
                  </m:e>
                  <m:sup>
                    <m:r>
                      <w:rPr>
                        <w:rFonts w:ascii="Cambria Math" w:hAnsi="Cambria Math" w:cs="Times New Roman"/>
                        <w:sz w:val="20"/>
                        <w:szCs w:val="20"/>
                      </w:rPr>
                      <m:t>'</m:t>
                    </m:r>
                  </m:sup>
                </m:sSup>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it</m:t>
                    </m:r>
                  </m:sub>
                </m:sSub>
              </m:sup>
            </m:sSup>
          </m:sup>
        </m:sSup>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2</m:t>
            </m:r>
          </m:e>
        </m:d>
      </m:oMath>
    </w:p>
    <w:p w14:paraId="1A4CF14C" w14:textId="77777777" w:rsidR="00645026" w:rsidRPr="004363F1" w:rsidRDefault="00645026" w:rsidP="00CC0983">
      <w:pPr>
        <w:spacing w:after="0" w:line="240" w:lineRule="auto"/>
        <w:jc w:val="both"/>
        <w:rPr>
          <w:rFonts w:ascii="Times New Roman" w:hAnsi="Times New Roman" w:cs="Times New Roman"/>
          <w:sz w:val="20"/>
          <w:szCs w:val="20"/>
        </w:rPr>
      </w:pPr>
      <w:r w:rsidRPr="004363F1">
        <w:rPr>
          <w:rFonts w:ascii="Times New Roman" w:eastAsiaTheme="minorEastAsia" w:hAnsi="Times New Roman" w:cs="Times New Roman"/>
          <w:sz w:val="20"/>
          <w:szCs w:val="20"/>
        </w:rPr>
        <w:t xml:space="preserve">Let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oMath>
      <w:r w:rsidRPr="004363F1">
        <w:rPr>
          <w:rFonts w:ascii="Times New Roman" w:hAnsi="Times New Roman" w:cs="Times New Roman"/>
          <w:sz w:val="20"/>
          <w:szCs w:val="20"/>
        </w:rPr>
        <w:t xml:space="preserve"> be a dummy variable that assumes the value of 1 if the ith person died on day</w:t>
      </w:r>
      <w:r w:rsidR="006579D6" w:rsidRPr="004363F1">
        <w:rPr>
          <w:rFonts w:ascii="Times New Roman" w:hAnsi="Times New Roman" w:cs="Times New Roman"/>
          <w:sz w:val="20"/>
          <w:szCs w:val="20"/>
        </w:rPr>
        <w:t xml:space="preserve"> </w:t>
      </w:r>
      <w:r w:rsidR="00A73F16" w:rsidRPr="004363F1">
        <w:rPr>
          <w:rFonts w:ascii="Times New Roman" w:hAnsi="Times New Roman" w:cs="Times New Roman"/>
          <w:sz w:val="20"/>
          <w:szCs w:val="20"/>
        </w:rPr>
        <w:t>t. The unknown coefficients are</w:t>
      </w:r>
      <w:r w:rsidRPr="004363F1">
        <w:rPr>
          <w:rFonts w:ascii="Times New Roman" w:hAnsi="Times New Roman" w:cs="Times New Roman"/>
          <w:sz w:val="20"/>
          <w:szCs w:val="20"/>
        </w:rPr>
        <w:t xml:space="preserve"> estimated by maximizing the following log-likelihood function </w:t>
      </w:r>
    </w:p>
    <w:p w14:paraId="14D1ACB4" w14:textId="77777777" w:rsidR="00645026" w:rsidRPr="004363F1" w:rsidRDefault="00645026" w:rsidP="00CC0983">
      <w:pPr>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L</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r>
                <m:rPr>
                  <m:sty m:val="bi"/>
                </m:rPr>
                <w:rPr>
                  <w:rFonts w:ascii="Cambria Math" w:hAnsi="Cambria Math" w:cs="Times New Roman"/>
                  <w:sz w:val="20"/>
                  <w:szCs w:val="20"/>
                </w:rPr>
                <m:t>β</m:t>
              </m:r>
            </m:e>
          </m:d>
          <m:r>
            <w:rPr>
              <w:rFonts w:ascii="Cambria Math" w:hAnsi="Cambria Math" w:cs="Times New Roman"/>
              <w:sz w:val="20"/>
              <w:szCs w:val="20"/>
            </w:rPr>
            <m:t xml:space="preserve">= </m:t>
          </m:r>
          <m:nary>
            <m:naryPr>
              <m:chr m:val="∑"/>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nary>
                <m:naryPr>
                  <m:chr m:val="∑"/>
                  <m:ctrlPr>
                    <w:rPr>
                      <w:rFonts w:ascii="Cambria Math" w:hAnsi="Cambria Math" w:cs="Times New Roman"/>
                      <w:i/>
                      <w:sz w:val="20"/>
                      <w:szCs w:val="20"/>
                    </w:rPr>
                  </m:ctrlPr>
                </m:naryPr>
                <m:sub>
                  <m:r>
                    <w:rPr>
                      <w:rFonts w:ascii="Cambria Math" w:hAnsi="Cambria Math" w:cs="Times New Roman"/>
                      <w:sz w:val="20"/>
                      <w:szCs w:val="20"/>
                    </w:rPr>
                    <m:t>t=1</m:t>
                  </m:r>
                </m:sub>
                <m:sup>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r>
                    <m:rPr>
                      <m:sty m:val="p"/>
                    </m:rPr>
                    <w:rPr>
                      <w:rFonts w:ascii="Cambria Math" w:hAnsi="Cambria Math" w:cs="Times New Roman"/>
                      <w:sz w:val="20"/>
                      <w:szCs w:val="20"/>
                    </w:rPr>
                    <m:t>log⁡</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it</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 xml:space="preserve">1-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e>
                  </m:d>
                  <m:r>
                    <m:rPr>
                      <m:sty m:val="p"/>
                    </m:rPr>
                    <w:rPr>
                      <w:rFonts w:ascii="Cambria Math" w:hAnsi="Cambria Math" w:cs="Times New Roman"/>
                      <w:sz w:val="20"/>
                      <w:szCs w:val="20"/>
                    </w:rPr>
                    <m:t>log⁡</m:t>
                  </m:r>
                  <m:r>
                    <w:rPr>
                      <w:rFonts w:ascii="Cambria Math" w:hAnsi="Cambria Math" w:cs="Times New Roman"/>
                      <w:sz w:val="20"/>
                      <w:szCs w:val="20"/>
                    </w:rPr>
                    <m:t xml:space="preserve">(1-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it</m:t>
                      </m:r>
                    </m:sub>
                  </m:sSub>
                  <m:r>
                    <w:rPr>
                      <w:rFonts w:ascii="Cambria Math" w:hAnsi="Cambria Math" w:cs="Times New Roman"/>
                      <w:sz w:val="20"/>
                      <w:szCs w:val="20"/>
                    </w:rPr>
                    <m:t xml:space="preserve">)] </m:t>
                  </m:r>
                </m:e>
              </m:nary>
            </m:e>
          </m:nary>
          <m:r>
            <w:rPr>
              <w:rFonts w:ascii="Cambria Math" w:hAnsi="Cambria Math" w:cs="Times New Roman"/>
              <w:sz w:val="20"/>
              <w:szCs w:val="20"/>
            </w:rPr>
            <m:t xml:space="preserve">                                                           (3)</m:t>
          </m:r>
        </m:oMath>
      </m:oMathPara>
    </w:p>
    <w:p w14:paraId="4ADB42CB" w14:textId="77777777" w:rsidR="00645026" w:rsidRPr="004363F1" w:rsidRDefault="005D4C74" w:rsidP="00CC0983">
      <w:pPr>
        <w:spacing w:after="0" w:line="240" w:lineRule="auto"/>
        <w:jc w:val="both"/>
        <w:rPr>
          <w:rFonts w:ascii="Times New Roman" w:hAnsi="Times New Roman" w:cs="Times New Roman"/>
          <w:sz w:val="20"/>
          <w:szCs w:val="20"/>
        </w:rPr>
      </w:pPr>
      <w:r w:rsidRPr="004363F1">
        <w:rPr>
          <w:rFonts w:ascii="Times New Roman" w:hAnsi="Times New Roman" w:cs="Times New Roman"/>
          <w:sz w:val="20"/>
          <w:szCs w:val="20"/>
        </w:rPr>
        <w:t>Note that “log” me</w:t>
      </w:r>
      <w:r w:rsidR="00096F63" w:rsidRPr="004363F1">
        <w:rPr>
          <w:rFonts w:ascii="Times New Roman" w:hAnsi="Times New Roman" w:cs="Times New Roman"/>
          <w:sz w:val="20"/>
          <w:szCs w:val="20"/>
        </w:rPr>
        <w:t>ans</w:t>
      </w:r>
      <w:r w:rsidRPr="004363F1">
        <w:rPr>
          <w:rFonts w:ascii="Times New Roman" w:hAnsi="Times New Roman" w:cs="Times New Roman"/>
          <w:sz w:val="20"/>
          <w:szCs w:val="20"/>
        </w:rPr>
        <w:t xml:space="preserve"> natural logarithm. </w:t>
      </w:r>
      <w:r w:rsidR="00645026" w:rsidRPr="004363F1">
        <w:rPr>
          <w:rFonts w:ascii="Times New Roman" w:hAnsi="Times New Roman" w:cs="Times New Roman"/>
          <w:sz w:val="20"/>
          <w:szCs w:val="20"/>
        </w:rPr>
        <w:t>To c</w:t>
      </w:r>
      <w:r w:rsidR="00A73F16" w:rsidRPr="004363F1">
        <w:rPr>
          <w:rFonts w:ascii="Times New Roman" w:hAnsi="Times New Roman" w:cs="Times New Roman"/>
          <w:sz w:val="20"/>
          <w:szCs w:val="20"/>
        </w:rPr>
        <w:t>arry out the estimation, we use</w:t>
      </w:r>
      <w:r w:rsidR="00645026" w:rsidRPr="004363F1">
        <w:rPr>
          <w:rFonts w:ascii="Times New Roman" w:hAnsi="Times New Roman" w:cs="Times New Roman"/>
          <w:sz w:val="20"/>
          <w:szCs w:val="20"/>
        </w:rPr>
        <w:t xml:space="preserve"> the Logistic procedure of SAS</w:t>
      </w:r>
      <w:r w:rsidR="00F434CA" w:rsidRPr="004363F1">
        <w:rPr>
          <w:rFonts w:ascii="Times New Roman" w:hAnsi="Times New Roman" w:cs="Times New Roman"/>
          <w:sz w:val="20"/>
          <w:szCs w:val="20"/>
        </w:rPr>
        <w:t xml:space="preserve"> (Version 9.4)</w:t>
      </w:r>
      <w:r w:rsidR="00645026" w:rsidRPr="004363F1">
        <w:rPr>
          <w:rFonts w:ascii="Times New Roman" w:hAnsi="Times New Roman" w:cs="Times New Roman"/>
          <w:sz w:val="20"/>
          <w:szCs w:val="20"/>
        </w:rPr>
        <w:t xml:space="preserve"> with the option of LINK=CLOGLOG </w:t>
      </w:r>
      <w:r w:rsidR="00D80E1B" w:rsidRPr="004363F1">
        <w:rPr>
          <w:rFonts w:ascii="Times New Roman" w:hAnsi="Times New Roman" w:cs="Times New Roman"/>
          <w:sz w:val="20"/>
          <w:szCs w:val="20"/>
        </w:rPr>
        <w:fldChar w:fldCharType="begin"/>
      </w:r>
      <w:r w:rsidR="00200E17" w:rsidRPr="004363F1">
        <w:rPr>
          <w:rFonts w:ascii="Times New Roman" w:hAnsi="Times New Roman" w:cs="Times New Roman"/>
          <w:sz w:val="20"/>
          <w:szCs w:val="20"/>
        </w:rPr>
        <w:instrText xml:space="preserve"> ADDIN REFMGR.CITE &lt;Refman&gt;&lt;Cite&gt;&lt;Author&gt;Allison&lt;/Author&gt;&lt;Year&gt;2010&lt;/Year&gt;&lt;RecNum&gt;12080&lt;/RecNum&gt;&lt;IDText&gt;Survival Analysis Using SAS: A Practical Guide, Second Edition.&lt;/IDText&gt;&lt;MDL Ref_Type="Journal"&gt;&lt;Ref_Type&gt;Journal&lt;/Ref_Type&gt;&lt;Ref_ID&gt;12080&lt;/Ref_ID&gt;&lt;Title_Primary&gt;&lt;f name="Times New Roman"&gt;&lt;i&gt;Survival Analysis Using SAS: A Practical Guide,&lt;/i&gt;&lt;/f&gt;&lt;f name="Times New Roman"&gt; &lt;/f&gt;&lt;f name="Times New Roman"&gt;&lt;i&gt;Second Edition&lt;/i&gt;&lt;/f&gt;&lt;f name="Times New Roman"&gt;.&lt;/f&gt;&lt;/Title_Primary&gt;&lt;Authors_Primary&gt;Allison,P.D&lt;/Authors_Primary&gt;&lt;Date_Primary&gt;2010&lt;/Date_Primary&gt;&lt;Keywords&gt;Survival&lt;/Keywords&gt;&lt;Keywords&gt;Survival Analysis&lt;/Keywords&gt;&lt;Keywords&gt;analysis&lt;/Keywords&gt;&lt;Reprint&gt;Not in File&lt;/Reprint&gt;&lt;Start_Page&gt;158&lt;/Start_Page&gt;&lt;End_Page&gt;172&lt;/End_Page&gt;&lt;Periodical&gt;SAS Institute Inc.&lt;/Periodical&gt;&lt;ZZ_JournalStdAbbrev&gt;&lt;f name="System"&gt;SAS Institute Inc.&lt;/f&gt;&lt;/ZZ_JournalStdAbbrev&gt;&lt;ZZ_WorkformID&gt;1&lt;/ZZ_WorkformID&gt;&lt;/MDL&gt;&lt;/Cite&gt;&lt;/Refman&gt;</w:instrText>
      </w:r>
      <w:r w:rsidR="00D80E1B" w:rsidRPr="004363F1">
        <w:rPr>
          <w:rFonts w:ascii="Times New Roman" w:hAnsi="Times New Roman" w:cs="Times New Roman"/>
          <w:sz w:val="20"/>
          <w:szCs w:val="20"/>
        </w:rPr>
        <w:fldChar w:fldCharType="separate"/>
      </w:r>
      <w:r w:rsidR="00D80E1B" w:rsidRPr="004363F1">
        <w:rPr>
          <w:rFonts w:ascii="Times New Roman" w:hAnsi="Times New Roman" w:cs="Times New Roman"/>
          <w:sz w:val="20"/>
          <w:szCs w:val="20"/>
        </w:rPr>
        <w:t>(2)</w:t>
      </w:r>
      <w:r w:rsidR="00D80E1B" w:rsidRPr="004363F1">
        <w:rPr>
          <w:rFonts w:ascii="Times New Roman" w:hAnsi="Times New Roman" w:cs="Times New Roman"/>
          <w:sz w:val="20"/>
          <w:szCs w:val="20"/>
        </w:rPr>
        <w:fldChar w:fldCharType="end"/>
      </w:r>
      <w:r w:rsidR="00645026" w:rsidRPr="004363F1">
        <w:rPr>
          <w:rFonts w:ascii="Times New Roman" w:hAnsi="Times New Roman" w:cs="Times New Roman"/>
          <w:sz w:val="20"/>
          <w:szCs w:val="20"/>
        </w:rPr>
        <w:t xml:space="preserve">.  </w:t>
      </w:r>
    </w:p>
    <w:p w14:paraId="589E3193" w14:textId="77777777" w:rsidR="00645026" w:rsidRPr="004363F1" w:rsidRDefault="00645026" w:rsidP="00CC0983">
      <w:pPr>
        <w:spacing w:after="0" w:line="240" w:lineRule="auto"/>
        <w:ind w:firstLine="720"/>
        <w:jc w:val="both"/>
        <w:rPr>
          <w:rFonts w:ascii="Times New Roman" w:hAnsi="Times New Roman" w:cs="Times New Roman"/>
          <w:sz w:val="20"/>
          <w:szCs w:val="20"/>
        </w:rPr>
      </w:pPr>
      <w:r w:rsidRPr="004363F1">
        <w:rPr>
          <w:rFonts w:ascii="Times New Roman" w:hAnsi="Times New Roman" w:cs="Times New Roman"/>
          <w:sz w:val="20"/>
          <w:szCs w:val="20"/>
        </w:rPr>
        <w:t>Math</w:t>
      </w:r>
      <w:r w:rsidR="009C21E9" w:rsidRPr="004363F1">
        <w:rPr>
          <w:rFonts w:ascii="Times New Roman" w:hAnsi="Times New Roman" w:cs="Times New Roman"/>
          <w:sz w:val="20"/>
          <w:szCs w:val="20"/>
        </w:rPr>
        <w:t>ematically, Eq. (</w:t>
      </w:r>
      <w:r w:rsidR="00083068" w:rsidRPr="004363F1">
        <w:rPr>
          <w:rFonts w:ascii="Times New Roman" w:hAnsi="Times New Roman" w:cs="Times New Roman"/>
          <w:sz w:val="20"/>
          <w:szCs w:val="20"/>
        </w:rPr>
        <w:t>2</w:t>
      </w:r>
      <w:r w:rsidRPr="004363F1">
        <w:rPr>
          <w:rFonts w:ascii="Times New Roman" w:hAnsi="Times New Roman" w:cs="Times New Roman"/>
          <w:sz w:val="20"/>
          <w:szCs w:val="20"/>
        </w:rPr>
        <w:t>) is equivalent to</w:t>
      </w:r>
    </w:p>
    <w:p w14:paraId="47E0A759" w14:textId="77777777" w:rsidR="00645026" w:rsidRPr="004363F1" w:rsidRDefault="00E40366" w:rsidP="00CC0983">
      <w:pPr>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log⁡(-log⁡</m:t>
              </m:r>
              <m:r>
                <w:rPr>
                  <w:rFonts w:ascii="Cambria Math" w:hAnsi="Cambria Math" w:cs="Times New Roman"/>
                  <w:sz w:val="20"/>
                  <w:szCs w:val="20"/>
                </w:rPr>
                <m:t>(1-P</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p>
            <m:sSupPr>
              <m:ctrlPr>
                <w:rPr>
                  <w:rFonts w:ascii="Cambria Math" w:hAnsi="Cambria Math" w:cs="Times New Roman"/>
                  <w:i/>
                  <w:sz w:val="20"/>
                  <w:szCs w:val="20"/>
                </w:rPr>
              </m:ctrlPr>
            </m:sSupPr>
            <m:e>
              <m:r>
                <m:rPr>
                  <m:sty m:val="bi"/>
                </m:rPr>
                <w:rPr>
                  <w:rFonts w:ascii="Cambria Math" w:hAnsi="Cambria Math" w:cs="Times New Roman"/>
                  <w:sz w:val="20"/>
                  <w:szCs w:val="20"/>
                </w:rPr>
                <m:t>β</m:t>
              </m:r>
            </m:e>
            <m:sup>
              <m:r>
                <w:rPr>
                  <w:rFonts w:ascii="Cambria Math" w:hAnsi="Cambria Math" w:cs="Times New Roman"/>
                  <w:sz w:val="20"/>
                  <w:szCs w:val="20"/>
                </w:rPr>
                <m:t>'</m:t>
              </m:r>
            </m:sup>
          </m:sSup>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it</m:t>
              </m:r>
            </m:sub>
          </m:sSub>
          <m:r>
            <w:rPr>
              <w:rFonts w:ascii="Cambria Math" w:hAnsi="Cambria Math" w:cs="Times New Roman"/>
              <w:sz w:val="20"/>
              <w:szCs w:val="20"/>
            </w:rPr>
            <m:t xml:space="preserve">                                                                                                     (4)</m:t>
          </m:r>
        </m:oMath>
      </m:oMathPara>
    </w:p>
    <w:p w14:paraId="1080DE19" w14:textId="77777777" w:rsidR="00E71AF5" w:rsidRPr="004363F1" w:rsidRDefault="00645026" w:rsidP="00CC0983">
      <w:pPr>
        <w:spacing w:after="0" w:line="240" w:lineRule="auto"/>
        <w:jc w:val="both"/>
        <w:rPr>
          <w:rFonts w:ascii="Times New Roman" w:hAnsi="Times New Roman" w:cs="Times New Roman"/>
          <w:sz w:val="20"/>
          <w:szCs w:val="20"/>
        </w:rPr>
      </w:pPr>
      <w:r w:rsidRPr="004363F1">
        <w:rPr>
          <w:rFonts w:ascii="Times New Roman" w:hAnsi="Times New Roman" w:cs="Times New Roman"/>
          <w:sz w:val="20"/>
          <w:szCs w:val="20"/>
        </w:rPr>
        <w:t xml:space="preserve">Since the left-hand-side </w:t>
      </w:r>
      <w:r w:rsidR="009C21E9" w:rsidRPr="004363F1">
        <w:rPr>
          <w:rFonts w:ascii="Times New Roman" w:hAnsi="Times New Roman" w:cs="Times New Roman"/>
          <w:sz w:val="20"/>
          <w:szCs w:val="20"/>
        </w:rPr>
        <w:t>of Eq. (</w:t>
      </w:r>
      <w:r w:rsidR="00083068" w:rsidRPr="004363F1">
        <w:rPr>
          <w:rFonts w:ascii="Times New Roman" w:hAnsi="Times New Roman" w:cs="Times New Roman"/>
          <w:sz w:val="20"/>
          <w:szCs w:val="20"/>
        </w:rPr>
        <w:t>4</w:t>
      </w:r>
      <w:r w:rsidRPr="004363F1">
        <w:rPr>
          <w:rFonts w:ascii="Times New Roman" w:hAnsi="Times New Roman" w:cs="Times New Roman"/>
          <w:sz w:val="20"/>
          <w:szCs w:val="20"/>
        </w:rPr>
        <w:t xml:space="preserve">) is called a complementary log-log function of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it</m:t>
            </m:r>
          </m:sub>
        </m:sSub>
      </m:oMath>
      <w:r w:rsidRPr="004363F1">
        <w:rPr>
          <w:rFonts w:ascii="Times New Roman" w:hAnsi="Times New Roman" w:cs="Times New Roman"/>
          <w:sz w:val="20"/>
          <w:szCs w:val="20"/>
        </w:rPr>
        <w:t>, this model is cal</w:t>
      </w:r>
      <w:r w:rsidR="00D96581" w:rsidRPr="004363F1">
        <w:rPr>
          <w:rFonts w:ascii="Times New Roman" w:hAnsi="Times New Roman" w:cs="Times New Roman"/>
          <w:sz w:val="20"/>
          <w:szCs w:val="20"/>
        </w:rPr>
        <w:t>led</w:t>
      </w:r>
      <w:r w:rsidR="008576B0" w:rsidRPr="004363F1">
        <w:rPr>
          <w:rFonts w:ascii="Times New Roman" w:hAnsi="Times New Roman" w:cs="Times New Roman"/>
          <w:sz w:val="20"/>
          <w:szCs w:val="20"/>
        </w:rPr>
        <w:t xml:space="preserve"> a</w:t>
      </w:r>
      <w:r w:rsidRPr="004363F1">
        <w:rPr>
          <w:rFonts w:ascii="Times New Roman" w:hAnsi="Times New Roman" w:cs="Times New Roman"/>
          <w:sz w:val="20"/>
          <w:szCs w:val="20"/>
        </w:rPr>
        <w:t xml:space="preserve"> </w:t>
      </w:r>
      <w:r w:rsidR="00835D86" w:rsidRPr="004363F1">
        <w:rPr>
          <w:rFonts w:ascii="Times New Roman" w:hAnsi="Times New Roman" w:cs="Times New Roman"/>
          <w:i/>
          <w:sz w:val="20"/>
          <w:szCs w:val="20"/>
        </w:rPr>
        <w:t xml:space="preserve">complementary log-log model </w:t>
      </w:r>
      <w:r w:rsidR="00835D86" w:rsidRPr="004363F1">
        <w:rPr>
          <w:rFonts w:ascii="Times New Roman" w:hAnsi="Times New Roman" w:cs="Times New Roman"/>
          <w:i/>
          <w:sz w:val="20"/>
          <w:szCs w:val="20"/>
        </w:rPr>
        <w:fldChar w:fldCharType="begin"/>
      </w:r>
      <w:r w:rsidR="00200E17" w:rsidRPr="004363F1">
        <w:rPr>
          <w:rFonts w:ascii="Times New Roman" w:hAnsi="Times New Roman" w:cs="Times New Roman"/>
          <w:i/>
          <w:sz w:val="20"/>
          <w:szCs w:val="20"/>
        </w:rPr>
        <w:instrText xml:space="preserve"> ADDIN REFMGR.CITE &lt;Refman&gt;&lt;Cite&gt;&lt;Author&gt;Allison&lt;/Author&gt;&lt;Year&gt;2010&lt;/Year&gt;&lt;RecNum&gt;12080&lt;/RecNum&gt;&lt;IDText&gt;Survival Analysis Using SAS: A Practical Guide, Second Edition.&lt;/IDText&gt;&lt;MDL Ref_Type="Journal"&gt;&lt;Ref_Type&gt;Journal&lt;/Ref_Type&gt;&lt;Ref_ID&gt;12080&lt;/Ref_ID&gt;&lt;Title_Primary&gt;&lt;f name="Times New Roman"&gt;&lt;i&gt;Survival Analysis Using SAS: A Practical Guide,&lt;/i&gt;&lt;/f&gt;&lt;f name="Times New Roman"&gt; &lt;/f&gt;&lt;f name="Times New Roman"&gt;&lt;i&gt;Second Edition&lt;/i&gt;&lt;/f&gt;&lt;f name="Times New Roman"&gt;.&lt;/f&gt;&lt;/Title_Primary&gt;&lt;Authors_Primary&gt;Allison,P.D&lt;/Authors_Primary&gt;&lt;Date_Primary&gt;2010&lt;/Date_Primary&gt;&lt;Keywords&gt;Survival&lt;/Keywords&gt;&lt;Keywords&gt;Survival Analysis&lt;/Keywords&gt;&lt;Keywords&gt;analysis&lt;/Keywords&gt;&lt;Reprint&gt;Not in File&lt;/Reprint&gt;&lt;Start_Page&gt;158&lt;/Start_Page&gt;&lt;End_Page&gt;172&lt;/End_Page&gt;&lt;Periodical&gt;SAS Institute Inc.&lt;/Periodical&gt;&lt;ZZ_JournalStdAbbrev&gt;&lt;f name="System"&gt;SAS Institute Inc.&lt;/f&gt;&lt;/ZZ_JournalStdAbbrev&gt;&lt;ZZ_WorkformID&gt;1&lt;/ZZ_WorkformID&gt;&lt;/MDL&gt;&lt;/Cite&gt;&lt;/Refman&gt;</w:instrText>
      </w:r>
      <w:r w:rsidR="00835D86" w:rsidRPr="004363F1">
        <w:rPr>
          <w:rFonts w:ascii="Times New Roman" w:hAnsi="Times New Roman" w:cs="Times New Roman"/>
          <w:i/>
          <w:sz w:val="20"/>
          <w:szCs w:val="20"/>
        </w:rPr>
        <w:fldChar w:fldCharType="separate"/>
      </w:r>
      <w:r w:rsidR="00835D86" w:rsidRPr="004363F1">
        <w:rPr>
          <w:rFonts w:ascii="Times New Roman" w:hAnsi="Times New Roman" w:cs="Times New Roman"/>
          <w:i/>
          <w:sz w:val="20"/>
          <w:szCs w:val="20"/>
        </w:rPr>
        <w:t>(2)</w:t>
      </w:r>
      <w:r w:rsidR="00835D86" w:rsidRPr="004363F1">
        <w:rPr>
          <w:rFonts w:ascii="Times New Roman" w:hAnsi="Times New Roman" w:cs="Times New Roman"/>
          <w:i/>
          <w:sz w:val="20"/>
          <w:szCs w:val="20"/>
        </w:rPr>
        <w:fldChar w:fldCharType="end"/>
      </w:r>
      <w:r w:rsidRPr="004363F1">
        <w:rPr>
          <w:rFonts w:ascii="Times New Roman" w:hAnsi="Times New Roman" w:cs="Times New Roman"/>
          <w:sz w:val="20"/>
          <w:szCs w:val="20"/>
        </w:rPr>
        <w:t>.</w:t>
      </w:r>
      <w:r w:rsidR="00E25769" w:rsidRPr="004363F1">
        <w:rPr>
          <w:rFonts w:ascii="Times New Roman" w:hAnsi="Times New Roman" w:cs="Times New Roman"/>
          <w:sz w:val="20"/>
          <w:szCs w:val="20"/>
        </w:rPr>
        <w:t xml:space="preserve"> The model links the linear-in-coefficient expression of the explanatory variables to the CLOGLOG function of the daily conditional probability of dying. </w:t>
      </w:r>
      <w:r w:rsidR="008576B0" w:rsidRPr="004363F1">
        <w:rPr>
          <w:rFonts w:ascii="Times New Roman" w:hAnsi="Times New Roman" w:cs="Times New Roman"/>
          <w:sz w:val="20"/>
          <w:szCs w:val="20"/>
        </w:rPr>
        <w:t>F</w:t>
      </w:r>
      <w:r w:rsidR="00CD4382" w:rsidRPr="004363F1">
        <w:rPr>
          <w:rFonts w:ascii="Times New Roman" w:hAnsi="Times New Roman" w:cs="Times New Roman"/>
          <w:sz w:val="20"/>
          <w:szCs w:val="20"/>
        </w:rPr>
        <w:t>r</w:t>
      </w:r>
      <w:r w:rsidR="008576B0" w:rsidRPr="004363F1">
        <w:rPr>
          <w:rFonts w:ascii="Times New Roman" w:hAnsi="Times New Roman" w:cs="Times New Roman"/>
          <w:sz w:val="20"/>
          <w:szCs w:val="20"/>
        </w:rPr>
        <w:t>o</w:t>
      </w:r>
      <w:r w:rsidR="00CD4382" w:rsidRPr="004363F1">
        <w:rPr>
          <w:rFonts w:ascii="Times New Roman" w:hAnsi="Times New Roman" w:cs="Times New Roman"/>
          <w:sz w:val="20"/>
          <w:szCs w:val="20"/>
        </w:rPr>
        <w:t>m Eq. (</w:t>
      </w:r>
      <w:r w:rsidR="00083068" w:rsidRPr="004363F1">
        <w:rPr>
          <w:rFonts w:ascii="Times New Roman" w:hAnsi="Times New Roman" w:cs="Times New Roman"/>
          <w:sz w:val="20"/>
          <w:szCs w:val="20"/>
        </w:rPr>
        <w:t>4</w:t>
      </w:r>
      <w:r w:rsidR="00CD4382" w:rsidRPr="004363F1">
        <w:rPr>
          <w:rFonts w:ascii="Times New Roman" w:hAnsi="Times New Roman" w:cs="Times New Roman"/>
          <w:sz w:val="20"/>
          <w:szCs w:val="20"/>
        </w:rPr>
        <w:t xml:space="preserve">), the model may be considered as a </w:t>
      </w:r>
      <w:r w:rsidR="00CD4382" w:rsidRPr="004363F1">
        <w:rPr>
          <w:rFonts w:ascii="Times New Roman" w:hAnsi="Times New Roman" w:cs="Times New Roman"/>
          <w:i/>
          <w:sz w:val="20"/>
          <w:szCs w:val="20"/>
        </w:rPr>
        <w:t>discrete-time</w:t>
      </w:r>
      <w:r w:rsidR="008576B0" w:rsidRPr="004363F1">
        <w:rPr>
          <w:rFonts w:ascii="Times New Roman" w:hAnsi="Times New Roman" w:cs="Times New Roman"/>
          <w:sz w:val="20"/>
          <w:szCs w:val="20"/>
        </w:rPr>
        <w:t xml:space="preserve"> model.  However</w:t>
      </w:r>
      <w:r w:rsidR="00CD4382" w:rsidRPr="004363F1">
        <w:rPr>
          <w:rFonts w:ascii="Times New Roman" w:hAnsi="Times New Roman" w:cs="Times New Roman"/>
          <w:sz w:val="20"/>
          <w:szCs w:val="20"/>
        </w:rPr>
        <w:t>, since we cho</w:t>
      </w:r>
      <w:r w:rsidR="00A73F16" w:rsidRPr="004363F1">
        <w:rPr>
          <w:rFonts w:ascii="Times New Roman" w:hAnsi="Times New Roman" w:cs="Times New Roman"/>
          <w:sz w:val="20"/>
          <w:szCs w:val="20"/>
        </w:rPr>
        <w:t>o</w:t>
      </w:r>
      <w:r w:rsidR="00CD4382" w:rsidRPr="004363F1">
        <w:rPr>
          <w:rFonts w:ascii="Times New Roman" w:hAnsi="Times New Roman" w:cs="Times New Roman"/>
          <w:sz w:val="20"/>
          <w:szCs w:val="20"/>
        </w:rPr>
        <w:t>se to formulate it by Eq.</w:t>
      </w:r>
      <w:r w:rsidR="003F2F2E" w:rsidRPr="004363F1">
        <w:rPr>
          <w:rFonts w:ascii="Times New Roman" w:hAnsi="Times New Roman" w:cs="Times New Roman"/>
          <w:sz w:val="20"/>
          <w:szCs w:val="20"/>
        </w:rPr>
        <w:t xml:space="preserve"> (</w:t>
      </w:r>
      <w:r w:rsidR="00083068" w:rsidRPr="004363F1">
        <w:rPr>
          <w:rFonts w:ascii="Times New Roman" w:hAnsi="Times New Roman" w:cs="Times New Roman"/>
          <w:sz w:val="20"/>
          <w:szCs w:val="20"/>
        </w:rPr>
        <w:t>1</w:t>
      </w:r>
      <w:r w:rsidR="003F2F2E" w:rsidRPr="004363F1">
        <w:rPr>
          <w:rFonts w:ascii="Times New Roman" w:hAnsi="Times New Roman" w:cs="Times New Roman"/>
          <w:sz w:val="20"/>
          <w:szCs w:val="20"/>
        </w:rPr>
        <w:t xml:space="preserve">), it is a </w:t>
      </w:r>
      <w:r w:rsidR="003F2F2E" w:rsidRPr="004363F1">
        <w:rPr>
          <w:rFonts w:ascii="Times New Roman" w:hAnsi="Times New Roman" w:cs="Times New Roman"/>
          <w:i/>
          <w:sz w:val="20"/>
          <w:szCs w:val="20"/>
        </w:rPr>
        <w:t>continuous-time</w:t>
      </w:r>
      <w:r w:rsidR="003F2F2E" w:rsidRPr="004363F1">
        <w:rPr>
          <w:rFonts w:ascii="Times New Roman" w:hAnsi="Times New Roman" w:cs="Times New Roman"/>
          <w:sz w:val="20"/>
          <w:szCs w:val="20"/>
        </w:rPr>
        <w:t xml:space="preserve"> model.</w:t>
      </w:r>
    </w:p>
    <w:p w14:paraId="3AD5139D" w14:textId="77777777" w:rsidR="00863473" w:rsidRPr="004363F1" w:rsidRDefault="00E71AF5" w:rsidP="00CC0983">
      <w:pPr>
        <w:spacing w:after="0" w:line="240" w:lineRule="auto"/>
        <w:jc w:val="both"/>
        <w:rPr>
          <w:rFonts w:ascii="Times New Roman" w:hAnsi="Times New Roman" w:cs="Times New Roman"/>
          <w:sz w:val="20"/>
          <w:szCs w:val="20"/>
        </w:rPr>
      </w:pPr>
      <w:r w:rsidRPr="004363F1">
        <w:rPr>
          <w:rFonts w:ascii="Times New Roman" w:hAnsi="Times New Roman" w:cs="Times New Roman"/>
          <w:sz w:val="20"/>
          <w:szCs w:val="20"/>
        </w:rPr>
        <w:tab/>
        <w:t xml:space="preserve">The input data matrix has a simple structure. Each row represents a person-day, in which </w:t>
      </w:r>
      <w:r w:rsidR="00A00A21" w:rsidRPr="004363F1">
        <w:rPr>
          <w:rFonts w:ascii="Times New Roman" w:hAnsi="Times New Roman" w:cs="Times New Roman"/>
          <w:sz w:val="20"/>
          <w:szCs w:val="20"/>
        </w:rPr>
        <w:t>the information of all explanat</w:t>
      </w:r>
      <w:r w:rsidR="006F4D43" w:rsidRPr="004363F1">
        <w:rPr>
          <w:rFonts w:ascii="Times New Roman" w:hAnsi="Times New Roman" w:cs="Times New Roman"/>
          <w:sz w:val="20"/>
          <w:szCs w:val="20"/>
        </w:rPr>
        <w:t>ory variables is used to enhance the likelihood of</w:t>
      </w:r>
      <w:r w:rsidR="00A00A21" w:rsidRPr="004363F1">
        <w:rPr>
          <w:rFonts w:ascii="Times New Roman" w:hAnsi="Times New Roman" w:cs="Times New Roman"/>
          <w:sz w:val="20"/>
          <w:szCs w:val="20"/>
        </w:rPr>
        <w:t xml:space="preserve"> the value of the outcome variable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oMath>
      <w:r w:rsidR="00A00A21" w:rsidRPr="004363F1">
        <w:rPr>
          <w:rFonts w:ascii="Times New Roman" w:hAnsi="Times New Roman" w:cs="Times New Roman"/>
          <w:sz w:val="20"/>
          <w:szCs w:val="20"/>
        </w:rPr>
        <w:t xml:space="preserve">). The original </w:t>
      </w:r>
      <w:r w:rsidR="00A00A21" w:rsidRPr="004363F1">
        <w:rPr>
          <w:rFonts w:ascii="Times New Roman" w:hAnsi="Times New Roman" w:cs="Times New Roman"/>
          <w:sz w:val="20"/>
          <w:szCs w:val="20"/>
        </w:rPr>
        <w:lastRenderedPageBreak/>
        <w:t xml:space="preserve">data file for all 392 </w:t>
      </w:r>
      <w:r w:rsidR="00E954BB" w:rsidRPr="004363F1">
        <w:rPr>
          <w:rFonts w:ascii="Times New Roman" w:hAnsi="Times New Roman" w:cs="Times New Roman"/>
          <w:sz w:val="20"/>
          <w:szCs w:val="20"/>
        </w:rPr>
        <w:t>septic patients contained</w:t>
      </w:r>
      <w:r w:rsidR="00A00A21" w:rsidRPr="004363F1">
        <w:rPr>
          <w:rFonts w:ascii="Times New Roman" w:hAnsi="Times New Roman" w:cs="Times New Roman"/>
          <w:sz w:val="20"/>
          <w:szCs w:val="20"/>
        </w:rPr>
        <w:t xml:space="preserve"> 7,298 observations (rows). After removing </w:t>
      </w:r>
      <w:r w:rsidR="00E954BB" w:rsidRPr="004363F1">
        <w:rPr>
          <w:rFonts w:ascii="Times New Roman" w:hAnsi="Times New Roman" w:cs="Times New Roman"/>
          <w:sz w:val="20"/>
          <w:szCs w:val="20"/>
        </w:rPr>
        <w:t>the observations of the</w:t>
      </w:r>
      <w:r w:rsidR="00A00A21" w:rsidRPr="004363F1">
        <w:rPr>
          <w:rFonts w:ascii="Times New Roman" w:hAnsi="Times New Roman" w:cs="Times New Roman"/>
          <w:sz w:val="20"/>
          <w:szCs w:val="20"/>
        </w:rPr>
        <w:t xml:space="preserve"> </w:t>
      </w:r>
      <w:r w:rsidR="00E954BB" w:rsidRPr="004363F1">
        <w:rPr>
          <w:rFonts w:ascii="Times New Roman" w:hAnsi="Times New Roman" w:cs="Times New Roman"/>
          <w:sz w:val="20"/>
          <w:szCs w:val="20"/>
        </w:rPr>
        <w:t>36 patients with</w:t>
      </w:r>
      <w:r w:rsidR="00A00A21" w:rsidRPr="004363F1">
        <w:rPr>
          <w:rFonts w:ascii="Times New Roman" w:hAnsi="Times New Roman" w:cs="Times New Roman"/>
          <w:sz w:val="20"/>
          <w:szCs w:val="20"/>
        </w:rPr>
        <w:t xml:space="preserve"> missing values for some TVBIs,</w:t>
      </w:r>
      <w:r w:rsidR="00BE7D9D" w:rsidRPr="004363F1">
        <w:rPr>
          <w:rFonts w:ascii="Times New Roman" w:hAnsi="Times New Roman" w:cs="Times New Roman"/>
          <w:sz w:val="20"/>
          <w:szCs w:val="20"/>
        </w:rPr>
        <w:t xml:space="preserve"> the number of patients was reduced to 356, and</w:t>
      </w:r>
      <w:r w:rsidR="00E954BB" w:rsidRPr="004363F1">
        <w:rPr>
          <w:rFonts w:ascii="Times New Roman" w:hAnsi="Times New Roman" w:cs="Times New Roman"/>
          <w:sz w:val="20"/>
          <w:szCs w:val="20"/>
        </w:rPr>
        <w:t xml:space="preserve"> the number of observations of our input da</w:t>
      </w:r>
      <w:r w:rsidR="003A3922" w:rsidRPr="004363F1">
        <w:rPr>
          <w:rFonts w:ascii="Times New Roman" w:hAnsi="Times New Roman" w:cs="Times New Roman"/>
          <w:sz w:val="20"/>
          <w:szCs w:val="20"/>
        </w:rPr>
        <w:t xml:space="preserve">ta matrix was reduced to 6,724. </w:t>
      </w:r>
    </w:p>
    <w:p w14:paraId="1B5E4029" w14:textId="77777777" w:rsidR="00C57788" w:rsidRPr="004363F1" w:rsidRDefault="00E954BB" w:rsidP="00863473">
      <w:pPr>
        <w:spacing w:after="0" w:line="240" w:lineRule="auto"/>
        <w:ind w:firstLine="720"/>
        <w:jc w:val="both"/>
        <w:rPr>
          <w:rFonts w:ascii="Times New Roman" w:hAnsi="Times New Roman" w:cs="Times New Roman"/>
          <w:sz w:val="20"/>
          <w:szCs w:val="20"/>
        </w:rPr>
      </w:pPr>
      <w:r w:rsidRPr="004363F1">
        <w:rPr>
          <w:rFonts w:ascii="Times New Roman" w:hAnsi="Times New Roman" w:cs="Times New Roman"/>
          <w:sz w:val="20"/>
          <w:szCs w:val="20"/>
        </w:rPr>
        <w:t xml:space="preserve">The </w:t>
      </w:r>
      <w:r w:rsidR="00044FDB" w:rsidRPr="004363F1">
        <w:rPr>
          <w:rFonts w:ascii="Times New Roman" w:hAnsi="Times New Roman" w:cs="Times New Roman"/>
          <w:sz w:val="20"/>
          <w:szCs w:val="20"/>
        </w:rPr>
        <w:t xml:space="preserve">number of patients with </w:t>
      </w:r>
      <w:r w:rsidRPr="004363F1">
        <w:rPr>
          <w:rFonts w:ascii="Times New Roman" w:hAnsi="Times New Roman" w:cs="Times New Roman"/>
          <w:sz w:val="20"/>
          <w:szCs w:val="20"/>
        </w:rPr>
        <w:t xml:space="preserve">missing values was: 2 patients for </w:t>
      </w:r>
      <w:proofErr w:type="spellStart"/>
      <w:r w:rsidRPr="004363F1">
        <w:rPr>
          <w:rFonts w:ascii="Times New Roman" w:hAnsi="Times New Roman" w:cs="Times New Roman"/>
          <w:sz w:val="20"/>
          <w:szCs w:val="20"/>
        </w:rPr>
        <w:t>cfDNA</w:t>
      </w:r>
      <w:proofErr w:type="spellEnd"/>
      <w:r w:rsidRPr="004363F1">
        <w:rPr>
          <w:rFonts w:ascii="Times New Roman" w:hAnsi="Times New Roman" w:cs="Times New Roman"/>
          <w:sz w:val="20"/>
          <w:szCs w:val="20"/>
        </w:rPr>
        <w:t>, 3 patients for protein C, 1 patient each for platelets and creatinine, and 32</w:t>
      </w:r>
      <w:r w:rsidR="00A00A21" w:rsidRPr="004363F1">
        <w:rPr>
          <w:rFonts w:ascii="Times New Roman" w:hAnsi="Times New Roman" w:cs="Times New Roman"/>
          <w:sz w:val="20"/>
          <w:szCs w:val="20"/>
        </w:rPr>
        <w:t xml:space="preserve"> </w:t>
      </w:r>
      <w:r w:rsidRPr="004363F1">
        <w:rPr>
          <w:rFonts w:ascii="Times New Roman" w:hAnsi="Times New Roman" w:cs="Times New Roman"/>
          <w:sz w:val="20"/>
          <w:szCs w:val="20"/>
        </w:rPr>
        <w:t>pati</w:t>
      </w:r>
      <w:r w:rsidR="008576B0" w:rsidRPr="004363F1">
        <w:rPr>
          <w:rFonts w:ascii="Times New Roman" w:hAnsi="Times New Roman" w:cs="Times New Roman"/>
          <w:sz w:val="20"/>
          <w:szCs w:val="20"/>
        </w:rPr>
        <w:t>ents for lactate.  T</w:t>
      </w:r>
      <w:r w:rsidRPr="004363F1">
        <w:rPr>
          <w:rFonts w:ascii="Times New Roman" w:hAnsi="Times New Roman" w:cs="Times New Roman"/>
          <w:sz w:val="20"/>
          <w:szCs w:val="20"/>
        </w:rPr>
        <w:t>he proportion of non-survivors remained at 24% after the removal of the patients with missing values.</w:t>
      </w:r>
      <w:r w:rsidR="00C57788" w:rsidRPr="004363F1">
        <w:rPr>
          <w:rFonts w:ascii="Times New Roman" w:hAnsi="Times New Roman" w:cs="Times New Roman"/>
          <w:sz w:val="20"/>
          <w:szCs w:val="20"/>
        </w:rPr>
        <w:t xml:space="preserve"> </w:t>
      </w:r>
      <w:r w:rsidR="003503EC" w:rsidRPr="004363F1">
        <w:rPr>
          <w:rFonts w:ascii="Times New Roman" w:hAnsi="Times New Roman" w:cs="Times New Roman"/>
          <w:sz w:val="20"/>
          <w:szCs w:val="20"/>
        </w:rPr>
        <w:t xml:space="preserve">Little’s test shows that the pattern of </w:t>
      </w:r>
      <w:r w:rsidR="004A1E83" w:rsidRPr="004363F1">
        <w:rPr>
          <w:rFonts w:ascii="Times New Roman" w:hAnsi="Times New Roman" w:cs="Times New Roman"/>
          <w:sz w:val="20"/>
          <w:szCs w:val="20"/>
        </w:rPr>
        <w:t xml:space="preserve">the missing values across the 5 </w:t>
      </w:r>
      <w:r w:rsidR="003503EC" w:rsidRPr="004363F1">
        <w:rPr>
          <w:rFonts w:ascii="Times New Roman" w:hAnsi="Times New Roman" w:cs="Times New Roman"/>
          <w:sz w:val="20"/>
          <w:szCs w:val="20"/>
        </w:rPr>
        <w:t xml:space="preserve">TVBIs </w:t>
      </w:r>
      <w:r w:rsidR="004A1E83" w:rsidRPr="004363F1">
        <w:rPr>
          <w:rFonts w:ascii="Times New Roman" w:hAnsi="Times New Roman" w:cs="Times New Roman"/>
          <w:sz w:val="20"/>
          <w:szCs w:val="20"/>
        </w:rPr>
        <w:t xml:space="preserve">with missing values </w:t>
      </w:r>
      <w:r w:rsidR="003503EC" w:rsidRPr="004363F1">
        <w:rPr>
          <w:rFonts w:ascii="Times New Roman" w:hAnsi="Times New Roman" w:cs="Times New Roman"/>
          <w:sz w:val="20"/>
          <w:szCs w:val="20"/>
        </w:rPr>
        <w:t>is non-random</w:t>
      </w:r>
      <w:r w:rsidR="00D574A5" w:rsidRPr="004363F1">
        <w:rPr>
          <w:rFonts w:ascii="Times New Roman" w:hAnsi="Times New Roman" w:cs="Times New Roman"/>
          <w:sz w:val="20"/>
          <w:szCs w:val="20"/>
        </w:rPr>
        <w:t xml:space="preserve"> </w:t>
      </w:r>
      <w:r w:rsidR="004A1E83" w:rsidRPr="004363F1">
        <w:rPr>
          <w:rFonts w:ascii="Times New Roman" w:hAnsi="Times New Roman" w:cs="Times New Roman"/>
          <w:sz w:val="20"/>
          <w:szCs w:val="20"/>
        </w:rPr>
        <w:t>(p=0.035</w:t>
      </w:r>
      <w:r w:rsidR="00D574A5" w:rsidRPr="004363F1">
        <w:rPr>
          <w:rFonts w:ascii="Times New Roman" w:hAnsi="Times New Roman" w:cs="Times New Roman"/>
          <w:sz w:val="20"/>
          <w:szCs w:val="20"/>
        </w:rPr>
        <w:t>)</w:t>
      </w:r>
      <w:r w:rsidR="003503EC" w:rsidRPr="004363F1">
        <w:rPr>
          <w:rFonts w:ascii="Times New Roman" w:hAnsi="Times New Roman" w:cs="Times New Roman"/>
          <w:sz w:val="20"/>
          <w:szCs w:val="20"/>
        </w:rPr>
        <w:t>.</w:t>
      </w:r>
    </w:p>
    <w:p w14:paraId="09D01B5F" w14:textId="77777777" w:rsidR="00E71AF5" w:rsidRPr="004363F1" w:rsidRDefault="00A73F16" w:rsidP="00CC0983">
      <w:pPr>
        <w:spacing w:after="0" w:line="240" w:lineRule="auto"/>
        <w:jc w:val="both"/>
        <w:rPr>
          <w:rFonts w:ascii="Times New Roman" w:hAnsi="Times New Roman" w:cs="Times New Roman"/>
          <w:sz w:val="20"/>
          <w:szCs w:val="20"/>
        </w:rPr>
      </w:pPr>
      <w:r w:rsidRPr="004363F1">
        <w:rPr>
          <w:rFonts w:ascii="Times New Roman" w:hAnsi="Times New Roman" w:cs="Times New Roman"/>
          <w:sz w:val="20"/>
          <w:szCs w:val="20"/>
        </w:rPr>
        <w:tab/>
      </w:r>
      <w:r w:rsidR="006A1CCB" w:rsidRPr="004363F1">
        <w:rPr>
          <w:rFonts w:ascii="Times New Roman" w:hAnsi="Times New Roman" w:cs="Times New Roman"/>
          <w:sz w:val="20"/>
          <w:szCs w:val="20"/>
        </w:rPr>
        <w:t xml:space="preserve">Upon finding that our input data matrix has only 85 positive outcomes in as many as 6,724 </w:t>
      </w:r>
      <w:r w:rsidR="00DA7DD2" w:rsidRPr="004363F1">
        <w:rPr>
          <w:rFonts w:ascii="Times New Roman" w:hAnsi="Times New Roman" w:cs="Times New Roman"/>
          <w:sz w:val="20"/>
          <w:szCs w:val="20"/>
        </w:rPr>
        <w:t>observed outcomes</w:t>
      </w:r>
      <w:r w:rsidR="006A1CCB" w:rsidRPr="004363F1">
        <w:rPr>
          <w:rFonts w:ascii="Times New Roman" w:hAnsi="Times New Roman" w:cs="Times New Roman"/>
          <w:sz w:val="20"/>
          <w:szCs w:val="20"/>
        </w:rPr>
        <w:t>, a reviewer intuitively feel</w:t>
      </w:r>
      <w:r w:rsidR="001C06B1" w:rsidRPr="004363F1">
        <w:rPr>
          <w:rFonts w:ascii="Times New Roman" w:hAnsi="Times New Roman" w:cs="Times New Roman"/>
          <w:sz w:val="20"/>
          <w:szCs w:val="20"/>
        </w:rPr>
        <w:t>s</w:t>
      </w:r>
      <w:r w:rsidR="006A1CCB" w:rsidRPr="004363F1">
        <w:rPr>
          <w:rFonts w:ascii="Times New Roman" w:hAnsi="Times New Roman" w:cs="Times New Roman"/>
          <w:sz w:val="20"/>
          <w:szCs w:val="20"/>
        </w:rPr>
        <w:t xml:space="preserve"> that </w:t>
      </w:r>
      <w:r w:rsidR="00D96403" w:rsidRPr="004363F1">
        <w:rPr>
          <w:rFonts w:ascii="Times New Roman" w:hAnsi="Times New Roman" w:cs="Times New Roman"/>
          <w:sz w:val="20"/>
          <w:szCs w:val="20"/>
        </w:rPr>
        <w:t xml:space="preserve">by setting the intercept to a negative value of very large magnitude and all other </w:t>
      </w:r>
      <w:r w:rsidR="001C06B1" w:rsidRPr="004363F1">
        <w:rPr>
          <w:rFonts w:ascii="Times New Roman" w:hAnsi="Times New Roman" w:cs="Times New Roman"/>
          <w:sz w:val="20"/>
          <w:szCs w:val="20"/>
        </w:rPr>
        <w:t xml:space="preserve">coefficients </w:t>
      </w:r>
      <w:r w:rsidR="006A1CCB" w:rsidRPr="004363F1">
        <w:rPr>
          <w:rFonts w:ascii="Times New Roman" w:hAnsi="Times New Roman" w:cs="Times New Roman"/>
          <w:sz w:val="20"/>
          <w:szCs w:val="20"/>
        </w:rPr>
        <w:t>to 0</w:t>
      </w:r>
      <w:r w:rsidR="00D96403" w:rsidRPr="004363F1">
        <w:rPr>
          <w:rFonts w:ascii="Times New Roman" w:hAnsi="Times New Roman" w:cs="Times New Roman"/>
          <w:sz w:val="20"/>
          <w:szCs w:val="20"/>
        </w:rPr>
        <w:t xml:space="preserve">, we can make </w:t>
      </w:r>
      <w:r w:rsidR="006A1CCB" w:rsidRPr="004363F1">
        <w:rPr>
          <w:rFonts w:ascii="Times New Roman" w:hAnsi="Times New Roman" w:cs="Times New Roman"/>
          <w:sz w:val="20"/>
          <w:szCs w:val="20"/>
        </w:rPr>
        <w:t xml:space="preserve">all predicted probabilities </w:t>
      </w:r>
      <w:r w:rsidR="00D96403" w:rsidRPr="004363F1">
        <w:rPr>
          <w:rFonts w:ascii="Times New Roman" w:hAnsi="Times New Roman" w:cs="Times New Roman"/>
          <w:sz w:val="20"/>
          <w:szCs w:val="20"/>
        </w:rPr>
        <w:t xml:space="preserve">of dying </w:t>
      </w:r>
      <w:r w:rsidR="00AF35F6" w:rsidRPr="004363F1">
        <w:rPr>
          <w:rFonts w:ascii="Times New Roman" w:hAnsi="Times New Roman" w:cs="Times New Roman"/>
          <w:sz w:val="20"/>
          <w:szCs w:val="20"/>
        </w:rPr>
        <w:t>be</w:t>
      </w:r>
      <w:r w:rsidR="00D96403" w:rsidRPr="004363F1">
        <w:rPr>
          <w:rFonts w:ascii="Times New Roman" w:hAnsi="Times New Roman" w:cs="Times New Roman"/>
          <w:sz w:val="20"/>
          <w:szCs w:val="20"/>
        </w:rPr>
        <w:t xml:space="preserve"> practically</w:t>
      </w:r>
      <w:r w:rsidR="006A1CCB" w:rsidRPr="004363F1">
        <w:rPr>
          <w:rFonts w:ascii="Times New Roman" w:hAnsi="Times New Roman" w:cs="Times New Roman"/>
          <w:sz w:val="20"/>
          <w:szCs w:val="20"/>
        </w:rPr>
        <w:t xml:space="preserve"> 0, resulting in </w:t>
      </w:r>
      <w:r w:rsidR="00DA7DD2" w:rsidRPr="004363F1">
        <w:rPr>
          <w:rFonts w:ascii="Times New Roman" w:hAnsi="Times New Roman" w:cs="Times New Roman"/>
          <w:sz w:val="20"/>
          <w:szCs w:val="20"/>
        </w:rPr>
        <w:t>98.7% of all daily outcomes being correctly predicted! But, this nearly perfect prediction has no scientific value</w:t>
      </w:r>
      <w:r w:rsidR="001C06B1" w:rsidRPr="004363F1">
        <w:rPr>
          <w:rFonts w:ascii="Times New Roman" w:hAnsi="Times New Roman" w:cs="Times New Roman"/>
          <w:sz w:val="20"/>
          <w:szCs w:val="20"/>
        </w:rPr>
        <w:t xml:space="preserve">, because the sensitivity is 0. </w:t>
      </w:r>
      <w:r w:rsidR="00DA7DD2" w:rsidRPr="004363F1">
        <w:rPr>
          <w:rFonts w:ascii="Times New Roman" w:hAnsi="Times New Roman" w:cs="Times New Roman"/>
          <w:sz w:val="20"/>
          <w:szCs w:val="20"/>
        </w:rPr>
        <w:t xml:space="preserve">Actually, the maximum likelihood method does not attempt to </w:t>
      </w:r>
      <w:r w:rsidR="00FA093C" w:rsidRPr="004363F1">
        <w:rPr>
          <w:rFonts w:ascii="Times New Roman" w:hAnsi="Times New Roman" w:cs="Times New Roman"/>
          <w:sz w:val="20"/>
          <w:szCs w:val="20"/>
        </w:rPr>
        <w:t xml:space="preserve">maximize the proportion of all outcomes being correctly predicted. Instead, it </w:t>
      </w:r>
      <w:r w:rsidR="00190F6B" w:rsidRPr="004363F1">
        <w:rPr>
          <w:rFonts w:ascii="Times New Roman" w:hAnsi="Times New Roman" w:cs="Times New Roman"/>
          <w:sz w:val="20"/>
          <w:szCs w:val="20"/>
        </w:rPr>
        <w:t xml:space="preserve">maximizes the </w:t>
      </w:r>
      <w:r w:rsidR="00190F6B" w:rsidRPr="004363F1">
        <w:rPr>
          <w:rFonts w:ascii="Times New Roman" w:hAnsi="Times New Roman" w:cs="Times New Roman"/>
          <w:i/>
          <w:sz w:val="20"/>
          <w:szCs w:val="20"/>
        </w:rPr>
        <w:t>likelihood</w:t>
      </w:r>
      <w:r w:rsidR="00190F6B" w:rsidRPr="004363F1">
        <w:rPr>
          <w:rFonts w:ascii="Times New Roman" w:hAnsi="Times New Roman" w:cs="Times New Roman"/>
          <w:sz w:val="20"/>
          <w:szCs w:val="20"/>
        </w:rPr>
        <w:t xml:space="preserve"> of the set of observed daily outcomes. In our application, its estimated result can help achieve a balance of sensitivity and specificity at </w:t>
      </w:r>
      <w:r w:rsidR="001C06B1" w:rsidRPr="004363F1">
        <w:rPr>
          <w:rFonts w:ascii="Times New Roman" w:hAnsi="Times New Roman" w:cs="Times New Roman"/>
          <w:sz w:val="20"/>
          <w:szCs w:val="20"/>
        </w:rPr>
        <w:t>0.78, with the sum of the two desirable measures being 1.58. The reviewer’s intuition is clearly unhelpful.</w:t>
      </w:r>
      <w:r w:rsidR="00DA7DD2" w:rsidRPr="004363F1">
        <w:rPr>
          <w:rFonts w:ascii="Times New Roman" w:hAnsi="Times New Roman" w:cs="Times New Roman"/>
          <w:sz w:val="20"/>
          <w:szCs w:val="20"/>
        </w:rPr>
        <w:t xml:space="preserve"> </w:t>
      </w:r>
      <w:r w:rsidR="006A1CCB" w:rsidRPr="004363F1">
        <w:rPr>
          <w:rFonts w:ascii="Times New Roman" w:hAnsi="Times New Roman" w:cs="Times New Roman"/>
          <w:sz w:val="20"/>
          <w:szCs w:val="20"/>
        </w:rPr>
        <w:t xml:space="preserve">  </w:t>
      </w:r>
      <w:r w:rsidR="00A00A21" w:rsidRPr="004363F1">
        <w:rPr>
          <w:rFonts w:ascii="Times New Roman" w:hAnsi="Times New Roman" w:cs="Times New Roman"/>
          <w:sz w:val="20"/>
          <w:szCs w:val="20"/>
        </w:rPr>
        <w:t xml:space="preserve"> </w:t>
      </w:r>
    </w:p>
    <w:p w14:paraId="0FB6C104" w14:textId="77777777" w:rsidR="0047777F" w:rsidRPr="004363F1" w:rsidRDefault="009C21E9" w:rsidP="00CC0983">
      <w:pPr>
        <w:spacing w:after="0" w:line="240" w:lineRule="auto"/>
        <w:ind w:firstLine="720"/>
        <w:jc w:val="both"/>
        <w:rPr>
          <w:rFonts w:ascii="Times New Roman" w:hAnsi="Times New Roman" w:cs="Times New Roman"/>
          <w:sz w:val="20"/>
          <w:szCs w:val="20"/>
        </w:rPr>
      </w:pPr>
      <w:r w:rsidRPr="004363F1">
        <w:rPr>
          <w:rFonts w:ascii="Times New Roman" w:hAnsi="Times New Roman" w:cs="Times New Roman"/>
          <w:sz w:val="20"/>
          <w:szCs w:val="20"/>
        </w:rPr>
        <w:t>Since the Logistic procedure</w:t>
      </w:r>
      <w:r w:rsidR="003E629E" w:rsidRPr="004363F1">
        <w:rPr>
          <w:rFonts w:ascii="Times New Roman" w:hAnsi="Times New Roman" w:cs="Times New Roman"/>
          <w:sz w:val="20"/>
          <w:szCs w:val="20"/>
        </w:rPr>
        <w:t xml:space="preserve"> of SAS</w:t>
      </w:r>
      <w:r w:rsidRPr="004363F1">
        <w:rPr>
          <w:rFonts w:ascii="Times New Roman" w:hAnsi="Times New Roman" w:cs="Times New Roman"/>
          <w:sz w:val="20"/>
          <w:szCs w:val="20"/>
        </w:rPr>
        <w:t xml:space="preserve"> does not compute the 95% confidence interval for AUC</w:t>
      </w:r>
      <w:r w:rsidR="00CC0806" w:rsidRPr="004363F1">
        <w:rPr>
          <w:rFonts w:ascii="Times New Roman" w:hAnsi="Times New Roman" w:cs="Times New Roman"/>
          <w:sz w:val="20"/>
          <w:szCs w:val="20"/>
        </w:rPr>
        <w:t xml:space="preserve"> (the area under the curve showing the relationship between sensitivity and 1-specificity in the ROC analysis)</w:t>
      </w:r>
      <w:r w:rsidRPr="004363F1">
        <w:rPr>
          <w:rFonts w:ascii="Times New Roman" w:hAnsi="Times New Roman" w:cs="Times New Roman"/>
          <w:sz w:val="20"/>
          <w:szCs w:val="20"/>
        </w:rPr>
        <w:t>, we wrote a SAS module to carry out the computation.</w:t>
      </w:r>
      <w:r w:rsidR="0053574E" w:rsidRPr="004363F1">
        <w:rPr>
          <w:rFonts w:ascii="Times New Roman" w:hAnsi="Times New Roman" w:cs="Times New Roman"/>
          <w:sz w:val="20"/>
          <w:szCs w:val="20"/>
        </w:rPr>
        <w:t xml:space="preserve"> In our module, the standard deviation of the AUC was computed according to the algorithm developed by </w:t>
      </w:r>
      <w:r w:rsidR="00AA7E7F" w:rsidRPr="004363F1">
        <w:rPr>
          <w:rFonts w:ascii="Times New Roman" w:eastAsiaTheme="minorEastAsia" w:hAnsi="Times New Roman" w:cs="Times New Roman"/>
          <w:sz w:val="20"/>
          <w:szCs w:val="20"/>
          <w:lang w:val="en-CA" w:eastAsia="ja-JP"/>
        </w:rPr>
        <w:t>Hanley and McNeil</w:t>
      </w:r>
      <w:r w:rsidR="00460D60" w:rsidRPr="004363F1">
        <w:rPr>
          <w:rFonts w:ascii="Times New Roman" w:eastAsiaTheme="minorEastAsia" w:hAnsi="Times New Roman" w:cs="Times New Roman"/>
          <w:sz w:val="20"/>
          <w:szCs w:val="20"/>
          <w:lang w:val="en-CA" w:eastAsia="ja-JP"/>
        </w:rPr>
        <w:t xml:space="preserve"> </w:t>
      </w:r>
      <w:r w:rsidR="00AA7E7F" w:rsidRPr="004363F1">
        <w:rPr>
          <w:rFonts w:ascii="Times New Roman" w:eastAsiaTheme="minorEastAsia" w:hAnsi="Times New Roman" w:cs="Times New Roman"/>
          <w:sz w:val="20"/>
          <w:szCs w:val="20"/>
          <w:lang w:val="en-CA" w:eastAsia="ja-JP"/>
        </w:rPr>
        <w:fldChar w:fldCharType="begin"/>
      </w:r>
      <w:r w:rsidR="00200E17" w:rsidRPr="004363F1">
        <w:rPr>
          <w:rFonts w:ascii="Times New Roman" w:eastAsiaTheme="minorEastAsia" w:hAnsi="Times New Roman" w:cs="Times New Roman"/>
          <w:sz w:val="20"/>
          <w:szCs w:val="20"/>
          <w:lang w:val="en-CA" w:eastAsia="ja-JP"/>
        </w:rPr>
        <w:instrText xml:space="preserve"> ADDIN REFMGR.CITE &lt;Refman&gt;&lt;Cite&gt;&lt;Author&gt;Hanley&lt;/Author&gt;&lt;Year&gt;1982&lt;/Year&gt;&lt;RecNum&gt;11535&lt;/RecNum&gt;&lt;IDText&gt;The meaning and use of the area under a receiver operating characteristic (ROC) curve&lt;/IDText&gt;&lt;MDL Ref_Type="Journal"&gt;&lt;Ref_Type&gt;Journal&lt;/Ref_Type&gt;&lt;Ref_ID&gt;11535&lt;/Ref_ID&gt;&lt;Title_Primary&gt;The meaning and use of the area under a receiver operating characteristic (ROC) curve&lt;/Title_Primary&gt;&lt;Authors_Primary&gt;Hanley,J.A.&lt;/Authors_Primary&gt;&lt;Authors_Primary&gt;McNeil,B.J.&lt;/Authors_Primary&gt;&lt;Date_Primary&gt;1982/4&lt;/Date_Primary&gt;&lt;Keywords&gt;Evaluation Studies as Topic&lt;/Keywords&gt;&lt;Keywords&gt;expression&lt;/Keywords&gt;&lt;Keywords&gt;Humans&lt;/Keywords&gt;&lt;Keywords&gt;Mathematics&lt;/Keywords&gt;&lt;Keywords&gt;method&lt;/Keywords&gt;&lt;Keywords&gt;Models,Theoretical&lt;/Keywords&gt;&lt;Keywords&gt;patient&lt;/Keywords&gt;&lt;Keywords&gt;PT&lt;/Keywords&gt;&lt;Keywords&gt;Research&lt;/Keywords&gt;&lt;Keywords&gt;Roc Curve&lt;/Keywords&gt;&lt;Keywords&gt;Statistics as Topic&lt;/Keywords&gt;&lt;Keywords&gt;Technology,Radiologic&lt;/Keywords&gt;&lt;Reprint&gt;Not in File&lt;/Reprint&gt;&lt;Start_Page&gt;29&lt;/Start_Page&gt;&lt;End_Page&gt;36&lt;/End_Page&gt;&lt;Periodical&gt;Radiology&lt;/Periodical&gt;&lt;Volume&gt;143&lt;/Volume&gt;&lt;Issue&gt;1&lt;/Issue&gt;&lt;Web_URL&gt;PM:7063747&lt;/Web_URL&gt;&lt;ZZ_JournalFull&gt;&lt;f name="System"&gt;Radiology&lt;/f&gt;&lt;/ZZ_JournalFull&gt;&lt;ZZ_WorkformID&gt;1&lt;/ZZ_WorkformID&gt;&lt;/MDL&gt;&lt;/Cite&gt;&lt;/Refman&gt;</w:instrText>
      </w:r>
      <w:r w:rsidR="00AA7E7F" w:rsidRPr="004363F1">
        <w:rPr>
          <w:rFonts w:ascii="Times New Roman" w:eastAsiaTheme="minorEastAsia" w:hAnsi="Times New Roman" w:cs="Times New Roman"/>
          <w:sz w:val="20"/>
          <w:szCs w:val="20"/>
          <w:lang w:val="en-CA" w:eastAsia="ja-JP"/>
        </w:rPr>
        <w:fldChar w:fldCharType="separate"/>
      </w:r>
      <w:r w:rsidR="00D80E1B" w:rsidRPr="004363F1">
        <w:rPr>
          <w:rFonts w:ascii="Times New Roman" w:eastAsiaTheme="minorEastAsia" w:hAnsi="Times New Roman" w:cs="Times New Roman"/>
          <w:sz w:val="20"/>
          <w:szCs w:val="20"/>
          <w:lang w:val="en-CA" w:eastAsia="ja-JP"/>
        </w:rPr>
        <w:t>(3)</w:t>
      </w:r>
      <w:r w:rsidR="00AA7E7F" w:rsidRPr="004363F1">
        <w:rPr>
          <w:rFonts w:ascii="Times New Roman" w:eastAsiaTheme="minorEastAsia" w:hAnsi="Times New Roman" w:cs="Times New Roman"/>
          <w:sz w:val="20"/>
          <w:szCs w:val="20"/>
          <w:lang w:val="en-CA" w:eastAsia="ja-JP"/>
        </w:rPr>
        <w:fldChar w:fldCharType="end"/>
      </w:r>
      <w:r w:rsidR="0053574E" w:rsidRPr="004363F1">
        <w:rPr>
          <w:rFonts w:ascii="Times New Roman" w:eastAsiaTheme="minorEastAsia" w:hAnsi="Times New Roman" w:cs="Times New Roman"/>
          <w:sz w:val="20"/>
          <w:szCs w:val="20"/>
          <w:lang w:val="en-CA" w:eastAsia="ja-JP"/>
        </w:rPr>
        <w:t>. To</w:t>
      </w:r>
      <w:r w:rsidR="009D5638" w:rsidRPr="004363F1">
        <w:rPr>
          <w:rFonts w:ascii="Times New Roman" w:eastAsiaTheme="minorEastAsia" w:hAnsi="Times New Roman" w:cs="Times New Roman"/>
          <w:sz w:val="20"/>
          <w:szCs w:val="20"/>
          <w:lang w:val="en-CA" w:eastAsia="ja-JP"/>
        </w:rPr>
        <w:t xml:space="preserve"> better reflect the effect</w:t>
      </w:r>
      <w:r w:rsidR="00691DD8" w:rsidRPr="004363F1">
        <w:rPr>
          <w:rFonts w:ascii="Times New Roman" w:eastAsiaTheme="minorEastAsia" w:hAnsi="Times New Roman" w:cs="Times New Roman"/>
          <w:sz w:val="20"/>
          <w:szCs w:val="20"/>
          <w:lang w:val="en-CA" w:eastAsia="ja-JP"/>
        </w:rPr>
        <w:t>s</w:t>
      </w:r>
      <w:r w:rsidR="009D5638" w:rsidRPr="004363F1">
        <w:rPr>
          <w:rFonts w:ascii="Times New Roman" w:eastAsiaTheme="minorEastAsia" w:hAnsi="Times New Roman" w:cs="Times New Roman"/>
          <w:sz w:val="20"/>
          <w:szCs w:val="20"/>
          <w:lang w:val="en-CA" w:eastAsia="ja-JP"/>
        </w:rPr>
        <w:t xml:space="preserve"> of </w:t>
      </w:r>
      <w:r w:rsidR="00691DD8" w:rsidRPr="004363F1">
        <w:rPr>
          <w:rFonts w:ascii="Times New Roman" w:eastAsiaTheme="minorEastAsia" w:hAnsi="Times New Roman" w:cs="Times New Roman"/>
          <w:sz w:val="20"/>
          <w:szCs w:val="20"/>
          <w:lang w:val="en-CA" w:eastAsia="ja-JP"/>
        </w:rPr>
        <w:t xml:space="preserve">the </w:t>
      </w:r>
      <w:r w:rsidR="009D5638" w:rsidRPr="004363F1">
        <w:rPr>
          <w:rFonts w:ascii="Times New Roman" w:eastAsiaTheme="minorEastAsia" w:hAnsi="Times New Roman" w:cs="Times New Roman"/>
          <w:sz w:val="20"/>
          <w:szCs w:val="20"/>
          <w:lang w:val="en-CA" w:eastAsia="ja-JP"/>
        </w:rPr>
        <w:t xml:space="preserve">sample size </w:t>
      </w:r>
      <w:r w:rsidR="00691DD8" w:rsidRPr="004363F1">
        <w:rPr>
          <w:rFonts w:ascii="Times New Roman" w:eastAsiaTheme="minorEastAsia" w:hAnsi="Times New Roman" w:cs="Times New Roman"/>
          <w:sz w:val="20"/>
          <w:szCs w:val="20"/>
          <w:lang w:val="en-CA" w:eastAsia="ja-JP"/>
        </w:rPr>
        <w:t xml:space="preserve">and the number of unknown coefficients </w:t>
      </w:r>
      <w:r w:rsidR="009D5638" w:rsidRPr="004363F1">
        <w:rPr>
          <w:rFonts w:ascii="Times New Roman" w:eastAsiaTheme="minorEastAsia" w:hAnsi="Times New Roman" w:cs="Times New Roman"/>
          <w:sz w:val="20"/>
          <w:szCs w:val="20"/>
          <w:lang w:val="en-CA" w:eastAsia="ja-JP"/>
        </w:rPr>
        <w:t>on the width of the</w:t>
      </w:r>
      <w:r w:rsidR="008576B0" w:rsidRPr="004363F1">
        <w:rPr>
          <w:rFonts w:ascii="Times New Roman" w:eastAsiaTheme="minorEastAsia" w:hAnsi="Times New Roman" w:cs="Times New Roman"/>
          <w:sz w:val="20"/>
          <w:szCs w:val="20"/>
          <w:lang w:val="en-CA" w:eastAsia="ja-JP"/>
        </w:rPr>
        <w:t xml:space="preserve"> confidence interval, we took the</w:t>
      </w:r>
      <w:r w:rsidR="009D5638" w:rsidRPr="004363F1">
        <w:rPr>
          <w:rFonts w:ascii="Times New Roman" w:eastAsiaTheme="minorEastAsia" w:hAnsi="Times New Roman" w:cs="Times New Roman"/>
          <w:sz w:val="20"/>
          <w:szCs w:val="20"/>
          <w:lang w:val="en-CA" w:eastAsia="ja-JP"/>
        </w:rPr>
        <w:t xml:space="preserve"> critical value for constructing the confidence interval from a t-distribution</w:t>
      </w:r>
      <w:r w:rsidR="0053574E" w:rsidRPr="004363F1">
        <w:rPr>
          <w:rFonts w:ascii="Times New Roman" w:eastAsiaTheme="minorEastAsia" w:hAnsi="Times New Roman" w:cs="Times New Roman"/>
          <w:sz w:val="20"/>
          <w:szCs w:val="20"/>
          <w:lang w:val="en-CA" w:eastAsia="ja-JP"/>
        </w:rPr>
        <w:t xml:space="preserve"> </w:t>
      </w:r>
      <w:r w:rsidR="009D5638" w:rsidRPr="004363F1">
        <w:rPr>
          <w:rFonts w:ascii="Times New Roman" w:eastAsiaTheme="minorEastAsia" w:hAnsi="Times New Roman" w:cs="Times New Roman"/>
          <w:sz w:val="20"/>
          <w:szCs w:val="20"/>
          <w:lang w:val="en-CA" w:eastAsia="ja-JP"/>
        </w:rPr>
        <w:t>rather than the standard normal distribution.</w:t>
      </w:r>
      <w:r w:rsidR="0053574E" w:rsidRPr="004363F1">
        <w:rPr>
          <w:rFonts w:ascii="Times New Roman" w:eastAsiaTheme="minorEastAsia" w:hAnsi="Times New Roman" w:cs="Times New Roman"/>
          <w:sz w:val="20"/>
          <w:szCs w:val="20"/>
          <w:lang w:val="en-CA" w:eastAsia="ja-JP"/>
        </w:rPr>
        <w:t xml:space="preserve"> </w:t>
      </w:r>
      <w:r w:rsidR="0053574E" w:rsidRPr="004363F1">
        <w:rPr>
          <w:rFonts w:ascii="Times New Roman" w:hAnsi="Times New Roman" w:cs="Times New Roman"/>
          <w:sz w:val="20"/>
          <w:szCs w:val="20"/>
        </w:rPr>
        <w:t xml:space="preserve"> </w:t>
      </w:r>
    </w:p>
    <w:p w14:paraId="71175E16" w14:textId="77777777" w:rsidR="00E25769" w:rsidRPr="004363F1" w:rsidRDefault="00277CCA" w:rsidP="00CC0983">
      <w:pPr>
        <w:spacing w:after="0" w:line="240" w:lineRule="auto"/>
        <w:jc w:val="both"/>
        <w:rPr>
          <w:rFonts w:ascii="Times New Roman" w:eastAsiaTheme="minorEastAsia" w:hAnsi="Times New Roman" w:cs="Times New Roman"/>
          <w:sz w:val="20"/>
          <w:szCs w:val="20"/>
        </w:rPr>
      </w:pPr>
      <w:r w:rsidRPr="004363F1">
        <w:rPr>
          <w:rFonts w:ascii="Times New Roman" w:hAnsi="Times New Roman" w:cs="Times New Roman"/>
          <w:sz w:val="20"/>
          <w:szCs w:val="20"/>
        </w:rPr>
        <w:tab/>
        <w:t xml:space="preserve">Since the daily probability of dying considered in this paper is a </w:t>
      </w:r>
      <w:r w:rsidRPr="004363F1">
        <w:rPr>
          <w:rFonts w:ascii="Times New Roman" w:hAnsi="Times New Roman" w:cs="Times New Roman"/>
          <w:i/>
          <w:sz w:val="20"/>
          <w:szCs w:val="20"/>
        </w:rPr>
        <w:t>conditional probability,</w:t>
      </w:r>
      <w:r w:rsidRPr="004363F1">
        <w:rPr>
          <w:rFonts w:ascii="Times New Roman" w:hAnsi="Times New Roman" w:cs="Times New Roman"/>
          <w:sz w:val="20"/>
          <w:szCs w:val="20"/>
        </w:rPr>
        <w:t xml:space="preserve"> the probability of dying in 28 days should not be computed by adding up 28 daily probabilities of dying. The probability of dying in 28 days implied by the daily hazard of dying </w:t>
      </w:r>
      <w:r w:rsidRPr="004363F1">
        <w:rPr>
          <w:rFonts w:ascii="Times New Roman" w:hAnsi="Times New Roman" w:cs="Times New Roman"/>
          <w:i/>
          <w:sz w:val="20"/>
          <w:szCs w:val="20"/>
        </w:rPr>
        <w:t>H</w:t>
      </w:r>
      <w:r w:rsidRPr="004363F1">
        <w:rPr>
          <w:rFonts w:ascii="Times New Roman" w:hAnsi="Times New Roman" w:cs="Times New Roman"/>
          <w:sz w:val="20"/>
          <w:szCs w:val="20"/>
        </w:rPr>
        <w:t xml:space="preserve"> is </w:t>
      </w:r>
      <m:oMath>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-28H</m:t>
            </m:r>
          </m:sup>
        </m:sSup>
      </m:oMath>
      <w:r w:rsidRPr="004363F1">
        <w:rPr>
          <w:rFonts w:ascii="Times New Roman" w:eastAsiaTheme="minorEastAsia" w:hAnsi="Times New Roman" w:cs="Times New Roman"/>
          <w:sz w:val="20"/>
          <w:szCs w:val="20"/>
        </w:rPr>
        <w:t>.</w:t>
      </w:r>
    </w:p>
    <w:p w14:paraId="28817591" w14:textId="77777777" w:rsidR="007E1D4C" w:rsidRPr="004363F1" w:rsidRDefault="00330626" w:rsidP="00CC0983">
      <w:pPr>
        <w:spacing w:after="0" w:line="240" w:lineRule="auto"/>
        <w:ind w:firstLine="720"/>
        <w:jc w:val="both"/>
        <w:rPr>
          <w:rFonts w:ascii="Times New Roman" w:hAnsi="Times New Roman" w:cs="Times New Roman"/>
          <w:sz w:val="20"/>
          <w:szCs w:val="20"/>
          <w:lang w:val="en-CA"/>
        </w:rPr>
      </w:pPr>
      <w:r w:rsidRPr="004363F1">
        <w:rPr>
          <w:rFonts w:ascii="Times New Roman" w:hAnsi="Times New Roman" w:cs="Times New Roman"/>
          <w:sz w:val="20"/>
          <w:szCs w:val="20"/>
        </w:rPr>
        <w:t>T</w:t>
      </w:r>
      <w:r w:rsidR="005E09D7" w:rsidRPr="004363F1">
        <w:rPr>
          <w:rFonts w:ascii="Times New Roman" w:hAnsi="Times New Roman" w:cs="Times New Roman"/>
          <w:sz w:val="20"/>
          <w:szCs w:val="20"/>
        </w:rPr>
        <w:t>he comparison</w:t>
      </w:r>
      <w:r w:rsidRPr="004363F1">
        <w:rPr>
          <w:rFonts w:ascii="Times New Roman" w:hAnsi="Times New Roman" w:cs="Times New Roman"/>
          <w:sz w:val="20"/>
          <w:szCs w:val="20"/>
        </w:rPr>
        <w:t>s</w:t>
      </w:r>
      <w:r w:rsidR="005E09D7" w:rsidRPr="004363F1">
        <w:rPr>
          <w:rFonts w:ascii="Times New Roman" w:hAnsi="Times New Roman" w:cs="Times New Roman"/>
          <w:sz w:val="20"/>
          <w:szCs w:val="20"/>
        </w:rPr>
        <w:t xml:space="preserve"> of </w:t>
      </w:r>
      <w:r w:rsidR="0085338D" w:rsidRPr="004363F1">
        <w:rPr>
          <w:rFonts w:ascii="Times New Roman" w:hAnsi="Times New Roman" w:cs="Times New Roman"/>
          <w:sz w:val="20"/>
          <w:szCs w:val="20"/>
        </w:rPr>
        <w:t>t</w:t>
      </w:r>
      <w:r w:rsidR="0002665E" w:rsidRPr="004363F1">
        <w:rPr>
          <w:rFonts w:ascii="Times New Roman" w:hAnsi="Times New Roman" w:cs="Times New Roman"/>
          <w:sz w:val="20"/>
          <w:szCs w:val="20"/>
          <w:lang w:val="en-CA"/>
        </w:rPr>
        <w:t>h</w:t>
      </w:r>
      <w:r w:rsidR="00B27F1D" w:rsidRPr="004363F1">
        <w:rPr>
          <w:rFonts w:ascii="Times New Roman" w:hAnsi="Times New Roman" w:cs="Times New Roman"/>
          <w:sz w:val="20"/>
          <w:szCs w:val="20"/>
          <w:lang w:val="en-CA"/>
        </w:rPr>
        <w:t xml:space="preserve">e CLOGLOG model </w:t>
      </w:r>
      <w:r w:rsidRPr="004363F1">
        <w:rPr>
          <w:rFonts w:ascii="Times New Roman" w:hAnsi="Times New Roman" w:cs="Times New Roman"/>
          <w:sz w:val="20"/>
          <w:szCs w:val="20"/>
          <w:lang w:val="en-CA"/>
        </w:rPr>
        <w:t>with</w:t>
      </w:r>
      <w:r w:rsidR="005E09D7" w:rsidRPr="004363F1">
        <w:rPr>
          <w:rFonts w:ascii="Times New Roman" w:hAnsi="Times New Roman" w:cs="Times New Roman"/>
          <w:sz w:val="20"/>
          <w:szCs w:val="20"/>
          <w:lang w:val="en-CA"/>
        </w:rPr>
        <w:t xml:space="preserve"> two conventional versions of the Cox model</w:t>
      </w:r>
      <w:r w:rsidRPr="004363F1">
        <w:rPr>
          <w:rFonts w:ascii="Times New Roman" w:hAnsi="Times New Roman" w:cs="Times New Roman"/>
          <w:sz w:val="20"/>
          <w:szCs w:val="20"/>
          <w:lang w:val="en-CA"/>
        </w:rPr>
        <w:t xml:space="preserve"> are shown later in</w:t>
      </w:r>
      <w:r w:rsidR="005E09D7" w:rsidRPr="004363F1">
        <w:rPr>
          <w:rFonts w:ascii="Times New Roman" w:hAnsi="Times New Roman" w:cs="Times New Roman"/>
          <w:sz w:val="20"/>
          <w:szCs w:val="20"/>
          <w:lang w:val="en-CA"/>
        </w:rPr>
        <w:t xml:space="preserve"> Supplemental Text 14, where the justification of the CLOGLOG model as a </w:t>
      </w:r>
      <w:r w:rsidR="005E09D7" w:rsidRPr="004363F1">
        <w:rPr>
          <w:rFonts w:ascii="Times New Roman" w:hAnsi="Times New Roman" w:cs="Times New Roman"/>
          <w:i/>
          <w:sz w:val="20"/>
          <w:szCs w:val="20"/>
          <w:lang w:val="en-CA"/>
        </w:rPr>
        <w:t>versatile</w:t>
      </w:r>
      <w:r w:rsidR="005E09D7" w:rsidRPr="004363F1">
        <w:rPr>
          <w:rFonts w:ascii="Times New Roman" w:hAnsi="Times New Roman" w:cs="Times New Roman"/>
          <w:sz w:val="20"/>
          <w:szCs w:val="20"/>
          <w:lang w:val="en-CA"/>
        </w:rPr>
        <w:t xml:space="preserve"> version of the Cox model is also provided</w:t>
      </w:r>
    </w:p>
    <w:p w14:paraId="09881405" w14:textId="77777777" w:rsidR="002F3B26" w:rsidRPr="004363F1" w:rsidRDefault="005E09D7" w:rsidP="00CC0983">
      <w:pPr>
        <w:spacing w:after="0" w:line="240" w:lineRule="auto"/>
        <w:ind w:firstLine="720"/>
        <w:jc w:val="both"/>
        <w:rPr>
          <w:rFonts w:ascii="Times New Roman" w:eastAsiaTheme="minorEastAsia" w:hAnsi="Times New Roman" w:cs="Times New Roman"/>
          <w:sz w:val="20"/>
          <w:szCs w:val="20"/>
          <w:lang w:val="en-CA" w:eastAsia="ja-JP"/>
        </w:rPr>
      </w:pPr>
      <w:r w:rsidRPr="004363F1">
        <w:rPr>
          <w:rFonts w:ascii="Times New Roman" w:hAnsi="Times New Roman" w:cs="Times New Roman"/>
          <w:sz w:val="20"/>
          <w:szCs w:val="20"/>
          <w:lang w:val="en-CA"/>
        </w:rPr>
        <w:t>.</w:t>
      </w:r>
      <w:r w:rsidR="0059756A" w:rsidRPr="004363F1">
        <w:rPr>
          <w:rFonts w:ascii="Times New Roman" w:hAnsi="Times New Roman" w:cs="Times New Roman"/>
          <w:sz w:val="20"/>
          <w:szCs w:val="20"/>
          <w:lang w:val="en-CA"/>
        </w:rPr>
        <w:t xml:space="preserve"> </w:t>
      </w:r>
    </w:p>
    <w:p w14:paraId="4474BD36" w14:textId="77777777" w:rsidR="00FE2774" w:rsidRPr="004363F1" w:rsidRDefault="00774B2D" w:rsidP="0005558A">
      <w:pPr>
        <w:spacing w:after="0" w:line="240" w:lineRule="auto"/>
        <w:jc w:val="both"/>
        <w:rPr>
          <w:rFonts w:ascii="Times New Roman" w:eastAsiaTheme="minorEastAsia" w:hAnsi="Times New Roman" w:cs="Times New Roman"/>
          <w:b/>
          <w:sz w:val="24"/>
          <w:szCs w:val="24"/>
          <w:lang w:val="en-CA" w:eastAsia="ja-JP"/>
        </w:rPr>
      </w:pPr>
      <w:r w:rsidRPr="004363F1">
        <w:rPr>
          <w:rFonts w:ascii="Times New Roman" w:eastAsiaTheme="minorEastAsia" w:hAnsi="Times New Roman" w:cs="Times New Roman"/>
          <w:b/>
          <w:sz w:val="24"/>
          <w:szCs w:val="24"/>
          <w:lang w:val="en-CA" w:eastAsia="ja-JP"/>
        </w:rPr>
        <w:t xml:space="preserve">Supplemental Text </w:t>
      </w:r>
      <w:r w:rsidR="00072F4F" w:rsidRPr="004363F1">
        <w:rPr>
          <w:rFonts w:ascii="Times New Roman" w:eastAsiaTheme="minorEastAsia" w:hAnsi="Times New Roman" w:cs="Times New Roman"/>
          <w:b/>
          <w:sz w:val="24"/>
          <w:szCs w:val="24"/>
          <w:lang w:val="en-CA" w:eastAsia="ja-JP"/>
        </w:rPr>
        <w:t xml:space="preserve">3: </w:t>
      </w:r>
      <w:r w:rsidR="00E21D30" w:rsidRPr="004363F1">
        <w:rPr>
          <w:rFonts w:ascii="Times New Roman" w:eastAsiaTheme="minorEastAsia" w:hAnsi="Times New Roman" w:cs="Times New Roman"/>
          <w:b/>
          <w:sz w:val="24"/>
          <w:szCs w:val="24"/>
          <w:lang w:val="en-CA" w:eastAsia="ja-JP"/>
        </w:rPr>
        <w:t>Alternative w</w:t>
      </w:r>
      <w:r w:rsidR="000A5C2D" w:rsidRPr="004363F1">
        <w:rPr>
          <w:rFonts w:ascii="Times New Roman" w:eastAsiaTheme="minorEastAsia" w:hAnsi="Times New Roman" w:cs="Times New Roman"/>
          <w:b/>
          <w:sz w:val="24"/>
          <w:szCs w:val="24"/>
          <w:lang w:val="en-CA" w:eastAsia="ja-JP"/>
        </w:rPr>
        <w:t xml:space="preserve">ays of </w:t>
      </w:r>
      <w:r w:rsidR="00E21D30" w:rsidRPr="004363F1">
        <w:rPr>
          <w:rFonts w:ascii="Times New Roman" w:eastAsiaTheme="minorEastAsia" w:hAnsi="Times New Roman" w:cs="Times New Roman"/>
          <w:b/>
          <w:sz w:val="24"/>
          <w:szCs w:val="24"/>
          <w:lang w:val="en-CA" w:eastAsia="ja-JP"/>
        </w:rPr>
        <w:t>s</w:t>
      </w:r>
      <w:r w:rsidR="00713819" w:rsidRPr="004363F1">
        <w:rPr>
          <w:rFonts w:ascii="Times New Roman" w:eastAsiaTheme="minorEastAsia" w:hAnsi="Times New Roman" w:cs="Times New Roman"/>
          <w:b/>
          <w:sz w:val="24"/>
          <w:szCs w:val="24"/>
          <w:lang w:val="en-CA" w:eastAsia="ja-JP"/>
        </w:rPr>
        <w:t xml:space="preserve">pecifying </w:t>
      </w:r>
      <w:r w:rsidR="00E21D30" w:rsidRPr="004363F1">
        <w:rPr>
          <w:rFonts w:ascii="Times New Roman" w:eastAsiaTheme="minorEastAsia" w:hAnsi="Times New Roman" w:cs="Times New Roman"/>
          <w:b/>
          <w:sz w:val="24"/>
          <w:szCs w:val="24"/>
          <w:lang w:val="en-CA" w:eastAsia="ja-JP"/>
        </w:rPr>
        <w:t>the l</w:t>
      </w:r>
      <w:r w:rsidR="00E25769" w:rsidRPr="004363F1">
        <w:rPr>
          <w:rFonts w:ascii="Times New Roman" w:eastAsiaTheme="minorEastAsia" w:hAnsi="Times New Roman" w:cs="Times New Roman"/>
          <w:b/>
          <w:sz w:val="24"/>
          <w:szCs w:val="24"/>
          <w:lang w:val="en-CA" w:eastAsia="ja-JP"/>
        </w:rPr>
        <w:t>evel</w:t>
      </w:r>
      <w:r w:rsidR="00E21D30" w:rsidRPr="004363F1">
        <w:rPr>
          <w:rFonts w:ascii="Times New Roman" w:eastAsiaTheme="minorEastAsia" w:hAnsi="Times New Roman" w:cs="Times New Roman"/>
          <w:b/>
          <w:sz w:val="24"/>
          <w:szCs w:val="24"/>
          <w:lang w:val="en-CA" w:eastAsia="ja-JP"/>
        </w:rPr>
        <w:t xml:space="preserve"> and c</w:t>
      </w:r>
      <w:r w:rsidR="00713819" w:rsidRPr="004363F1">
        <w:rPr>
          <w:rFonts w:ascii="Times New Roman" w:eastAsiaTheme="minorEastAsia" w:hAnsi="Times New Roman" w:cs="Times New Roman"/>
          <w:b/>
          <w:sz w:val="24"/>
          <w:szCs w:val="24"/>
          <w:lang w:val="en-CA" w:eastAsia="ja-JP"/>
        </w:rPr>
        <w:t>ha</w:t>
      </w:r>
      <w:r w:rsidR="00E21D30" w:rsidRPr="004363F1">
        <w:rPr>
          <w:rFonts w:ascii="Times New Roman" w:eastAsiaTheme="minorEastAsia" w:hAnsi="Times New Roman" w:cs="Times New Roman"/>
          <w:b/>
          <w:sz w:val="24"/>
          <w:szCs w:val="24"/>
          <w:lang w:val="en-CA" w:eastAsia="ja-JP"/>
        </w:rPr>
        <w:t>nge v</w:t>
      </w:r>
      <w:r w:rsidR="00713819" w:rsidRPr="004363F1">
        <w:rPr>
          <w:rFonts w:ascii="Times New Roman" w:eastAsiaTheme="minorEastAsia" w:hAnsi="Times New Roman" w:cs="Times New Roman"/>
          <w:b/>
          <w:sz w:val="24"/>
          <w:szCs w:val="24"/>
          <w:lang w:val="en-CA" w:eastAsia="ja-JP"/>
        </w:rPr>
        <w:t>ariables</w:t>
      </w:r>
      <w:r w:rsidR="000A5C2D" w:rsidRPr="004363F1">
        <w:rPr>
          <w:rFonts w:ascii="Times New Roman" w:eastAsiaTheme="minorEastAsia" w:hAnsi="Times New Roman" w:cs="Times New Roman"/>
          <w:b/>
          <w:sz w:val="24"/>
          <w:szCs w:val="24"/>
          <w:lang w:val="en-CA" w:eastAsia="ja-JP"/>
        </w:rPr>
        <w:t xml:space="preserve"> of TVBIs</w:t>
      </w:r>
    </w:p>
    <w:p w14:paraId="4D8B9FB3" w14:textId="77777777" w:rsidR="005F0443" w:rsidRPr="004363F1" w:rsidRDefault="00FE2774" w:rsidP="0005558A">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4"/>
          <w:szCs w:val="24"/>
        </w:rPr>
        <w:tab/>
      </w:r>
      <w:r w:rsidR="003073D9" w:rsidRPr="004363F1">
        <w:rPr>
          <w:rFonts w:ascii="Times New Roman" w:eastAsiaTheme="minorEastAsia" w:hAnsi="Times New Roman" w:cs="Times New Roman"/>
          <w:sz w:val="20"/>
          <w:szCs w:val="20"/>
        </w:rPr>
        <w:t>For some TVBI</w:t>
      </w:r>
      <w:r w:rsidR="00353362" w:rsidRPr="004363F1">
        <w:rPr>
          <w:rFonts w:ascii="Times New Roman" w:eastAsiaTheme="minorEastAsia" w:hAnsi="Times New Roman" w:cs="Times New Roman"/>
          <w:sz w:val="20"/>
          <w:szCs w:val="20"/>
        </w:rPr>
        <w:t>s</w:t>
      </w:r>
      <w:r w:rsidR="003073D9" w:rsidRPr="004363F1">
        <w:rPr>
          <w:rFonts w:ascii="Times New Roman" w:eastAsiaTheme="minorEastAsia" w:hAnsi="Times New Roman" w:cs="Times New Roman"/>
          <w:sz w:val="20"/>
          <w:szCs w:val="20"/>
        </w:rPr>
        <w:t xml:space="preserve"> like platelet count, a given difference of</w:t>
      </w:r>
      <w:r w:rsidR="00623C73" w:rsidRPr="004363F1">
        <w:rPr>
          <w:rFonts w:ascii="Times New Roman" w:eastAsiaTheme="minorEastAsia" w:hAnsi="Times New Roman" w:cs="Times New Roman"/>
          <w:sz w:val="20"/>
          <w:szCs w:val="20"/>
        </w:rPr>
        <w:t>,</w:t>
      </w:r>
      <w:r w:rsidR="003073D9" w:rsidRPr="004363F1">
        <w:rPr>
          <w:rFonts w:ascii="Times New Roman" w:eastAsiaTheme="minorEastAsia" w:hAnsi="Times New Roman" w:cs="Times New Roman"/>
          <w:sz w:val="20"/>
          <w:szCs w:val="20"/>
        </w:rPr>
        <w:t xml:space="preserve"> say</w:t>
      </w:r>
      <w:r w:rsidR="00623C73" w:rsidRPr="004363F1">
        <w:rPr>
          <w:rFonts w:ascii="Times New Roman" w:eastAsiaTheme="minorEastAsia" w:hAnsi="Times New Roman" w:cs="Times New Roman"/>
          <w:sz w:val="20"/>
          <w:szCs w:val="20"/>
        </w:rPr>
        <w:t>,</w:t>
      </w:r>
      <w:r w:rsidR="003073D9" w:rsidRPr="004363F1">
        <w:rPr>
          <w:rFonts w:ascii="Times New Roman" w:eastAsiaTheme="minorEastAsia" w:hAnsi="Times New Roman" w:cs="Times New Roman"/>
          <w:sz w:val="20"/>
          <w:szCs w:val="20"/>
        </w:rPr>
        <w:t xml:space="preserve"> 50 units between two patients could have a much greater effect on their risk difference if the sicker patient had</w:t>
      </w:r>
      <w:r w:rsidR="003D5041" w:rsidRPr="004363F1">
        <w:rPr>
          <w:rFonts w:ascii="Times New Roman" w:eastAsiaTheme="minorEastAsia" w:hAnsi="Times New Roman" w:cs="Times New Roman"/>
          <w:sz w:val="20"/>
          <w:szCs w:val="20"/>
        </w:rPr>
        <w:t xml:space="preserve"> a</w:t>
      </w:r>
      <w:r w:rsidR="003073D9" w:rsidRPr="004363F1">
        <w:rPr>
          <w:rFonts w:ascii="Times New Roman" w:eastAsiaTheme="minorEastAsia" w:hAnsi="Times New Roman" w:cs="Times New Roman"/>
          <w:sz w:val="20"/>
          <w:szCs w:val="20"/>
        </w:rPr>
        <w:t xml:space="preserve"> level of </w:t>
      </w:r>
      <w:r w:rsidR="00935FBE" w:rsidRPr="004363F1">
        <w:rPr>
          <w:rFonts w:ascii="Times New Roman" w:eastAsiaTheme="minorEastAsia" w:hAnsi="Times New Roman" w:cs="Times New Roman"/>
          <w:sz w:val="20"/>
          <w:szCs w:val="20"/>
        </w:rPr>
        <w:t xml:space="preserve">60 units rather than 150 units.  We thus log-transformed </w:t>
      </w:r>
      <w:r w:rsidR="00742FC6" w:rsidRPr="004363F1">
        <w:rPr>
          <w:rFonts w:ascii="Times New Roman" w:eastAsiaTheme="minorEastAsia" w:hAnsi="Times New Roman" w:cs="Times New Roman"/>
          <w:sz w:val="20"/>
          <w:szCs w:val="20"/>
        </w:rPr>
        <w:t xml:space="preserve">the </w:t>
      </w:r>
      <w:r w:rsidR="00935FBE" w:rsidRPr="004363F1">
        <w:rPr>
          <w:rFonts w:ascii="Times New Roman" w:eastAsiaTheme="minorEastAsia" w:hAnsi="Times New Roman" w:cs="Times New Roman"/>
          <w:sz w:val="20"/>
          <w:szCs w:val="20"/>
        </w:rPr>
        <w:t xml:space="preserve">day 1 </w:t>
      </w:r>
      <w:r w:rsidR="003073D9" w:rsidRPr="004363F1">
        <w:rPr>
          <w:rFonts w:ascii="Times New Roman" w:eastAsiaTheme="minorEastAsia" w:hAnsi="Times New Roman" w:cs="Times New Roman"/>
          <w:sz w:val="20"/>
          <w:szCs w:val="20"/>
        </w:rPr>
        <w:t xml:space="preserve">variables of protein C, platelet count, and creatinine to enhance the model’s predictive power. Mathematically, the log-transformation changed the dependence of the hazard from an </w:t>
      </w:r>
      <w:r w:rsidR="003073D9" w:rsidRPr="004363F1">
        <w:rPr>
          <w:rFonts w:ascii="Times New Roman" w:eastAsiaTheme="minorEastAsia" w:hAnsi="Times New Roman" w:cs="Times New Roman"/>
          <w:i/>
          <w:sz w:val="20"/>
          <w:szCs w:val="20"/>
        </w:rPr>
        <w:t>exponential function</w:t>
      </w:r>
      <w:r w:rsidR="003073D9" w:rsidRPr="004363F1">
        <w:rPr>
          <w:rFonts w:ascii="Times New Roman" w:eastAsiaTheme="minorEastAsia" w:hAnsi="Times New Roman" w:cs="Times New Roman"/>
          <w:sz w:val="20"/>
          <w:szCs w:val="20"/>
        </w:rPr>
        <w:t xml:space="preserve"> to a </w:t>
      </w:r>
      <w:r w:rsidR="003073D9" w:rsidRPr="004363F1">
        <w:rPr>
          <w:rFonts w:ascii="Times New Roman" w:eastAsiaTheme="minorEastAsia" w:hAnsi="Times New Roman" w:cs="Times New Roman"/>
          <w:i/>
          <w:sz w:val="20"/>
          <w:szCs w:val="20"/>
        </w:rPr>
        <w:t>power function</w:t>
      </w:r>
      <w:r w:rsidR="003073D9" w:rsidRPr="004363F1">
        <w:rPr>
          <w:rFonts w:ascii="Times New Roman" w:eastAsiaTheme="minorEastAsia" w:hAnsi="Times New Roman" w:cs="Times New Roman"/>
          <w:sz w:val="20"/>
          <w:szCs w:val="20"/>
        </w:rPr>
        <w:t xml:space="preserve">. </w:t>
      </w:r>
    </w:p>
    <w:p w14:paraId="007A8321" w14:textId="77777777" w:rsidR="003073D9" w:rsidRPr="004363F1" w:rsidRDefault="00774B2D"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hAnsi="Times New Roman" w:cs="Times New Roman"/>
          <w:sz w:val="20"/>
          <w:szCs w:val="20"/>
          <w:lang w:val="en-CA"/>
        </w:rPr>
        <w:t xml:space="preserve">Supplemental Figure </w:t>
      </w:r>
      <w:r w:rsidR="005F0443" w:rsidRPr="004363F1">
        <w:rPr>
          <w:rFonts w:ascii="Times New Roman" w:hAnsi="Times New Roman" w:cs="Times New Roman"/>
          <w:sz w:val="20"/>
          <w:szCs w:val="20"/>
          <w:lang w:val="en-CA"/>
        </w:rPr>
        <w:t>1 shows the difference between the</w:t>
      </w:r>
      <w:r w:rsidR="00570BFE" w:rsidRPr="004363F1">
        <w:rPr>
          <w:rFonts w:ascii="Times New Roman" w:hAnsi="Times New Roman" w:cs="Times New Roman"/>
          <w:sz w:val="20"/>
          <w:szCs w:val="20"/>
          <w:lang w:val="en-CA"/>
        </w:rPr>
        <w:t>se two functions for the day 1</w:t>
      </w:r>
      <w:r w:rsidR="005F0443" w:rsidRPr="004363F1">
        <w:rPr>
          <w:rFonts w:ascii="Times New Roman" w:hAnsi="Times New Roman" w:cs="Times New Roman"/>
          <w:sz w:val="20"/>
          <w:szCs w:val="20"/>
          <w:lang w:val="en-CA"/>
        </w:rPr>
        <w:t xml:space="preserve"> variable of platelet count</w:t>
      </w:r>
      <w:r w:rsidR="008A19F2" w:rsidRPr="004363F1">
        <w:rPr>
          <w:rFonts w:ascii="Times New Roman" w:hAnsi="Times New Roman" w:cs="Times New Roman"/>
          <w:sz w:val="20"/>
          <w:szCs w:val="20"/>
          <w:lang w:val="en-CA"/>
        </w:rPr>
        <w:t xml:space="preserve"> </w:t>
      </w:r>
      <w:r w:rsidR="00570BFE" w:rsidRPr="004363F1">
        <w:rPr>
          <w:rFonts w:ascii="Times New Roman" w:hAnsi="Times New Roman" w:cs="Times New Roman"/>
          <w:sz w:val="20"/>
          <w:szCs w:val="20"/>
          <w:lang w:val="en-CA"/>
        </w:rPr>
        <w:t xml:space="preserve">in </w:t>
      </w:r>
      <w:r w:rsidR="008A19F2" w:rsidRPr="004363F1">
        <w:rPr>
          <w:rFonts w:ascii="Times New Roman" w:hAnsi="Times New Roman" w:cs="Times New Roman"/>
          <w:sz w:val="20"/>
          <w:szCs w:val="20"/>
          <w:lang w:val="en-CA"/>
        </w:rPr>
        <w:t>the CLOGLOG model</w:t>
      </w:r>
      <w:r w:rsidR="005F0443" w:rsidRPr="004363F1">
        <w:rPr>
          <w:rFonts w:ascii="Times New Roman" w:hAnsi="Times New Roman" w:cs="Times New Roman"/>
          <w:sz w:val="20"/>
          <w:szCs w:val="20"/>
          <w:lang w:val="en-CA"/>
        </w:rPr>
        <w:t>. In drawing the curves, the values of all other variables in the model were set at th</w:t>
      </w:r>
      <w:r w:rsidR="00A26B8C" w:rsidRPr="004363F1">
        <w:rPr>
          <w:rFonts w:ascii="Times New Roman" w:hAnsi="Times New Roman" w:cs="Times New Roman"/>
          <w:sz w:val="20"/>
          <w:szCs w:val="20"/>
          <w:lang w:val="en-CA"/>
        </w:rPr>
        <w:t xml:space="preserve">e mean of all patients. The </w:t>
      </w:r>
      <w:r w:rsidR="005F0443" w:rsidRPr="004363F1">
        <w:rPr>
          <w:rFonts w:ascii="Times New Roman" w:hAnsi="Times New Roman" w:cs="Times New Roman"/>
          <w:sz w:val="20"/>
          <w:szCs w:val="20"/>
          <w:lang w:val="en-CA"/>
        </w:rPr>
        <w:t>shapes of the two functions differ markedly. The power function</w:t>
      </w:r>
      <w:r w:rsidR="003D5041" w:rsidRPr="004363F1">
        <w:rPr>
          <w:rFonts w:ascii="Times New Roman" w:hAnsi="Times New Roman" w:cs="Times New Roman"/>
          <w:sz w:val="20"/>
          <w:szCs w:val="20"/>
          <w:lang w:val="en-CA"/>
        </w:rPr>
        <w:t xml:space="preserve"> (red </w:t>
      </w:r>
      <w:r w:rsidR="00F540E7" w:rsidRPr="004363F1">
        <w:rPr>
          <w:rFonts w:ascii="Times New Roman" w:hAnsi="Times New Roman" w:cs="Times New Roman"/>
          <w:sz w:val="20"/>
          <w:szCs w:val="20"/>
          <w:lang w:val="en-CA"/>
        </w:rPr>
        <w:t>continuous</w:t>
      </w:r>
      <w:r w:rsidR="00F540E7" w:rsidRPr="004363F1">
        <w:rPr>
          <w:rFonts w:ascii="Times New Roman" w:hAnsi="Times New Roman" w:cs="Times New Roman"/>
          <w:color w:val="FF0000"/>
          <w:sz w:val="20"/>
          <w:szCs w:val="20"/>
          <w:lang w:val="en-CA"/>
        </w:rPr>
        <w:t xml:space="preserve"> </w:t>
      </w:r>
      <w:r w:rsidR="003D5041" w:rsidRPr="004363F1">
        <w:rPr>
          <w:rFonts w:ascii="Times New Roman" w:hAnsi="Times New Roman" w:cs="Times New Roman"/>
          <w:sz w:val="20"/>
          <w:szCs w:val="20"/>
          <w:lang w:val="en-CA"/>
        </w:rPr>
        <w:t>line)</w:t>
      </w:r>
      <w:r w:rsidR="005F0443" w:rsidRPr="004363F1">
        <w:rPr>
          <w:rFonts w:ascii="Times New Roman" w:hAnsi="Times New Roman" w:cs="Times New Roman"/>
          <w:sz w:val="20"/>
          <w:szCs w:val="20"/>
          <w:lang w:val="en-CA"/>
        </w:rPr>
        <w:t xml:space="preserve"> has a greater curvature and a flatt</w:t>
      </w:r>
      <w:r w:rsidR="003D5041" w:rsidRPr="004363F1">
        <w:rPr>
          <w:rFonts w:ascii="Times New Roman" w:hAnsi="Times New Roman" w:cs="Times New Roman"/>
          <w:sz w:val="20"/>
          <w:szCs w:val="20"/>
          <w:lang w:val="en-CA"/>
        </w:rPr>
        <w:t>er tail, suggesting that variations in platelet counts above 250 have</w:t>
      </w:r>
      <w:r w:rsidR="005F0443" w:rsidRPr="004363F1">
        <w:rPr>
          <w:rFonts w:ascii="Times New Roman" w:hAnsi="Times New Roman" w:cs="Times New Roman"/>
          <w:sz w:val="20"/>
          <w:szCs w:val="20"/>
          <w:lang w:val="en-CA"/>
        </w:rPr>
        <w:t xml:space="preserve"> little effect on the risk of dying.</w:t>
      </w:r>
    </w:p>
    <w:p w14:paraId="77052815" w14:textId="77777777" w:rsidR="003073D9" w:rsidRPr="004363F1" w:rsidRDefault="003073D9" w:rsidP="00CC0983">
      <w:pPr>
        <w:spacing w:after="0" w:line="240" w:lineRule="auto"/>
        <w:ind w:firstLine="720"/>
        <w:jc w:val="both"/>
        <w:rPr>
          <w:rFonts w:ascii="Times New Roman" w:hAnsi="Times New Roman" w:cs="Times New Roman"/>
          <w:sz w:val="20"/>
          <w:szCs w:val="20"/>
        </w:rPr>
      </w:pPr>
      <w:r w:rsidRPr="004363F1">
        <w:rPr>
          <w:rFonts w:ascii="Times New Roman" w:eastAsiaTheme="minorEastAsia" w:hAnsi="Times New Roman" w:cs="Times New Roman"/>
          <w:sz w:val="20"/>
          <w:szCs w:val="20"/>
        </w:rPr>
        <w:t>The model’s predictive power could also be enhanced by replacing the simple difference between current and day 1 variable</w:t>
      </w:r>
      <w:r w:rsidR="00786454" w:rsidRPr="004363F1">
        <w:rPr>
          <w:rFonts w:ascii="Times New Roman" w:eastAsiaTheme="minorEastAsia" w:hAnsi="Times New Roman" w:cs="Times New Roman"/>
          <w:sz w:val="20"/>
          <w:szCs w:val="20"/>
        </w:rPr>
        <w:t>s</w:t>
      </w:r>
      <w:r w:rsidR="005B7B71" w:rsidRPr="004363F1">
        <w:rPr>
          <w:rFonts w:ascii="Times New Roman" w:eastAsiaTheme="minorEastAsia" w:hAnsi="Times New Roman" w:cs="Times New Roman"/>
          <w:sz w:val="20"/>
          <w:szCs w:val="20"/>
        </w:rPr>
        <w:t xml:space="preserve"> of some TVBIs</w:t>
      </w:r>
      <w:r w:rsidRPr="004363F1">
        <w:rPr>
          <w:rFonts w:ascii="Times New Roman" w:eastAsiaTheme="minorEastAsia" w:hAnsi="Times New Roman" w:cs="Times New Roman"/>
          <w:sz w:val="20"/>
          <w:szCs w:val="20"/>
        </w:rPr>
        <w:t xml:space="preserve"> </w:t>
      </w:r>
      <w:r w:rsidR="005B7B71" w:rsidRPr="004363F1">
        <w:rPr>
          <w:rFonts w:ascii="Times New Roman" w:eastAsiaTheme="minorEastAsia" w:hAnsi="Times New Roman" w:cs="Times New Roman"/>
          <w:sz w:val="20"/>
          <w:szCs w:val="20"/>
        </w:rPr>
        <w:t>with proportional changes</w:t>
      </w:r>
      <w:r w:rsidRPr="004363F1">
        <w:rPr>
          <w:rFonts w:ascii="Times New Roman" w:eastAsiaTheme="minorEastAsia" w:hAnsi="Times New Roman" w:cs="Times New Roman"/>
          <w:sz w:val="20"/>
          <w:szCs w:val="20"/>
        </w:rPr>
        <w:t xml:space="preserve">.  </w:t>
      </w:r>
      <w:r w:rsidRPr="004363F1">
        <w:rPr>
          <w:rFonts w:ascii="Times New Roman" w:hAnsi="Times New Roman" w:cs="Times New Roman"/>
          <w:sz w:val="20"/>
          <w:szCs w:val="20"/>
        </w:rPr>
        <w:t xml:space="preserve">Let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w:r w:rsidRPr="004363F1">
        <w:rPr>
          <w:rFonts w:ascii="Times New Roman" w:hAnsi="Times New Roman" w:cs="Times New Roman"/>
          <w:sz w:val="20"/>
          <w:szCs w:val="20"/>
        </w:rPr>
        <w:t xml:space="preserve">be the day 1 variable, and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oMath>
      <w:r w:rsidRPr="004363F1">
        <w:rPr>
          <w:rFonts w:ascii="Times New Roman" w:hAnsi="Times New Roman" w:cs="Times New Roman"/>
          <w:sz w:val="20"/>
          <w:szCs w:val="20"/>
        </w:rPr>
        <w:t xml:space="preserve"> be the current variable of the TVBI in question. A useful alternative specification of its change variable is </w:t>
      </w:r>
      <m:oMath>
        <m:func>
          <m:funcPr>
            <m:ctrlPr>
              <w:rPr>
                <w:rFonts w:ascii="Cambria Math" w:hAnsi="Cambria Math" w:cs="Times New Roman"/>
                <w:sz w:val="20"/>
                <w:szCs w:val="20"/>
              </w:rPr>
            </m:ctrlPr>
          </m:funcPr>
          <m:fName>
            <m:r>
              <w:rPr>
                <w:rFonts w:ascii="Cambria Math" w:hAnsi="Cambria Math" w:cs="Times New Roman"/>
                <w:sz w:val="20"/>
                <w:szCs w:val="20"/>
              </w:rPr>
              <m:t>log</m:t>
            </m:r>
          </m:fName>
          <m:e>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en>
                </m:f>
              </m:e>
            </m:d>
          </m:e>
        </m:func>
        <m:r>
          <w:rPr>
            <w:rFonts w:ascii="Cambria Math" w:hAnsi="Cambria Math" w:cs="Times New Roman"/>
            <w:sz w:val="20"/>
            <w:szCs w:val="20"/>
          </w:rPr>
          <m:t>=log(1+∆X/</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oMath>
      <w:r w:rsidRPr="004363F1">
        <w:rPr>
          <w:rFonts w:ascii="Times New Roman" w:hAnsi="Times New Roman" w:cs="Times New Roman"/>
          <w:sz w:val="20"/>
          <w:szCs w:val="20"/>
        </w:rPr>
        <w:t xml:space="preserve">, where </w:t>
      </w:r>
      <m:oMath>
        <m:f>
          <m:fPr>
            <m:ctrlPr>
              <w:rPr>
                <w:rFonts w:ascii="Cambria Math" w:hAnsi="Cambria Math" w:cs="Times New Roman"/>
                <w:i/>
                <w:sz w:val="20"/>
                <w:szCs w:val="20"/>
              </w:rPr>
            </m:ctrlPr>
          </m:fPr>
          <m:num>
            <m:r>
              <w:rPr>
                <w:rFonts w:ascii="Cambria Math" w:hAnsi="Cambria Math" w:cs="Times New Roman"/>
                <w:sz w:val="20"/>
                <w:szCs w:val="20"/>
              </w:rPr>
              <m:t>∆X</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en>
        </m:f>
      </m:oMath>
      <w:r w:rsidRPr="004363F1">
        <w:rPr>
          <w:rFonts w:ascii="Times New Roman" w:hAnsi="Times New Roman" w:cs="Times New Roman"/>
          <w:sz w:val="20"/>
          <w:szCs w:val="20"/>
        </w:rPr>
        <w:t xml:space="preserve"> is the </w:t>
      </w:r>
      <w:r w:rsidRPr="004363F1">
        <w:rPr>
          <w:rFonts w:ascii="Times New Roman" w:hAnsi="Times New Roman" w:cs="Times New Roman"/>
          <w:i/>
          <w:sz w:val="20"/>
          <w:szCs w:val="20"/>
        </w:rPr>
        <w:t>proportional</w:t>
      </w:r>
      <w:r w:rsidRPr="004363F1">
        <w:rPr>
          <w:rFonts w:ascii="Times New Roman" w:hAnsi="Times New Roman" w:cs="Times New Roman"/>
          <w:sz w:val="20"/>
          <w:szCs w:val="20"/>
        </w:rPr>
        <w:t xml:space="preserve"> change. It is called </w:t>
      </w:r>
      <w:r w:rsidRPr="004363F1">
        <w:rPr>
          <w:rFonts w:ascii="Times New Roman" w:hAnsi="Times New Roman" w:cs="Times New Roman"/>
          <w:i/>
          <w:sz w:val="20"/>
          <w:szCs w:val="20"/>
        </w:rPr>
        <w:t>change factor</w:t>
      </w:r>
      <w:r w:rsidRPr="004363F1">
        <w:rPr>
          <w:rFonts w:ascii="Times New Roman" w:hAnsi="Times New Roman" w:cs="Times New Roman"/>
          <w:sz w:val="20"/>
          <w:szCs w:val="20"/>
        </w:rPr>
        <w:t xml:space="preserve"> in the tables reporting the</w:t>
      </w:r>
      <w:r w:rsidR="00177703" w:rsidRPr="004363F1">
        <w:rPr>
          <w:rFonts w:ascii="Times New Roman" w:hAnsi="Times New Roman" w:cs="Times New Roman"/>
          <w:sz w:val="20"/>
          <w:szCs w:val="20"/>
        </w:rPr>
        <w:t xml:space="preserve"> estimated coefficient</w:t>
      </w:r>
      <w:r w:rsidRPr="004363F1">
        <w:rPr>
          <w:rFonts w:ascii="Times New Roman" w:hAnsi="Times New Roman" w:cs="Times New Roman"/>
          <w:sz w:val="20"/>
          <w:szCs w:val="20"/>
        </w:rPr>
        <w:t>s.</w:t>
      </w:r>
      <w:r w:rsidR="00177703" w:rsidRPr="004363F1">
        <w:rPr>
          <w:rFonts w:ascii="Times New Roman" w:hAnsi="Times New Roman" w:cs="Times New Roman"/>
          <w:sz w:val="20"/>
          <w:szCs w:val="20"/>
        </w:rPr>
        <w:t xml:space="preserve"> </w:t>
      </w:r>
      <w:r w:rsidRPr="004363F1">
        <w:rPr>
          <w:rFonts w:ascii="Times New Roman" w:hAnsi="Times New Roman" w:cs="Times New Roman"/>
          <w:sz w:val="20"/>
          <w:szCs w:val="20"/>
        </w:rPr>
        <w:t xml:space="preserve">Mathematically, the switch to this alternative implies the replacement of the exponential function </w:t>
      </w:r>
      <m:oMath>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β∆X</m:t>
            </m:r>
          </m:sup>
        </m:sSup>
      </m:oMath>
      <w:r w:rsidRPr="004363F1">
        <w:rPr>
          <w:rFonts w:ascii="Times New Roman" w:hAnsi="Times New Roman" w:cs="Times New Roman"/>
          <w:sz w:val="20"/>
          <w:szCs w:val="20"/>
        </w:rPr>
        <w:t xml:space="preserve"> by the power function </w:t>
      </w:r>
      <m:oMath>
        <m:sSup>
          <m:sSupPr>
            <m:ctrlPr>
              <w:rPr>
                <w:rFonts w:ascii="Cambria Math" w:hAnsi="Cambria Math" w:cs="Times New Roman"/>
                <w:i/>
                <w:sz w:val="20"/>
                <w:szCs w:val="20"/>
              </w:rPr>
            </m:ctrlPr>
          </m:sSupPr>
          <m:e>
            <m:r>
              <w:rPr>
                <w:rFonts w:ascii="Cambria Math" w:hAnsi="Cambria Math" w:cs="Times New Roman"/>
                <w:sz w:val="20"/>
                <w:szCs w:val="20"/>
              </w:rPr>
              <m:t>(1+∆X/</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e>
          <m:sup>
            <m:r>
              <w:rPr>
                <w:rFonts w:ascii="Cambria Math" w:hAnsi="Cambria Math" w:cs="Times New Roman"/>
                <w:sz w:val="20"/>
                <w:szCs w:val="20"/>
              </w:rPr>
              <m:t>β</m:t>
            </m:r>
          </m:sup>
        </m:sSup>
      </m:oMath>
      <w:r w:rsidRPr="004363F1">
        <w:rPr>
          <w:rFonts w:ascii="Times New Roman" w:hAnsi="Times New Roman" w:cs="Times New Roman"/>
          <w:sz w:val="20"/>
          <w:szCs w:val="20"/>
        </w:rPr>
        <w:t xml:space="preserve">, where </w:t>
      </w:r>
      <m:oMath>
        <m:r>
          <w:rPr>
            <w:rFonts w:ascii="Cambria Math" w:hAnsi="Cambria Math" w:cs="Times New Roman"/>
            <w:sz w:val="20"/>
            <w:szCs w:val="20"/>
          </w:rPr>
          <m:t>β</m:t>
        </m:r>
      </m:oMath>
      <w:r w:rsidRPr="004363F1">
        <w:rPr>
          <w:rFonts w:ascii="Times New Roman" w:hAnsi="Times New Roman" w:cs="Times New Roman"/>
          <w:sz w:val="20"/>
          <w:szCs w:val="20"/>
        </w:rPr>
        <w:t xml:space="preserve"> is an unknown coefficient to be estimated. </w:t>
      </w:r>
      <w:r w:rsidR="00177703" w:rsidRPr="004363F1">
        <w:rPr>
          <w:rFonts w:ascii="Times New Roman" w:hAnsi="Times New Roman" w:cs="Times New Roman"/>
          <w:sz w:val="20"/>
          <w:szCs w:val="20"/>
        </w:rPr>
        <w:t xml:space="preserve">In our model, </w:t>
      </w:r>
      <w:r w:rsidR="00302222" w:rsidRPr="004363F1">
        <w:rPr>
          <w:rFonts w:ascii="Times New Roman" w:hAnsi="Times New Roman" w:cs="Times New Roman"/>
          <w:sz w:val="20"/>
          <w:szCs w:val="20"/>
        </w:rPr>
        <w:t xml:space="preserve">the change factor </w:t>
      </w:r>
      <w:r w:rsidR="005B7B71" w:rsidRPr="004363F1">
        <w:rPr>
          <w:rFonts w:ascii="Times New Roman" w:hAnsi="Times New Roman" w:cs="Times New Roman"/>
          <w:sz w:val="20"/>
          <w:szCs w:val="20"/>
        </w:rPr>
        <w:t>is more</w:t>
      </w:r>
      <w:r w:rsidR="00302222" w:rsidRPr="004363F1">
        <w:rPr>
          <w:rFonts w:ascii="Times New Roman" w:hAnsi="Times New Roman" w:cs="Times New Roman"/>
          <w:sz w:val="20"/>
          <w:szCs w:val="20"/>
        </w:rPr>
        <w:t xml:space="preserve"> suitable than the simple change</w:t>
      </w:r>
      <w:r w:rsidR="00177703" w:rsidRPr="004363F1">
        <w:rPr>
          <w:rFonts w:ascii="Times New Roman" w:hAnsi="Times New Roman" w:cs="Times New Roman"/>
          <w:sz w:val="20"/>
          <w:szCs w:val="20"/>
        </w:rPr>
        <w:t xml:space="preserve"> for</w:t>
      </w:r>
      <w:r w:rsidR="00B853BE" w:rsidRPr="004363F1">
        <w:rPr>
          <w:rFonts w:ascii="Times New Roman" w:hAnsi="Times New Roman" w:cs="Times New Roman"/>
          <w:sz w:val="20"/>
          <w:szCs w:val="20"/>
        </w:rPr>
        <w:t xml:space="preserve"> representing the change variables of</w:t>
      </w:r>
      <w:r w:rsidR="00177703" w:rsidRPr="004363F1">
        <w:rPr>
          <w:rFonts w:ascii="Times New Roman" w:hAnsi="Times New Roman" w:cs="Times New Roman"/>
          <w:sz w:val="20"/>
          <w:szCs w:val="20"/>
        </w:rPr>
        <w:t xml:space="preserve"> protein C, platelets, creatinine, and lactate. </w:t>
      </w:r>
      <w:r w:rsidR="00045C45" w:rsidRPr="004363F1">
        <w:rPr>
          <w:rFonts w:ascii="Times New Roman" w:hAnsi="Times New Roman" w:cs="Times New Roman"/>
          <w:sz w:val="20"/>
          <w:szCs w:val="20"/>
        </w:rPr>
        <w:t>In other words, proportional change is better than simple change for quantifying the change effects of these</w:t>
      </w:r>
      <w:r w:rsidR="005B7B71" w:rsidRPr="004363F1">
        <w:rPr>
          <w:rFonts w:ascii="Times New Roman" w:hAnsi="Times New Roman" w:cs="Times New Roman"/>
          <w:sz w:val="20"/>
          <w:szCs w:val="20"/>
        </w:rPr>
        <w:t xml:space="preserve"> 4</w:t>
      </w:r>
      <w:r w:rsidR="00045C45" w:rsidRPr="004363F1">
        <w:rPr>
          <w:rFonts w:ascii="Times New Roman" w:hAnsi="Times New Roman" w:cs="Times New Roman"/>
          <w:sz w:val="20"/>
          <w:szCs w:val="20"/>
        </w:rPr>
        <w:t xml:space="preserve"> TVBIs.</w:t>
      </w:r>
    </w:p>
    <w:p w14:paraId="1BDF9615" w14:textId="77777777" w:rsidR="00B853BE" w:rsidRPr="004363F1" w:rsidRDefault="00B616C1" w:rsidP="00CC0983">
      <w:pPr>
        <w:spacing w:after="0" w:line="240" w:lineRule="auto"/>
        <w:ind w:firstLine="720"/>
        <w:jc w:val="both"/>
        <w:rPr>
          <w:rFonts w:ascii="Times New Roman" w:hAnsi="Times New Roman" w:cs="Times New Roman"/>
          <w:sz w:val="20"/>
          <w:szCs w:val="20"/>
        </w:rPr>
      </w:pPr>
      <w:r w:rsidRPr="004363F1">
        <w:rPr>
          <w:rFonts w:ascii="Times New Roman" w:hAnsi="Times New Roman" w:cs="Times New Roman"/>
          <w:sz w:val="20"/>
          <w:szCs w:val="20"/>
        </w:rPr>
        <w:t>An important meth</w:t>
      </w:r>
      <w:r w:rsidR="00D36FD5" w:rsidRPr="004363F1">
        <w:rPr>
          <w:rFonts w:ascii="Times New Roman" w:hAnsi="Times New Roman" w:cs="Times New Roman"/>
          <w:sz w:val="20"/>
          <w:szCs w:val="20"/>
        </w:rPr>
        <w:t>odological issue</w:t>
      </w:r>
      <w:r w:rsidR="00340E44" w:rsidRPr="004363F1">
        <w:rPr>
          <w:rFonts w:ascii="Times New Roman" w:hAnsi="Times New Roman" w:cs="Times New Roman"/>
          <w:sz w:val="20"/>
          <w:szCs w:val="20"/>
        </w:rPr>
        <w:t xml:space="preserve"> is whether the day 1</w:t>
      </w:r>
      <w:r w:rsidRPr="004363F1">
        <w:rPr>
          <w:rFonts w:ascii="Times New Roman" w:hAnsi="Times New Roman" w:cs="Times New Roman"/>
          <w:sz w:val="20"/>
          <w:szCs w:val="20"/>
        </w:rPr>
        <w:t xml:space="preserve"> variable of any TVBI had a non-monotonic effect. </w:t>
      </w:r>
      <w:r w:rsidR="00043803" w:rsidRPr="004363F1">
        <w:rPr>
          <w:rFonts w:ascii="Times New Roman" w:hAnsi="Times New Roman" w:cs="Times New Roman"/>
          <w:sz w:val="20"/>
          <w:szCs w:val="20"/>
        </w:rPr>
        <w:t>For example, i</w:t>
      </w:r>
      <w:r w:rsidRPr="004363F1">
        <w:rPr>
          <w:rFonts w:ascii="Times New Roman" w:hAnsi="Times New Roman" w:cs="Times New Roman"/>
          <w:sz w:val="20"/>
          <w:szCs w:val="20"/>
        </w:rPr>
        <w:t>n the construction of various versions of APACHE, several variables such as body temperature were assumed to have non-monotonic effects. To deal with this</w:t>
      </w:r>
      <w:r w:rsidR="00D36FD5" w:rsidRPr="004363F1">
        <w:rPr>
          <w:rFonts w:ascii="Times New Roman" w:hAnsi="Times New Roman" w:cs="Times New Roman"/>
          <w:sz w:val="20"/>
          <w:szCs w:val="20"/>
        </w:rPr>
        <w:t xml:space="preserve"> issue, we did the following. Expanding from</w:t>
      </w:r>
      <w:r w:rsidRPr="004363F1">
        <w:rPr>
          <w:rFonts w:ascii="Times New Roman" w:hAnsi="Times New Roman" w:cs="Times New Roman"/>
          <w:sz w:val="20"/>
          <w:szCs w:val="20"/>
        </w:rPr>
        <w:t xml:space="preserve"> the best </w:t>
      </w:r>
      <w:r w:rsidR="00340E44" w:rsidRPr="004363F1">
        <w:rPr>
          <w:rFonts w:ascii="Times New Roman" w:hAnsi="Times New Roman" w:cs="Times New Roman"/>
          <w:sz w:val="20"/>
          <w:szCs w:val="20"/>
        </w:rPr>
        <w:t xml:space="preserve">estimated result </w:t>
      </w:r>
      <w:r w:rsidRPr="004363F1">
        <w:rPr>
          <w:rFonts w:ascii="Times New Roman" w:hAnsi="Times New Roman" w:cs="Times New Roman"/>
          <w:sz w:val="20"/>
          <w:szCs w:val="20"/>
        </w:rPr>
        <w:t>of the CLOGLOG model reported in Ta</w:t>
      </w:r>
      <w:r w:rsidR="002F5410" w:rsidRPr="004363F1">
        <w:rPr>
          <w:rFonts w:ascii="Times New Roman" w:hAnsi="Times New Roman" w:cs="Times New Roman"/>
          <w:sz w:val="20"/>
          <w:szCs w:val="20"/>
        </w:rPr>
        <w:t xml:space="preserve">ble 2, we </w:t>
      </w:r>
      <w:r w:rsidR="00D36FD5" w:rsidRPr="004363F1">
        <w:rPr>
          <w:rFonts w:ascii="Times New Roman" w:hAnsi="Times New Roman" w:cs="Times New Roman"/>
          <w:sz w:val="20"/>
          <w:szCs w:val="20"/>
        </w:rPr>
        <w:t>let</w:t>
      </w:r>
      <w:r w:rsidR="00340E44" w:rsidRPr="004363F1">
        <w:rPr>
          <w:rFonts w:ascii="Times New Roman" w:hAnsi="Times New Roman" w:cs="Times New Roman"/>
          <w:sz w:val="20"/>
          <w:szCs w:val="20"/>
        </w:rPr>
        <w:t xml:space="preserve"> the</w:t>
      </w:r>
      <w:r w:rsidR="002F5410" w:rsidRPr="004363F1">
        <w:rPr>
          <w:rFonts w:ascii="Times New Roman" w:hAnsi="Times New Roman" w:cs="Times New Roman"/>
          <w:sz w:val="20"/>
          <w:szCs w:val="20"/>
        </w:rPr>
        <w:t xml:space="preserve"> effect </w:t>
      </w:r>
      <w:r w:rsidR="00340E44" w:rsidRPr="004363F1">
        <w:rPr>
          <w:rFonts w:ascii="Times New Roman" w:hAnsi="Times New Roman" w:cs="Times New Roman"/>
          <w:sz w:val="20"/>
          <w:szCs w:val="20"/>
        </w:rPr>
        <w:t xml:space="preserve">the day 1 variable </w:t>
      </w:r>
      <w:r w:rsidR="002F5410" w:rsidRPr="004363F1">
        <w:rPr>
          <w:rFonts w:ascii="Times New Roman" w:hAnsi="Times New Roman" w:cs="Times New Roman"/>
          <w:sz w:val="20"/>
          <w:szCs w:val="20"/>
        </w:rPr>
        <w:t xml:space="preserve">of each TVBI be quantified by </w:t>
      </w:r>
      <w:r w:rsidR="00D36FD5" w:rsidRPr="004363F1">
        <w:rPr>
          <w:rFonts w:ascii="Times New Roman" w:hAnsi="Times New Roman" w:cs="Times New Roman"/>
          <w:sz w:val="20"/>
          <w:szCs w:val="20"/>
        </w:rPr>
        <w:t xml:space="preserve">two variables simultaneously: </w:t>
      </w:r>
      <w:r w:rsidR="002F5410" w:rsidRPr="004363F1">
        <w:rPr>
          <w:rFonts w:ascii="Times New Roman" w:hAnsi="Times New Roman" w:cs="Times New Roman"/>
          <w:sz w:val="20"/>
          <w:szCs w:val="20"/>
        </w:rPr>
        <w:t>its day 1 variable and the log of t</w:t>
      </w:r>
      <w:r w:rsidR="00D36FD5" w:rsidRPr="004363F1">
        <w:rPr>
          <w:rFonts w:ascii="Times New Roman" w:hAnsi="Times New Roman" w:cs="Times New Roman"/>
          <w:sz w:val="20"/>
          <w:szCs w:val="20"/>
        </w:rPr>
        <w:t>he day 1 variable</w:t>
      </w:r>
      <w:r w:rsidR="002F5410" w:rsidRPr="004363F1">
        <w:rPr>
          <w:rFonts w:ascii="Times New Roman" w:hAnsi="Times New Roman" w:cs="Times New Roman"/>
          <w:sz w:val="20"/>
          <w:szCs w:val="20"/>
        </w:rPr>
        <w:t xml:space="preserve">. The combination of </w:t>
      </w:r>
      <w:r w:rsidR="002F5410" w:rsidRPr="004363F1">
        <w:rPr>
          <w:rFonts w:ascii="Times New Roman" w:hAnsi="Times New Roman" w:cs="Times New Roman"/>
          <w:sz w:val="20"/>
          <w:szCs w:val="20"/>
        </w:rPr>
        <w:lastRenderedPageBreak/>
        <w:t>these two variables provided a flexibility</w:t>
      </w:r>
      <w:r w:rsidR="00D36FD5" w:rsidRPr="004363F1">
        <w:rPr>
          <w:rFonts w:ascii="Times New Roman" w:hAnsi="Times New Roman" w:cs="Times New Roman"/>
          <w:sz w:val="20"/>
          <w:szCs w:val="20"/>
        </w:rPr>
        <w:t xml:space="preserve"> to allow the data</w:t>
      </w:r>
      <w:r w:rsidR="00B004DF" w:rsidRPr="004363F1">
        <w:rPr>
          <w:rFonts w:ascii="Times New Roman" w:hAnsi="Times New Roman" w:cs="Times New Roman"/>
          <w:sz w:val="20"/>
          <w:szCs w:val="20"/>
        </w:rPr>
        <w:t xml:space="preserve"> to</w:t>
      </w:r>
      <w:r w:rsidR="00D36FD5" w:rsidRPr="004363F1">
        <w:rPr>
          <w:rFonts w:ascii="Times New Roman" w:hAnsi="Times New Roman" w:cs="Times New Roman"/>
          <w:sz w:val="20"/>
          <w:szCs w:val="20"/>
        </w:rPr>
        <w:t xml:space="preserve"> decide</w:t>
      </w:r>
      <w:r w:rsidR="002F5410" w:rsidRPr="004363F1">
        <w:rPr>
          <w:rFonts w:ascii="Times New Roman" w:hAnsi="Times New Roman" w:cs="Times New Roman"/>
          <w:sz w:val="20"/>
          <w:szCs w:val="20"/>
        </w:rPr>
        <w:t xml:space="preserve"> whether the TVBI in question had </w:t>
      </w:r>
      <w:r w:rsidR="00B004DF" w:rsidRPr="004363F1">
        <w:rPr>
          <w:rFonts w:ascii="Times New Roman" w:hAnsi="Times New Roman" w:cs="Times New Roman"/>
          <w:sz w:val="20"/>
          <w:szCs w:val="20"/>
        </w:rPr>
        <w:t xml:space="preserve">a </w:t>
      </w:r>
      <w:r w:rsidR="002F5410" w:rsidRPr="004363F1">
        <w:rPr>
          <w:rFonts w:ascii="Times New Roman" w:hAnsi="Times New Roman" w:cs="Times New Roman"/>
          <w:sz w:val="20"/>
          <w:szCs w:val="20"/>
        </w:rPr>
        <w:t>non-monotonic effect</w:t>
      </w:r>
      <w:r w:rsidR="005F1D21" w:rsidRPr="004363F1">
        <w:rPr>
          <w:rFonts w:ascii="Times New Roman" w:hAnsi="Times New Roman" w:cs="Times New Roman"/>
          <w:sz w:val="20"/>
          <w:szCs w:val="20"/>
        </w:rPr>
        <w:t xml:space="preserve">, which was to be revealed by the two variables having </w:t>
      </w:r>
      <w:r w:rsidR="008938C2" w:rsidRPr="004363F1">
        <w:rPr>
          <w:rFonts w:ascii="Times New Roman" w:hAnsi="Times New Roman" w:cs="Times New Roman"/>
          <w:sz w:val="20"/>
          <w:szCs w:val="20"/>
        </w:rPr>
        <w:t xml:space="preserve">coefficients with </w:t>
      </w:r>
      <w:r w:rsidR="005F1D21" w:rsidRPr="004363F1">
        <w:rPr>
          <w:rFonts w:ascii="Times New Roman" w:hAnsi="Times New Roman" w:cs="Times New Roman"/>
          <w:sz w:val="20"/>
          <w:szCs w:val="20"/>
        </w:rPr>
        <w:t>opposite signs</w:t>
      </w:r>
      <w:r w:rsidR="002F5410" w:rsidRPr="004363F1">
        <w:rPr>
          <w:rFonts w:ascii="Times New Roman" w:hAnsi="Times New Roman" w:cs="Times New Roman"/>
          <w:sz w:val="20"/>
          <w:szCs w:val="20"/>
        </w:rPr>
        <w:t xml:space="preserve">. This was done for each TVBI in turn. We found that </w:t>
      </w:r>
      <w:r w:rsidR="00D36FD5" w:rsidRPr="004363F1">
        <w:rPr>
          <w:rFonts w:ascii="Times New Roman" w:hAnsi="Times New Roman" w:cs="Times New Roman"/>
          <w:sz w:val="20"/>
          <w:szCs w:val="20"/>
        </w:rPr>
        <w:t xml:space="preserve">the signs and p-values associated with the two variables were: </w:t>
      </w:r>
      <w:r w:rsidR="005F1D21" w:rsidRPr="004363F1">
        <w:rPr>
          <w:rFonts w:ascii="Times New Roman" w:hAnsi="Times New Roman" w:cs="Times New Roman"/>
          <w:sz w:val="20"/>
          <w:szCs w:val="20"/>
        </w:rPr>
        <w:t xml:space="preserve">same sign for </w:t>
      </w:r>
      <w:proofErr w:type="spellStart"/>
      <w:r w:rsidR="005F1D21" w:rsidRPr="004363F1">
        <w:rPr>
          <w:rFonts w:ascii="Times New Roman" w:hAnsi="Times New Roman" w:cs="Times New Roman"/>
          <w:sz w:val="20"/>
          <w:szCs w:val="20"/>
        </w:rPr>
        <w:t>cfDNA</w:t>
      </w:r>
      <w:proofErr w:type="spellEnd"/>
      <w:r w:rsidR="005F1D21" w:rsidRPr="004363F1">
        <w:rPr>
          <w:rFonts w:ascii="Times New Roman" w:hAnsi="Times New Roman" w:cs="Times New Roman"/>
          <w:sz w:val="20"/>
          <w:szCs w:val="20"/>
        </w:rPr>
        <w:t xml:space="preserve">, </w:t>
      </w:r>
      <w:r w:rsidR="00D36FD5" w:rsidRPr="004363F1">
        <w:rPr>
          <w:rFonts w:ascii="Times New Roman" w:hAnsi="Times New Roman" w:cs="Times New Roman"/>
          <w:sz w:val="20"/>
          <w:szCs w:val="20"/>
        </w:rPr>
        <w:t xml:space="preserve">with </w:t>
      </w:r>
      <w:r w:rsidR="005F1D21" w:rsidRPr="004363F1">
        <w:rPr>
          <w:rFonts w:ascii="Times New Roman" w:hAnsi="Times New Roman" w:cs="Times New Roman"/>
          <w:sz w:val="20"/>
          <w:szCs w:val="20"/>
        </w:rPr>
        <w:t xml:space="preserve">p=0.28 and 0.34; </w:t>
      </w:r>
      <w:r w:rsidR="008938C2" w:rsidRPr="004363F1">
        <w:rPr>
          <w:rFonts w:ascii="Times New Roman" w:hAnsi="Times New Roman" w:cs="Times New Roman"/>
          <w:sz w:val="20"/>
          <w:szCs w:val="20"/>
        </w:rPr>
        <w:t xml:space="preserve">same sign for protein C, </w:t>
      </w:r>
      <w:r w:rsidR="00D36FD5" w:rsidRPr="004363F1">
        <w:rPr>
          <w:rFonts w:ascii="Times New Roman" w:hAnsi="Times New Roman" w:cs="Times New Roman"/>
          <w:sz w:val="20"/>
          <w:szCs w:val="20"/>
        </w:rPr>
        <w:t xml:space="preserve">with </w:t>
      </w:r>
      <w:r w:rsidR="008938C2" w:rsidRPr="004363F1">
        <w:rPr>
          <w:rFonts w:ascii="Times New Roman" w:hAnsi="Times New Roman" w:cs="Times New Roman"/>
          <w:sz w:val="20"/>
          <w:szCs w:val="20"/>
        </w:rPr>
        <w:t xml:space="preserve">p=0.47 </w:t>
      </w:r>
      <w:r w:rsidR="00D36FD5" w:rsidRPr="004363F1">
        <w:rPr>
          <w:rFonts w:ascii="Times New Roman" w:hAnsi="Times New Roman" w:cs="Times New Roman"/>
          <w:sz w:val="20"/>
          <w:szCs w:val="20"/>
        </w:rPr>
        <w:t>a</w:t>
      </w:r>
      <w:r w:rsidR="008938C2" w:rsidRPr="004363F1">
        <w:rPr>
          <w:rFonts w:ascii="Times New Roman" w:hAnsi="Times New Roman" w:cs="Times New Roman"/>
          <w:sz w:val="20"/>
          <w:szCs w:val="20"/>
        </w:rPr>
        <w:t xml:space="preserve">nd 0.21; opposite signs for platelets, </w:t>
      </w:r>
      <w:r w:rsidR="00D36FD5" w:rsidRPr="004363F1">
        <w:rPr>
          <w:rFonts w:ascii="Times New Roman" w:hAnsi="Times New Roman" w:cs="Times New Roman"/>
          <w:sz w:val="20"/>
          <w:szCs w:val="20"/>
        </w:rPr>
        <w:t xml:space="preserve">with </w:t>
      </w:r>
      <w:r w:rsidR="008938C2" w:rsidRPr="004363F1">
        <w:rPr>
          <w:rFonts w:ascii="Times New Roman" w:hAnsi="Times New Roman" w:cs="Times New Roman"/>
          <w:sz w:val="20"/>
          <w:szCs w:val="20"/>
        </w:rPr>
        <w:t xml:space="preserve">p=0.71 and 0.10; same sign for GCS, </w:t>
      </w:r>
      <w:r w:rsidR="00D36FD5" w:rsidRPr="004363F1">
        <w:rPr>
          <w:rFonts w:ascii="Times New Roman" w:hAnsi="Times New Roman" w:cs="Times New Roman"/>
          <w:sz w:val="20"/>
          <w:szCs w:val="20"/>
        </w:rPr>
        <w:t xml:space="preserve">with </w:t>
      </w:r>
      <w:r w:rsidR="008938C2" w:rsidRPr="004363F1">
        <w:rPr>
          <w:rFonts w:ascii="Times New Roman" w:hAnsi="Times New Roman" w:cs="Times New Roman"/>
          <w:sz w:val="20"/>
          <w:szCs w:val="20"/>
        </w:rPr>
        <w:t>p=0.41 and 0.85; opposite signs</w:t>
      </w:r>
      <w:r w:rsidR="00D36FD5" w:rsidRPr="004363F1">
        <w:rPr>
          <w:rFonts w:ascii="Times New Roman" w:hAnsi="Times New Roman" w:cs="Times New Roman"/>
          <w:sz w:val="20"/>
          <w:szCs w:val="20"/>
        </w:rPr>
        <w:t xml:space="preserve"> for lactate</w:t>
      </w:r>
      <w:r w:rsidR="008938C2" w:rsidRPr="004363F1">
        <w:rPr>
          <w:rFonts w:ascii="Times New Roman" w:hAnsi="Times New Roman" w:cs="Times New Roman"/>
          <w:sz w:val="20"/>
          <w:szCs w:val="20"/>
        </w:rPr>
        <w:t xml:space="preserve">, </w:t>
      </w:r>
      <w:r w:rsidR="00D36FD5" w:rsidRPr="004363F1">
        <w:rPr>
          <w:rFonts w:ascii="Times New Roman" w:hAnsi="Times New Roman" w:cs="Times New Roman"/>
          <w:sz w:val="20"/>
          <w:szCs w:val="20"/>
        </w:rPr>
        <w:t xml:space="preserve">with </w:t>
      </w:r>
      <w:r w:rsidR="008938C2" w:rsidRPr="004363F1">
        <w:rPr>
          <w:rFonts w:ascii="Times New Roman" w:hAnsi="Times New Roman" w:cs="Times New Roman"/>
          <w:sz w:val="20"/>
          <w:szCs w:val="20"/>
        </w:rPr>
        <w:t>p=</w:t>
      </w:r>
      <w:r w:rsidR="00D36FD5" w:rsidRPr="004363F1">
        <w:rPr>
          <w:rFonts w:ascii="Times New Roman" w:hAnsi="Times New Roman" w:cs="Times New Roman"/>
          <w:sz w:val="20"/>
          <w:szCs w:val="20"/>
        </w:rPr>
        <w:t>0.21 and 0.90</w:t>
      </w:r>
      <w:r w:rsidR="002F5410" w:rsidRPr="004363F1">
        <w:rPr>
          <w:rFonts w:ascii="Times New Roman" w:hAnsi="Times New Roman" w:cs="Times New Roman"/>
          <w:sz w:val="20"/>
          <w:szCs w:val="20"/>
        </w:rPr>
        <w:t>. T</w:t>
      </w:r>
      <w:r w:rsidR="00043803" w:rsidRPr="004363F1">
        <w:rPr>
          <w:rFonts w:ascii="Times New Roman" w:hAnsi="Times New Roman" w:cs="Times New Roman"/>
          <w:sz w:val="20"/>
          <w:szCs w:val="20"/>
        </w:rPr>
        <w:t>hus, we infer that within our</w:t>
      </w:r>
      <w:r w:rsidR="002F5410" w:rsidRPr="004363F1">
        <w:rPr>
          <w:rFonts w:ascii="Times New Roman" w:hAnsi="Times New Roman" w:cs="Times New Roman"/>
          <w:sz w:val="20"/>
          <w:szCs w:val="20"/>
        </w:rPr>
        <w:t xml:space="preserve"> observed data range, </w:t>
      </w:r>
      <w:r w:rsidR="008938C2" w:rsidRPr="004363F1">
        <w:rPr>
          <w:rFonts w:ascii="Times New Roman" w:hAnsi="Times New Roman" w:cs="Times New Roman"/>
          <w:sz w:val="20"/>
          <w:szCs w:val="20"/>
        </w:rPr>
        <w:t>none of the</w:t>
      </w:r>
      <w:r w:rsidR="002F5410" w:rsidRPr="004363F1">
        <w:rPr>
          <w:rFonts w:ascii="Times New Roman" w:hAnsi="Times New Roman" w:cs="Times New Roman"/>
          <w:sz w:val="20"/>
          <w:szCs w:val="20"/>
        </w:rPr>
        <w:t xml:space="preserve"> TVBIs had a significant non-mono</w:t>
      </w:r>
      <w:r w:rsidR="005F1D21" w:rsidRPr="004363F1">
        <w:rPr>
          <w:rFonts w:ascii="Times New Roman" w:hAnsi="Times New Roman" w:cs="Times New Roman"/>
          <w:sz w:val="20"/>
          <w:szCs w:val="20"/>
        </w:rPr>
        <w:t>tonic effect.</w:t>
      </w:r>
      <w:r w:rsidRPr="004363F1">
        <w:rPr>
          <w:rFonts w:ascii="Times New Roman" w:hAnsi="Times New Roman" w:cs="Times New Roman"/>
          <w:sz w:val="20"/>
          <w:szCs w:val="20"/>
        </w:rPr>
        <w:t xml:space="preserve"> </w:t>
      </w:r>
    </w:p>
    <w:p w14:paraId="6B8D6A95" w14:textId="77777777" w:rsidR="00A43A56" w:rsidRPr="004363F1" w:rsidRDefault="00A43A56" w:rsidP="00CC0983">
      <w:pPr>
        <w:spacing w:after="0" w:line="240" w:lineRule="auto"/>
        <w:ind w:firstLine="720"/>
        <w:jc w:val="both"/>
        <w:rPr>
          <w:rFonts w:ascii="Times New Roman" w:hAnsi="Times New Roman" w:cs="Times New Roman"/>
          <w:sz w:val="20"/>
          <w:szCs w:val="20"/>
        </w:rPr>
      </w:pPr>
    </w:p>
    <w:p w14:paraId="2B3ED6DB" w14:textId="77777777" w:rsidR="00D64053" w:rsidRPr="004363F1" w:rsidRDefault="00774B2D" w:rsidP="00CC0983">
      <w:pPr>
        <w:spacing w:after="0" w:line="240" w:lineRule="auto"/>
        <w:jc w:val="both"/>
        <w:rPr>
          <w:rFonts w:ascii="Times New Roman" w:eastAsiaTheme="minorEastAsia" w:hAnsi="Times New Roman" w:cs="Times New Roman"/>
          <w:b/>
          <w:sz w:val="24"/>
          <w:szCs w:val="24"/>
          <w:lang w:val="en-CA" w:eastAsia="ja-JP"/>
        </w:rPr>
      </w:pPr>
      <w:r w:rsidRPr="004363F1">
        <w:rPr>
          <w:rFonts w:ascii="Times New Roman" w:eastAsiaTheme="minorEastAsia" w:hAnsi="Times New Roman" w:cs="Times New Roman"/>
          <w:b/>
          <w:sz w:val="24"/>
          <w:szCs w:val="24"/>
          <w:lang w:val="en-CA" w:eastAsia="ja-JP"/>
        </w:rPr>
        <w:t xml:space="preserve">Supplemental Text </w:t>
      </w:r>
      <w:r w:rsidR="00072F4F" w:rsidRPr="004363F1">
        <w:rPr>
          <w:rFonts w:ascii="Times New Roman" w:eastAsiaTheme="minorEastAsia" w:hAnsi="Times New Roman" w:cs="Times New Roman"/>
          <w:b/>
          <w:sz w:val="24"/>
          <w:szCs w:val="24"/>
          <w:lang w:val="en-CA" w:eastAsia="ja-JP"/>
        </w:rPr>
        <w:t xml:space="preserve">4: </w:t>
      </w:r>
      <w:r w:rsidR="000F2BB9" w:rsidRPr="004363F1">
        <w:rPr>
          <w:rFonts w:ascii="Times New Roman" w:eastAsiaTheme="minorEastAsia" w:hAnsi="Times New Roman" w:cs="Times New Roman"/>
          <w:b/>
          <w:sz w:val="24"/>
          <w:szCs w:val="24"/>
          <w:lang w:val="en-CA" w:eastAsia="ja-JP"/>
        </w:rPr>
        <w:t>Temporal p</w:t>
      </w:r>
      <w:r w:rsidR="00D64053" w:rsidRPr="004363F1">
        <w:rPr>
          <w:rFonts w:ascii="Times New Roman" w:eastAsiaTheme="minorEastAsia" w:hAnsi="Times New Roman" w:cs="Times New Roman"/>
          <w:b/>
          <w:sz w:val="24"/>
          <w:szCs w:val="24"/>
          <w:lang w:val="en-CA" w:eastAsia="ja-JP"/>
        </w:rPr>
        <w:t xml:space="preserve">attern of the </w:t>
      </w:r>
      <w:r w:rsidR="000F2BB9" w:rsidRPr="004363F1">
        <w:rPr>
          <w:rFonts w:ascii="Times New Roman" w:eastAsiaTheme="minorEastAsia" w:hAnsi="Times New Roman" w:cs="Times New Roman"/>
          <w:b/>
          <w:sz w:val="24"/>
          <w:szCs w:val="24"/>
          <w:lang w:val="en-CA" w:eastAsia="ja-JP"/>
        </w:rPr>
        <w:t>d</w:t>
      </w:r>
      <w:r w:rsidR="00561DB5" w:rsidRPr="004363F1">
        <w:rPr>
          <w:rFonts w:ascii="Times New Roman" w:eastAsiaTheme="minorEastAsia" w:hAnsi="Times New Roman" w:cs="Times New Roman"/>
          <w:b/>
          <w:sz w:val="24"/>
          <w:szCs w:val="24"/>
          <w:lang w:val="en-CA" w:eastAsia="ja-JP"/>
        </w:rPr>
        <w:t xml:space="preserve">aily </w:t>
      </w:r>
      <w:r w:rsidR="000F2BB9" w:rsidRPr="004363F1">
        <w:rPr>
          <w:rFonts w:ascii="Times New Roman" w:eastAsiaTheme="minorEastAsia" w:hAnsi="Times New Roman" w:cs="Times New Roman"/>
          <w:b/>
          <w:sz w:val="24"/>
          <w:szCs w:val="24"/>
          <w:lang w:val="en-CA" w:eastAsia="ja-JP"/>
        </w:rPr>
        <w:t>hazard of d</w:t>
      </w:r>
      <w:r w:rsidR="00D64053" w:rsidRPr="004363F1">
        <w:rPr>
          <w:rFonts w:ascii="Times New Roman" w:eastAsiaTheme="minorEastAsia" w:hAnsi="Times New Roman" w:cs="Times New Roman"/>
          <w:b/>
          <w:sz w:val="24"/>
          <w:szCs w:val="24"/>
          <w:lang w:val="en-CA" w:eastAsia="ja-JP"/>
        </w:rPr>
        <w:t>ying</w:t>
      </w:r>
    </w:p>
    <w:p w14:paraId="24C56BCC" w14:textId="77777777" w:rsidR="00935FBE" w:rsidRPr="004363F1" w:rsidRDefault="00043CB4"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ab/>
      </w:r>
      <w:r w:rsidR="00D64053" w:rsidRPr="004363F1">
        <w:rPr>
          <w:rFonts w:ascii="Times New Roman" w:eastAsiaTheme="minorEastAsia" w:hAnsi="Times New Roman" w:cs="Times New Roman"/>
          <w:sz w:val="20"/>
          <w:szCs w:val="20"/>
          <w:lang w:val="en-CA" w:eastAsia="ja-JP"/>
        </w:rPr>
        <w:t xml:space="preserve">In the CLOGLOG model, we use duration and log(duration) </w:t>
      </w:r>
      <w:r w:rsidR="005A64A0" w:rsidRPr="004363F1">
        <w:rPr>
          <w:rFonts w:ascii="Times New Roman" w:eastAsiaTheme="minorEastAsia" w:hAnsi="Times New Roman" w:cs="Times New Roman"/>
          <w:sz w:val="20"/>
          <w:szCs w:val="20"/>
          <w:lang w:val="en-CA" w:eastAsia="ja-JP"/>
        </w:rPr>
        <w:t xml:space="preserve">as two of the explanatory variables </w:t>
      </w:r>
      <w:r w:rsidR="000F2BB9" w:rsidRPr="004363F1">
        <w:rPr>
          <w:rFonts w:ascii="Times New Roman" w:eastAsiaTheme="minorEastAsia" w:hAnsi="Times New Roman" w:cs="Times New Roman"/>
          <w:sz w:val="20"/>
          <w:szCs w:val="20"/>
          <w:lang w:val="en-CA" w:eastAsia="ja-JP"/>
        </w:rPr>
        <w:t xml:space="preserve">(1) </w:t>
      </w:r>
      <w:r w:rsidR="00D64053" w:rsidRPr="004363F1">
        <w:rPr>
          <w:rFonts w:ascii="Times New Roman" w:eastAsiaTheme="minorEastAsia" w:hAnsi="Times New Roman" w:cs="Times New Roman"/>
          <w:sz w:val="20"/>
          <w:szCs w:val="20"/>
          <w:lang w:val="en-CA" w:eastAsia="ja-JP"/>
        </w:rPr>
        <w:t xml:space="preserve">to </w:t>
      </w:r>
      <w:r w:rsidR="00D0123A" w:rsidRPr="004363F1">
        <w:rPr>
          <w:rFonts w:ascii="Times New Roman" w:eastAsiaTheme="minorEastAsia" w:hAnsi="Times New Roman" w:cs="Times New Roman"/>
          <w:sz w:val="20"/>
          <w:szCs w:val="20"/>
          <w:lang w:val="en-CA" w:eastAsia="ja-JP"/>
        </w:rPr>
        <w:t>help capture the temporal pattern of the hazard of dying</w:t>
      </w:r>
      <w:r w:rsidR="000F2BB9" w:rsidRPr="004363F1">
        <w:rPr>
          <w:rFonts w:ascii="Times New Roman" w:eastAsiaTheme="minorEastAsia" w:hAnsi="Times New Roman" w:cs="Times New Roman"/>
          <w:sz w:val="20"/>
          <w:szCs w:val="20"/>
          <w:lang w:val="en-CA" w:eastAsia="ja-JP"/>
        </w:rPr>
        <w:t xml:space="preserve"> and (2) to prevent selection biases from resulting in misleading findings</w:t>
      </w:r>
      <w:r w:rsidR="00D0123A" w:rsidRPr="004363F1">
        <w:rPr>
          <w:rFonts w:ascii="Times New Roman" w:eastAsiaTheme="minorEastAsia" w:hAnsi="Times New Roman" w:cs="Times New Roman"/>
          <w:sz w:val="20"/>
          <w:szCs w:val="20"/>
          <w:lang w:val="en-CA" w:eastAsia="ja-JP"/>
        </w:rPr>
        <w:t xml:space="preserve">. Mathematically, this </w:t>
      </w:r>
      <w:r w:rsidR="005A64A0" w:rsidRPr="004363F1">
        <w:rPr>
          <w:rFonts w:ascii="Times New Roman" w:eastAsiaTheme="minorEastAsia" w:hAnsi="Times New Roman" w:cs="Times New Roman"/>
          <w:sz w:val="20"/>
          <w:szCs w:val="20"/>
          <w:lang w:val="en-CA" w:eastAsia="ja-JP"/>
        </w:rPr>
        <w:t xml:space="preserve">specification of the </w:t>
      </w:r>
      <w:r w:rsidR="00D0123A" w:rsidRPr="004363F1">
        <w:rPr>
          <w:rFonts w:ascii="Times New Roman" w:eastAsiaTheme="minorEastAsia" w:hAnsi="Times New Roman" w:cs="Times New Roman"/>
          <w:sz w:val="20"/>
          <w:szCs w:val="20"/>
          <w:lang w:val="en-CA" w:eastAsia="ja-JP"/>
        </w:rPr>
        <w:t>time function expresses the dependence of hazard on duration as a product of an exponential function and a power function.</w:t>
      </w:r>
      <w:r w:rsidR="00431CDF" w:rsidRPr="004363F1">
        <w:rPr>
          <w:rFonts w:ascii="Times New Roman" w:eastAsiaTheme="minorEastAsia" w:hAnsi="Times New Roman" w:cs="Times New Roman"/>
          <w:sz w:val="20"/>
          <w:szCs w:val="20"/>
          <w:lang w:val="en-CA" w:eastAsia="ja-JP"/>
        </w:rPr>
        <w:t xml:space="preserve">  It has the advantage of being highly flexible in reflecting the temporal pattern in the data.</w:t>
      </w:r>
    </w:p>
    <w:p w14:paraId="44C53B97" w14:textId="77777777" w:rsidR="002425CB" w:rsidRPr="004363F1" w:rsidRDefault="00121A1F"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ab/>
      </w:r>
      <w:r w:rsidR="00F80AD7" w:rsidRPr="004363F1">
        <w:rPr>
          <w:rFonts w:ascii="Times New Roman" w:eastAsiaTheme="minorEastAsia" w:hAnsi="Times New Roman" w:cs="Times New Roman"/>
          <w:sz w:val="20"/>
          <w:szCs w:val="20"/>
          <w:lang w:val="en-CA" w:eastAsia="ja-JP"/>
        </w:rPr>
        <w:t xml:space="preserve">Using duration and log(duration) as the only </w:t>
      </w:r>
      <w:r w:rsidR="00AA3AA8" w:rsidRPr="004363F1">
        <w:rPr>
          <w:rFonts w:ascii="Times New Roman" w:eastAsiaTheme="minorEastAsia" w:hAnsi="Times New Roman" w:cs="Times New Roman"/>
          <w:sz w:val="20"/>
          <w:szCs w:val="20"/>
          <w:lang w:val="en-CA" w:eastAsia="ja-JP"/>
        </w:rPr>
        <w:t xml:space="preserve">two </w:t>
      </w:r>
      <w:r w:rsidR="00F80AD7" w:rsidRPr="004363F1">
        <w:rPr>
          <w:rFonts w:ascii="Times New Roman" w:eastAsiaTheme="minorEastAsia" w:hAnsi="Times New Roman" w:cs="Times New Roman"/>
          <w:sz w:val="20"/>
          <w:szCs w:val="20"/>
          <w:lang w:val="en-CA" w:eastAsia="ja-JP"/>
        </w:rPr>
        <w:t>explanatory variable</w:t>
      </w:r>
      <w:r w:rsidR="00AA3AA8" w:rsidRPr="004363F1">
        <w:rPr>
          <w:rFonts w:ascii="Times New Roman" w:eastAsiaTheme="minorEastAsia" w:hAnsi="Times New Roman" w:cs="Times New Roman"/>
          <w:sz w:val="20"/>
          <w:szCs w:val="20"/>
          <w:lang w:val="en-CA" w:eastAsia="ja-JP"/>
        </w:rPr>
        <w:t>s</w:t>
      </w:r>
      <w:r w:rsidR="00F80AD7" w:rsidRPr="004363F1">
        <w:rPr>
          <w:rFonts w:ascii="Times New Roman" w:eastAsiaTheme="minorEastAsia" w:hAnsi="Times New Roman" w:cs="Times New Roman"/>
          <w:sz w:val="20"/>
          <w:szCs w:val="20"/>
          <w:lang w:val="en-CA" w:eastAsia="ja-JP"/>
        </w:rPr>
        <w:t xml:space="preserve"> in the CLOGLOG model, we obtained the estimated function </w:t>
      </w:r>
      <m:oMath>
        <m:sSub>
          <m:sSubPr>
            <m:ctrlPr>
              <w:rPr>
                <w:rFonts w:ascii="Cambria Math" w:eastAsiaTheme="minorEastAsia" w:hAnsi="Cambria Math" w:cs="Times New Roman"/>
                <w:i/>
                <w:sz w:val="20"/>
                <w:szCs w:val="20"/>
                <w:lang w:val="en-CA" w:eastAsia="ja-JP"/>
              </w:rPr>
            </m:ctrlPr>
          </m:sSubPr>
          <m:e>
            <m:acc>
              <m:accPr>
                <m:ctrlPr>
                  <w:rPr>
                    <w:rFonts w:ascii="Cambria Math" w:eastAsiaTheme="minorEastAsia" w:hAnsi="Cambria Math" w:cs="Times New Roman"/>
                    <w:i/>
                    <w:sz w:val="20"/>
                    <w:szCs w:val="20"/>
                    <w:lang w:val="en-CA" w:eastAsia="ja-JP"/>
                  </w:rPr>
                </m:ctrlPr>
              </m:accPr>
              <m:e>
                <m:r>
                  <w:rPr>
                    <w:rFonts w:ascii="Cambria Math" w:eastAsiaTheme="minorEastAsia" w:hAnsi="Cambria Math" w:cs="Times New Roman"/>
                    <w:sz w:val="20"/>
                    <w:szCs w:val="20"/>
                    <w:lang w:val="en-CA" w:eastAsia="ja-JP"/>
                  </w:rPr>
                  <m:t>H</m:t>
                </m:r>
              </m:e>
            </m:acc>
          </m:e>
          <m:sub>
            <m:r>
              <w:rPr>
                <w:rFonts w:ascii="Cambria Math" w:eastAsiaTheme="minorEastAsia" w:hAnsi="Cambria Math" w:cs="Times New Roman"/>
                <w:sz w:val="20"/>
                <w:szCs w:val="20"/>
                <w:lang w:val="en-CA" w:eastAsia="ja-JP"/>
              </w:rPr>
              <m:t>t</m:t>
            </m:r>
          </m:sub>
        </m:sSub>
        <m:r>
          <w:rPr>
            <w:rFonts w:ascii="Cambria Math" w:eastAsiaTheme="minorEastAsia" w:hAnsi="Cambria Math" w:cs="Times New Roman"/>
            <w:sz w:val="20"/>
            <w:szCs w:val="20"/>
            <w:lang w:val="en-CA" w:eastAsia="ja-JP"/>
          </w:rPr>
          <m:t>=</m:t>
        </m:r>
        <m:sSup>
          <m:sSupPr>
            <m:ctrlPr>
              <w:rPr>
                <w:rFonts w:ascii="Cambria Math" w:eastAsiaTheme="minorEastAsia" w:hAnsi="Cambria Math" w:cs="Times New Roman"/>
                <w:i/>
                <w:sz w:val="20"/>
                <w:szCs w:val="20"/>
                <w:lang w:val="en-CA" w:eastAsia="ja-JP"/>
              </w:rPr>
            </m:ctrlPr>
          </m:sSupPr>
          <m:e>
            <m:r>
              <w:rPr>
                <w:rFonts w:ascii="Cambria Math" w:eastAsiaTheme="minorEastAsia" w:hAnsi="Cambria Math" w:cs="Times New Roman"/>
                <w:sz w:val="20"/>
                <w:szCs w:val="20"/>
                <w:lang w:val="en-CA" w:eastAsia="ja-JP"/>
              </w:rPr>
              <m:t>e</m:t>
            </m:r>
          </m:e>
          <m:sup>
            <m:r>
              <w:rPr>
                <w:rFonts w:ascii="Cambria Math" w:eastAsiaTheme="minorEastAsia" w:hAnsi="Cambria Math" w:cs="Times New Roman"/>
                <w:sz w:val="20"/>
                <w:szCs w:val="20"/>
                <w:lang w:val="en-CA" w:eastAsia="ja-JP"/>
              </w:rPr>
              <m:t>-4.4855-0.0755t</m:t>
            </m:r>
          </m:sup>
        </m:sSup>
        <m:sSup>
          <m:sSupPr>
            <m:ctrlPr>
              <w:rPr>
                <w:rFonts w:ascii="Cambria Math" w:eastAsiaTheme="minorEastAsia" w:hAnsi="Cambria Math" w:cs="Times New Roman"/>
                <w:i/>
                <w:sz w:val="20"/>
                <w:szCs w:val="20"/>
                <w:lang w:val="en-CA" w:eastAsia="ja-JP"/>
              </w:rPr>
            </m:ctrlPr>
          </m:sSupPr>
          <m:e>
            <m:r>
              <w:rPr>
                <w:rFonts w:ascii="Cambria Math" w:eastAsiaTheme="minorEastAsia" w:hAnsi="Cambria Math" w:cs="Times New Roman"/>
                <w:sz w:val="20"/>
                <w:szCs w:val="20"/>
                <w:lang w:val="en-CA" w:eastAsia="ja-JP"/>
              </w:rPr>
              <m:t>(t</m:t>
            </m:r>
          </m:e>
          <m:sup>
            <m:r>
              <w:rPr>
                <w:rFonts w:ascii="Cambria Math" w:eastAsiaTheme="minorEastAsia" w:hAnsi="Cambria Math" w:cs="Times New Roman"/>
                <w:sz w:val="20"/>
                <w:szCs w:val="20"/>
                <w:lang w:val="en-CA" w:eastAsia="ja-JP"/>
              </w:rPr>
              <m:t>0.4548</m:t>
            </m:r>
          </m:sup>
        </m:sSup>
        <m:r>
          <w:rPr>
            <w:rFonts w:ascii="Cambria Math" w:eastAsiaTheme="minorEastAsia" w:hAnsi="Cambria Math" w:cs="Times New Roman"/>
            <w:sz w:val="20"/>
            <w:szCs w:val="20"/>
            <w:lang w:val="en-CA" w:eastAsia="ja-JP"/>
          </w:rPr>
          <m:t>)</m:t>
        </m:r>
      </m:oMath>
      <w:r w:rsidR="00F80AD7" w:rsidRPr="004363F1">
        <w:rPr>
          <w:rFonts w:ascii="Times New Roman" w:eastAsiaTheme="minorEastAsia" w:hAnsi="Times New Roman" w:cs="Times New Roman"/>
          <w:sz w:val="20"/>
          <w:szCs w:val="20"/>
          <w:lang w:val="en-CA" w:eastAsia="ja-JP"/>
        </w:rPr>
        <w:t xml:space="preserve">, where t is the duration of stay and </w:t>
      </w:r>
      <m:oMath>
        <m:sSub>
          <m:sSubPr>
            <m:ctrlPr>
              <w:rPr>
                <w:rFonts w:ascii="Cambria Math" w:eastAsiaTheme="minorEastAsia" w:hAnsi="Cambria Math" w:cs="Times New Roman"/>
                <w:i/>
                <w:sz w:val="20"/>
                <w:szCs w:val="20"/>
                <w:lang w:val="en-CA" w:eastAsia="ja-JP"/>
              </w:rPr>
            </m:ctrlPr>
          </m:sSubPr>
          <m:e>
            <m:acc>
              <m:accPr>
                <m:ctrlPr>
                  <w:rPr>
                    <w:rFonts w:ascii="Cambria Math" w:eastAsiaTheme="minorEastAsia" w:hAnsi="Cambria Math" w:cs="Times New Roman"/>
                    <w:i/>
                    <w:sz w:val="20"/>
                    <w:szCs w:val="20"/>
                    <w:lang w:val="en-CA" w:eastAsia="ja-JP"/>
                  </w:rPr>
                </m:ctrlPr>
              </m:accPr>
              <m:e>
                <m:r>
                  <w:rPr>
                    <w:rFonts w:ascii="Cambria Math" w:eastAsiaTheme="minorEastAsia" w:hAnsi="Cambria Math" w:cs="Times New Roman"/>
                    <w:sz w:val="20"/>
                    <w:szCs w:val="20"/>
                    <w:lang w:val="en-CA" w:eastAsia="ja-JP"/>
                  </w:rPr>
                  <m:t>H</m:t>
                </m:r>
              </m:e>
            </m:acc>
          </m:e>
          <m:sub>
            <m:r>
              <w:rPr>
                <w:rFonts w:ascii="Cambria Math" w:eastAsiaTheme="minorEastAsia" w:hAnsi="Cambria Math" w:cs="Times New Roman"/>
                <w:sz w:val="20"/>
                <w:szCs w:val="20"/>
                <w:lang w:val="en-CA" w:eastAsia="ja-JP"/>
              </w:rPr>
              <m:t>t</m:t>
            </m:r>
          </m:sub>
        </m:sSub>
      </m:oMath>
      <w:r w:rsidR="00F80AD7" w:rsidRPr="004363F1">
        <w:rPr>
          <w:rFonts w:ascii="Times New Roman" w:eastAsiaTheme="minorEastAsia" w:hAnsi="Times New Roman" w:cs="Times New Roman"/>
          <w:sz w:val="20"/>
          <w:szCs w:val="20"/>
          <w:lang w:val="en-CA" w:eastAsia="ja-JP"/>
        </w:rPr>
        <w:t xml:space="preserve"> is the estimated hazard of dying on day t.</w:t>
      </w:r>
      <w:r w:rsidR="00005F90" w:rsidRPr="004363F1">
        <w:rPr>
          <w:rFonts w:ascii="Times New Roman" w:eastAsiaTheme="minorEastAsia" w:hAnsi="Times New Roman" w:cs="Times New Roman"/>
          <w:sz w:val="20"/>
          <w:szCs w:val="20"/>
          <w:lang w:val="en-CA" w:eastAsia="ja-JP"/>
        </w:rPr>
        <w:t xml:space="preserve"> This function is represented by the</w:t>
      </w:r>
      <w:r w:rsidR="00B072E0" w:rsidRPr="004363F1">
        <w:rPr>
          <w:rFonts w:ascii="Times New Roman" w:eastAsiaTheme="minorEastAsia" w:hAnsi="Times New Roman" w:cs="Times New Roman"/>
          <w:sz w:val="20"/>
          <w:szCs w:val="20"/>
          <w:lang w:val="en-CA" w:eastAsia="ja-JP"/>
        </w:rPr>
        <w:t xml:space="preserve"> green </w:t>
      </w:r>
      <w:r w:rsidR="00DC2BA9" w:rsidRPr="004363F1">
        <w:rPr>
          <w:rFonts w:ascii="Times New Roman" w:eastAsiaTheme="minorEastAsia" w:hAnsi="Times New Roman" w:cs="Times New Roman"/>
          <w:sz w:val="20"/>
          <w:szCs w:val="20"/>
          <w:lang w:val="en-CA" w:eastAsia="ja-JP"/>
        </w:rPr>
        <w:t xml:space="preserve">(continuous) </w:t>
      </w:r>
      <w:r w:rsidR="00B072E0" w:rsidRPr="004363F1">
        <w:rPr>
          <w:rFonts w:ascii="Times New Roman" w:eastAsiaTheme="minorEastAsia" w:hAnsi="Times New Roman" w:cs="Times New Roman"/>
          <w:sz w:val="20"/>
          <w:szCs w:val="20"/>
          <w:lang w:val="en-CA" w:eastAsia="ja-JP"/>
        </w:rPr>
        <w:t xml:space="preserve">curve in </w:t>
      </w:r>
      <w:r w:rsidR="00A61044" w:rsidRPr="004363F1">
        <w:rPr>
          <w:rFonts w:ascii="Times New Roman" w:eastAsiaTheme="minorEastAsia" w:hAnsi="Times New Roman" w:cs="Times New Roman"/>
          <w:sz w:val="20"/>
          <w:szCs w:val="20"/>
          <w:lang w:val="en-CA" w:eastAsia="ja-JP"/>
        </w:rPr>
        <w:t xml:space="preserve">Supplemental </w:t>
      </w:r>
      <w:r w:rsidR="00B072E0" w:rsidRPr="004363F1">
        <w:rPr>
          <w:rFonts w:ascii="Times New Roman" w:eastAsiaTheme="minorEastAsia" w:hAnsi="Times New Roman" w:cs="Times New Roman"/>
          <w:sz w:val="20"/>
          <w:szCs w:val="20"/>
          <w:lang w:val="en-CA" w:eastAsia="ja-JP"/>
        </w:rPr>
        <w:t>Figure 2</w:t>
      </w:r>
      <w:r w:rsidR="00005F90" w:rsidRPr="004363F1">
        <w:rPr>
          <w:rFonts w:ascii="Times New Roman" w:eastAsiaTheme="minorEastAsia" w:hAnsi="Times New Roman" w:cs="Times New Roman"/>
          <w:sz w:val="20"/>
          <w:szCs w:val="20"/>
          <w:lang w:val="en-CA" w:eastAsia="ja-JP"/>
        </w:rPr>
        <w:t xml:space="preserve">. The curve </w:t>
      </w:r>
      <w:r w:rsidR="002B363B" w:rsidRPr="004363F1">
        <w:rPr>
          <w:rFonts w:ascii="Times New Roman" w:eastAsiaTheme="minorEastAsia" w:hAnsi="Times New Roman" w:cs="Times New Roman"/>
          <w:sz w:val="20"/>
          <w:szCs w:val="20"/>
          <w:lang w:val="en-CA" w:eastAsia="ja-JP"/>
        </w:rPr>
        <w:t xml:space="preserve">peaked </w:t>
      </w:r>
      <w:r w:rsidR="00005F90" w:rsidRPr="004363F1">
        <w:rPr>
          <w:rFonts w:ascii="Times New Roman" w:eastAsiaTheme="minorEastAsia" w:hAnsi="Times New Roman" w:cs="Times New Roman"/>
          <w:sz w:val="20"/>
          <w:szCs w:val="20"/>
          <w:lang w:val="en-CA" w:eastAsia="ja-JP"/>
        </w:rPr>
        <w:t>in the later part of the first week and then declined.</w:t>
      </w:r>
      <w:r w:rsidR="00F80AD7" w:rsidRPr="004363F1">
        <w:rPr>
          <w:rFonts w:ascii="Times New Roman" w:eastAsiaTheme="minorEastAsia" w:hAnsi="Times New Roman" w:cs="Times New Roman"/>
          <w:sz w:val="20"/>
          <w:szCs w:val="20"/>
          <w:lang w:val="en-CA" w:eastAsia="ja-JP"/>
        </w:rPr>
        <w:t xml:space="preserve">  </w:t>
      </w:r>
    </w:p>
    <w:p w14:paraId="5D8BD876" w14:textId="77777777" w:rsidR="002425CB" w:rsidRPr="004363F1" w:rsidRDefault="00A61044"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ab/>
        <w:t>Although the p-value</w:t>
      </w:r>
      <w:r w:rsidR="002425CB" w:rsidRPr="004363F1">
        <w:rPr>
          <w:rFonts w:ascii="Times New Roman" w:eastAsiaTheme="minorEastAsia" w:hAnsi="Times New Roman" w:cs="Times New Roman"/>
          <w:sz w:val="20"/>
          <w:szCs w:val="20"/>
          <w:lang w:val="en-CA" w:eastAsia="ja-JP"/>
        </w:rPr>
        <w:t xml:space="preserve"> associated with </w:t>
      </w:r>
      <w:r w:rsidR="002425CB" w:rsidRPr="004363F1">
        <w:rPr>
          <w:rFonts w:ascii="Times New Roman" w:hAnsi="Times New Roman" w:cs="Times New Roman"/>
          <w:sz w:val="20"/>
          <w:szCs w:val="20"/>
        </w:rPr>
        <w:t xml:space="preserve">the variable “Duration” </w:t>
      </w:r>
      <w:r w:rsidR="00950C25" w:rsidRPr="004363F1">
        <w:rPr>
          <w:rFonts w:ascii="Times New Roman" w:hAnsi="Times New Roman" w:cs="Times New Roman"/>
          <w:sz w:val="20"/>
          <w:szCs w:val="20"/>
        </w:rPr>
        <w:t xml:space="preserve">in Table 2 of the paper </w:t>
      </w:r>
      <w:r w:rsidRPr="004363F1">
        <w:rPr>
          <w:rFonts w:ascii="Times New Roman" w:hAnsi="Times New Roman" w:cs="Times New Roman"/>
          <w:sz w:val="20"/>
          <w:szCs w:val="20"/>
        </w:rPr>
        <w:t>were somewhat large (0.106</w:t>
      </w:r>
      <w:r w:rsidR="002425CB" w:rsidRPr="004363F1">
        <w:rPr>
          <w:rFonts w:ascii="Times New Roman" w:hAnsi="Times New Roman" w:cs="Times New Roman"/>
          <w:sz w:val="20"/>
          <w:szCs w:val="20"/>
        </w:rPr>
        <w:t>), we chose not to set its coefficient to 0 for the following reason. Since “</w:t>
      </w:r>
      <w:proofErr w:type="gramStart"/>
      <w:r w:rsidR="002425CB" w:rsidRPr="004363F1">
        <w:rPr>
          <w:rFonts w:ascii="Times New Roman" w:hAnsi="Times New Roman" w:cs="Times New Roman"/>
          <w:sz w:val="20"/>
          <w:szCs w:val="20"/>
        </w:rPr>
        <w:t>Log(</w:t>
      </w:r>
      <w:proofErr w:type="gramEnd"/>
      <w:r w:rsidR="002425CB" w:rsidRPr="004363F1">
        <w:rPr>
          <w:rFonts w:ascii="Times New Roman" w:hAnsi="Times New Roman" w:cs="Times New Roman"/>
          <w:sz w:val="20"/>
          <w:szCs w:val="20"/>
        </w:rPr>
        <w:t>Duration)” is a monotonically increasing function of “Duration”, they must be positively correlated.  This correlation contributed to the inflation of the standard error of the estimated coefficient of “Duration” and hence the inflation of the p-value.</w:t>
      </w:r>
    </w:p>
    <w:p w14:paraId="58FC0114" w14:textId="77777777" w:rsidR="00646869" w:rsidRPr="004363F1" w:rsidRDefault="008137E0" w:rsidP="00CC0983">
      <w:pPr>
        <w:pStyle w:val="ydp8296f075yiv7348143044msonormal"/>
        <w:spacing w:before="0" w:beforeAutospacing="0" w:after="0" w:afterAutospacing="0"/>
        <w:ind w:firstLine="720"/>
        <w:jc w:val="both"/>
        <w:rPr>
          <w:sz w:val="20"/>
          <w:szCs w:val="20"/>
        </w:rPr>
      </w:pPr>
      <w:r w:rsidRPr="004363F1">
        <w:rPr>
          <w:sz w:val="20"/>
          <w:szCs w:val="20"/>
        </w:rPr>
        <w:t xml:space="preserve">From the predicted daily </w:t>
      </w:r>
      <w:r w:rsidRPr="004363F1">
        <w:rPr>
          <w:i/>
          <w:sz w:val="20"/>
          <w:szCs w:val="20"/>
        </w:rPr>
        <w:t>probabilities</w:t>
      </w:r>
      <w:r w:rsidR="009D763E" w:rsidRPr="004363F1">
        <w:rPr>
          <w:sz w:val="20"/>
          <w:szCs w:val="20"/>
        </w:rPr>
        <w:t xml:space="preserve"> of dying for all</w:t>
      </w:r>
      <w:r w:rsidRPr="004363F1">
        <w:rPr>
          <w:sz w:val="20"/>
          <w:szCs w:val="20"/>
        </w:rPr>
        <w:t xml:space="preserve"> </w:t>
      </w:r>
      <w:r w:rsidR="007C1C73" w:rsidRPr="004363F1">
        <w:rPr>
          <w:sz w:val="20"/>
          <w:szCs w:val="20"/>
        </w:rPr>
        <w:t>6,724 person-days</w:t>
      </w:r>
      <w:r w:rsidRPr="004363F1">
        <w:rPr>
          <w:sz w:val="20"/>
          <w:szCs w:val="20"/>
        </w:rPr>
        <w:t xml:space="preserve"> </w:t>
      </w:r>
      <w:r w:rsidR="009D763E" w:rsidRPr="004363F1">
        <w:rPr>
          <w:sz w:val="20"/>
          <w:szCs w:val="20"/>
        </w:rPr>
        <w:t xml:space="preserve">generated </w:t>
      </w:r>
      <w:r w:rsidRPr="004363F1">
        <w:rPr>
          <w:sz w:val="20"/>
          <w:szCs w:val="20"/>
        </w:rPr>
        <w:t xml:space="preserve">by the SAS/Logistic Procedure for the best CLOGLOG model, </w:t>
      </w:r>
      <w:r w:rsidR="007C1C73" w:rsidRPr="004363F1">
        <w:rPr>
          <w:sz w:val="20"/>
          <w:szCs w:val="20"/>
        </w:rPr>
        <w:t>we translate</w:t>
      </w:r>
      <w:r w:rsidR="00656A52" w:rsidRPr="004363F1">
        <w:rPr>
          <w:sz w:val="20"/>
          <w:szCs w:val="20"/>
        </w:rPr>
        <w:t>d them into 6,724</w:t>
      </w:r>
      <w:r w:rsidR="007C1C73" w:rsidRPr="004363F1">
        <w:rPr>
          <w:sz w:val="20"/>
          <w:szCs w:val="20"/>
        </w:rPr>
        <w:t xml:space="preserve"> predicted daily </w:t>
      </w:r>
      <w:r w:rsidR="007C1C73" w:rsidRPr="004363F1">
        <w:rPr>
          <w:i/>
          <w:sz w:val="20"/>
          <w:szCs w:val="20"/>
        </w:rPr>
        <w:t>hazards</w:t>
      </w:r>
      <w:r w:rsidR="007C1C73" w:rsidRPr="004363F1">
        <w:rPr>
          <w:sz w:val="20"/>
          <w:szCs w:val="20"/>
        </w:rPr>
        <w:t xml:space="preserve"> of dying, using the formu</w:t>
      </w:r>
      <w:r w:rsidR="00656A52" w:rsidRPr="004363F1">
        <w:rPr>
          <w:sz w:val="20"/>
          <w:szCs w:val="20"/>
        </w:rPr>
        <w:t xml:space="preserve">la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H</m:t>
                </m:r>
              </m:e>
            </m:acc>
          </m:e>
          <m:sub>
            <m:r>
              <w:rPr>
                <w:rFonts w:ascii="Cambria Math" w:hAnsi="Cambria Math"/>
                <w:sz w:val="20"/>
                <w:szCs w:val="20"/>
              </w:rPr>
              <m:t>it</m:t>
            </m:r>
          </m:sub>
        </m:sSub>
        <m:r>
          <w:rPr>
            <w:rFonts w:ascii="Cambria Math" w:hAnsi="Cambria Math"/>
            <w:sz w:val="20"/>
            <w:szCs w:val="20"/>
          </w:rPr>
          <m:t>=-</m:t>
        </m:r>
        <m:r>
          <m:rPr>
            <m:sty m:val="p"/>
          </m:rPr>
          <w:rPr>
            <w:rFonts w:ascii="Cambria Math" w:hAnsi="Cambria Math"/>
            <w:sz w:val="20"/>
            <w:szCs w:val="20"/>
          </w:rPr>
          <m:t>log⁡</m:t>
        </m:r>
        <m:r>
          <w:rPr>
            <w:rFonts w:ascii="Cambria Math" w:hAnsi="Cambria Math"/>
            <w:sz w:val="20"/>
            <w:szCs w:val="20"/>
          </w:rPr>
          <m:t>(1-</m:t>
        </m:r>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P</m:t>
                </m:r>
              </m:e>
            </m:acc>
          </m:e>
          <m:sub>
            <m:r>
              <w:rPr>
                <w:rFonts w:ascii="Cambria Math" w:hAnsi="Cambria Math"/>
                <w:sz w:val="20"/>
                <w:szCs w:val="20"/>
              </w:rPr>
              <m:t>it</m:t>
            </m:r>
          </m:sub>
        </m:sSub>
        <m:r>
          <w:rPr>
            <w:rFonts w:ascii="Cambria Math" w:hAnsi="Cambria Math"/>
            <w:sz w:val="20"/>
            <w:szCs w:val="20"/>
          </w:rPr>
          <m:t>)</m:t>
        </m:r>
      </m:oMath>
      <w:r w:rsidR="007C1C73" w:rsidRPr="004363F1">
        <w:rPr>
          <w:sz w:val="20"/>
          <w:szCs w:val="20"/>
        </w:rPr>
        <w:t xml:space="preserve">, where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H</m:t>
                </m:r>
              </m:e>
            </m:acc>
          </m:e>
          <m:sub>
            <m:r>
              <w:rPr>
                <w:rFonts w:ascii="Cambria Math" w:hAnsi="Cambria Math"/>
                <w:sz w:val="20"/>
                <w:szCs w:val="20"/>
              </w:rPr>
              <m:t>it</m:t>
            </m:r>
          </m:sub>
        </m:sSub>
      </m:oMath>
      <w:r w:rsidR="00656A52" w:rsidRPr="004363F1">
        <w:rPr>
          <w:rFonts w:eastAsiaTheme="minorEastAsia"/>
          <w:sz w:val="20"/>
          <w:szCs w:val="20"/>
        </w:rPr>
        <w:t xml:space="preserve"> is the predicted hazard of patient i on day t and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P</m:t>
                </m:r>
              </m:e>
            </m:acc>
          </m:e>
          <m:sub>
            <m:r>
              <w:rPr>
                <w:rFonts w:ascii="Cambria Math" w:hAnsi="Cambria Math"/>
                <w:sz w:val="20"/>
                <w:szCs w:val="20"/>
              </w:rPr>
              <m:t>it</m:t>
            </m:r>
          </m:sub>
        </m:sSub>
      </m:oMath>
      <w:r w:rsidR="007C1C73" w:rsidRPr="004363F1">
        <w:rPr>
          <w:sz w:val="20"/>
          <w:szCs w:val="20"/>
        </w:rPr>
        <w:t xml:space="preserve"> </w:t>
      </w:r>
      <w:r w:rsidR="00656A52" w:rsidRPr="004363F1">
        <w:rPr>
          <w:sz w:val="20"/>
          <w:szCs w:val="20"/>
        </w:rPr>
        <w:t xml:space="preserve">is the corresponding predicted daily probability of dying. The 6,724 predicted hazards were than used to generate 28 predicted </w:t>
      </w:r>
      <w:r w:rsidR="00656A52" w:rsidRPr="004363F1">
        <w:rPr>
          <w:i/>
          <w:sz w:val="20"/>
          <w:szCs w:val="20"/>
        </w:rPr>
        <w:t>mean</w:t>
      </w:r>
      <w:r w:rsidR="00656A52" w:rsidRPr="004363F1">
        <w:rPr>
          <w:sz w:val="20"/>
          <w:szCs w:val="20"/>
        </w:rPr>
        <w:t xml:space="preserve"> daily</w:t>
      </w:r>
      <w:r w:rsidR="009D763E" w:rsidRPr="004363F1">
        <w:rPr>
          <w:sz w:val="20"/>
          <w:szCs w:val="20"/>
        </w:rPr>
        <w:t xml:space="preserve"> hazards of dying by averaging across all patients in the at-risk population on each of the 28 days. These 28 predicted mean hazards</w:t>
      </w:r>
      <w:r w:rsidR="00656A52" w:rsidRPr="004363F1">
        <w:rPr>
          <w:sz w:val="20"/>
          <w:szCs w:val="20"/>
        </w:rPr>
        <w:t xml:space="preserve"> </w:t>
      </w:r>
      <w:r w:rsidR="009D763E" w:rsidRPr="004363F1">
        <w:rPr>
          <w:sz w:val="20"/>
          <w:szCs w:val="20"/>
        </w:rPr>
        <w:t>were then represented by the</w:t>
      </w:r>
      <w:r w:rsidR="00A61044" w:rsidRPr="004363F1">
        <w:rPr>
          <w:sz w:val="20"/>
          <w:szCs w:val="20"/>
        </w:rPr>
        <w:t xml:space="preserve"> blue </w:t>
      </w:r>
      <w:r w:rsidRPr="004363F1">
        <w:rPr>
          <w:sz w:val="20"/>
          <w:szCs w:val="20"/>
        </w:rPr>
        <w:t xml:space="preserve">thick broken </w:t>
      </w:r>
      <w:r w:rsidR="009D763E" w:rsidRPr="004363F1">
        <w:rPr>
          <w:sz w:val="20"/>
          <w:szCs w:val="20"/>
        </w:rPr>
        <w:t>curve</w:t>
      </w:r>
      <w:r w:rsidR="00ED06FE" w:rsidRPr="004363F1">
        <w:rPr>
          <w:sz w:val="20"/>
          <w:szCs w:val="20"/>
        </w:rPr>
        <w:t xml:space="preserve"> in </w:t>
      </w:r>
      <w:r w:rsidR="00774B2D" w:rsidRPr="004363F1">
        <w:rPr>
          <w:sz w:val="20"/>
          <w:szCs w:val="20"/>
        </w:rPr>
        <w:t xml:space="preserve">Supplemental Figure </w:t>
      </w:r>
      <w:r w:rsidR="00A61044" w:rsidRPr="004363F1">
        <w:rPr>
          <w:sz w:val="20"/>
          <w:szCs w:val="20"/>
        </w:rPr>
        <w:t>2</w:t>
      </w:r>
      <w:r w:rsidR="009D763E" w:rsidRPr="004363F1">
        <w:rPr>
          <w:sz w:val="20"/>
          <w:szCs w:val="20"/>
        </w:rPr>
        <w:t>.</w:t>
      </w:r>
      <w:r w:rsidR="009E1DF9" w:rsidRPr="004363F1">
        <w:rPr>
          <w:sz w:val="20"/>
          <w:szCs w:val="20"/>
        </w:rPr>
        <w:t xml:space="preserve"> The curve</w:t>
      </w:r>
      <w:r w:rsidR="00646869" w:rsidRPr="004363F1">
        <w:rPr>
          <w:sz w:val="20"/>
          <w:szCs w:val="20"/>
        </w:rPr>
        <w:t xml:space="preserve"> show</w:t>
      </w:r>
      <w:r w:rsidR="009E1DF9" w:rsidRPr="004363F1">
        <w:rPr>
          <w:sz w:val="20"/>
          <w:szCs w:val="20"/>
        </w:rPr>
        <w:t>s</w:t>
      </w:r>
      <w:r w:rsidR="00646869" w:rsidRPr="004363F1">
        <w:rPr>
          <w:sz w:val="20"/>
          <w:szCs w:val="20"/>
        </w:rPr>
        <w:t xml:space="preserve"> that there is an unusually low hazard of dying on days 1 and 2 followed by an increase in the hazard of dying during days 3 to 5.  This pattern likely reflects the</w:t>
      </w:r>
      <w:r w:rsidR="001B2AB6" w:rsidRPr="004363F1">
        <w:rPr>
          <w:sz w:val="20"/>
          <w:szCs w:val="20"/>
        </w:rPr>
        <w:t xml:space="preserve"> effect of an</w:t>
      </w:r>
      <w:r w:rsidR="00646869" w:rsidRPr="004363F1">
        <w:rPr>
          <w:sz w:val="20"/>
          <w:szCs w:val="20"/>
        </w:rPr>
        <w:t xml:space="preserve"> </w:t>
      </w:r>
      <w:r w:rsidR="001B2AB6" w:rsidRPr="004363F1">
        <w:rPr>
          <w:sz w:val="20"/>
          <w:szCs w:val="20"/>
        </w:rPr>
        <w:t>eligibility criterion</w:t>
      </w:r>
      <w:r w:rsidR="00646869" w:rsidRPr="004363F1">
        <w:rPr>
          <w:sz w:val="20"/>
          <w:szCs w:val="20"/>
        </w:rPr>
        <w:t xml:space="preserve"> for inclusion i</w:t>
      </w:r>
      <w:r w:rsidR="00855CCB" w:rsidRPr="004363F1">
        <w:rPr>
          <w:sz w:val="20"/>
          <w:szCs w:val="20"/>
        </w:rPr>
        <w:t>nto the study (</w:t>
      </w:r>
      <w:proofErr w:type="spellStart"/>
      <w:r w:rsidR="00855CCB" w:rsidRPr="004363F1">
        <w:rPr>
          <w:sz w:val="20"/>
          <w:szCs w:val="20"/>
        </w:rPr>
        <w:t>ie</w:t>
      </w:r>
      <w:proofErr w:type="spellEnd"/>
      <w:r w:rsidR="00855CCB" w:rsidRPr="004363F1">
        <w:rPr>
          <w:sz w:val="20"/>
          <w:szCs w:val="20"/>
        </w:rPr>
        <w:t>. patients are</w:t>
      </w:r>
      <w:r w:rsidR="00646869" w:rsidRPr="004363F1">
        <w:rPr>
          <w:sz w:val="20"/>
          <w:szCs w:val="20"/>
        </w:rPr>
        <w:t xml:space="preserve"> </w:t>
      </w:r>
      <w:r w:rsidR="001B2AB6" w:rsidRPr="004363F1">
        <w:rPr>
          <w:sz w:val="20"/>
          <w:szCs w:val="20"/>
        </w:rPr>
        <w:t xml:space="preserve">to be </w:t>
      </w:r>
      <w:r w:rsidR="00646869" w:rsidRPr="004363F1">
        <w:rPr>
          <w:sz w:val="20"/>
          <w:szCs w:val="20"/>
        </w:rPr>
        <w:t xml:space="preserve">excluded from the study if they </w:t>
      </w:r>
      <w:r w:rsidR="00855CCB" w:rsidRPr="004363F1">
        <w:rPr>
          <w:sz w:val="20"/>
          <w:szCs w:val="20"/>
        </w:rPr>
        <w:t>are</w:t>
      </w:r>
      <w:r w:rsidR="00646869" w:rsidRPr="004363F1">
        <w:rPr>
          <w:sz w:val="20"/>
          <w:szCs w:val="20"/>
        </w:rPr>
        <w:t xml:space="preserve"> not expected to remain </w:t>
      </w:r>
      <w:r w:rsidR="009E1DF9" w:rsidRPr="004363F1">
        <w:rPr>
          <w:sz w:val="20"/>
          <w:szCs w:val="20"/>
        </w:rPr>
        <w:t xml:space="preserve">alive </w:t>
      </w:r>
      <w:r w:rsidR="00646869" w:rsidRPr="004363F1">
        <w:rPr>
          <w:sz w:val="20"/>
          <w:szCs w:val="20"/>
        </w:rPr>
        <w:t>in the ICU for ≥ 72 hours).</w:t>
      </w:r>
    </w:p>
    <w:p w14:paraId="56C250C7" w14:textId="77777777" w:rsidR="00936DDB" w:rsidRPr="004363F1" w:rsidRDefault="000B6FEC" w:rsidP="00CC0983">
      <w:pPr>
        <w:pStyle w:val="ydp8296f075yiv7348143044msonormal"/>
        <w:spacing w:before="0" w:beforeAutospacing="0" w:after="0" w:afterAutospacing="0"/>
        <w:ind w:firstLine="720"/>
        <w:jc w:val="both"/>
        <w:rPr>
          <w:sz w:val="20"/>
          <w:szCs w:val="20"/>
        </w:rPr>
      </w:pPr>
      <w:r w:rsidRPr="004363F1">
        <w:rPr>
          <w:sz w:val="20"/>
          <w:szCs w:val="20"/>
        </w:rPr>
        <w:t>Since</w:t>
      </w:r>
      <w:r w:rsidR="000F1940" w:rsidRPr="004363F1">
        <w:rPr>
          <w:sz w:val="20"/>
          <w:szCs w:val="20"/>
        </w:rPr>
        <w:t xml:space="preserve"> </w:t>
      </w:r>
      <w:r w:rsidRPr="004363F1">
        <w:rPr>
          <w:sz w:val="20"/>
          <w:szCs w:val="20"/>
        </w:rPr>
        <w:t xml:space="preserve">the estimated result of </w:t>
      </w:r>
      <w:r w:rsidR="000F1940" w:rsidRPr="004363F1">
        <w:rPr>
          <w:sz w:val="20"/>
          <w:szCs w:val="20"/>
        </w:rPr>
        <w:t>the best CLOGLOG model</w:t>
      </w:r>
      <w:r w:rsidRPr="004363F1">
        <w:rPr>
          <w:sz w:val="20"/>
          <w:szCs w:val="20"/>
        </w:rPr>
        <w:t xml:space="preserve"> also include</w:t>
      </w:r>
      <w:r w:rsidR="000F1940" w:rsidRPr="004363F1">
        <w:rPr>
          <w:sz w:val="20"/>
          <w:szCs w:val="20"/>
        </w:rPr>
        <w:t xml:space="preserve">d the lower and upper limits of the 95% confidence intervals for all 6,724 predicted daily </w:t>
      </w:r>
      <w:r w:rsidR="000F1940" w:rsidRPr="004363F1">
        <w:rPr>
          <w:i/>
          <w:sz w:val="20"/>
          <w:szCs w:val="20"/>
        </w:rPr>
        <w:t>probabilities</w:t>
      </w:r>
      <w:r w:rsidR="000F1940" w:rsidRPr="004363F1">
        <w:rPr>
          <w:sz w:val="20"/>
          <w:szCs w:val="20"/>
        </w:rPr>
        <w:t xml:space="preserve"> of dying, we also translated these limits to those of the predicted daily </w:t>
      </w:r>
      <w:r w:rsidR="000F1940" w:rsidRPr="004363F1">
        <w:rPr>
          <w:i/>
          <w:sz w:val="20"/>
          <w:szCs w:val="20"/>
        </w:rPr>
        <w:t>hazards</w:t>
      </w:r>
      <w:r w:rsidR="000F1940" w:rsidRPr="004363F1">
        <w:rPr>
          <w:sz w:val="20"/>
          <w:szCs w:val="20"/>
        </w:rPr>
        <w:t xml:space="preserve"> of dying and then averaged them into 28 pairs of limits in the same way. </w:t>
      </w:r>
      <w:r w:rsidR="00936DDB" w:rsidRPr="004363F1">
        <w:rPr>
          <w:sz w:val="20"/>
          <w:szCs w:val="20"/>
        </w:rPr>
        <w:t xml:space="preserve">The resulting lower and upper limits of the confidence belt </w:t>
      </w:r>
      <w:r w:rsidRPr="004363F1">
        <w:rPr>
          <w:sz w:val="20"/>
          <w:szCs w:val="20"/>
        </w:rPr>
        <w:t xml:space="preserve">for the hazards </w:t>
      </w:r>
      <w:r w:rsidR="00936DDB" w:rsidRPr="004363F1">
        <w:rPr>
          <w:sz w:val="20"/>
          <w:szCs w:val="20"/>
        </w:rPr>
        <w:t xml:space="preserve">are shown in Supplemental Figure 2 by blue thin broken curves with long segments. The large width of this confidence belt reflects that predictions of mortality outcomes </w:t>
      </w:r>
      <w:r w:rsidR="00C348E6" w:rsidRPr="004363F1">
        <w:rPr>
          <w:sz w:val="20"/>
          <w:szCs w:val="20"/>
        </w:rPr>
        <w:t xml:space="preserve">on a daily basis </w:t>
      </w:r>
      <w:r w:rsidR="00936DDB" w:rsidRPr="004363F1">
        <w:rPr>
          <w:sz w:val="20"/>
          <w:szCs w:val="20"/>
        </w:rPr>
        <w:t>are a difficult task.</w:t>
      </w:r>
      <w:r w:rsidR="00CA4CAD" w:rsidRPr="004363F1">
        <w:rPr>
          <w:sz w:val="20"/>
          <w:szCs w:val="20"/>
        </w:rPr>
        <w:t xml:space="preserve"> It also reflects that the patients on each day differed markedly in health status.</w:t>
      </w:r>
    </w:p>
    <w:p w14:paraId="77A1CD70" w14:textId="77777777" w:rsidR="00AC41F9" w:rsidRPr="004363F1" w:rsidRDefault="008B7C7A" w:rsidP="00CC0983">
      <w:pPr>
        <w:pStyle w:val="ydp8296f075yiv7348143044msonormal"/>
        <w:spacing w:before="0" w:beforeAutospacing="0" w:after="0" w:afterAutospacing="0"/>
        <w:ind w:firstLine="720"/>
        <w:jc w:val="both"/>
        <w:rPr>
          <w:color w:val="FF0000"/>
          <w:sz w:val="20"/>
          <w:szCs w:val="20"/>
        </w:rPr>
      </w:pPr>
      <w:r w:rsidRPr="004363F1">
        <w:rPr>
          <w:sz w:val="20"/>
          <w:szCs w:val="20"/>
        </w:rPr>
        <w:t>W</w:t>
      </w:r>
      <w:r w:rsidR="00936DDB" w:rsidRPr="004363F1">
        <w:rPr>
          <w:sz w:val="20"/>
          <w:szCs w:val="20"/>
        </w:rPr>
        <w:t xml:space="preserve">e are concerned that some researchers </w:t>
      </w:r>
      <w:r w:rsidRPr="004363F1">
        <w:rPr>
          <w:sz w:val="20"/>
          <w:szCs w:val="20"/>
        </w:rPr>
        <w:t>may be negatively impressed by the wide confidence belt and then retreat</w:t>
      </w:r>
      <w:r w:rsidR="00186947" w:rsidRPr="004363F1">
        <w:rPr>
          <w:sz w:val="20"/>
          <w:szCs w:val="20"/>
        </w:rPr>
        <w:t xml:space="preserve"> </w:t>
      </w:r>
      <w:r w:rsidRPr="004363F1">
        <w:rPr>
          <w:sz w:val="20"/>
          <w:szCs w:val="20"/>
        </w:rPr>
        <w:t>to the conventional version</w:t>
      </w:r>
      <w:r w:rsidR="00C348E6" w:rsidRPr="004363F1">
        <w:rPr>
          <w:sz w:val="20"/>
          <w:szCs w:val="20"/>
        </w:rPr>
        <w:t>s</w:t>
      </w:r>
      <w:r w:rsidR="008C5E55" w:rsidRPr="004363F1">
        <w:rPr>
          <w:sz w:val="20"/>
          <w:szCs w:val="20"/>
        </w:rPr>
        <w:t xml:space="preserve"> of the Cox model, resulting in the inability to</w:t>
      </w:r>
      <w:r w:rsidRPr="004363F1">
        <w:rPr>
          <w:sz w:val="20"/>
          <w:szCs w:val="20"/>
        </w:rPr>
        <w:t xml:space="preserve"> achieve longitudinal insights</w:t>
      </w:r>
      <w:r w:rsidR="008C5E55" w:rsidRPr="004363F1">
        <w:rPr>
          <w:sz w:val="20"/>
          <w:szCs w:val="20"/>
        </w:rPr>
        <w:t>. To counter this</w:t>
      </w:r>
      <w:r w:rsidRPr="004363F1">
        <w:rPr>
          <w:sz w:val="20"/>
          <w:szCs w:val="20"/>
        </w:rPr>
        <w:t xml:space="preserve"> negative impression, we now consider the confidence intervals for the predicted </w:t>
      </w:r>
      <w:r w:rsidRPr="004363F1">
        <w:rPr>
          <w:i/>
          <w:sz w:val="20"/>
          <w:szCs w:val="20"/>
        </w:rPr>
        <w:t>mean</w:t>
      </w:r>
      <w:r w:rsidRPr="004363F1">
        <w:rPr>
          <w:sz w:val="20"/>
          <w:szCs w:val="20"/>
        </w:rPr>
        <w:t xml:space="preserve"> daily hazards. </w:t>
      </w:r>
      <w:r w:rsidR="00C348E6" w:rsidRPr="004363F1">
        <w:rPr>
          <w:sz w:val="20"/>
          <w:szCs w:val="20"/>
        </w:rPr>
        <w:t xml:space="preserve">Since </w:t>
      </w:r>
      <w:r w:rsidR="00F40E93" w:rsidRPr="004363F1">
        <w:rPr>
          <w:sz w:val="20"/>
          <w:szCs w:val="20"/>
        </w:rPr>
        <w:t>the standard error of the</w:t>
      </w:r>
      <w:r w:rsidR="00C348E6" w:rsidRPr="004363F1">
        <w:rPr>
          <w:sz w:val="20"/>
          <w:szCs w:val="20"/>
        </w:rPr>
        <w:t xml:space="preserve"> mean is the standard deviation of the individual values divided by the square </w:t>
      </w:r>
      <w:r w:rsidR="007D6729" w:rsidRPr="004363F1">
        <w:rPr>
          <w:sz w:val="20"/>
          <w:szCs w:val="20"/>
        </w:rPr>
        <w:t>root of the sample size, we shri</w:t>
      </w:r>
      <w:r w:rsidR="00C348E6" w:rsidRPr="004363F1">
        <w:rPr>
          <w:sz w:val="20"/>
          <w:szCs w:val="20"/>
        </w:rPr>
        <w:t xml:space="preserve">nk </w:t>
      </w:r>
      <w:r w:rsidR="00186947" w:rsidRPr="004363F1">
        <w:rPr>
          <w:sz w:val="20"/>
          <w:szCs w:val="20"/>
        </w:rPr>
        <w:t xml:space="preserve">the widths </w:t>
      </w:r>
      <w:r w:rsidR="00C348E6" w:rsidRPr="004363F1">
        <w:rPr>
          <w:sz w:val="20"/>
          <w:szCs w:val="20"/>
        </w:rPr>
        <w:t xml:space="preserve">of the original confidence intervals </w:t>
      </w:r>
      <w:r w:rsidR="00186947" w:rsidRPr="004363F1">
        <w:rPr>
          <w:sz w:val="20"/>
          <w:szCs w:val="20"/>
        </w:rPr>
        <w:t xml:space="preserve">for predicting individual hazards by dividing them by the square roots of the sizes of the daily at-risk populations. The </w:t>
      </w:r>
      <w:r w:rsidR="008C5E55" w:rsidRPr="004363F1">
        <w:rPr>
          <w:sz w:val="20"/>
          <w:szCs w:val="20"/>
        </w:rPr>
        <w:t xml:space="preserve">resulting </w:t>
      </w:r>
      <w:r w:rsidR="00186947" w:rsidRPr="004363F1">
        <w:rPr>
          <w:sz w:val="20"/>
          <w:szCs w:val="20"/>
        </w:rPr>
        <w:t xml:space="preserve">confidence belt for the predicted </w:t>
      </w:r>
      <w:r w:rsidR="00186947" w:rsidRPr="004363F1">
        <w:rPr>
          <w:i/>
          <w:sz w:val="20"/>
          <w:szCs w:val="20"/>
        </w:rPr>
        <w:t>mean</w:t>
      </w:r>
      <w:r w:rsidR="008C5E55" w:rsidRPr="004363F1">
        <w:rPr>
          <w:sz w:val="20"/>
          <w:szCs w:val="20"/>
        </w:rPr>
        <w:t xml:space="preserve"> daily hazards is</w:t>
      </w:r>
      <w:r w:rsidR="00186947" w:rsidRPr="004363F1">
        <w:rPr>
          <w:sz w:val="20"/>
          <w:szCs w:val="20"/>
        </w:rPr>
        <w:t xml:space="preserve"> shown </w:t>
      </w:r>
      <w:r w:rsidR="008C5E55" w:rsidRPr="004363F1">
        <w:rPr>
          <w:sz w:val="20"/>
          <w:szCs w:val="20"/>
        </w:rPr>
        <w:t xml:space="preserve">to be quite narrow </w:t>
      </w:r>
      <w:r w:rsidR="00186947" w:rsidRPr="004363F1">
        <w:rPr>
          <w:sz w:val="20"/>
          <w:szCs w:val="20"/>
        </w:rPr>
        <w:t xml:space="preserve">in Supplemental Figure 2 by </w:t>
      </w:r>
      <w:r w:rsidR="007D6729" w:rsidRPr="004363F1">
        <w:rPr>
          <w:sz w:val="20"/>
          <w:szCs w:val="20"/>
        </w:rPr>
        <w:t>a</w:t>
      </w:r>
      <w:r w:rsidR="008C5E55" w:rsidRPr="004363F1">
        <w:rPr>
          <w:sz w:val="20"/>
          <w:szCs w:val="20"/>
        </w:rPr>
        <w:t xml:space="preserve"> pair of </w:t>
      </w:r>
      <w:r w:rsidR="00186947" w:rsidRPr="004363F1">
        <w:rPr>
          <w:sz w:val="20"/>
          <w:szCs w:val="20"/>
        </w:rPr>
        <w:t>blue thin broken curves with short segments.</w:t>
      </w:r>
      <w:r w:rsidR="008C5E55" w:rsidRPr="004363F1">
        <w:rPr>
          <w:sz w:val="20"/>
          <w:szCs w:val="20"/>
        </w:rPr>
        <w:t xml:space="preserve"> </w:t>
      </w:r>
    </w:p>
    <w:p w14:paraId="15533827" w14:textId="77777777" w:rsidR="00646869" w:rsidRPr="004363F1" w:rsidRDefault="00646869" w:rsidP="00CC0983">
      <w:pPr>
        <w:pStyle w:val="ydp8296f075yiv7348143044msonormal"/>
        <w:spacing w:before="0" w:beforeAutospacing="0" w:after="0" w:afterAutospacing="0"/>
        <w:ind w:firstLine="720"/>
        <w:jc w:val="both"/>
        <w:rPr>
          <w:sz w:val="20"/>
          <w:szCs w:val="20"/>
        </w:rPr>
      </w:pPr>
      <w:r w:rsidRPr="004363F1">
        <w:rPr>
          <w:sz w:val="20"/>
          <w:szCs w:val="20"/>
        </w:rPr>
        <w:t xml:space="preserve">In general, the temporal pattern of the hazard is hard to interpret, because it absorbs the effects of the balance of various selection biases, such as (1) the exclusion of patients who were not expected to remain </w:t>
      </w:r>
      <w:r w:rsidR="009E1DF9" w:rsidRPr="004363F1">
        <w:rPr>
          <w:sz w:val="20"/>
          <w:szCs w:val="20"/>
        </w:rPr>
        <w:t xml:space="preserve">alive </w:t>
      </w:r>
      <w:r w:rsidRPr="004363F1">
        <w:rPr>
          <w:sz w:val="20"/>
          <w:szCs w:val="20"/>
        </w:rPr>
        <w:t>in the ICU for ≥ 72 hours, (2) the temporal decline in the number of sicker patients due to the death process, and (3) the temporal decline in the number of healthier patients due to the discharge process.  The decline of the hazard after day 7 likely reflects the beneficial effects of the treatments and care received by the patients in ICU. </w:t>
      </w:r>
    </w:p>
    <w:p w14:paraId="349DEA63" w14:textId="77777777" w:rsidR="00646869" w:rsidRPr="004363F1" w:rsidRDefault="00646869" w:rsidP="00CC0983">
      <w:pPr>
        <w:pStyle w:val="ydp8296f075yiv7348143044msonormal"/>
        <w:spacing w:before="0" w:beforeAutospacing="0" w:after="0" w:afterAutospacing="0"/>
        <w:ind w:firstLine="720"/>
        <w:jc w:val="both"/>
        <w:rPr>
          <w:sz w:val="20"/>
          <w:szCs w:val="20"/>
        </w:rPr>
      </w:pPr>
      <w:r w:rsidRPr="004363F1">
        <w:rPr>
          <w:sz w:val="20"/>
          <w:szCs w:val="20"/>
        </w:rPr>
        <w:t>Keeping selection bias</w:t>
      </w:r>
      <w:r w:rsidR="00E87ACD" w:rsidRPr="004363F1">
        <w:rPr>
          <w:sz w:val="20"/>
          <w:szCs w:val="20"/>
        </w:rPr>
        <w:t>es</w:t>
      </w:r>
      <w:r w:rsidRPr="004363F1">
        <w:rPr>
          <w:sz w:val="20"/>
          <w:szCs w:val="20"/>
        </w:rPr>
        <w:t xml:space="preserve"> in mind, it is not surprising that the sharp rise in t</w:t>
      </w:r>
      <w:r w:rsidR="00CA2E18" w:rsidRPr="004363F1">
        <w:rPr>
          <w:sz w:val="20"/>
          <w:szCs w:val="20"/>
        </w:rPr>
        <w:t>he hazard from day 1 to day 5 i</w:t>
      </w:r>
      <w:r w:rsidRPr="004363F1">
        <w:rPr>
          <w:sz w:val="20"/>
          <w:szCs w:val="20"/>
        </w:rPr>
        <w:t>s inconsistent with the fact that the daily averages of five of the six TVBIs improve</w:t>
      </w:r>
      <w:r w:rsidR="00E87ACD" w:rsidRPr="004363F1">
        <w:rPr>
          <w:sz w:val="20"/>
          <w:szCs w:val="20"/>
        </w:rPr>
        <w:t xml:space="preserve">d during the same time interval:  </w:t>
      </w:r>
      <w:proofErr w:type="spellStart"/>
      <w:r w:rsidR="00E87ACD" w:rsidRPr="004363F1">
        <w:rPr>
          <w:sz w:val="20"/>
          <w:szCs w:val="20"/>
        </w:rPr>
        <w:t>cfDNA</w:t>
      </w:r>
      <w:proofErr w:type="spellEnd"/>
      <w:r w:rsidR="00E87ACD" w:rsidRPr="004363F1">
        <w:rPr>
          <w:sz w:val="20"/>
          <w:szCs w:val="20"/>
        </w:rPr>
        <w:t xml:space="preserve"> decreased by 3.8%, protein C increased by 25.5%, creatinine decreased by 19.4%, GCS increased by 18.0%, and lactate decreased by 30.7%.</w:t>
      </w:r>
      <w:r w:rsidRPr="004363F1">
        <w:rPr>
          <w:sz w:val="20"/>
          <w:szCs w:val="20"/>
        </w:rPr>
        <w:t xml:space="preserve"> </w:t>
      </w:r>
      <w:r w:rsidR="00E87ACD" w:rsidRPr="004363F1">
        <w:rPr>
          <w:sz w:val="20"/>
          <w:szCs w:val="20"/>
        </w:rPr>
        <w:t xml:space="preserve"> </w:t>
      </w:r>
      <w:r w:rsidRPr="004363F1">
        <w:rPr>
          <w:sz w:val="20"/>
          <w:szCs w:val="20"/>
        </w:rPr>
        <w:t>This inconsistency was resolved in the CLOGLOG model by the positive estimated c</w:t>
      </w:r>
      <w:r w:rsidR="00CA2E18" w:rsidRPr="004363F1">
        <w:rPr>
          <w:sz w:val="20"/>
          <w:szCs w:val="20"/>
        </w:rPr>
        <w:t xml:space="preserve">oefficient of “log(duration)”.  We </w:t>
      </w:r>
      <w:r w:rsidRPr="004363F1">
        <w:rPr>
          <w:sz w:val="20"/>
          <w:szCs w:val="20"/>
        </w:rPr>
        <w:t xml:space="preserve">note that the omission of </w:t>
      </w:r>
      <w:r w:rsidR="009447E9" w:rsidRPr="004363F1">
        <w:rPr>
          <w:sz w:val="20"/>
          <w:szCs w:val="20"/>
        </w:rPr>
        <w:t xml:space="preserve">both duration and </w:t>
      </w:r>
      <w:r w:rsidRPr="004363F1">
        <w:rPr>
          <w:sz w:val="20"/>
          <w:szCs w:val="20"/>
        </w:rPr>
        <w:t xml:space="preserve">log(duration) from </w:t>
      </w:r>
      <w:r w:rsidR="009447E9" w:rsidRPr="004363F1">
        <w:rPr>
          <w:sz w:val="20"/>
          <w:szCs w:val="20"/>
        </w:rPr>
        <w:t xml:space="preserve">the </w:t>
      </w:r>
      <w:r w:rsidRPr="004363F1">
        <w:rPr>
          <w:sz w:val="20"/>
          <w:szCs w:val="20"/>
        </w:rPr>
        <w:t xml:space="preserve">model led to the effects of most TVBIs being underestimated or, in the case of </w:t>
      </w:r>
      <w:r w:rsidR="007D1463" w:rsidRPr="004363F1">
        <w:rPr>
          <w:sz w:val="20"/>
          <w:szCs w:val="20"/>
        </w:rPr>
        <w:t xml:space="preserve">the day 1 variable of </w:t>
      </w:r>
      <w:proofErr w:type="gramStart"/>
      <w:r w:rsidRPr="004363F1">
        <w:rPr>
          <w:sz w:val="20"/>
          <w:szCs w:val="20"/>
        </w:rPr>
        <w:t>lactate,  even</w:t>
      </w:r>
      <w:proofErr w:type="gramEnd"/>
      <w:r w:rsidRPr="004363F1">
        <w:rPr>
          <w:sz w:val="20"/>
          <w:szCs w:val="20"/>
        </w:rPr>
        <w:t xml:space="preserve"> non-significant</w:t>
      </w:r>
      <w:r w:rsidR="009447E9" w:rsidRPr="004363F1">
        <w:rPr>
          <w:sz w:val="20"/>
          <w:szCs w:val="20"/>
        </w:rPr>
        <w:t xml:space="preserve"> </w:t>
      </w:r>
      <w:r w:rsidR="009447E9" w:rsidRPr="004363F1">
        <w:rPr>
          <w:sz w:val="20"/>
          <w:szCs w:val="20"/>
        </w:rPr>
        <w:lastRenderedPageBreak/>
        <w:t>(p=0.221).</w:t>
      </w:r>
      <w:r w:rsidR="009F7BD7" w:rsidRPr="004363F1">
        <w:rPr>
          <w:sz w:val="20"/>
          <w:szCs w:val="20"/>
        </w:rPr>
        <w:t xml:space="preserve"> This finding</w:t>
      </w:r>
      <w:r w:rsidR="00B445D0" w:rsidRPr="004363F1">
        <w:rPr>
          <w:sz w:val="20"/>
          <w:szCs w:val="20"/>
        </w:rPr>
        <w:t xml:space="preserve"> reveals that the above-mentioned eligibility criterion should not be used any more. It is worth noting that among the patients contributing to the input data, one died on day 1, 4 died on day 2, and 8 died on day 3, suggesting that some clinicians realized that this criterion had the undesirable effect of resulting in not only selection bias but also loss of valuable information and hence chose not to use it.</w:t>
      </w:r>
      <w:r w:rsidR="00EA0580" w:rsidRPr="004363F1">
        <w:rPr>
          <w:sz w:val="20"/>
          <w:szCs w:val="20"/>
        </w:rPr>
        <w:t xml:space="preserve"> A reviewer commented that the retention</w:t>
      </w:r>
      <w:r w:rsidR="00126C96" w:rsidRPr="004363F1">
        <w:rPr>
          <w:sz w:val="20"/>
          <w:szCs w:val="20"/>
        </w:rPr>
        <w:t xml:space="preserve"> of these patients might indicate</w:t>
      </w:r>
      <w:r w:rsidR="00EA0580" w:rsidRPr="004363F1">
        <w:rPr>
          <w:sz w:val="20"/>
          <w:szCs w:val="20"/>
        </w:rPr>
        <w:t xml:space="preserve"> </w:t>
      </w:r>
      <w:r w:rsidR="00EA0580" w:rsidRPr="004363F1">
        <w:rPr>
          <w:rFonts w:eastAsia="Times New Roman"/>
          <w:sz w:val="20"/>
          <w:szCs w:val="20"/>
        </w:rPr>
        <w:t>that</w:t>
      </w:r>
      <w:r w:rsidR="00EA0580" w:rsidRPr="004363F1">
        <w:rPr>
          <w:rFonts w:ascii="Helvetica" w:eastAsia="Times New Roman" w:hAnsi="Helvetica" w:cs="Helvetica"/>
          <w:sz w:val="20"/>
          <w:szCs w:val="20"/>
        </w:rPr>
        <w:t xml:space="preserve"> </w:t>
      </w:r>
      <w:r w:rsidR="00EA0580" w:rsidRPr="004363F1">
        <w:rPr>
          <w:rFonts w:eastAsia="Times New Roman"/>
          <w:sz w:val="20"/>
          <w:szCs w:val="20"/>
        </w:rPr>
        <w:t>“clinical gestalt cannot perfectly predict ICU mortality” and “hence the need for this study”.</w:t>
      </w:r>
      <w:r w:rsidR="00EA0580" w:rsidRPr="004363F1">
        <w:rPr>
          <w:sz w:val="20"/>
          <w:szCs w:val="20"/>
        </w:rPr>
        <w:t xml:space="preserve"> </w:t>
      </w:r>
      <w:r w:rsidR="00B445D0" w:rsidRPr="004363F1">
        <w:rPr>
          <w:sz w:val="20"/>
          <w:szCs w:val="20"/>
        </w:rPr>
        <w:t xml:space="preserve"> </w:t>
      </w:r>
    </w:p>
    <w:p w14:paraId="2935B6FA" w14:textId="77777777" w:rsidR="002425CB" w:rsidRPr="004363F1" w:rsidRDefault="00ED06FE"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ab/>
      </w:r>
      <w:r w:rsidR="00774B2D" w:rsidRPr="004363F1">
        <w:rPr>
          <w:rFonts w:ascii="Times New Roman" w:eastAsiaTheme="minorEastAsia" w:hAnsi="Times New Roman" w:cs="Times New Roman"/>
          <w:sz w:val="20"/>
          <w:szCs w:val="20"/>
          <w:lang w:val="en-CA" w:eastAsia="ja-JP"/>
        </w:rPr>
        <w:t xml:space="preserve">Supplemental Figure </w:t>
      </w:r>
      <w:r w:rsidR="005F6DFA" w:rsidRPr="004363F1">
        <w:rPr>
          <w:rFonts w:ascii="Times New Roman" w:eastAsiaTheme="minorEastAsia" w:hAnsi="Times New Roman" w:cs="Times New Roman"/>
          <w:sz w:val="20"/>
          <w:szCs w:val="20"/>
          <w:lang w:val="en-CA" w:eastAsia="ja-JP"/>
        </w:rPr>
        <w:t xml:space="preserve">2 also shows </w:t>
      </w:r>
      <w:r w:rsidR="00007F05" w:rsidRPr="004363F1">
        <w:rPr>
          <w:rFonts w:ascii="Times New Roman" w:eastAsiaTheme="minorEastAsia" w:hAnsi="Times New Roman" w:cs="Times New Roman"/>
          <w:sz w:val="20"/>
          <w:szCs w:val="20"/>
          <w:lang w:val="en-CA" w:eastAsia="ja-JP"/>
        </w:rPr>
        <w:t xml:space="preserve">circles representing </w:t>
      </w:r>
      <w:r w:rsidR="005F6DFA" w:rsidRPr="004363F1">
        <w:rPr>
          <w:rFonts w:ascii="Times New Roman" w:eastAsiaTheme="minorEastAsia" w:hAnsi="Times New Roman" w:cs="Times New Roman"/>
          <w:sz w:val="20"/>
          <w:szCs w:val="20"/>
          <w:lang w:val="en-CA" w:eastAsia="ja-JP"/>
        </w:rPr>
        <w:t xml:space="preserve">the so-called “observed </w:t>
      </w:r>
      <w:r w:rsidR="00AA3AA8" w:rsidRPr="004363F1">
        <w:rPr>
          <w:rFonts w:ascii="Times New Roman" w:eastAsiaTheme="minorEastAsia" w:hAnsi="Times New Roman" w:cs="Times New Roman"/>
          <w:sz w:val="20"/>
          <w:szCs w:val="20"/>
          <w:lang w:val="en-CA" w:eastAsia="ja-JP"/>
        </w:rPr>
        <w:t xml:space="preserve">daily </w:t>
      </w:r>
      <w:r w:rsidR="005F6DFA" w:rsidRPr="004363F1">
        <w:rPr>
          <w:rFonts w:ascii="Times New Roman" w:eastAsiaTheme="minorEastAsia" w:hAnsi="Times New Roman" w:cs="Times New Roman"/>
          <w:sz w:val="20"/>
          <w:szCs w:val="20"/>
          <w:lang w:val="en-CA" w:eastAsia="ja-JP"/>
        </w:rPr>
        <w:t>hazards of</w:t>
      </w:r>
      <w:r w:rsidR="00B2480B" w:rsidRPr="004363F1">
        <w:rPr>
          <w:rFonts w:ascii="Times New Roman" w:eastAsiaTheme="minorEastAsia" w:hAnsi="Times New Roman" w:cs="Times New Roman"/>
          <w:sz w:val="20"/>
          <w:szCs w:val="20"/>
          <w:lang w:val="en-CA" w:eastAsia="ja-JP"/>
        </w:rPr>
        <w:t xml:space="preserve"> dying”, although</w:t>
      </w:r>
      <w:r w:rsidR="00007F05" w:rsidRPr="004363F1">
        <w:rPr>
          <w:rFonts w:ascii="Times New Roman" w:eastAsiaTheme="minorEastAsia" w:hAnsi="Times New Roman" w:cs="Times New Roman"/>
          <w:sz w:val="20"/>
          <w:szCs w:val="20"/>
          <w:lang w:val="en-CA" w:eastAsia="ja-JP"/>
        </w:rPr>
        <w:t xml:space="preserve"> hazards</w:t>
      </w:r>
      <w:r w:rsidR="00B2480B" w:rsidRPr="004363F1">
        <w:rPr>
          <w:rFonts w:ascii="Times New Roman" w:eastAsiaTheme="minorEastAsia" w:hAnsi="Times New Roman" w:cs="Times New Roman"/>
          <w:sz w:val="20"/>
          <w:szCs w:val="20"/>
          <w:lang w:val="en-CA" w:eastAsia="ja-JP"/>
        </w:rPr>
        <w:t xml:space="preserve"> </w:t>
      </w:r>
      <w:r w:rsidR="00752BA2" w:rsidRPr="004363F1">
        <w:rPr>
          <w:rFonts w:ascii="Times New Roman" w:eastAsiaTheme="minorEastAsia" w:hAnsi="Times New Roman" w:cs="Times New Roman"/>
          <w:sz w:val="20"/>
          <w:szCs w:val="20"/>
          <w:lang w:val="en-CA" w:eastAsia="ja-JP"/>
        </w:rPr>
        <w:t xml:space="preserve">are </w:t>
      </w:r>
      <w:r w:rsidR="00B2480B" w:rsidRPr="004363F1">
        <w:rPr>
          <w:rFonts w:ascii="Times New Roman" w:eastAsiaTheme="minorEastAsia" w:hAnsi="Times New Roman" w:cs="Times New Roman"/>
          <w:sz w:val="20"/>
          <w:szCs w:val="20"/>
          <w:lang w:val="en-CA" w:eastAsia="ja-JP"/>
        </w:rPr>
        <w:t xml:space="preserve">not directly observable. They were computed from the longitudinal data according to the method used for constructing the Kaplan-Meier survival curves, without using any model. The irregular scatter of the circles </w:t>
      </w:r>
      <w:r w:rsidR="00D27F55" w:rsidRPr="004363F1">
        <w:rPr>
          <w:rFonts w:ascii="Times New Roman" w:eastAsiaTheme="minorEastAsia" w:hAnsi="Times New Roman" w:cs="Times New Roman"/>
          <w:sz w:val="20"/>
          <w:szCs w:val="20"/>
          <w:lang w:val="en-CA" w:eastAsia="ja-JP"/>
        </w:rPr>
        <w:t>suggests that predicting the mortality outcome of a patient on any giv</w:t>
      </w:r>
      <w:r w:rsidR="005D2A7A" w:rsidRPr="004363F1">
        <w:rPr>
          <w:rFonts w:ascii="Times New Roman" w:eastAsiaTheme="minorEastAsia" w:hAnsi="Times New Roman" w:cs="Times New Roman"/>
          <w:sz w:val="20"/>
          <w:szCs w:val="20"/>
          <w:lang w:val="en-CA" w:eastAsia="ja-JP"/>
        </w:rPr>
        <w:t>en day is a difficult task.</w:t>
      </w:r>
    </w:p>
    <w:p w14:paraId="0CB95496" w14:textId="77777777" w:rsidR="00A43A56" w:rsidRPr="004363F1" w:rsidRDefault="00A43A56" w:rsidP="00CC0983">
      <w:pPr>
        <w:spacing w:after="0" w:line="240" w:lineRule="auto"/>
        <w:jc w:val="both"/>
        <w:rPr>
          <w:rFonts w:ascii="Times New Roman" w:eastAsiaTheme="minorEastAsia" w:hAnsi="Times New Roman" w:cs="Times New Roman"/>
          <w:sz w:val="20"/>
          <w:szCs w:val="20"/>
          <w:lang w:val="en-CA" w:eastAsia="ja-JP"/>
        </w:rPr>
      </w:pPr>
    </w:p>
    <w:p w14:paraId="3CEEC813" w14:textId="77777777" w:rsidR="00D64053" w:rsidRPr="004363F1" w:rsidRDefault="00774B2D" w:rsidP="00CC0983">
      <w:pPr>
        <w:spacing w:after="0" w:line="240" w:lineRule="auto"/>
        <w:jc w:val="both"/>
        <w:rPr>
          <w:rFonts w:ascii="Times New Roman" w:eastAsiaTheme="minorEastAsia" w:hAnsi="Times New Roman" w:cs="Times New Roman"/>
          <w:b/>
          <w:sz w:val="24"/>
          <w:szCs w:val="24"/>
          <w:lang w:val="en-CA" w:eastAsia="ja-JP"/>
        </w:rPr>
      </w:pPr>
      <w:r w:rsidRPr="004363F1">
        <w:rPr>
          <w:rFonts w:ascii="Times New Roman" w:eastAsiaTheme="minorEastAsia" w:hAnsi="Times New Roman" w:cs="Times New Roman"/>
          <w:b/>
          <w:sz w:val="24"/>
          <w:szCs w:val="24"/>
          <w:lang w:val="en-CA" w:eastAsia="ja-JP"/>
        </w:rPr>
        <w:t xml:space="preserve">Supplemental Text </w:t>
      </w:r>
      <w:r w:rsidR="00072F4F" w:rsidRPr="004363F1">
        <w:rPr>
          <w:rFonts w:ascii="Times New Roman" w:eastAsiaTheme="minorEastAsia" w:hAnsi="Times New Roman" w:cs="Times New Roman"/>
          <w:b/>
          <w:sz w:val="24"/>
          <w:szCs w:val="24"/>
          <w:lang w:val="en-CA" w:eastAsia="ja-JP"/>
        </w:rPr>
        <w:t xml:space="preserve">5: </w:t>
      </w:r>
      <w:r w:rsidR="00196CE3" w:rsidRPr="004363F1">
        <w:rPr>
          <w:rFonts w:ascii="Times New Roman" w:eastAsiaTheme="minorEastAsia" w:hAnsi="Times New Roman" w:cs="Times New Roman"/>
          <w:b/>
          <w:sz w:val="24"/>
          <w:szCs w:val="24"/>
          <w:lang w:val="en-CA" w:eastAsia="ja-JP"/>
        </w:rPr>
        <w:t>Dependence of the face</w:t>
      </w:r>
      <w:r w:rsidR="00D15A2F" w:rsidRPr="004363F1">
        <w:rPr>
          <w:rFonts w:ascii="Times New Roman" w:eastAsiaTheme="minorEastAsia" w:hAnsi="Times New Roman" w:cs="Times New Roman"/>
          <w:b/>
          <w:sz w:val="24"/>
          <w:szCs w:val="24"/>
          <w:lang w:val="en-CA" w:eastAsia="ja-JP"/>
        </w:rPr>
        <w:t xml:space="preserve"> value of AUC on the choice of </w:t>
      </w:r>
      <w:r w:rsidR="00D15A2F" w:rsidRPr="004363F1">
        <w:rPr>
          <w:rFonts w:ascii="Times New Roman" w:eastAsiaTheme="minorEastAsia" w:hAnsi="Times New Roman" w:cs="Times New Roman"/>
          <w:b/>
          <w:sz w:val="20"/>
          <w:szCs w:val="20"/>
          <w:lang w:val="en-CA" w:eastAsia="ja-JP"/>
        </w:rPr>
        <w:t>the set of outcomes to be predicted</w:t>
      </w:r>
    </w:p>
    <w:p w14:paraId="2F7E429E" w14:textId="77777777" w:rsidR="00FE3C95" w:rsidRPr="004363F1" w:rsidRDefault="005C0DEB"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4"/>
          <w:szCs w:val="24"/>
          <w:lang w:val="en-CA" w:eastAsia="ja-JP"/>
        </w:rPr>
        <w:tab/>
      </w:r>
      <w:r w:rsidR="001E1FD4" w:rsidRPr="004363F1">
        <w:rPr>
          <w:rFonts w:ascii="Times New Roman" w:eastAsiaTheme="minorEastAsia" w:hAnsi="Times New Roman" w:cs="Times New Roman"/>
          <w:sz w:val="20"/>
          <w:szCs w:val="20"/>
          <w:lang w:val="en-CA" w:eastAsia="ja-JP"/>
        </w:rPr>
        <w:t>Since the</w:t>
      </w:r>
      <w:r w:rsidRPr="004363F1">
        <w:rPr>
          <w:rFonts w:ascii="Times New Roman" w:eastAsiaTheme="minorEastAsia" w:hAnsi="Times New Roman" w:cs="Times New Roman"/>
          <w:sz w:val="20"/>
          <w:szCs w:val="20"/>
          <w:lang w:val="en-CA" w:eastAsia="ja-JP"/>
        </w:rPr>
        <w:t xml:space="preserve"> dependent variable </w:t>
      </w:r>
      <w:r w:rsidR="00137384" w:rsidRPr="004363F1">
        <w:rPr>
          <w:rFonts w:ascii="Times New Roman" w:eastAsiaTheme="minorEastAsia" w:hAnsi="Times New Roman" w:cs="Times New Roman"/>
          <w:sz w:val="20"/>
          <w:szCs w:val="20"/>
          <w:lang w:val="en-CA" w:eastAsia="ja-JP"/>
        </w:rPr>
        <w:t xml:space="preserve">in our CLOGLOG model </w:t>
      </w:r>
      <w:r w:rsidRPr="004363F1">
        <w:rPr>
          <w:rFonts w:ascii="Times New Roman" w:eastAsiaTheme="minorEastAsia" w:hAnsi="Times New Roman" w:cs="Times New Roman"/>
          <w:sz w:val="20"/>
          <w:szCs w:val="20"/>
          <w:lang w:val="en-CA" w:eastAsia="ja-JP"/>
        </w:rPr>
        <w:t xml:space="preserve">is the </w:t>
      </w:r>
      <w:r w:rsidRPr="004363F1">
        <w:rPr>
          <w:rFonts w:ascii="Times New Roman" w:eastAsiaTheme="minorEastAsia" w:hAnsi="Times New Roman" w:cs="Times New Roman"/>
          <w:i/>
          <w:sz w:val="20"/>
          <w:szCs w:val="20"/>
          <w:lang w:val="en-CA" w:eastAsia="ja-JP"/>
        </w:rPr>
        <w:t>daily</w:t>
      </w:r>
      <w:r w:rsidRPr="004363F1">
        <w:rPr>
          <w:rFonts w:ascii="Times New Roman" w:eastAsiaTheme="minorEastAsia" w:hAnsi="Times New Roman" w:cs="Times New Roman"/>
          <w:sz w:val="20"/>
          <w:szCs w:val="20"/>
          <w:lang w:val="en-CA" w:eastAsia="ja-JP"/>
        </w:rPr>
        <w:t xml:space="preserve"> hazard of dying, the logistic pro</w:t>
      </w:r>
      <w:r w:rsidR="00196CE3" w:rsidRPr="004363F1">
        <w:rPr>
          <w:rFonts w:ascii="Times New Roman" w:eastAsiaTheme="minorEastAsia" w:hAnsi="Times New Roman" w:cs="Times New Roman"/>
          <w:sz w:val="20"/>
          <w:szCs w:val="20"/>
          <w:lang w:val="en-CA" w:eastAsia="ja-JP"/>
        </w:rPr>
        <w:t>cedure of SAS automatically uses</w:t>
      </w:r>
      <w:r w:rsidRPr="004363F1">
        <w:rPr>
          <w:rFonts w:ascii="Times New Roman" w:eastAsiaTheme="minorEastAsia" w:hAnsi="Times New Roman" w:cs="Times New Roman"/>
          <w:sz w:val="20"/>
          <w:szCs w:val="20"/>
          <w:lang w:val="en-CA" w:eastAsia="ja-JP"/>
        </w:rPr>
        <w:t xml:space="preserve"> the predicted </w:t>
      </w:r>
      <w:r w:rsidRPr="004363F1">
        <w:rPr>
          <w:rFonts w:ascii="Times New Roman" w:eastAsiaTheme="minorEastAsia" w:hAnsi="Times New Roman" w:cs="Times New Roman"/>
          <w:i/>
          <w:sz w:val="20"/>
          <w:szCs w:val="20"/>
          <w:lang w:val="en-CA" w:eastAsia="ja-JP"/>
        </w:rPr>
        <w:t>daily</w:t>
      </w:r>
      <w:r w:rsidRPr="004363F1">
        <w:rPr>
          <w:rFonts w:ascii="Times New Roman" w:eastAsiaTheme="minorEastAsia" w:hAnsi="Times New Roman" w:cs="Times New Roman"/>
          <w:sz w:val="20"/>
          <w:szCs w:val="20"/>
          <w:lang w:val="en-CA" w:eastAsia="ja-JP"/>
        </w:rPr>
        <w:t xml:space="preserve"> probabilities of dying </w:t>
      </w:r>
      <w:r w:rsidR="00DB7DBC" w:rsidRPr="004363F1">
        <w:rPr>
          <w:rFonts w:ascii="Times New Roman" w:eastAsiaTheme="minorEastAsia" w:hAnsi="Times New Roman" w:cs="Times New Roman"/>
          <w:sz w:val="20"/>
          <w:szCs w:val="20"/>
          <w:lang w:val="en-CA" w:eastAsia="ja-JP"/>
        </w:rPr>
        <w:t xml:space="preserve">(P1) </w:t>
      </w:r>
      <w:r w:rsidRPr="004363F1">
        <w:rPr>
          <w:rFonts w:ascii="Times New Roman" w:eastAsiaTheme="minorEastAsia" w:hAnsi="Times New Roman" w:cs="Times New Roman"/>
          <w:sz w:val="20"/>
          <w:szCs w:val="20"/>
          <w:lang w:val="en-CA" w:eastAsia="ja-JP"/>
        </w:rPr>
        <w:t xml:space="preserve">to conduct the ROC analysis and compute </w:t>
      </w:r>
      <w:r w:rsidR="001E1FD4" w:rsidRPr="004363F1">
        <w:rPr>
          <w:rFonts w:ascii="Times New Roman" w:eastAsiaTheme="minorEastAsia" w:hAnsi="Times New Roman" w:cs="Times New Roman"/>
          <w:sz w:val="20"/>
          <w:szCs w:val="20"/>
          <w:lang w:val="en-CA" w:eastAsia="ja-JP"/>
        </w:rPr>
        <w:t xml:space="preserve">the value of </w:t>
      </w:r>
      <w:r w:rsidRPr="004363F1">
        <w:rPr>
          <w:rFonts w:ascii="Times New Roman" w:eastAsiaTheme="minorEastAsia" w:hAnsi="Times New Roman" w:cs="Times New Roman"/>
          <w:sz w:val="20"/>
          <w:szCs w:val="20"/>
          <w:lang w:val="en-CA" w:eastAsia="ja-JP"/>
        </w:rPr>
        <w:t xml:space="preserve">AUC. </w:t>
      </w:r>
      <w:r w:rsidR="00137384" w:rsidRPr="004363F1">
        <w:rPr>
          <w:rFonts w:ascii="Times New Roman" w:eastAsiaTheme="minorEastAsia" w:hAnsi="Times New Roman" w:cs="Times New Roman"/>
          <w:sz w:val="20"/>
          <w:szCs w:val="20"/>
          <w:lang w:val="en-CA" w:eastAsia="ja-JP"/>
        </w:rPr>
        <w:t xml:space="preserve">In </w:t>
      </w:r>
      <w:r w:rsidR="00512A73" w:rsidRPr="004363F1">
        <w:rPr>
          <w:rFonts w:ascii="Times New Roman" w:eastAsiaTheme="minorEastAsia" w:hAnsi="Times New Roman" w:cs="Times New Roman"/>
          <w:sz w:val="20"/>
          <w:szCs w:val="20"/>
          <w:lang w:val="en-CA" w:eastAsia="ja-JP"/>
        </w:rPr>
        <w:t xml:space="preserve">other words, the value of </w:t>
      </w:r>
      <w:r w:rsidR="00B0070E" w:rsidRPr="004363F1">
        <w:rPr>
          <w:rFonts w:ascii="Times New Roman" w:eastAsiaTheme="minorEastAsia" w:hAnsi="Times New Roman" w:cs="Times New Roman"/>
          <w:sz w:val="20"/>
          <w:szCs w:val="20"/>
          <w:lang w:val="en-CA" w:eastAsia="ja-JP"/>
        </w:rPr>
        <w:t>A</w:t>
      </w:r>
      <w:r w:rsidR="00512A73" w:rsidRPr="004363F1">
        <w:rPr>
          <w:rFonts w:ascii="Times New Roman" w:eastAsiaTheme="minorEastAsia" w:hAnsi="Times New Roman" w:cs="Times New Roman"/>
          <w:sz w:val="20"/>
          <w:szCs w:val="20"/>
          <w:lang w:val="en-CA" w:eastAsia="ja-JP"/>
        </w:rPr>
        <w:t>U</w:t>
      </w:r>
      <w:r w:rsidR="00B0070E" w:rsidRPr="004363F1">
        <w:rPr>
          <w:rFonts w:ascii="Times New Roman" w:eastAsiaTheme="minorEastAsia" w:hAnsi="Times New Roman" w:cs="Times New Roman"/>
          <w:sz w:val="20"/>
          <w:szCs w:val="20"/>
          <w:lang w:val="en-CA" w:eastAsia="ja-JP"/>
        </w:rPr>
        <w:t>C</w:t>
      </w:r>
      <w:r w:rsidR="00512A73" w:rsidRPr="004363F1">
        <w:rPr>
          <w:rFonts w:ascii="Times New Roman" w:eastAsiaTheme="minorEastAsia" w:hAnsi="Times New Roman" w:cs="Times New Roman"/>
          <w:sz w:val="20"/>
          <w:szCs w:val="20"/>
          <w:lang w:val="en-CA" w:eastAsia="ja-JP"/>
        </w:rPr>
        <w:t xml:space="preserve"> was</w:t>
      </w:r>
      <w:r w:rsidR="00137384" w:rsidRPr="004363F1">
        <w:rPr>
          <w:rFonts w:ascii="Times New Roman" w:eastAsiaTheme="minorEastAsia" w:hAnsi="Times New Roman" w:cs="Times New Roman"/>
          <w:sz w:val="20"/>
          <w:szCs w:val="20"/>
          <w:lang w:val="en-CA" w:eastAsia="ja-JP"/>
        </w:rPr>
        <w:t xml:space="preserve"> computed by using the daily probability of dying as the </w:t>
      </w:r>
      <w:r w:rsidR="00137384" w:rsidRPr="004363F1">
        <w:rPr>
          <w:rFonts w:ascii="Times New Roman" w:eastAsiaTheme="minorEastAsia" w:hAnsi="Times New Roman" w:cs="Times New Roman"/>
          <w:i/>
          <w:sz w:val="20"/>
          <w:szCs w:val="20"/>
          <w:lang w:val="en-CA" w:eastAsia="ja-JP"/>
        </w:rPr>
        <w:t>classifier</w:t>
      </w:r>
      <w:r w:rsidR="00D15A2F" w:rsidRPr="004363F1">
        <w:rPr>
          <w:rFonts w:ascii="Times New Roman" w:eastAsiaTheme="minorEastAsia" w:hAnsi="Times New Roman" w:cs="Times New Roman"/>
          <w:sz w:val="20"/>
          <w:szCs w:val="20"/>
          <w:lang w:val="en-CA" w:eastAsia="ja-JP"/>
        </w:rPr>
        <w:t xml:space="preserve"> </w:t>
      </w:r>
      <w:r w:rsidR="00AB1B8D" w:rsidRPr="004363F1">
        <w:rPr>
          <w:rFonts w:ascii="Times New Roman" w:eastAsiaTheme="minorEastAsia" w:hAnsi="Times New Roman" w:cs="Times New Roman"/>
          <w:sz w:val="20"/>
          <w:szCs w:val="20"/>
          <w:lang w:val="en-CA" w:eastAsia="ja-JP"/>
        </w:rPr>
        <w:t>to predict</w:t>
      </w:r>
      <w:r w:rsidR="00D15A2F" w:rsidRPr="004363F1">
        <w:rPr>
          <w:rFonts w:ascii="Times New Roman" w:eastAsiaTheme="minorEastAsia" w:hAnsi="Times New Roman" w:cs="Times New Roman"/>
          <w:sz w:val="20"/>
          <w:szCs w:val="20"/>
          <w:lang w:val="en-CA" w:eastAsia="ja-JP"/>
        </w:rPr>
        <w:t xml:space="preserve"> </w:t>
      </w:r>
      <w:r w:rsidR="00D15A2F" w:rsidRPr="004363F1">
        <w:rPr>
          <w:rFonts w:ascii="Times New Roman" w:eastAsiaTheme="minorEastAsia" w:hAnsi="Times New Roman" w:cs="Times New Roman"/>
          <w:i/>
          <w:sz w:val="20"/>
          <w:szCs w:val="20"/>
          <w:lang w:val="en-CA" w:eastAsia="ja-JP"/>
        </w:rPr>
        <w:t>the set of 6,724 daily outcomes of all 356 patients</w:t>
      </w:r>
      <w:r w:rsidR="00137384" w:rsidRPr="004363F1">
        <w:rPr>
          <w:rFonts w:ascii="Times New Roman" w:eastAsiaTheme="minorEastAsia" w:hAnsi="Times New Roman" w:cs="Times New Roman"/>
          <w:sz w:val="20"/>
          <w:szCs w:val="20"/>
          <w:lang w:val="en-CA" w:eastAsia="ja-JP"/>
        </w:rPr>
        <w:t xml:space="preserve">. </w:t>
      </w:r>
      <w:r w:rsidR="00AB1B8D" w:rsidRPr="004363F1">
        <w:rPr>
          <w:rFonts w:ascii="Times New Roman" w:eastAsiaTheme="minorEastAsia" w:hAnsi="Times New Roman" w:cs="Times New Roman"/>
          <w:sz w:val="20"/>
          <w:szCs w:val="20"/>
          <w:lang w:val="en-CA" w:eastAsia="ja-JP"/>
        </w:rPr>
        <w:t>The face value of the AUC turned out to be</w:t>
      </w:r>
      <w:r w:rsidRPr="004363F1">
        <w:rPr>
          <w:rFonts w:ascii="Times New Roman" w:eastAsiaTheme="minorEastAsia" w:hAnsi="Times New Roman" w:cs="Times New Roman"/>
          <w:sz w:val="20"/>
          <w:szCs w:val="20"/>
          <w:lang w:val="en-CA" w:eastAsia="ja-JP"/>
        </w:rPr>
        <w:t xml:space="preserve"> </w:t>
      </w:r>
      <w:r w:rsidR="00722E47" w:rsidRPr="004363F1">
        <w:rPr>
          <w:rFonts w:ascii="Times New Roman" w:eastAsiaTheme="minorEastAsia" w:hAnsi="Times New Roman" w:cs="Times New Roman"/>
          <w:sz w:val="20"/>
          <w:szCs w:val="20"/>
          <w:lang w:val="en-CA" w:eastAsia="ja-JP"/>
        </w:rPr>
        <w:t xml:space="preserve">0.865 </w:t>
      </w:r>
      <w:r w:rsidR="00E61E27" w:rsidRPr="004363F1">
        <w:rPr>
          <w:rFonts w:ascii="Times New Roman" w:eastAsiaTheme="minorEastAsia" w:hAnsi="Times New Roman" w:cs="Times New Roman"/>
          <w:sz w:val="20"/>
          <w:szCs w:val="20"/>
          <w:lang w:val="en-CA" w:eastAsia="ja-JP"/>
        </w:rPr>
        <w:t>(95% CI, 0.826 – 0.903)</w:t>
      </w:r>
      <w:r w:rsidR="00722E47" w:rsidRPr="004363F1">
        <w:rPr>
          <w:rFonts w:ascii="Times New Roman" w:eastAsiaTheme="minorEastAsia" w:hAnsi="Times New Roman" w:cs="Times New Roman"/>
          <w:sz w:val="20"/>
          <w:szCs w:val="20"/>
          <w:lang w:val="en-CA" w:eastAsia="ja-JP"/>
        </w:rPr>
        <w:t xml:space="preserve">. </w:t>
      </w:r>
      <w:r w:rsidR="00AB1B8D" w:rsidRPr="004363F1">
        <w:rPr>
          <w:rFonts w:ascii="Times New Roman" w:eastAsiaTheme="minorEastAsia" w:hAnsi="Times New Roman" w:cs="Times New Roman"/>
          <w:sz w:val="20"/>
          <w:szCs w:val="20"/>
          <w:lang w:val="en-CA" w:eastAsia="ja-JP"/>
        </w:rPr>
        <w:t>It is important to keep in mind that this face value</w:t>
      </w:r>
      <w:r w:rsidR="00825C9B" w:rsidRPr="004363F1">
        <w:rPr>
          <w:rFonts w:ascii="Times New Roman" w:eastAsiaTheme="minorEastAsia" w:hAnsi="Times New Roman" w:cs="Times New Roman"/>
          <w:sz w:val="20"/>
          <w:szCs w:val="20"/>
          <w:lang w:val="en-CA" w:eastAsia="ja-JP"/>
        </w:rPr>
        <w:t xml:space="preserve"> should not be compared wit</w:t>
      </w:r>
      <w:r w:rsidR="00AB1B8D" w:rsidRPr="004363F1">
        <w:rPr>
          <w:rFonts w:ascii="Times New Roman" w:eastAsiaTheme="minorEastAsia" w:hAnsi="Times New Roman" w:cs="Times New Roman"/>
          <w:sz w:val="20"/>
          <w:szCs w:val="20"/>
          <w:lang w:val="en-CA" w:eastAsia="ja-JP"/>
        </w:rPr>
        <w:t>h the AUC value</w:t>
      </w:r>
      <w:r w:rsidR="00825C9B" w:rsidRPr="004363F1">
        <w:rPr>
          <w:rFonts w:ascii="Times New Roman" w:eastAsiaTheme="minorEastAsia" w:hAnsi="Times New Roman" w:cs="Times New Roman"/>
          <w:sz w:val="20"/>
          <w:szCs w:val="20"/>
          <w:lang w:val="en-CA" w:eastAsia="ja-JP"/>
        </w:rPr>
        <w:t xml:space="preserve"> computed in other publications that used a logistic model with the dependent variable being the p</w:t>
      </w:r>
      <w:r w:rsidR="00656BFA" w:rsidRPr="004363F1">
        <w:rPr>
          <w:rFonts w:ascii="Times New Roman" w:eastAsiaTheme="minorEastAsia" w:hAnsi="Times New Roman" w:cs="Times New Roman"/>
          <w:sz w:val="20"/>
          <w:szCs w:val="20"/>
          <w:lang w:val="en-CA" w:eastAsia="ja-JP"/>
        </w:rPr>
        <w:t>robability of dying in 28 days</w:t>
      </w:r>
      <w:r w:rsidR="001072E1" w:rsidRPr="004363F1">
        <w:rPr>
          <w:rFonts w:ascii="Times New Roman" w:eastAsiaTheme="minorEastAsia" w:hAnsi="Times New Roman" w:cs="Times New Roman"/>
          <w:sz w:val="20"/>
          <w:szCs w:val="20"/>
          <w:lang w:val="en-CA" w:eastAsia="ja-JP"/>
        </w:rPr>
        <w:t xml:space="preserve"> (P28)</w:t>
      </w:r>
      <w:r w:rsidR="00AB1B8D" w:rsidRPr="004363F1">
        <w:rPr>
          <w:rFonts w:ascii="Times New Roman" w:eastAsiaTheme="minorEastAsia" w:hAnsi="Times New Roman" w:cs="Times New Roman"/>
          <w:sz w:val="20"/>
          <w:szCs w:val="20"/>
          <w:lang w:val="en-CA" w:eastAsia="ja-JP"/>
        </w:rPr>
        <w:t xml:space="preserve">, </w:t>
      </w:r>
      <w:r w:rsidR="00825C9B" w:rsidRPr="004363F1">
        <w:rPr>
          <w:rFonts w:ascii="Times New Roman" w:eastAsiaTheme="minorEastAsia" w:hAnsi="Times New Roman" w:cs="Times New Roman"/>
          <w:sz w:val="20"/>
          <w:szCs w:val="20"/>
          <w:lang w:val="en-CA" w:eastAsia="ja-JP"/>
        </w:rPr>
        <w:t xml:space="preserve">because </w:t>
      </w:r>
      <w:r w:rsidR="001072E1" w:rsidRPr="004363F1">
        <w:rPr>
          <w:rFonts w:ascii="Times New Roman" w:eastAsiaTheme="minorEastAsia" w:hAnsi="Times New Roman" w:cs="Times New Roman"/>
          <w:sz w:val="20"/>
          <w:szCs w:val="20"/>
          <w:lang w:val="en-CA" w:eastAsia="ja-JP"/>
        </w:rPr>
        <w:t xml:space="preserve">in the latter case P28 was used as the </w:t>
      </w:r>
      <w:r w:rsidR="001072E1" w:rsidRPr="004363F1">
        <w:rPr>
          <w:rFonts w:ascii="Times New Roman" w:eastAsiaTheme="minorEastAsia" w:hAnsi="Times New Roman" w:cs="Times New Roman"/>
          <w:i/>
          <w:sz w:val="20"/>
          <w:szCs w:val="20"/>
          <w:lang w:val="en-CA" w:eastAsia="ja-JP"/>
        </w:rPr>
        <w:t>classifier</w:t>
      </w:r>
      <w:r w:rsidR="001072E1" w:rsidRPr="004363F1">
        <w:rPr>
          <w:rFonts w:ascii="Times New Roman" w:eastAsiaTheme="minorEastAsia" w:hAnsi="Times New Roman" w:cs="Times New Roman"/>
          <w:sz w:val="20"/>
          <w:szCs w:val="20"/>
          <w:lang w:val="en-CA" w:eastAsia="ja-JP"/>
        </w:rPr>
        <w:t xml:space="preserve"> to </w:t>
      </w:r>
      <w:r w:rsidR="00966107" w:rsidRPr="004363F1">
        <w:rPr>
          <w:rFonts w:ascii="Times New Roman" w:eastAsiaTheme="minorEastAsia" w:hAnsi="Times New Roman" w:cs="Times New Roman"/>
          <w:sz w:val="20"/>
          <w:szCs w:val="20"/>
          <w:lang w:val="en-CA" w:eastAsia="ja-JP"/>
        </w:rPr>
        <w:t xml:space="preserve">predict </w:t>
      </w:r>
      <w:r w:rsidR="00966107" w:rsidRPr="004363F1">
        <w:rPr>
          <w:rFonts w:ascii="Times New Roman" w:eastAsiaTheme="minorEastAsia" w:hAnsi="Times New Roman" w:cs="Times New Roman"/>
          <w:i/>
          <w:sz w:val="20"/>
          <w:szCs w:val="20"/>
          <w:lang w:val="en-CA" w:eastAsia="ja-JP"/>
        </w:rPr>
        <w:t>a</w:t>
      </w:r>
      <w:r w:rsidR="001072E1" w:rsidRPr="004363F1">
        <w:rPr>
          <w:rFonts w:ascii="Times New Roman" w:eastAsiaTheme="minorEastAsia" w:hAnsi="Times New Roman" w:cs="Times New Roman"/>
          <w:i/>
          <w:sz w:val="20"/>
          <w:szCs w:val="20"/>
          <w:lang w:val="en-CA" w:eastAsia="ja-JP"/>
        </w:rPr>
        <w:t xml:space="preserve"> smaller set of outcomes</w:t>
      </w:r>
      <w:r w:rsidR="00966107" w:rsidRPr="004363F1">
        <w:rPr>
          <w:rFonts w:ascii="Times New Roman" w:eastAsiaTheme="minorEastAsia" w:hAnsi="Times New Roman" w:cs="Times New Roman"/>
          <w:i/>
          <w:sz w:val="20"/>
          <w:szCs w:val="20"/>
          <w:lang w:val="en-CA" w:eastAsia="ja-JP"/>
        </w:rPr>
        <w:t>, with one outcome per patient</w:t>
      </w:r>
      <w:r w:rsidR="00966107" w:rsidRPr="004363F1">
        <w:rPr>
          <w:rFonts w:ascii="Times New Roman" w:eastAsiaTheme="minorEastAsia" w:hAnsi="Times New Roman" w:cs="Times New Roman"/>
          <w:sz w:val="20"/>
          <w:szCs w:val="20"/>
          <w:lang w:val="en-CA" w:eastAsia="ja-JP"/>
        </w:rPr>
        <w:t xml:space="preserve">. </w:t>
      </w:r>
      <w:r w:rsidR="00684EBE" w:rsidRPr="004363F1">
        <w:rPr>
          <w:rFonts w:ascii="Times New Roman" w:eastAsiaTheme="minorEastAsia" w:hAnsi="Times New Roman" w:cs="Times New Roman"/>
          <w:sz w:val="20"/>
          <w:szCs w:val="20"/>
          <w:lang w:val="en-CA" w:eastAsia="ja-JP"/>
        </w:rPr>
        <w:t xml:space="preserve">We conducted simulations </w:t>
      </w:r>
      <w:r w:rsidR="00825C9B" w:rsidRPr="004363F1">
        <w:rPr>
          <w:rFonts w:ascii="Times New Roman" w:eastAsiaTheme="minorEastAsia" w:hAnsi="Times New Roman" w:cs="Times New Roman"/>
          <w:sz w:val="20"/>
          <w:szCs w:val="20"/>
          <w:lang w:val="en-CA" w:eastAsia="ja-JP"/>
        </w:rPr>
        <w:t xml:space="preserve">that </w:t>
      </w:r>
      <w:r w:rsidR="00684EBE" w:rsidRPr="004363F1">
        <w:rPr>
          <w:rFonts w:ascii="Times New Roman" w:eastAsiaTheme="minorEastAsia" w:hAnsi="Times New Roman" w:cs="Times New Roman"/>
          <w:sz w:val="20"/>
          <w:szCs w:val="20"/>
          <w:lang w:val="en-CA" w:eastAsia="ja-JP"/>
        </w:rPr>
        <w:t xml:space="preserve">compared the AUC values computed by the two classifiers (the daily probability of dying versus the probability of dying in 28 days) for the same set of the daily hazards of dying. We found that the </w:t>
      </w:r>
      <w:r w:rsidR="002E55BD" w:rsidRPr="004363F1">
        <w:rPr>
          <w:rFonts w:ascii="Times New Roman" w:eastAsiaTheme="minorEastAsia" w:hAnsi="Times New Roman" w:cs="Times New Roman"/>
          <w:sz w:val="20"/>
          <w:szCs w:val="20"/>
          <w:lang w:val="en-CA" w:eastAsia="ja-JP"/>
        </w:rPr>
        <w:t>former was</w:t>
      </w:r>
      <w:r w:rsidR="002E1DCE" w:rsidRPr="004363F1">
        <w:rPr>
          <w:rFonts w:ascii="Times New Roman" w:eastAsiaTheme="minorEastAsia" w:hAnsi="Times New Roman" w:cs="Times New Roman"/>
          <w:sz w:val="20"/>
          <w:szCs w:val="20"/>
          <w:lang w:val="en-CA" w:eastAsia="ja-JP"/>
        </w:rPr>
        <w:t xml:space="preserve"> markedly smaller than the latter</w:t>
      </w:r>
      <w:r w:rsidR="002E55BD" w:rsidRPr="004363F1">
        <w:rPr>
          <w:rFonts w:ascii="Times New Roman" w:eastAsiaTheme="minorEastAsia" w:hAnsi="Times New Roman" w:cs="Times New Roman"/>
          <w:sz w:val="20"/>
          <w:szCs w:val="20"/>
          <w:lang w:val="en-CA" w:eastAsia="ja-JP"/>
        </w:rPr>
        <w:t xml:space="preserve"> in most cases</w:t>
      </w:r>
      <w:r w:rsidR="00B0070E" w:rsidRPr="004363F1">
        <w:rPr>
          <w:rFonts w:ascii="Times New Roman" w:eastAsiaTheme="minorEastAsia" w:hAnsi="Times New Roman" w:cs="Times New Roman"/>
          <w:sz w:val="20"/>
          <w:szCs w:val="20"/>
          <w:lang w:val="en-CA" w:eastAsia="ja-JP"/>
        </w:rPr>
        <w:t xml:space="preserve">.  An </w:t>
      </w:r>
      <w:r w:rsidR="002E1DCE" w:rsidRPr="004363F1">
        <w:rPr>
          <w:rFonts w:ascii="Times New Roman" w:eastAsiaTheme="minorEastAsia" w:hAnsi="Times New Roman" w:cs="Times New Roman"/>
          <w:sz w:val="20"/>
          <w:szCs w:val="20"/>
          <w:lang w:val="en-CA" w:eastAsia="ja-JP"/>
        </w:rPr>
        <w:t>explanation for this large difference is that predicting whether a patien</w:t>
      </w:r>
      <w:r w:rsidR="00B0070E" w:rsidRPr="004363F1">
        <w:rPr>
          <w:rFonts w:ascii="Times New Roman" w:eastAsiaTheme="minorEastAsia" w:hAnsi="Times New Roman" w:cs="Times New Roman"/>
          <w:sz w:val="20"/>
          <w:szCs w:val="20"/>
          <w:lang w:val="en-CA" w:eastAsia="ja-JP"/>
        </w:rPr>
        <w:t xml:space="preserve">t would die on a given day is </w:t>
      </w:r>
      <w:r w:rsidR="002E1DCE" w:rsidRPr="004363F1">
        <w:rPr>
          <w:rFonts w:ascii="Times New Roman" w:eastAsiaTheme="minorEastAsia" w:hAnsi="Times New Roman" w:cs="Times New Roman"/>
          <w:sz w:val="20"/>
          <w:szCs w:val="20"/>
          <w:lang w:val="en-CA" w:eastAsia="ja-JP"/>
        </w:rPr>
        <w:t>more difficult than predicting whether a patient would die in 28 days.</w:t>
      </w:r>
      <w:r w:rsidR="008D091D" w:rsidRPr="004363F1">
        <w:rPr>
          <w:rFonts w:ascii="Times New Roman" w:eastAsiaTheme="minorEastAsia" w:hAnsi="Times New Roman" w:cs="Times New Roman"/>
          <w:sz w:val="20"/>
          <w:szCs w:val="20"/>
          <w:lang w:val="en-CA" w:eastAsia="ja-JP"/>
        </w:rPr>
        <w:t xml:space="preserve"> </w:t>
      </w:r>
      <w:r w:rsidR="00DB7DBC" w:rsidRPr="004363F1">
        <w:rPr>
          <w:rFonts w:ascii="Times New Roman" w:eastAsiaTheme="minorEastAsia" w:hAnsi="Times New Roman" w:cs="Times New Roman"/>
          <w:sz w:val="20"/>
          <w:szCs w:val="20"/>
          <w:lang w:val="en-CA" w:eastAsia="ja-JP"/>
        </w:rPr>
        <w:t xml:space="preserve">In other words, the set of outcome to be predicted by P1 is inherently more difficult to predict than the set of outcomes to be predicted by P28. </w:t>
      </w:r>
      <w:r w:rsidR="00364556" w:rsidRPr="004363F1">
        <w:rPr>
          <w:rFonts w:ascii="Times New Roman" w:eastAsiaTheme="minorEastAsia" w:hAnsi="Times New Roman" w:cs="Times New Roman"/>
          <w:sz w:val="20"/>
          <w:szCs w:val="20"/>
          <w:lang w:val="en-CA" w:eastAsia="ja-JP"/>
        </w:rPr>
        <w:t>Our simulations also in</w:t>
      </w:r>
      <w:r w:rsidR="00B0070E" w:rsidRPr="004363F1">
        <w:rPr>
          <w:rFonts w:ascii="Times New Roman" w:eastAsiaTheme="minorEastAsia" w:hAnsi="Times New Roman" w:cs="Times New Roman"/>
          <w:sz w:val="20"/>
          <w:szCs w:val="20"/>
          <w:lang w:val="en-CA" w:eastAsia="ja-JP"/>
        </w:rPr>
        <w:t xml:space="preserve">dicate </w:t>
      </w:r>
      <w:r w:rsidR="00364556" w:rsidRPr="004363F1">
        <w:rPr>
          <w:rFonts w:ascii="Times New Roman" w:eastAsiaTheme="minorEastAsia" w:hAnsi="Times New Roman" w:cs="Times New Roman"/>
          <w:sz w:val="20"/>
          <w:szCs w:val="20"/>
          <w:lang w:val="en-CA" w:eastAsia="ja-JP"/>
        </w:rPr>
        <w:t>that the difference in</w:t>
      </w:r>
      <w:r w:rsidR="001E48B3" w:rsidRPr="004363F1">
        <w:rPr>
          <w:rFonts w:ascii="Times New Roman" w:eastAsiaTheme="minorEastAsia" w:hAnsi="Times New Roman" w:cs="Times New Roman"/>
          <w:sz w:val="20"/>
          <w:szCs w:val="20"/>
          <w:lang w:val="en-CA" w:eastAsia="ja-JP"/>
        </w:rPr>
        <w:t xml:space="preserve"> the face values of</w:t>
      </w:r>
      <w:r w:rsidR="00364556" w:rsidRPr="004363F1">
        <w:rPr>
          <w:rFonts w:ascii="Times New Roman" w:eastAsiaTheme="minorEastAsia" w:hAnsi="Times New Roman" w:cs="Times New Roman"/>
          <w:sz w:val="20"/>
          <w:szCs w:val="20"/>
          <w:lang w:val="en-CA" w:eastAsia="ja-JP"/>
        </w:rPr>
        <w:t xml:space="preserve"> AUC between the two classifiers tends to become larger</w:t>
      </w:r>
      <w:r w:rsidR="00B0070E" w:rsidRPr="004363F1">
        <w:rPr>
          <w:rFonts w:ascii="Times New Roman" w:eastAsiaTheme="minorEastAsia" w:hAnsi="Times New Roman" w:cs="Times New Roman"/>
          <w:sz w:val="20"/>
          <w:szCs w:val="20"/>
          <w:lang w:val="en-CA" w:eastAsia="ja-JP"/>
        </w:rPr>
        <w:t xml:space="preserve"> </w:t>
      </w:r>
      <w:r w:rsidR="00364556" w:rsidRPr="004363F1">
        <w:rPr>
          <w:rFonts w:ascii="Times New Roman" w:eastAsiaTheme="minorEastAsia" w:hAnsi="Times New Roman" w:cs="Times New Roman"/>
          <w:sz w:val="20"/>
          <w:szCs w:val="20"/>
          <w:lang w:val="en-CA" w:eastAsia="ja-JP"/>
        </w:rPr>
        <w:t>when t</w:t>
      </w:r>
      <w:r w:rsidR="00B0070E" w:rsidRPr="004363F1">
        <w:rPr>
          <w:rFonts w:ascii="Times New Roman" w:eastAsiaTheme="minorEastAsia" w:hAnsi="Times New Roman" w:cs="Times New Roman"/>
          <w:sz w:val="20"/>
          <w:szCs w:val="20"/>
          <w:lang w:val="en-CA" w:eastAsia="ja-JP"/>
        </w:rPr>
        <w:t>he level of hazards is raised a</w:t>
      </w:r>
      <w:r w:rsidR="00364556" w:rsidRPr="004363F1">
        <w:rPr>
          <w:rFonts w:ascii="Times New Roman" w:eastAsiaTheme="minorEastAsia" w:hAnsi="Times New Roman" w:cs="Times New Roman"/>
          <w:sz w:val="20"/>
          <w:szCs w:val="20"/>
          <w:lang w:val="en-CA" w:eastAsia="ja-JP"/>
        </w:rPr>
        <w:t xml:space="preserve">nd when the predictive power of the model becomes stronger. </w:t>
      </w:r>
    </w:p>
    <w:p w14:paraId="19CE6657" w14:textId="77777777" w:rsidR="00CF6537" w:rsidRPr="004363F1" w:rsidRDefault="001E1FD4" w:rsidP="00CC0983">
      <w:pPr>
        <w:spacing w:after="0" w:line="240" w:lineRule="auto"/>
        <w:ind w:firstLine="720"/>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To make the face values of AUC comparable to those in other papers, we recomputed the AU</w:t>
      </w:r>
      <w:r w:rsidR="00FE3C95" w:rsidRPr="004363F1">
        <w:rPr>
          <w:rFonts w:ascii="Times New Roman" w:eastAsiaTheme="minorEastAsia" w:hAnsi="Times New Roman" w:cs="Times New Roman"/>
          <w:sz w:val="20"/>
          <w:szCs w:val="20"/>
          <w:lang w:val="en-CA" w:eastAsia="ja-JP"/>
        </w:rPr>
        <w:t>C in the following way</w:t>
      </w:r>
      <w:r w:rsidRPr="004363F1">
        <w:rPr>
          <w:rFonts w:ascii="Times New Roman" w:eastAsiaTheme="minorEastAsia" w:hAnsi="Times New Roman" w:cs="Times New Roman"/>
          <w:sz w:val="20"/>
          <w:szCs w:val="20"/>
          <w:lang w:val="en-CA" w:eastAsia="ja-JP"/>
        </w:rPr>
        <w:t xml:space="preserve">. </w:t>
      </w:r>
      <w:r w:rsidR="00D82D81" w:rsidRPr="004363F1">
        <w:rPr>
          <w:rFonts w:ascii="Times New Roman" w:eastAsiaTheme="minorEastAsia" w:hAnsi="Times New Roman" w:cs="Times New Roman"/>
          <w:sz w:val="20"/>
          <w:szCs w:val="20"/>
          <w:lang w:val="en-CA" w:eastAsia="ja-JP"/>
        </w:rPr>
        <w:t>Fro</w:t>
      </w:r>
      <w:r w:rsidR="006E61E8" w:rsidRPr="004363F1">
        <w:rPr>
          <w:rFonts w:ascii="Times New Roman" w:eastAsiaTheme="minorEastAsia" w:hAnsi="Times New Roman" w:cs="Times New Roman"/>
          <w:sz w:val="20"/>
          <w:szCs w:val="20"/>
          <w:lang w:val="en-CA" w:eastAsia="ja-JP"/>
        </w:rPr>
        <w:t>m the large input file of person-day records, we selected the record of the last day for each patient. For each patient, the selected record was used to compute his/her predicted daily hazard of dying, based the estimated coefficients of the CLOGLOG model. The predicted hazards were then transformed into the predicted probabilities of dying in 28 days</w:t>
      </w:r>
      <w:r w:rsidR="00A24C6D" w:rsidRPr="004363F1">
        <w:rPr>
          <w:rFonts w:ascii="Times New Roman" w:eastAsiaTheme="minorEastAsia" w:hAnsi="Times New Roman" w:cs="Times New Roman"/>
          <w:sz w:val="20"/>
          <w:szCs w:val="20"/>
          <w:lang w:val="en-CA" w:eastAsia="ja-JP"/>
        </w:rPr>
        <w:t xml:space="preserve"> </w:t>
      </w:r>
      <w:r w:rsidR="00D21D10" w:rsidRPr="004363F1">
        <w:rPr>
          <w:rFonts w:ascii="Times New Roman" w:eastAsiaTheme="minorEastAsia" w:hAnsi="Times New Roman" w:cs="Times New Roman"/>
          <w:sz w:val="20"/>
          <w:szCs w:val="20"/>
          <w:lang w:val="en-CA" w:eastAsia="ja-JP"/>
        </w:rPr>
        <w:t>by the formula</w:t>
      </w:r>
      <w:r w:rsidR="002E0EAA" w:rsidRPr="004363F1">
        <w:rPr>
          <w:rFonts w:ascii="Times New Roman" w:eastAsiaTheme="minorEastAsia" w:hAnsi="Times New Roman" w:cs="Times New Roman"/>
          <w:sz w:val="20"/>
          <w:szCs w:val="20"/>
          <w:lang w:val="en-CA" w:eastAsia="ja-JP"/>
        </w:rPr>
        <w:t xml:space="preserve"> </w:t>
      </w:r>
      <m:oMath>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-28</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m:t>
                </m:r>
              </m:sub>
            </m:sSub>
          </m:sup>
        </m:sSup>
      </m:oMath>
      <w:r w:rsidR="00A24C6D" w:rsidRPr="004363F1">
        <w:rPr>
          <w:rFonts w:ascii="Times New Roman" w:eastAsiaTheme="minorEastAsia" w:hAnsi="Times New Roman" w:cs="Times New Roman"/>
          <w:sz w:val="20"/>
          <w:szCs w:val="20"/>
        </w:rPr>
        <w:t xml:space="preserve">, 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i</m:t>
            </m:r>
          </m:sub>
        </m:sSub>
      </m:oMath>
      <w:r w:rsidR="00D21D10" w:rsidRPr="004363F1">
        <w:rPr>
          <w:rFonts w:ascii="Times New Roman" w:eastAsiaTheme="minorEastAsia" w:hAnsi="Times New Roman" w:cs="Times New Roman"/>
          <w:sz w:val="20"/>
          <w:szCs w:val="20"/>
        </w:rPr>
        <w:t xml:space="preserve"> </w:t>
      </w:r>
      <w:r w:rsidR="00433AAA" w:rsidRPr="004363F1">
        <w:rPr>
          <w:rFonts w:ascii="Times New Roman" w:eastAsiaTheme="minorEastAsia" w:hAnsi="Times New Roman" w:cs="Times New Roman"/>
          <w:sz w:val="20"/>
          <w:szCs w:val="20"/>
        </w:rPr>
        <w:t>wa</w:t>
      </w:r>
      <w:r w:rsidR="00D21D10" w:rsidRPr="004363F1">
        <w:rPr>
          <w:rFonts w:ascii="Times New Roman" w:eastAsiaTheme="minorEastAsia" w:hAnsi="Times New Roman" w:cs="Times New Roman"/>
          <w:sz w:val="20"/>
          <w:szCs w:val="20"/>
        </w:rPr>
        <w:t xml:space="preserve">s the </w:t>
      </w:r>
      <w:proofErr w:type="spellStart"/>
      <w:r w:rsidR="00D21D10" w:rsidRPr="004363F1">
        <w:rPr>
          <w:rFonts w:ascii="Times New Roman" w:eastAsiaTheme="minorEastAsia" w:hAnsi="Times New Roman" w:cs="Times New Roman"/>
          <w:sz w:val="20"/>
          <w:szCs w:val="20"/>
        </w:rPr>
        <w:t>ith</w:t>
      </w:r>
      <w:proofErr w:type="spellEnd"/>
      <w:r w:rsidR="00D21D10" w:rsidRPr="004363F1">
        <w:rPr>
          <w:rFonts w:ascii="Times New Roman" w:eastAsiaTheme="minorEastAsia" w:hAnsi="Times New Roman" w:cs="Times New Roman"/>
          <w:sz w:val="20"/>
          <w:szCs w:val="20"/>
        </w:rPr>
        <w:t xml:space="preserve"> patient’s predicted daily hazard of dying</w:t>
      </w:r>
      <w:r w:rsidR="00A24C6D" w:rsidRPr="004363F1">
        <w:rPr>
          <w:rFonts w:ascii="Times New Roman" w:eastAsiaTheme="minorEastAsia" w:hAnsi="Times New Roman" w:cs="Times New Roman"/>
          <w:sz w:val="20"/>
          <w:szCs w:val="20"/>
        </w:rPr>
        <w:t>.</w:t>
      </w:r>
      <w:r w:rsidR="00D21D10" w:rsidRPr="004363F1">
        <w:rPr>
          <w:rFonts w:ascii="Times New Roman" w:eastAsiaTheme="minorEastAsia" w:hAnsi="Times New Roman" w:cs="Times New Roman"/>
          <w:sz w:val="20"/>
          <w:szCs w:val="20"/>
        </w:rPr>
        <w:t xml:space="preserve"> </w:t>
      </w:r>
      <w:r w:rsidR="006E61E8" w:rsidRPr="004363F1">
        <w:rPr>
          <w:rFonts w:ascii="Times New Roman" w:eastAsiaTheme="minorEastAsia" w:hAnsi="Times New Roman" w:cs="Times New Roman"/>
          <w:sz w:val="20"/>
          <w:szCs w:val="20"/>
          <w:lang w:val="en-CA" w:eastAsia="ja-JP"/>
        </w:rPr>
        <w:t xml:space="preserve">These predicted probabilities were then used to conduct the ROC analysis </w:t>
      </w:r>
      <w:r w:rsidR="002E0EAA" w:rsidRPr="004363F1">
        <w:rPr>
          <w:rFonts w:ascii="Times New Roman" w:eastAsiaTheme="minorEastAsia" w:hAnsi="Times New Roman" w:cs="Times New Roman"/>
          <w:sz w:val="20"/>
          <w:szCs w:val="20"/>
          <w:lang w:val="en-CA" w:eastAsia="ja-JP"/>
        </w:rPr>
        <w:t xml:space="preserve">on the set of 356 outcomes </w:t>
      </w:r>
      <w:r w:rsidR="006E61E8" w:rsidRPr="004363F1">
        <w:rPr>
          <w:rFonts w:ascii="Times New Roman" w:eastAsiaTheme="minorEastAsia" w:hAnsi="Times New Roman" w:cs="Times New Roman"/>
          <w:sz w:val="20"/>
          <w:szCs w:val="20"/>
          <w:lang w:val="en-CA" w:eastAsia="ja-JP"/>
        </w:rPr>
        <w:t>and</w:t>
      </w:r>
      <w:r w:rsidR="002E0EAA" w:rsidRPr="004363F1">
        <w:rPr>
          <w:rFonts w:ascii="Times New Roman" w:eastAsiaTheme="minorEastAsia" w:hAnsi="Times New Roman" w:cs="Times New Roman"/>
          <w:sz w:val="20"/>
          <w:szCs w:val="20"/>
          <w:lang w:val="en-CA" w:eastAsia="ja-JP"/>
        </w:rPr>
        <w:t xml:space="preserve"> then</w:t>
      </w:r>
      <w:r w:rsidR="006E61E8" w:rsidRPr="004363F1">
        <w:rPr>
          <w:rFonts w:ascii="Times New Roman" w:eastAsiaTheme="minorEastAsia" w:hAnsi="Times New Roman" w:cs="Times New Roman"/>
          <w:sz w:val="20"/>
          <w:szCs w:val="20"/>
          <w:lang w:val="en-CA" w:eastAsia="ja-JP"/>
        </w:rPr>
        <w:t xml:space="preserve"> c</w:t>
      </w:r>
      <w:r w:rsidR="00E4521E" w:rsidRPr="004363F1">
        <w:rPr>
          <w:rFonts w:ascii="Times New Roman" w:eastAsiaTheme="minorEastAsia" w:hAnsi="Times New Roman" w:cs="Times New Roman"/>
          <w:sz w:val="20"/>
          <w:szCs w:val="20"/>
          <w:lang w:val="en-CA" w:eastAsia="ja-JP"/>
        </w:rPr>
        <w:t xml:space="preserve">ompute the value of the AUC, which turned out to be </w:t>
      </w:r>
      <w:r w:rsidRPr="004363F1">
        <w:rPr>
          <w:rFonts w:ascii="Times New Roman" w:eastAsiaTheme="minorEastAsia" w:hAnsi="Times New Roman" w:cs="Times New Roman"/>
          <w:sz w:val="20"/>
          <w:szCs w:val="20"/>
          <w:lang w:val="en-CA" w:eastAsia="ja-JP"/>
        </w:rPr>
        <w:t>0.903</w:t>
      </w:r>
      <w:r w:rsidR="00E4521E" w:rsidRPr="004363F1">
        <w:rPr>
          <w:rFonts w:ascii="Times New Roman" w:eastAsiaTheme="minorEastAsia" w:hAnsi="Times New Roman" w:cs="Times New Roman"/>
          <w:sz w:val="20"/>
          <w:szCs w:val="20"/>
          <w:lang w:val="en-CA" w:eastAsia="ja-JP"/>
        </w:rPr>
        <w:t xml:space="preserve"> (95% CI, 0.864 – 0.941)</w:t>
      </w:r>
      <w:r w:rsidRPr="004363F1">
        <w:rPr>
          <w:rFonts w:ascii="Times New Roman" w:eastAsiaTheme="minorEastAsia" w:hAnsi="Times New Roman" w:cs="Times New Roman"/>
          <w:sz w:val="20"/>
          <w:szCs w:val="20"/>
          <w:lang w:val="en-CA" w:eastAsia="ja-JP"/>
        </w:rPr>
        <w:t>.</w:t>
      </w:r>
      <w:r w:rsidR="00F542BD" w:rsidRPr="004363F1">
        <w:rPr>
          <w:rFonts w:ascii="Times New Roman" w:eastAsiaTheme="minorEastAsia" w:hAnsi="Times New Roman" w:cs="Times New Roman"/>
          <w:sz w:val="20"/>
          <w:szCs w:val="20"/>
          <w:lang w:val="en-CA" w:eastAsia="ja-JP"/>
        </w:rPr>
        <w:t xml:space="preserve"> </w:t>
      </w:r>
    </w:p>
    <w:p w14:paraId="1E38E143" w14:textId="77777777" w:rsidR="0083247E" w:rsidRPr="004363F1" w:rsidRDefault="002315DB" w:rsidP="00CC0983">
      <w:pPr>
        <w:spacing w:after="0" w:line="240" w:lineRule="auto"/>
        <w:ind w:firstLine="720"/>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To avoid confusion, in several tables, we use “AUC_P1” to denote the AUC that is base</w:t>
      </w:r>
      <w:r w:rsidR="00057201" w:rsidRPr="004363F1">
        <w:rPr>
          <w:rFonts w:ascii="Times New Roman" w:eastAsiaTheme="minorEastAsia" w:hAnsi="Times New Roman" w:cs="Times New Roman"/>
          <w:sz w:val="20"/>
          <w:szCs w:val="20"/>
          <w:lang w:val="en-CA" w:eastAsia="ja-JP"/>
        </w:rPr>
        <w:t>d on using P1 as the classifier, and use “AUC_P28” to denote the AUC that is based on using P28 as the classifier.</w:t>
      </w:r>
    </w:p>
    <w:p w14:paraId="07269006" w14:textId="77777777" w:rsidR="00A43A56" w:rsidRPr="004363F1" w:rsidRDefault="00A43A56" w:rsidP="00CC0983">
      <w:pPr>
        <w:spacing w:after="0" w:line="240" w:lineRule="auto"/>
        <w:ind w:firstLine="720"/>
        <w:jc w:val="both"/>
        <w:rPr>
          <w:rFonts w:ascii="Times New Roman" w:eastAsiaTheme="minorEastAsia" w:hAnsi="Times New Roman" w:cs="Times New Roman"/>
          <w:sz w:val="24"/>
          <w:szCs w:val="24"/>
        </w:rPr>
      </w:pPr>
    </w:p>
    <w:p w14:paraId="6D6FF0FF" w14:textId="77777777" w:rsidR="00BB4AF4" w:rsidRPr="004363F1" w:rsidRDefault="00774B2D" w:rsidP="00CC0983">
      <w:pPr>
        <w:spacing w:after="0" w:line="240" w:lineRule="auto"/>
        <w:jc w:val="both"/>
        <w:rPr>
          <w:rFonts w:ascii="Times New Roman" w:eastAsiaTheme="minorEastAsia" w:hAnsi="Times New Roman" w:cs="Times New Roman"/>
          <w:b/>
          <w:sz w:val="24"/>
          <w:szCs w:val="24"/>
          <w:lang w:val="en-CA" w:eastAsia="ja-JP"/>
        </w:rPr>
      </w:pPr>
      <w:r w:rsidRPr="004363F1">
        <w:rPr>
          <w:rFonts w:ascii="Times New Roman" w:eastAsiaTheme="minorEastAsia" w:hAnsi="Times New Roman" w:cs="Times New Roman"/>
          <w:b/>
          <w:sz w:val="24"/>
          <w:szCs w:val="24"/>
          <w:lang w:val="en-CA" w:eastAsia="ja-JP"/>
        </w:rPr>
        <w:t xml:space="preserve">Supplemental Text </w:t>
      </w:r>
      <w:r w:rsidR="00072F4F" w:rsidRPr="004363F1">
        <w:rPr>
          <w:rFonts w:ascii="Times New Roman" w:eastAsiaTheme="minorEastAsia" w:hAnsi="Times New Roman" w:cs="Times New Roman"/>
          <w:b/>
          <w:sz w:val="24"/>
          <w:szCs w:val="24"/>
          <w:lang w:val="en-CA" w:eastAsia="ja-JP"/>
        </w:rPr>
        <w:t xml:space="preserve">6: </w:t>
      </w:r>
      <w:r w:rsidR="001966BE" w:rsidRPr="004363F1">
        <w:rPr>
          <w:rFonts w:ascii="Times New Roman" w:eastAsiaTheme="minorEastAsia" w:hAnsi="Times New Roman" w:cs="Times New Roman"/>
          <w:b/>
          <w:sz w:val="24"/>
          <w:szCs w:val="24"/>
          <w:lang w:val="en-CA" w:eastAsia="ja-JP"/>
        </w:rPr>
        <w:t>How the Day 1 v</w:t>
      </w:r>
      <w:r w:rsidR="00C6135D" w:rsidRPr="004363F1">
        <w:rPr>
          <w:rFonts w:ascii="Times New Roman" w:eastAsiaTheme="minorEastAsia" w:hAnsi="Times New Roman" w:cs="Times New Roman"/>
          <w:b/>
          <w:sz w:val="24"/>
          <w:szCs w:val="24"/>
          <w:lang w:val="en-CA" w:eastAsia="ja-JP"/>
        </w:rPr>
        <w:t>ariable</w:t>
      </w:r>
      <w:r w:rsidR="001966BE" w:rsidRPr="004363F1">
        <w:rPr>
          <w:rFonts w:ascii="Times New Roman" w:eastAsiaTheme="minorEastAsia" w:hAnsi="Times New Roman" w:cs="Times New Roman"/>
          <w:b/>
          <w:sz w:val="24"/>
          <w:szCs w:val="24"/>
          <w:lang w:val="en-CA" w:eastAsia="ja-JP"/>
        </w:rPr>
        <w:t xml:space="preserve"> of creatinine l</w:t>
      </w:r>
      <w:r w:rsidR="00D045B0" w:rsidRPr="004363F1">
        <w:rPr>
          <w:rFonts w:ascii="Times New Roman" w:eastAsiaTheme="minorEastAsia" w:hAnsi="Times New Roman" w:cs="Times New Roman"/>
          <w:b/>
          <w:sz w:val="24"/>
          <w:szCs w:val="24"/>
          <w:lang w:val="en-CA" w:eastAsia="ja-JP"/>
        </w:rPr>
        <w:t xml:space="preserve">ost </w:t>
      </w:r>
      <w:r w:rsidR="001966BE" w:rsidRPr="004363F1">
        <w:rPr>
          <w:rFonts w:ascii="Times New Roman" w:eastAsiaTheme="minorEastAsia" w:hAnsi="Times New Roman" w:cs="Times New Roman"/>
          <w:b/>
          <w:sz w:val="24"/>
          <w:szCs w:val="24"/>
          <w:lang w:val="en-CA" w:eastAsia="ja-JP"/>
        </w:rPr>
        <w:t>i</w:t>
      </w:r>
      <w:r w:rsidR="00C6135D" w:rsidRPr="004363F1">
        <w:rPr>
          <w:rFonts w:ascii="Times New Roman" w:eastAsiaTheme="minorEastAsia" w:hAnsi="Times New Roman" w:cs="Times New Roman"/>
          <w:b/>
          <w:sz w:val="24"/>
          <w:szCs w:val="24"/>
          <w:lang w:val="en-CA" w:eastAsia="ja-JP"/>
        </w:rPr>
        <w:t xml:space="preserve">ts </w:t>
      </w:r>
      <w:r w:rsidR="001966BE" w:rsidRPr="004363F1">
        <w:rPr>
          <w:rFonts w:ascii="Times New Roman" w:eastAsiaTheme="minorEastAsia" w:hAnsi="Times New Roman" w:cs="Times New Roman"/>
          <w:b/>
          <w:sz w:val="24"/>
          <w:szCs w:val="24"/>
          <w:lang w:val="en-CA" w:eastAsia="ja-JP"/>
        </w:rPr>
        <w:t>u</w:t>
      </w:r>
      <w:r w:rsidR="00D045B0" w:rsidRPr="004363F1">
        <w:rPr>
          <w:rFonts w:ascii="Times New Roman" w:eastAsiaTheme="minorEastAsia" w:hAnsi="Times New Roman" w:cs="Times New Roman"/>
          <w:b/>
          <w:sz w:val="24"/>
          <w:szCs w:val="24"/>
          <w:lang w:val="en-CA" w:eastAsia="ja-JP"/>
        </w:rPr>
        <w:t xml:space="preserve">sefulness in </w:t>
      </w:r>
      <w:r w:rsidR="001966BE" w:rsidRPr="004363F1">
        <w:rPr>
          <w:rFonts w:ascii="Times New Roman" w:eastAsiaTheme="minorEastAsia" w:hAnsi="Times New Roman" w:cs="Times New Roman"/>
          <w:b/>
          <w:sz w:val="24"/>
          <w:szCs w:val="24"/>
          <w:lang w:val="en-CA" w:eastAsia="ja-JP"/>
        </w:rPr>
        <w:t>the CLOGLOG m</w:t>
      </w:r>
      <w:r w:rsidR="00C6135D" w:rsidRPr="004363F1">
        <w:rPr>
          <w:rFonts w:ascii="Times New Roman" w:eastAsiaTheme="minorEastAsia" w:hAnsi="Times New Roman" w:cs="Times New Roman"/>
          <w:b/>
          <w:sz w:val="24"/>
          <w:szCs w:val="24"/>
          <w:lang w:val="en-CA" w:eastAsia="ja-JP"/>
        </w:rPr>
        <w:t>odel</w:t>
      </w:r>
    </w:p>
    <w:p w14:paraId="7A7D5707" w14:textId="77777777" w:rsidR="00AE33E7" w:rsidRPr="004363F1" w:rsidRDefault="00AB0CA8"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4"/>
          <w:szCs w:val="24"/>
          <w:lang w:val="en-CA" w:eastAsia="ja-JP"/>
        </w:rPr>
        <w:tab/>
      </w:r>
      <w:r w:rsidRPr="004363F1">
        <w:rPr>
          <w:rFonts w:ascii="Times New Roman" w:eastAsiaTheme="minorEastAsia" w:hAnsi="Times New Roman" w:cs="Times New Roman"/>
          <w:sz w:val="20"/>
          <w:szCs w:val="20"/>
          <w:lang w:val="en-CA" w:eastAsia="ja-JP"/>
        </w:rPr>
        <w:t>Panel 1</w:t>
      </w:r>
      <w:r w:rsidR="00A944EA" w:rsidRPr="004363F1">
        <w:rPr>
          <w:rFonts w:ascii="Times New Roman" w:eastAsiaTheme="minorEastAsia" w:hAnsi="Times New Roman" w:cs="Times New Roman"/>
          <w:sz w:val="20"/>
          <w:szCs w:val="20"/>
          <w:lang w:val="en-CA" w:eastAsia="ja-JP"/>
        </w:rPr>
        <w:t xml:space="preserve"> </w:t>
      </w:r>
      <w:r w:rsidR="00ED06FE" w:rsidRPr="004363F1">
        <w:rPr>
          <w:rFonts w:ascii="Times New Roman" w:eastAsiaTheme="minorEastAsia" w:hAnsi="Times New Roman" w:cs="Times New Roman"/>
          <w:sz w:val="20"/>
          <w:szCs w:val="20"/>
          <w:lang w:val="en-CA" w:eastAsia="ja-JP"/>
        </w:rPr>
        <w:t xml:space="preserve">of </w:t>
      </w:r>
      <w:r w:rsidR="00774B2D" w:rsidRPr="004363F1">
        <w:rPr>
          <w:rFonts w:ascii="Times New Roman" w:eastAsiaTheme="minorEastAsia" w:hAnsi="Times New Roman" w:cs="Times New Roman"/>
          <w:sz w:val="20"/>
          <w:szCs w:val="20"/>
          <w:lang w:val="en-CA" w:eastAsia="ja-JP"/>
        </w:rPr>
        <w:t xml:space="preserve">Supplemental Table </w:t>
      </w:r>
      <w:r w:rsidRPr="004363F1">
        <w:rPr>
          <w:rFonts w:ascii="Times New Roman" w:eastAsiaTheme="minorEastAsia" w:hAnsi="Times New Roman" w:cs="Times New Roman"/>
          <w:sz w:val="20"/>
          <w:szCs w:val="20"/>
          <w:lang w:val="en-CA" w:eastAsia="ja-JP"/>
        </w:rPr>
        <w:t>3 shows that in the context of the preconditions of chronic lung disease and previous brain injury, age</w:t>
      </w:r>
      <w:r w:rsidR="001013F2" w:rsidRPr="004363F1">
        <w:rPr>
          <w:rFonts w:ascii="Times New Roman" w:eastAsiaTheme="minorEastAsia" w:hAnsi="Times New Roman" w:cs="Times New Roman"/>
          <w:sz w:val="20"/>
          <w:szCs w:val="20"/>
          <w:lang w:val="en-CA" w:eastAsia="ja-JP"/>
        </w:rPr>
        <w:t>,</w:t>
      </w:r>
      <w:r w:rsidRPr="004363F1">
        <w:rPr>
          <w:rFonts w:ascii="Times New Roman" w:eastAsiaTheme="minorEastAsia" w:hAnsi="Times New Roman" w:cs="Times New Roman"/>
          <w:sz w:val="20"/>
          <w:szCs w:val="20"/>
          <w:lang w:val="en-CA" w:eastAsia="ja-JP"/>
        </w:rPr>
        <w:t xml:space="preserve"> and duration, the day 1 variable of creatinine, with p=0.1002, </w:t>
      </w:r>
      <w:r w:rsidR="00224D13" w:rsidRPr="004363F1">
        <w:rPr>
          <w:rFonts w:ascii="Times New Roman" w:eastAsiaTheme="minorEastAsia" w:hAnsi="Times New Roman" w:cs="Times New Roman"/>
          <w:sz w:val="20"/>
          <w:szCs w:val="20"/>
          <w:lang w:val="en-CA" w:eastAsia="ja-JP"/>
        </w:rPr>
        <w:t xml:space="preserve">had a somewhat uncertain </w:t>
      </w:r>
      <w:r w:rsidRPr="004363F1">
        <w:rPr>
          <w:rFonts w:ascii="Times New Roman" w:eastAsiaTheme="minorEastAsia" w:hAnsi="Times New Roman" w:cs="Times New Roman"/>
          <w:sz w:val="20"/>
          <w:szCs w:val="20"/>
          <w:lang w:val="en-CA" w:eastAsia="ja-JP"/>
        </w:rPr>
        <w:t>effect on the mortality hazard, although its estimated coe</w:t>
      </w:r>
      <w:r w:rsidR="00A41AB4" w:rsidRPr="004363F1">
        <w:rPr>
          <w:rFonts w:ascii="Times New Roman" w:eastAsiaTheme="minorEastAsia" w:hAnsi="Times New Roman" w:cs="Times New Roman"/>
          <w:sz w:val="20"/>
          <w:szCs w:val="20"/>
          <w:lang w:val="en-CA" w:eastAsia="ja-JP"/>
        </w:rPr>
        <w:t>fficient had the biologically meaningful</w:t>
      </w:r>
      <w:r w:rsidRPr="004363F1">
        <w:rPr>
          <w:rFonts w:ascii="Times New Roman" w:eastAsiaTheme="minorEastAsia" w:hAnsi="Times New Roman" w:cs="Times New Roman"/>
          <w:sz w:val="20"/>
          <w:szCs w:val="20"/>
          <w:lang w:val="en-CA" w:eastAsia="ja-JP"/>
        </w:rPr>
        <w:t xml:space="preserve"> positive si</w:t>
      </w:r>
      <w:r w:rsidR="00A944EA" w:rsidRPr="004363F1">
        <w:rPr>
          <w:rFonts w:ascii="Times New Roman" w:eastAsiaTheme="minorEastAsia" w:hAnsi="Times New Roman" w:cs="Times New Roman"/>
          <w:sz w:val="20"/>
          <w:szCs w:val="20"/>
          <w:lang w:val="en-CA" w:eastAsia="ja-JP"/>
        </w:rPr>
        <w:t xml:space="preserve">gn.  </w:t>
      </w:r>
      <w:r w:rsidR="00A41AB4" w:rsidRPr="004363F1">
        <w:rPr>
          <w:rFonts w:ascii="Times New Roman" w:eastAsiaTheme="minorEastAsia" w:hAnsi="Times New Roman" w:cs="Times New Roman"/>
          <w:sz w:val="20"/>
          <w:szCs w:val="20"/>
          <w:lang w:val="en-CA" w:eastAsia="ja-JP"/>
        </w:rPr>
        <w:t xml:space="preserve">This finding is misleading </w:t>
      </w:r>
      <w:r w:rsidRPr="004363F1">
        <w:rPr>
          <w:rFonts w:ascii="Times New Roman" w:eastAsiaTheme="minorEastAsia" w:hAnsi="Times New Roman" w:cs="Times New Roman"/>
          <w:sz w:val="20"/>
          <w:szCs w:val="20"/>
          <w:lang w:val="en-CA" w:eastAsia="ja-JP"/>
        </w:rPr>
        <w:t xml:space="preserve">because </w:t>
      </w:r>
      <w:r w:rsidR="00820340" w:rsidRPr="004363F1">
        <w:rPr>
          <w:rFonts w:ascii="Times New Roman" w:eastAsiaTheme="minorEastAsia" w:hAnsi="Times New Roman" w:cs="Times New Roman"/>
          <w:sz w:val="20"/>
          <w:szCs w:val="20"/>
          <w:lang w:val="en-CA" w:eastAsia="ja-JP"/>
        </w:rPr>
        <w:t>the day 1 and ch</w:t>
      </w:r>
      <w:r w:rsidR="005E1D2B" w:rsidRPr="004363F1">
        <w:rPr>
          <w:rFonts w:ascii="Times New Roman" w:eastAsiaTheme="minorEastAsia" w:hAnsi="Times New Roman" w:cs="Times New Roman"/>
          <w:sz w:val="20"/>
          <w:szCs w:val="20"/>
          <w:lang w:val="en-CA" w:eastAsia="ja-JP"/>
        </w:rPr>
        <w:t>ange variables of creatinine had</w:t>
      </w:r>
      <w:r w:rsidR="001E21E4" w:rsidRPr="004363F1">
        <w:rPr>
          <w:rFonts w:ascii="Times New Roman" w:eastAsiaTheme="minorEastAsia" w:hAnsi="Times New Roman" w:cs="Times New Roman"/>
          <w:sz w:val="20"/>
          <w:szCs w:val="20"/>
          <w:lang w:val="en-CA" w:eastAsia="ja-JP"/>
        </w:rPr>
        <w:t xml:space="preserve"> a</w:t>
      </w:r>
      <w:r w:rsidR="005E1D2B" w:rsidRPr="004363F1">
        <w:rPr>
          <w:rFonts w:ascii="Times New Roman" w:eastAsiaTheme="minorEastAsia" w:hAnsi="Times New Roman" w:cs="Times New Roman"/>
          <w:sz w:val="20"/>
          <w:szCs w:val="20"/>
          <w:lang w:val="en-CA" w:eastAsia="ja-JP"/>
        </w:rPr>
        <w:t xml:space="preserve"> </w:t>
      </w:r>
      <w:r w:rsidR="00820340" w:rsidRPr="004363F1">
        <w:rPr>
          <w:rFonts w:ascii="Times New Roman" w:eastAsiaTheme="minorEastAsia" w:hAnsi="Times New Roman" w:cs="Times New Roman"/>
          <w:sz w:val="20"/>
          <w:szCs w:val="20"/>
          <w:lang w:val="en-CA" w:eastAsia="ja-JP"/>
        </w:rPr>
        <w:t>strong negative correlation (r=</w:t>
      </w:r>
      <w:r w:rsidR="005E1D2B" w:rsidRPr="004363F1">
        <w:rPr>
          <w:rFonts w:ascii="Times New Roman" w:eastAsiaTheme="minorEastAsia" w:hAnsi="Times New Roman" w:cs="Times New Roman"/>
          <w:sz w:val="20"/>
          <w:szCs w:val="20"/>
          <w:lang w:val="en-CA" w:eastAsia="ja-JP"/>
        </w:rPr>
        <w:t xml:space="preserve"> -</w:t>
      </w:r>
      <w:r w:rsidR="001E21E4" w:rsidRPr="004363F1">
        <w:rPr>
          <w:rFonts w:ascii="Times New Roman" w:eastAsiaTheme="minorEastAsia" w:hAnsi="Times New Roman" w:cs="Times New Roman"/>
          <w:sz w:val="20"/>
          <w:szCs w:val="20"/>
          <w:lang w:val="en-CA" w:eastAsia="ja-JP"/>
        </w:rPr>
        <w:t>0.57</w:t>
      </w:r>
      <w:r w:rsidR="00820340" w:rsidRPr="004363F1">
        <w:rPr>
          <w:rFonts w:ascii="Times New Roman" w:eastAsiaTheme="minorEastAsia" w:hAnsi="Times New Roman" w:cs="Times New Roman"/>
          <w:sz w:val="20"/>
          <w:szCs w:val="20"/>
          <w:lang w:val="en-CA" w:eastAsia="ja-JP"/>
        </w:rPr>
        <w:t>, N</w:t>
      </w:r>
      <w:r w:rsidR="005E1D2B" w:rsidRPr="004363F1">
        <w:rPr>
          <w:rFonts w:ascii="Times New Roman" w:eastAsiaTheme="minorEastAsia" w:hAnsi="Times New Roman" w:cs="Times New Roman"/>
          <w:sz w:val="20"/>
          <w:szCs w:val="20"/>
          <w:lang w:val="en-CA" w:eastAsia="ja-JP"/>
        </w:rPr>
        <w:t xml:space="preserve">=6,724, p&lt;0.001). This negative correlation </w:t>
      </w:r>
      <w:r w:rsidR="00AE33E7" w:rsidRPr="004363F1">
        <w:rPr>
          <w:rFonts w:ascii="Times New Roman" w:eastAsiaTheme="minorEastAsia" w:hAnsi="Times New Roman" w:cs="Times New Roman"/>
          <w:sz w:val="20"/>
          <w:szCs w:val="20"/>
          <w:lang w:val="en-CA" w:eastAsia="ja-JP"/>
        </w:rPr>
        <w:t>implied</w:t>
      </w:r>
      <w:r w:rsidR="005E1D2B" w:rsidRPr="004363F1">
        <w:rPr>
          <w:rFonts w:ascii="Times New Roman" w:eastAsiaTheme="minorEastAsia" w:hAnsi="Times New Roman" w:cs="Times New Roman"/>
          <w:sz w:val="20"/>
          <w:szCs w:val="20"/>
          <w:lang w:val="en-CA" w:eastAsia="ja-JP"/>
        </w:rPr>
        <w:t xml:space="preserve"> that </w:t>
      </w:r>
      <w:r w:rsidR="00AE33E7" w:rsidRPr="004363F1">
        <w:rPr>
          <w:rFonts w:ascii="Times New Roman" w:eastAsiaTheme="minorEastAsia" w:hAnsi="Times New Roman" w:cs="Times New Roman"/>
          <w:sz w:val="20"/>
          <w:szCs w:val="20"/>
          <w:lang w:val="en-CA" w:eastAsia="ja-JP"/>
        </w:rPr>
        <w:t xml:space="preserve">large improvements in creatinine occurred mostly to patients whose initial values were relatively </w:t>
      </w:r>
      <w:r w:rsidR="009C4A2B" w:rsidRPr="004363F1">
        <w:rPr>
          <w:rFonts w:ascii="Times New Roman" w:eastAsiaTheme="minorEastAsia" w:hAnsi="Times New Roman" w:cs="Times New Roman"/>
          <w:sz w:val="20"/>
          <w:szCs w:val="20"/>
          <w:lang w:val="en-CA" w:eastAsia="ja-JP"/>
        </w:rPr>
        <w:t>poor (</w:t>
      </w:r>
      <w:r w:rsidR="00AE33E7" w:rsidRPr="004363F1">
        <w:rPr>
          <w:rFonts w:ascii="Times New Roman" w:eastAsiaTheme="minorEastAsia" w:hAnsi="Times New Roman" w:cs="Times New Roman"/>
          <w:sz w:val="20"/>
          <w:szCs w:val="20"/>
          <w:lang w:val="en-CA" w:eastAsia="ja-JP"/>
        </w:rPr>
        <w:t>high</w:t>
      </w:r>
      <w:r w:rsidR="009C4A2B" w:rsidRPr="004363F1">
        <w:rPr>
          <w:rFonts w:ascii="Times New Roman" w:eastAsiaTheme="minorEastAsia" w:hAnsi="Times New Roman" w:cs="Times New Roman"/>
          <w:sz w:val="20"/>
          <w:szCs w:val="20"/>
          <w:lang w:val="en-CA" w:eastAsia="ja-JP"/>
        </w:rPr>
        <w:t>)</w:t>
      </w:r>
      <w:r w:rsidR="00AE33E7" w:rsidRPr="004363F1">
        <w:rPr>
          <w:rFonts w:ascii="Times New Roman" w:eastAsiaTheme="minorEastAsia" w:hAnsi="Times New Roman" w:cs="Times New Roman"/>
          <w:sz w:val="20"/>
          <w:szCs w:val="20"/>
          <w:lang w:val="en-CA" w:eastAsia="ja-JP"/>
        </w:rPr>
        <w:t xml:space="preserve">, so that </w:t>
      </w:r>
      <w:r w:rsidRPr="004363F1">
        <w:rPr>
          <w:rFonts w:ascii="Times New Roman" w:eastAsiaTheme="minorEastAsia" w:hAnsi="Times New Roman" w:cs="Times New Roman"/>
          <w:sz w:val="20"/>
          <w:szCs w:val="20"/>
          <w:lang w:val="en-CA" w:eastAsia="ja-JP"/>
        </w:rPr>
        <w:t xml:space="preserve">the pool of survivors contained </w:t>
      </w:r>
      <w:r w:rsidR="00E04C35" w:rsidRPr="004363F1">
        <w:rPr>
          <w:rFonts w:ascii="Times New Roman" w:eastAsiaTheme="minorEastAsia" w:hAnsi="Times New Roman" w:cs="Times New Roman"/>
          <w:sz w:val="20"/>
          <w:szCs w:val="20"/>
          <w:lang w:val="en-CA" w:eastAsia="ja-JP"/>
        </w:rPr>
        <w:t>increasingly higher proportion of</w:t>
      </w:r>
      <w:r w:rsidR="00820340" w:rsidRPr="004363F1">
        <w:rPr>
          <w:rFonts w:ascii="Times New Roman" w:eastAsiaTheme="minorEastAsia" w:hAnsi="Times New Roman" w:cs="Times New Roman"/>
          <w:sz w:val="20"/>
          <w:szCs w:val="20"/>
          <w:lang w:val="en-CA" w:eastAsia="ja-JP"/>
        </w:rPr>
        <w:t xml:space="preserve"> patients whose creatinine </w:t>
      </w:r>
      <w:r w:rsidR="001E21E4" w:rsidRPr="004363F1">
        <w:rPr>
          <w:rFonts w:ascii="Times New Roman" w:eastAsiaTheme="minorEastAsia" w:hAnsi="Times New Roman" w:cs="Times New Roman"/>
          <w:sz w:val="20"/>
          <w:szCs w:val="20"/>
          <w:lang w:val="en-CA" w:eastAsia="ja-JP"/>
        </w:rPr>
        <w:t>was relatively</w:t>
      </w:r>
      <w:r w:rsidRPr="004363F1">
        <w:rPr>
          <w:rFonts w:ascii="Times New Roman" w:eastAsiaTheme="minorEastAsia" w:hAnsi="Times New Roman" w:cs="Times New Roman"/>
          <w:sz w:val="20"/>
          <w:szCs w:val="20"/>
          <w:lang w:val="en-CA" w:eastAsia="ja-JP"/>
        </w:rPr>
        <w:t xml:space="preserve"> </w:t>
      </w:r>
      <w:r w:rsidR="009C4A2B" w:rsidRPr="004363F1">
        <w:rPr>
          <w:rFonts w:ascii="Times New Roman" w:eastAsiaTheme="minorEastAsia" w:hAnsi="Times New Roman" w:cs="Times New Roman"/>
          <w:sz w:val="20"/>
          <w:szCs w:val="20"/>
          <w:lang w:val="en-CA" w:eastAsia="ja-JP"/>
        </w:rPr>
        <w:t>poor</w:t>
      </w:r>
      <w:r w:rsidR="00820340" w:rsidRPr="004363F1">
        <w:rPr>
          <w:rFonts w:ascii="Times New Roman" w:eastAsiaTheme="minorEastAsia" w:hAnsi="Times New Roman" w:cs="Times New Roman"/>
          <w:sz w:val="20"/>
          <w:szCs w:val="20"/>
          <w:lang w:val="en-CA" w:eastAsia="ja-JP"/>
        </w:rPr>
        <w:t xml:space="preserve"> on day 1 but had experienced </w:t>
      </w:r>
      <w:r w:rsidR="005E1D2B" w:rsidRPr="004363F1">
        <w:rPr>
          <w:rFonts w:ascii="Times New Roman" w:eastAsiaTheme="minorEastAsia" w:hAnsi="Times New Roman" w:cs="Times New Roman"/>
          <w:sz w:val="20"/>
          <w:szCs w:val="20"/>
          <w:lang w:val="en-CA" w:eastAsia="ja-JP"/>
        </w:rPr>
        <w:t xml:space="preserve">large </w:t>
      </w:r>
      <w:r w:rsidR="009C4A2B" w:rsidRPr="004363F1">
        <w:rPr>
          <w:rFonts w:ascii="Times New Roman" w:eastAsiaTheme="minorEastAsia" w:hAnsi="Times New Roman" w:cs="Times New Roman"/>
          <w:sz w:val="20"/>
          <w:szCs w:val="20"/>
          <w:lang w:val="en-CA" w:eastAsia="ja-JP"/>
        </w:rPr>
        <w:t>improvement (</w:t>
      </w:r>
      <w:r w:rsidR="00820340" w:rsidRPr="004363F1">
        <w:rPr>
          <w:rFonts w:ascii="Times New Roman" w:eastAsiaTheme="minorEastAsia" w:hAnsi="Times New Roman" w:cs="Times New Roman"/>
          <w:sz w:val="20"/>
          <w:szCs w:val="20"/>
          <w:lang w:val="en-CA" w:eastAsia="ja-JP"/>
        </w:rPr>
        <w:t>reduction</w:t>
      </w:r>
      <w:r w:rsidR="009C4A2B" w:rsidRPr="004363F1">
        <w:rPr>
          <w:rFonts w:ascii="Times New Roman" w:eastAsiaTheme="minorEastAsia" w:hAnsi="Times New Roman" w:cs="Times New Roman"/>
          <w:sz w:val="20"/>
          <w:szCs w:val="20"/>
          <w:lang w:val="en-CA" w:eastAsia="ja-JP"/>
        </w:rPr>
        <w:t>)</w:t>
      </w:r>
      <w:r w:rsidR="00820340" w:rsidRPr="004363F1">
        <w:rPr>
          <w:rFonts w:ascii="Times New Roman" w:eastAsiaTheme="minorEastAsia" w:hAnsi="Times New Roman" w:cs="Times New Roman"/>
          <w:sz w:val="20"/>
          <w:szCs w:val="20"/>
          <w:lang w:val="en-CA" w:eastAsia="ja-JP"/>
        </w:rPr>
        <w:t xml:space="preserve"> afterwards. </w:t>
      </w:r>
      <w:r w:rsidR="0059629A" w:rsidRPr="004363F1">
        <w:rPr>
          <w:rFonts w:ascii="Times New Roman" w:eastAsiaTheme="minorEastAsia" w:hAnsi="Times New Roman" w:cs="Times New Roman"/>
          <w:sz w:val="20"/>
          <w:szCs w:val="20"/>
          <w:lang w:val="en-CA" w:eastAsia="ja-JP"/>
        </w:rPr>
        <w:t>To control for the distort</w:t>
      </w:r>
      <w:r w:rsidR="005E1D2B" w:rsidRPr="004363F1">
        <w:rPr>
          <w:rFonts w:ascii="Times New Roman" w:eastAsiaTheme="minorEastAsia" w:hAnsi="Times New Roman" w:cs="Times New Roman"/>
          <w:sz w:val="20"/>
          <w:szCs w:val="20"/>
          <w:lang w:val="en-CA" w:eastAsia="ja-JP"/>
        </w:rPr>
        <w:t>ing effect of</w:t>
      </w:r>
      <w:r w:rsidR="009C4A2B" w:rsidRPr="004363F1">
        <w:rPr>
          <w:rFonts w:ascii="Times New Roman" w:eastAsiaTheme="minorEastAsia" w:hAnsi="Times New Roman" w:cs="Times New Roman"/>
          <w:sz w:val="20"/>
          <w:szCs w:val="20"/>
          <w:lang w:val="en-CA" w:eastAsia="ja-JP"/>
        </w:rPr>
        <w:t xml:space="preserve"> this</w:t>
      </w:r>
      <w:r w:rsidR="005E1D2B" w:rsidRPr="004363F1">
        <w:rPr>
          <w:rFonts w:ascii="Times New Roman" w:eastAsiaTheme="minorEastAsia" w:hAnsi="Times New Roman" w:cs="Times New Roman"/>
          <w:sz w:val="20"/>
          <w:szCs w:val="20"/>
          <w:lang w:val="en-CA" w:eastAsia="ja-JP"/>
        </w:rPr>
        <w:t xml:space="preserve"> selective improvement, the proper assessment of the effect of the day </w:t>
      </w:r>
      <w:r w:rsidR="00CD3278" w:rsidRPr="004363F1">
        <w:rPr>
          <w:rFonts w:ascii="Times New Roman" w:eastAsiaTheme="minorEastAsia" w:hAnsi="Times New Roman" w:cs="Times New Roman"/>
          <w:sz w:val="20"/>
          <w:szCs w:val="20"/>
          <w:lang w:val="en-CA" w:eastAsia="ja-JP"/>
        </w:rPr>
        <w:t xml:space="preserve">1 variable </w:t>
      </w:r>
      <w:r w:rsidR="00CD3278" w:rsidRPr="00E40366">
        <w:rPr>
          <w:rFonts w:ascii="Times New Roman" w:eastAsiaTheme="minorEastAsia" w:hAnsi="Times New Roman" w:cs="Times New Roman"/>
          <w:sz w:val="20"/>
          <w:szCs w:val="20"/>
          <w:lang w:val="en-CA" w:eastAsia="ja-JP"/>
        </w:rPr>
        <w:t>required the simultaneous inclusion of</w:t>
      </w:r>
      <w:r w:rsidR="005E1D2B" w:rsidRPr="00E40366">
        <w:rPr>
          <w:rFonts w:ascii="Times New Roman" w:eastAsiaTheme="minorEastAsia" w:hAnsi="Times New Roman" w:cs="Times New Roman"/>
          <w:sz w:val="20"/>
          <w:szCs w:val="20"/>
          <w:lang w:val="en-CA" w:eastAsia="ja-JP"/>
        </w:rPr>
        <w:t xml:space="preserve"> the corresponding change variable into the model.</w:t>
      </w:r>
      <w:r w:rsidR="00E04C35" w:rsidRPr="00E40366">
        <w:rPr>
          <w:rFonts w:ascii="Times New Roman" w:eastAsiaTheme="minorEastAsia" w:hAnsi="Times New Roman" w:cs="Times New Roman"/>
          <w:sz w:val="20"/>
          <w:szCs w:val="20"/>
          <w:lang w:val="en-CA" w:eastAsia="ja-JP"/>
        </w:rPr>
        <w:t xml:space="preserve"> Since strong negative correlation between day 1 and change variable</w:t>
      </w:r>
      <w:r w:rsidR="00A27F65" w:rsidRPr="00E40366">
        <w:rPr>
          <w:rFonts w:ascii="Times New Roman" w:eastAsiaTheme="minorEastAsia" w:hAnsi="Times New Roman" w:cs="Times New Roman"/>
          <w:sz w:val="20"/>
          <w:szCs w:val="20"/>
          <w:lang w:val="en-CA" w:eastAsia="ja-JP"/>
        </w:rPr>
        <w:t>s</w:t>
      </w:r>
      <w:r w:rsidR="00E04C35" w:rsidRPr="00E40366">
        <w:rPr>
          <w:rFonts w:ascii="Times New Roman" w:eastAsiaTheme="minorEastAsia" w:hAnsi="Times New Roman" w:cs="Times New Roman"/>
          <w:sz w:val="20"/>
          <w:szCs w:val="20"/>
          <w:lang w:val="en-CA" w:eastAsia="ja-JP"/>
        </w:rPr>
        <w:t xml:space="preserve"> occurred to all six TVBIs</w:t>
      </w:r>
      <w:r w:rsidR="002F7523" w:rsidRPr="00E40366">
        <w:rPr>
          <w:rFonts w:ascii="Times New Roman" w:eastAsiaTheme="minorEastAsia" w:hAnsi="Times New Roman" w:cs="Times New Roman"/>
          <w:sz w:val="20"/>
          <w:szCs w:val="20"/>
          <w:lang w:val="en-CA" w:eastAsia="ja-JP"/>
        </w:rPr>
        <w:t xml:space="preserve"> (see Supplemental Table 17)</w:t>
      </w:r>
      <w:r w:rsidR="00E04C35" w:rsidRPr="00E40366">
        <w:rPr>
          <w:rFonts w:ascii="Times New Roman" w:eastAsiaTheme="minorEastAsia" w:hAnsi="Times New Roman" w:cs="Times New Roman"/>
          <w:sz w:val="20"/>
          <w:szCs w:val="20"/>
          <w:lang w:val="en-CA" w:eastAsia="ja-JP"/>
        </w:rPr>
        <w:t xml:space="preserve">, the use of the </w:t>
      </w:r>
      <w:r w:rsidR="006D2376" w:rsidRPr="00E40366">
        <w:rPr>
          <w:rFonts w:ascii="Times New Roman" w:eastAsiaTheme="minorEastAsia" w:hAnsi="Times New Roman" w:cs="Times New Roman"/>
          <w:sz w:val="20"/>
          <w:szCs w:val="20"/>
          <w:lang w:val="en-CA" w:eastAsia="ja-JP"/>
        </w:rPr>
        <w:t>day 1 variable of each TVBI should</w:t>
      </w:r>
      <w:r w:rsidR="00E04C35" w:rsidRPr="00E40366">
        <w:rPr>
          <w:rFonts w:ascii="Times New Roman" w:eastAsiaTheme="minorEastAsia" w:hAnsi="Times New Roman" w:cs="Times New Roman"/>
          <w:sz w:val="20"/>
          <w:szCs w:val="20"/>
          <w:lang w:val="en-CA" w:eastAsia="ja-JP"/>
        </w:rPr>
        <w:t xml:space="preserve"> be accompanied by the corresponding change variable.</w:t>
      </w:r>
      <w:r w:rsidR="008C7B5F" w:rsidRPr="00E40366">
        <w:rPr>
          <w:rFonts w:ascii="Times New Roman" w:eastAsiaTheme="minorEastAsia" w:hAnsi="Times New Roman" w:cs="Times New Roman"/>
          <w:sz w:val="20"/>
          <w:szCs w:val="20"/>
          <w:lang w:val="en-CA" w:eastAsia="ja-JP"/>
        </w:rPr>
        <w:t xml:space="preserve"> Otherwise, the effect</w:t>
      </w:r>
      <w:r w:rsidR="00224D13" w:rsidRPr="00E40366">
        <w:rPr>
          <w:rFonts w:ascii="Times New Roman" w:eastAsiaTheme="minorEastAsia" w:hAnsi="Times New Roman" w:cs="Times New Roman"/>
          <w:sz w:val="20"/>
          <w:szCs w:val="20"/>
          <w:lang w:val="en-CA" w:eastAsia="ja-JP"/>
        </w:rPr>
        <w:t>s of most</w:t>
      </w:r>
      <w:r w:rsidR="00E04C35" w:rsidRPr="004363F1">
        <w:rPr>
          <w:rFonts w:ascii="Times New Roman" w:eastAsiaTheme="minorEastAsia" w:hAnsi="Times New Roman" w:cs="Times New Roman"/>
          <w:sz w:val="20"/>
          <w:szCs w:val="20"/>
          <w:lang w:val="en-CA" w:eastAsia="ja-JP"/>
        </w:rPr>
        <w:t xml:space="preserve"> day 1 variable</w:t>
      </w:r>
      <w:r w:rsidR="00224D13" w:rsidRPr="004363F1">
        <w:rPr>
          <w:rFonts w:ascii="Times New Roman" w:eastAsiaTheme="minorEastAsia" w:hAnsi="Times New Roman" w:cs="Times New Roman"/>
          <w:sz w:val="20"/>
          <w:szCs w:val="20"/>
          <w:lang w:val="en-CA" w:eastAsia="ja-JP"/>
        </w:rPr>
        <w:t>s</w:t>
      </w:r>
      <w:r w:rsidR="00E04C35" w:rsidRPr="004363F1">
        <w:rPr>
          <w:rFonts w:ascii="Times New Roman" w:eastAsiaTheme="minorEastAsia" w:hAnsi="Times New Roman" w:cs="Times New Roman"/>
          <w:sz w:val="20"/>
          <w:szCs w:val="20"/>
          <w:lang w:val="en-CA" w:eastAsia="ja-JP"/>
        </w:rPr>
        <w:t xml:space="preserve"> will be understated. </w:t>
      </w:r>
    </w:p>
    <w:p w14:paraId="35809311" w14:textId="77777777" w:rsidR="00156012" w:rsidRPr="004363F1" w:rsidRDefault="00AE33E7"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ab/>
        <w:t xml:space="preserve">Panel 2 of </w:t>
      </w:r>
      <w:r w:rsidR="00774B2D" w:rsidRPr="004363F1">
        <w:rPr>
          <w:rFonts w:ascii="Times New Roman" w:eastAsiaTheme="minorEastAsia" w:hAnsi="Times New Roman" w:cs="Times New Roman"/>
          <w:sz w:val="20"/>
          <w:szCs w:val="20"/>
          <w:lang w:val="en-CA" w:eastAsia="ja-JP"/>
        </w:rPr>
        <w:t xml:space="preserve">Supplemental Table </w:t>
      </w:r>
      <w:r w:rsidR="005F45A4" w:rsidRPr="004363F1">
        <w:rPr>
          <w:rFonts w:ascii="Times New Roman" w:eastAsiaTheme="minorEastAsia" w:hAnsi="Times New Roman" w:cs="Times New Roman"/>
          <w:sz w:val="20"/>
          <w:szCs w:val="20"/>
          <w:lang w:val="en-CA" w:eastAsia="ja-JP"/>
        </w:rPr>
        <w:t>3</w:t>
      </w:r>
      <w:r w:rsidRPr="004363F1">
        <w:rPr>
          <w:rFonts w:ascii="Times New Roman" w:eastAsiaTheme="minorEastAsia" w:hAnsi="Times New Roman" w:cs="Times New Roman"/>
          <w:sz w:val="20"/>
          <w:szCs w:val="20"/>
          <w:lang w:val="en-CA" w:eastAsia="ja-JP"/>
        </w:rPr>
        <w:t xml:space="preserve"> shows that the addition of the change variable of creatinine not only raised the </w:t>
      </w:r>
      <w:r w:rsidRPr="00BB40C7">
        <w:rPr>
          <w:rFonts w:ascii="Times New Roman" w:eastAsiaTheme="minorEastAsia" w:hAnsi="Times New Roman" w:cs="Times New Roman"/>
          <w:color w:val="000000" w:themeColor="text1"/>
          <w:sz w:val="20"/>
          <w:szCs w:val="20"/>
          <w:lang w:val="en-CA" w:eastAsia="ja-JP"/>
        </w:rPr>
        <w:t>AUC</w:t>
      </w:r>
      <w:r w:rsidR="006B25F9" w:rsidRPr="00BB40C7">
        <w:rPr>
          <w:rFonts w:ascii="Times New Roman" w:eastAsiaTheme="minorEastAsia" w:hAnsi="Times New Roman" w:cs="Times New Roman"/>
          <w:color w:val="000000" w:themeColor="text1"/>
          <w:sz w:val="20"/>
          <w:szCs w:val="20"/>
          <w:lang w:val="en-CA" w:eastAsia="ja-JP"/>
        </w:rPr>
        <w:t>_P1</w:t>
      </w:r>
      <w:r w:rsidRPr="004363F1">
        <w:rPr>
          <w:rFonts w:ascii="Times New Roman" w:eastAsiaTheme="minorEastAsia" w:hAnsi="Times New Roman" w:cs="Times New Roman"/>
          <w:sz w:val="20"/>
          <w:szCs w:val="20"/>
          <w:lang w:val="en-CA" w:eastAsia="ja-JP"/>
        </w:rPr>
        <w:t xml:space="preserve"> markedly from 0.623 to 0.693 but also helped make the corresponding day 1 variable highly significant </w:t>
      </w:r>
      <w:r w:rsidRPr="004363F1">
        <w:rPr>
          <w:rFonts w:ascii="Times New Roman" w:eastAsiaTheme="minorEastAsia" w:hAnsi="Times New Roman" w:cs="Times New Roman"/>
          <w:sz w:val="20"/>
          <w:szCs w:val="20"/>
          <w:lang w:val="en-CA" w:eastAsia="ja-JP"/>
        </w:rPr>
        <w:lastRenderedPageBreak/>
        <w:t>(p=0.0036)</w:t>
      </w:r>
      <w:r w:rsidR="00156012" w:rsidRPr="004363F1">
        <w:rPr>
          <w:rFonts w:ascii="Times New Roman" w:eastAsiaTheme="minorEastAsia" w:hAnsi="Times New Roman" w:cs="Times New Roman"/>
          <w:sz w:val="20"/>
          <w:szCs w:val="20"/>
          <w:lang w:val="en-CA" w:eastAsia="ja-JP"/>
        </w:rPr>
        <w:t xml:space="preserve"> and caused its estimated coefficient to increase markedly from 0</w:t>
      </w:r>
      <w:r w:rsidR="009C4A2B" w:rsidRPr="004363F1">
        <w:rPr>
          <w:rFonts w:ascii="Times New Roman" w:eastAsiaTheme="minorEastAsia" w:hAnsi="Times New Roman" w:cs="Times New Roman"/>
          <w:sz w:val="20"/>
          <w:szCs w:val="20"/>
          <w:lang w:val="en-CA" w:eastAsia="ja-JP"/>
        </w:rPr>
        <w:t>.2345 to 0.4320. Thus, controlling for</w:t>
      </w:r>
      <w:r w:rsidR="0059629A" w:rsidRPr="004363F1">
        <w:rPr>
          <w:rFonts w:ascii="Times New Roman" w:eastAsiaTheme="minorEastAsia" w:hAnsi="Times New Roman" w:cs="Times New Roman"/>
          <w:sz w:val="20"/>
          <w:szCs w:val="20"/>
          <w:lang w:val="en-CA" w:eastAsia="ja-JP"/>
        </w:rPr>
        <w:t xml:space="preserve"> the selective</w:t>
      </w:r>
      <w:r w:rsidR="00156012" w:rsidRPr="004363F1">
        <w:rPr>
          <w:rFonts w:ascii="Times New Roman" w:eastAsiaTheme="minorEastAsia" w:hAnsi="Times New Roman" w:cs="Times New Roman"/>
          <w:sz w:val="20"/>
          <w:szCs w:val="20"/>
          <w:lang w:val="en-CA" w:eastAsia="ja-JP"/>
        </w:rPr>
        <w:t xml:space="preserve"> improvement, patients with relatively high day 1 creatinine</w:t>
      </w:r>
      <w:r w:rsidR="009C4A2B" w:rsidRPr="004363F1">
        <w:rPr>
          <w:rFonts w:ascii="Times New Roman" w:eastAsiaTheme="minorEastAsia" w:hAnsi="Times New Roman" w:cs="Times New Roman"/>
          <w:sz w:val="20"/>
          <w:szCs w:val="20"/>
          <w:lang w:val="en-CA" w:eastAsia="ja-JP"/>
        </w:rPr>
        <w:t xml:space="preserve"> were found to be</w:t>
      </w:r>
      <w:r w:rsidR="00156012" w:rsidRPr="004363F1">
        <w:rPr>
          <w:rFonts w:ascii="Times New Roman" w:eastAsiaTheme="minorEastAsia" w:hAnsi="Times New Roman" w:cs="Times New Roman"/>
          <w:sz w:val="20"/>
          <w:szCs w:val="20"/>
          <w:lang w:val="en-CA" w:eastAsia="ja-JP"/>
        </w:rPr>
        <w:t xml:space="preserve"> </w:t>
      </w:r>
      <w:r w:rsidR="008520C5" w:rsidRPr="004363F1">
        <w:rPr>
          <w:rFonts w:ascii="Times New Roman" w:eastAsiaTheme="minorEastAsia" w:hAnsi="Times New Roman" w:cs="Times New Roman"/>
          <w:sz w:val="20"/>
          <w:szCs w:val="20"/>
          <w:lang w:val="en-CA" w:eastAsia="ja-JP"/>
        </w:rPr>
        <w:t>at higher risk of dying.</w:t>
      </w:r>
    </w:p>
    <w:p w14:paraId="2096BFD4" w14:textId="77777777" w:rsidR="00D045B0" w:rsidRPr="004363F1" w:rsidRDefault="00EB2F0A"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lang w:val="en-CA" w:eastAsia="ja-JP"/>
        </w:rPr>
        <w:tab/>
        <w:t>However, P</w:t>
      </w:r>
      <w:r w:rsidR="00156012" w:rsidRPr="004363F1">
        <w:rPr>
          <w:rFonts w:ascii="Times New Roman" w:eastAsiaTheme="minorEastAsia" w:hAnsi="Times New Roman" w:cs="Times New Roman"/>
          <w:sz w:val="20"/>
          <w:szCs w:val="20"/>
          <w:lang w:val="en-CA" w:eastAsia="ja-JP"/>
        </w:rPr>
        <w:t xml:space="preserve">anel 3 of </w:t>
      </w:r>
      <w:r w:rsidR="00774B2D" w:rsidRPr="004363F1">
        <w:rPr>
          <w:rFonts w:ascii="Times New Roman" w:eastAsiaTheme="minorEastAsia" w:hAnsi="Times New Roman" w:cs="Times New Roman"/>
          <w:sz w:val="20"/>
          <w:szCs w:val="20"/>
          <w:lang w:val="en-CA" w:eastAsia="ja-JP"/>
        </w:rPr>
        <w:t xml:space="preserve">Supplemental Table </w:t>
      </w:r>
      <w:r w:rsidR="005F45A4" w:rsidRPr="004363F1">
        <w:rPr>
          <w:rFonts w:ascii="Times New Roman" w:eastAsiaTheme="minorEastAsia" w:hAnsi="Times New Roman" w:cs="Times New Roman"/>
          <w:sz w:val="20"/>
          <w:szCs w:val="20"/>
          <w:lang w:val="en-CA" w:eastAsia="ja-JP"/>
        </w:rPr>
        <w:t>3</w:t>
      </w:r>
      <w:r w:rsidR="00156012" w:rsidRPr="004363F1">
        <w:rPr>
          <w:rFonts w:ascii="Times New Roman" w:eastAsiaTheme="minorEastAsia" w:hAnsi="Times New Roman" w:cs="Times New Roman"/>
          <w:sz w:val="20"/>
          <w:szCs w:val="20"/>
          <w:lang w:val="en-CA" w:eastAsia="ja-JP"/>
        </w:rPr>
        <w:t xml:space="preserve"> shows that the further addition of the day 1 and change variables of p</w:t>
      </w:r>
      <w:r w:rsidR="005E3FEB" w:rsidRPr="004363F1">
        <w:rPr>
          <w:rFonts w:ascii="Times New Roman" w:eastAsiaTheme="minorEastAsia" w:hAnsi="Times New Roman" w:cs="Times New Roman"/>
          <w:sz w:val="20"/>
          <w:szCs w:val="20"/>
          <w:lang w:val="en-CA" w:eastAsia="ja-JP"/>
        </w:rPr>
        <w:t>rotein C and platelets caused the day 1 variable of creatinine to become a non-significant explanatory variable (</w:t>
      </w:r>
      <w:r w:rsidR="009C4A2B" w:rsidRPr="004363F1">
        <w:rPr>
          <w:rFonts w:ascii="Times New Roman" w:eastAsiaTheme="minorEastAsia" w:hAnsi="Times New Roman" w:cs="Times New Roman"/>
          <w:sz w:val="20"/>
          <w:szCs w:val="20"/>
          <w:lang w:val="en-CA" w:eastAsia="ja-JP"/>
        </w:rPr>
        <w:t xml:space="preserve">coefficient=0.1593, </w:t>
      </w:r>
      <w:r w:rsidR="005E3FEB" w:rsidRPr="004363F1">
        <w:rPr>
          <w:rFonts w:ascii="Times New Roman" w:eastAsiaTheme="minorEastAsia" w:hAnsi="Times New Roman" w:cs="Times New Roman"/>
          <w:sz w:val="20"/>
          <w:szCs w:val="20"/>
          <w:lang w:val="en-CA" w:eastAsia="ja-JP"/>
        </w:rPr>
        <w:t xml:space="preserve">p=0.3231). This was the consequence of the overlap between the weaker predictive power of the day 1 variable of creatinine and the stronger predictive powers of the day 1 variables of protein C and platelets. </w:t>
      </w:r>
      <w:r w:rsidR="0051089C" w:rsidRPr="004363F1">
        <w:rPr>
          <w:rFonts w:ascii="Times New Roman" w:eastAsiaTheme="minorEastAsia" w:hAnsi="Times New Roman" w:cs="Times New Roman"/>
          <w:sz w:val="20"/>
          <w:szCs w:val="20"/>
          <w:lang w:val="en-CA" w:eastAsia="ja-JP"/>
        </w:rPr>
        <w:t xml:space="preserve">Behind </w:t>
      </w:r>
      <w:r w:rsidR="005E3FEB" w:rsidRPr="004363F1">
        <w:rPr>
          <w:rFonts w:ascii="Times New Roman" w:eastAsiaTheme="minorEastAsia" w:hAnsi="Times New Roman" w:cs="Times New Roman"/>
          <w:sz w:val="20"/>
          <w:szCs w:val="20"/>
          <w:lang w:val="en-CA" w:eastAsia="ja-JP"/>
        </w:rPr>
        <w:t xml:space="preserve">this </w:t>
      </w:r>
      <w:r w:rsidR="00F13C4C" w:rsidRPr="004363F1">
        <w:rPr>
          <w:rFonts w:ascii="Times New Roman" w:eastAsiaTheme="minorEastAsia" w:hAnsi="Times New Roman" w:cs="Times New Roman"/>
          <w:sz w:val="20"/>
          <w:szCs w:val="20"/>
          <w:lang w:val="en-CA" w:eastAsia="ja-JP"/>
        </w:rPr>
        <w:t>overlap were</w:t>
      </w:r>
      <w:r w:rsidR="005E3FEB" w:rsidRPr="004363F1">
        <w:rPr>
          <w:rFonts w:ascii="Times New Roman" w:eastAsiaTheme="minorEastAsia" w:hAnsi="Times New Roman" w:cs="Times New Roman"/>
          <w:sz w:val="20"/>
          <w:szCs w:val="20"/>
          <w:lang w:val="en-CA" w:eastAsia="ja-JP"/>
        </w:rPr>
        <w:t xml:space="preserve"> </w:t>
      </w:r>
      <w:r w:rsidR="0051089C" w:rsidRPr="004363F1">
        <w:rPr>
          <w:rFonts w:ascii="Times New Roman" w:eastAsiaTheme="minorEastAsia" w:hAnsi="Times New Roman" w:cs="Times New Roman"/>
          <w:sz w:val="20"/>
          <w:szCs w:val="20"/>
          <w:lang w:val="en-CA" w:eastAsia="ja-JP"/>
        </w:rPr>
        <w:t>the significant correlations</w:t>
      </w:r>
      <w:r w:rsidR="005E3FEB" w:rsidRPr="004363F1">
        <w:rPr>
          <w:rFonts w:ascii="Times New Roman" w:eastAsiaTheme="minorEastAsia" w:hAnsi="Times New Roman" w:cs="Times New Roman"/>
          <w:sz w:val="20"/>
          <w:szCs w:val="20"/>
          <w:lang w:val="en-CA" w:eastAsia="ja-JP"/>
        </w:rPr>
        <w:t xml:space="preserve"> </w:t>
      </w:r>
      <w:r w:rsidR="0051089C" w:rsidRPr="004363F1">
        <w:rPr>
          <w:rFonts w:ascii="Times New Roman" w:eastAsiaTheme="minorEastAsia" w:hAnsi="Times New Roman" w:cs="Times New Roman"/>
          <w:sz w:val="20"/>
          <w:szCs w:val="20"/>
          <w:lang w:val="en-CA" w:eastAsia="ja-JP"/>
        </w:rPr>
        <w:t xml:space="preserve">of the day 1 variable of creatinine </w:t>
      </w:r>
      <w:r w:rsidR="005E3FEB" w:rsidRPr="004363F1">
        <w:rPr>
          <w:rFonts w:ascii="Times New Roman" w:eastAsiaTheme="minorEastAsia" w:hAnsi="Times New Roman" w:cs="Times New Roman"/>
          <w:sz w:val="20"/>
          <w:szCs w:val="20"/>
          <w:lang w:val="en-CA" w:eastAsia="ja-JP"/>
        </w:rPr>
        <w:t>with the</w:t>
      </w:r>
      <w:r w:rsidR="0051089C" w:rsidRPr="004363F1">
        <w:rPr>
          <w:rFonts w:ascii="Times New Roman" w:eastAsiaTheme="minorEastAsia" w:hAnsi="Times New Roman" w:cs="Times New Roman"/>
          <w:sz w:val="20"/>
          <w:szCs w:val="20"/>
          <w:lang w:val="en-CA" w:eastAsia="ja-JP"/>
        </w:rPr>
        <w:t xml:space="preserve"> corresponding variables of protein C and platelets</w:t>
      </w:r>
      <w:r w:rsidR="005E3FEB" w:rsidRPr="004363F1">
        <w:rPr>
          <w:rFonts w:ascii="Times New Roman" w:eastAsiaTheme="minorEastAsia" w:hAnsi="Times New Roman" w:cs="Times New Roman"/>
          <w:sz w:val="20"/>
          <w:szCs w:val="20"/>
          <w:lang w:val="en-CA" w:eastAsia="ja-JP"/>
        </w:rPr>
        <w:t>.</w:t>
      </w:r>
      <w:r w:rsidR="00156012" w:rsidRPr="004363F1">
        <w:rPr>
          <w:rFonts w:ascii="Times New Roman" w:eastAsiaTheme="minorEastAsia" w:hAnsi="Times New Roman" w:cs="Times New Roman"/>
          <w:sz w:val="20"/>
          <w:szCs w:val="20"/>
          <w:lang w:val="en-CA" w:eastAsia="ja-JP"/>
        </w:rPr>
        <w:t xml:space="preserve"> </w:t>
      </w:r>
      <w:r w:rsidR="005E1D2B" w:rsidRPr="004363F1">
        <w:rPr>
          <w:rFonts w:ascii="Times New Roman" w:eastAsiaTheme="minorEastAsia" w:hAnsi="Times New Roman" w:cs="Times New Roman"/>
          <w:sz w:val="20"/>
          <w:szCs w:val="20"/>
          <w:lang w:val="en-CA" w:eastAsia="ja-JP"/>
        </w:rPr>
        <w:t xml:space="preserve"> </w:t>
      </w:r>
      <w:r w:rsidR="00AE194B" w:rsidRPr="004363F1">
        <w:rPr>
          <w:rFonts w:ascii="Times New Roman" w:eastAsiaTheme="minorEastAsia" w:hAnsi="Times New Roman" w:cs="Times New Roman"/>
          <w:sz w:val="20"/>
          <w:szCs w:val="20"/>
          <w:lang w:val="en-CA" w:eastAsia="ja-JP"/>
        </w:rPr>
        <w:t>The two correlations were -0.155 (N=6,724, p&lt;0.0001) for protein C and -0.202 (N=6,724, p&lt;0.0001) for platelets.</w:t>
      </w:r>
      <w:r w:rsidR="00640F09" w:rsidRPr="004363F1">
        <w:rPr>
          <w:rFonts w:ascii="Times New Roman" w:eastAsiaTheme="minorEastAsia" w:hAnsi="Times New Roman" w:cs="Times New Roman"/>
          <w:sz w:val="20"/>
          <w:szCs w:val="20"/>
          <w:lang w:val="en-CA" w:eastAsia="ja-JP"/>
        </w:rPr>
        <w:t xml:space="preserve"> In short, the loss of usefulness of the day </w:t>
      </w:r>
      <w:r w:rsidR="000B15BB" w:rsidRPr="004363F1">
        <w:rPr>
          <w:rFonts w:ascii="Times New Roman" w:eastAsiaTheme="minorEastAsia" w:hAnsi="Times New Roman" w:cs="Times New Roman"/>
          <w:sz w:val="20"/>
          <w:szCs w:val="20"/>
          <w:lang w:val="en-CA" w:eastAsia="ja-JP"/>
        </w:rPr>
        <w:t>1 variable of creatinine resulted</w:t>
      </w:r>
      <w:r w:rsidR="00640F09" w:rsidRPr="004363F1">
        <w:rPr>
          <w:rFonts w:ascii="Times New Roman" w:eastAsiaTheme="minorEastAsia" w:hAnsi="Times New Roman" w:cs="Times New Roman"/>
          <w:sz w:val="20"/>
          <w:szCs w:val="20"/>
          <w:lang w:val="en-CA" w:eastAsia="ja-JP"/>
        </w:rPr>
        <w:t xml:space="preserve"> fro</w:t>
      </w:r>
      <w:r w:rsidR="004215B4" w:rsidRPr="004363F1">
        <w:rPr>
          <w:rFonts w:ascii="Times New Roman" w:eastAsiaTheme="minorEastAsia" w:hAnsi="Times New Roman" w:cs="Times New Roman"/>
          <w:sz w:val="20"/>
          <w:szCs w:val="20"/>
          <w:lang w:val="en-CA" w:eastAsia="ja-JP"/>
        </w:rPr>
        <w:t>m a multicollinearity problem. However, i</w:t>
      </w:r>
      <w:r w:rsidR="00640F09" w:rsidRPr="004363F1">
        <w:rPr>
          <w:rFonts w:ascii="Times New Roman" w:eastAsiaTheme="minorEastAsia" w:hAnsi="Times New Roman" w:cs="Times New Roman"/>
          <w:sz w:val="20"/>
          <w:szCs w:val="20"/>
          <w:lang w:val="en-CA" w:eastAsia="ja-JP"/>
        </w:rPr>
        <w:t>t is use</w:t>
      </w:r>
      <w:r w:rsidR="001013F2" w:rsidRPr="004363F1">
        <w:rPr>
          <w:rFonts w:ascii="Times New Roman" w:eastAsiaTheme="minorEastAsia" w:hAnsi="Times New Roman" w:cs="Times New Roman"/>
          <w:sz w:val="20"/>
          <w:szCs w:val="20"/>
          <w:lang w:val="en-CA" w:eastAsia="ja-JP"/>
        </w:rPr>
        <w:t>ful to remember</w:t>
      </w:r>
      <w:r w:rsidR="00640F09" w:rsidRPr="004363F1">
        <w:rPr>
          <w:rFonts w:ascii="Times New Roman" w:eastAsiaTheme="minorEastAsia" w:hAnsi="Times New Roman" w:cs="Times New Roman"/>
          <w:sz w:val="20"/>
          <w:szCs w:val="20"/>
          <w:lang w:val="en-CA" w:eastAsia="ja-JP"/>
        </w:rPr>
        <w:t xml:space="preserve"> from Panel 2 that </w:t>
      </w:r>
      <w:r w:rsidR="008520C5" w:rsidRPr="004363F1">
        <w:rPr>
          <w:rFonts w:ascii="Times New Roman" w:eastAsiaTheme="minorEastAsia" w:hAnsi="Times New Roman" w:cs="Times New Roman"/>
          <w:sz w:val="20"/>
          <w:szCs w:val="20"/>
          <w:lang w:val="en-CA" w:eastAsia="ja-JP"/>
        </w:rPr>
        <w:t xml:space="preserve">a </w:t>
      </w:r>
      <w:r w:rsidR="00640F09" w:rsidRPr="004363F1">
        <w:rPr>
          <w:rFonts w:ascii="Times New Roman" w:eastAsiaTheme="minorEastAsia" w:hAnsi="Times New Roman" w:cs="Times New Roman"/>
          <w:sz w:val="20"/>
          <w:szCs w:val="20"/>
          <w:lang w:val="en-CA" w:eastAsia="ja-JP"/>
        </w:rPr>
        <w:t xml:space="preserve">strong correlation between explanatory variables need not result in a multicollinearity problem. </w:t>
      </w:r>
    </w:p>
    <w:p w14:paraId="5249FAE3" w14:textId="77777777" w:rsidR="007E1D4C" w:rsidRPr="004363F1" w:rsidRDefault="007E1D4C" w:rsidP="00CC0983">
      <w:pPr>
        <w:spacing w:after="0" w:line="240" w:lineRule="auto"/>
        <w:jc w:val="both"/>
        <w:rPr>
          <w:rFonts w:ascii="Times New Roman" w:eastAsiaTheme="minorEastAsia" w:hAnsi="Times New Roman" w:cs="Times New Roman"/>
          <w:sz w:val="24"/>
          <w:szCs w:val="24"/>
          <w:lang w:val="en-CA" w:eastAsia="ja-JP"/>
        </w:rPr>
      </w:pPr>
    </w:p>
    <w:p w14:paraId="7B2AAC41" w14:textId="77777777" w:rsidR="00AA0E81" w:rsidRPr="004363F1" w:rsidRDefault="00774B2D"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b/>
          <w:sz w:val="24"/>
          <w:szCs w:val="24"/>
          <w:lang w:val="en-CA" w:eastAsia="ja-JP"/>
        </w:rPr>
        <w:t xml:space="preserve">Supplemental Text </w:t>
      </w:r>
      <w:r w:rsidR="00D21B3B" w:rsidRPr="004363F1">
        <w:rPr>
          <w:rFonts w:ascii="Times New Roman" w:eastAsiaTheme="minorEastAsia" w:hAnsi="Times New Roman" w:cs="Times New Roman"/>
          <w:b/>
          <w:sz w:val="24"/>
          <w:szCs w:val="24"/>
          <w:lang w:val="en-CA" w:eastAsia="ja-JP"/>
        </w:rPr>
        <w:t>7</w:t>
      </w:r>
      <w:r w:rsidR="00072F4F" w:rsidRPr="004363F1">
        <w:rPr>
          <w:rFonts w:ascii="Times New Roman" w:eastAsiaTheme="minorEastAsia" w:hAnsi="Times New Roman" w:cs="Times New Roman"/>
          <w:b/>
          <w:sz w:val="24"/>
          <w:szCs w:val="24"/>
          <w:lang w:val="en-CA" w:eastAsia="ja-JP"/>
        </w:rPr>
        <w:t xml:space="preserve">: </w:t>
      </w:r>
      <w:r w:rsidR="00D6123F" w:rsidRPr="004363F1">
        <w:rPr>
          <w:rFonts w:ascii="Times New Roman" w:eastAsiaTheme="minorEastAsia" w:hAnsi="Times New Roman" w:cs="Times New Roman"/>
          <w:b/>
          <w:sz w:val="24"/>
          <w:szCs w:val="24"/>
          <w:lang w:val="en-CA" w:eastAsia="ja-JP"/>
        </w:rPr>
        <w:t>Evaluation of the r</w:t>
      </w:r>
      <w:r w:rsidR="00AA0E81" w:rsidRPr="004363F1">
        <w:rPr>
          <w:rFonts w:ascii="Times New Roman" w:eastAsiaTheme="minorEastAsia" w:hAnsi="Times New Roman" w:cs="Times New Roman"/>
          <w:b/>
          <w:sz w:val="24"/>
          <w:szCs w:val="24"/>
          <w:lang w:val="en-CA" w:eastAsia="ja-JP"/>
        </w:rPr>
        <w:t xml:space="preserve">elative </w:t>
      </w:r>
      <w:r w:rsidR="00D6123F" w:rsidRPr="004363F1">
        <w:rPr>
          <w:rFonts w:ascii="Times New Roman" w:eastAsiaTheme="minorEastAsia" w:hAnsi="Times New Roman" w:cs="Times New Roman"/>
          <w:b/>
          <w:sz w:val="24"/>
          <w:szCs w:val="24"/>
          <w:lang w:val="en-CA" w:eastAsia="ja-JP"/>
        </w:rPr>
        <w:t>i</w:t>
      </w:r>
      <w:r w:rsidR="003F1660" w:rsidRPr="004363F1">
        <w:rPr>
          <w:rFonts w:ascii="Times New Roman" w:eastAsiaTheme="minorEastAsia" w:hAnsi="Times New Roman" w:cs="Times New Roman"/>
          <w:b/>
          <w:sz w:val="24"/>
          <w:szCs w:val="24"/>
          <w:lang w:val="en-CA" w:eastAsia="ja-JP"/>
        </w:rPr>
        <w:t>mportance among</w:t>
      </w:r>
      <w:r w:rsidR="00AA0E81" w:rsidRPr="004363F1">
        <w:rPr>
          <w:rFonts w:ascii="Times New Roman" w:eastAsiaTheme="minorEastAsia" w:hAnsi="Times New Roman" w:cs="Times New Roman"/>
          <w:b/>
          <w:sz w:val="24"/>
          <w:szCs w:val="24"/>
          <w:lang w:val="en-CA" w:eastAsia="ja-JP"/>
        </w:rPr>
        <w:t xml:space="preserve"> TVBIs</w:t>
      </w:r>
      <w:r w:rsidR="00D6123F" w:rsidRPr="004363F1">
        <w:rPr>
          <w:rFonts w:ascii="Times New Roman" w:eastAsiaTheme="minorEastAsia" w:hAnsi="Times New Roman" w:cs="Times New Roman"/>
          <w:b/>
          <w:sz w:val="24"/>
          <w:szCs w:val="24"/>
          <w:lang w:val="en-CA" w:eastAsia="ja-JP"/>
        </w:rPr>
        <w:t xml:space="preserve"> and the r</w:t>
      </w:r>
      <w:r w:rsidR="003F1660" w:rsidRPr="004363F1">
        <w:rPr>
          <w:rFonts w:ascii="Times New Roman" w:eastAsiaTheme="minorEastAsia" w:hAnsi="Times New Roman" w:cs="Times New Roman"/>
          <w:b/>
          <w:sz w:val="24"/>
          <w:szCs w:val="24"/>
          <w:lang w:val="en-CA" w:eastAsia="ja-JP"/>
        </w:rPr>
        <w:t xml:space="preserve">elative </w:t>
      </w:r>
      <w:r w:rsidR="00D6123F" w:rsidRPr="004363F1">
        <w:rPr>
          <w:rFonts w:ascii="Times New Roman" w:eastAsiaTheme="minorEastAsia" w:hAnsi="Times New Roman" w:cs="Times New Roman"/>
          <w:b/>
          <w:sz w:val="24"/>
          <w:szCs w:val="24"/>
          <w:lang w:val="en-CA" w:eastAsia="ja-JP"/>
        </w:rPr>
        <w:t>importance between the l</w:t>
      </w:r>
      <w:r w:rsidR="003F1660" w:rsidRPr="004363F1">
        <w:rPr>
          <w:rFonts w:ascii="Times New Roman" w:eastAsiaTheme="minorEastAsia" w:hAnsi="Times New Roman" w:cs="Times New Roman"/>
          <w:b/>
          <w:sz w:val="24"/>
          <w:szCs w:val="24"/>
          <w:lang w:val="en-CA" w:eastAsia="ja-JP"/>
        </w:rPr>
        <w:t xml:space="preserve">evel </w:t>
      </w:r>
      <w:r w:rsidR="00D6123F" w:rsidRPr="004363F1">
        <w:rPr>
          <w:rFonts w:ascii="Times New Roman" w:eastAsiaTheme="minorEastAsia" w:hAnsi="Times New Roman" w:cs="Times New Roman"/>
          <w:b/>
          <w:sz w:val="24"/>
          <w:szCs w:val="24"/>
          <w:lang w:val="en-CA" w:eastAsia="ja-JP"/>
        </w:rPr>
        <w:t>and change variables of e</w:t>
      </w:r>
      <w:r w:rsidR="003F1660" w:rsidRPr="004363F1">
        <w:rPr>
          <w:rFonts w:ascii="Times New Roman" w:eastAsiaTheme="minorEastAsia" w:hAnsi="Times New Roman" w:cs="Times New Roman"/>
          <w:b/>
          <w:sz w:val="24"/>
          <w:szCs w:val="24"/>
          <w:lang w:val="en-CA" w:eastAsia="ja-JP"/>
        </w:rPr>
        <w:t>ach TVBI</w:t>
      </w:r>
    </w:p>
    <w:p w14:paraId="2F1F38FE" w14:textId="77777777" w:rsidR="00AA0E81" w:rsidRPr="004363F1" w:rsidRDefault="00BC3098" w:rsidP="00CC0983">
      <w:pPr>
        <w:autoSpaceDE w:val="0"/>
        <w:autoSpaceDN w:val="0"/>
        <w:adjustRightInd w:val="0"/>
        <w:spacing w:after="0" w:line="240" w:lineRule="auto"/>
        <w:ind w:firstLine="720"/>
        <w:jc w:val="both"/>
        <w:rPr>
          <w:rFonts w:ascii="Times New Roman" w:hAnsi="Times New Roman" w:cs="Times New Roman"/>
          <w:sz w:val="20"/>
          <w:szCs w:val="20"/>
        </w:rPr>
      </w:pPr>
      <w:r w:rsidRPr="004363F1">
        <w:rPr>
          <w:rFonts w:ascii="Times New Roman" w:hAnsi="Times New Roman" w:cs="Times New Roman"/>
          <w:sz w:val="20"/>
          <w:szCs w:val="20"/>
        </w:rPr>
        <w:t>The hazard ratios computed from the estimated coefficients by exponentiation are not suitable for comparing the relative importanc</w:t>
      </w:r>
      <w:r w:rsidR="00B2538B" w:rsidRPr="004363F1">
        <w:rPr>
          <w:rFonts w:ascii="Times New Roman" w:hAnsi="Times New Roman" w:cs="Times New Roman"/>
          <w:sz w:val="20"/>
          <w:szCs w:val="20"/>
        </w:rPr>
        <w:t xml:space="preserve">e of the explanatory variables </w:t>
      </w:r>
      <w:r w:rsidRPr="004363F1">
        <w:rPr>
          <w:rFonts w:ascii="Times New Roman" w:hAnsi="Times New Roman" w:cs="Times New Roman"/>
          <w:sz w:val="20"/>
          <w:szCs w:val="20"/>
        </w:rPr>
        <w:t>because the explanatory variables do not share a common unit. To overcome the comparability problem</w:t>
      </w:r>
      <w:r w:rsidR="00064C6F" w:rsidRPr="004363F1">
        <w:rPr>
          <w:rFonts w:ascii="Times New Roman" w:hAnsi="Times New Roman" w:cs="Times New Roman"/>
          <w:sz w:val="20"/>
          <w:szCs w:val="20"/>
        </w:rPr>
        <w:t>, we introduce</w:t>
      </w:r>
      <w:r w:rsidRPr="004363F1">
        <w:rPr>
          <w:rFonts w:ascii="Times New Roman" w:hAnsi="Times New Roman" w:cs="Times New Roman"/>
          <w:sz w:val="20"/>
          <w:szCs w:val="20"/>
        </w:rPr>
        <w:t>d</w:t>
      </w:r>
      <w:r w:rsidR="00064C6F" w:rsidRPr="004363F1">
        <w:rPr>
          <w:rFonts w:ascii="Times New Roman" w:hAnsi="Times New Roman" w:cs="Times New Roman"/>
          <w:sz w:val="20"/>
          <w:szCs w:val="20"/>
        </w:rPr>
        <w:t xml:space="preserve"> a new way for assess</w:t>
      </w:r>
      <w:r w:rsidR="002E3E47" w:rsidRPr="004363F1">
        <w:rPr>
          <w:rFonts w:ascii="Times New Roman" w:hAnsi="Times New Roman" w:cs="Times New Roman"/>
          <w:sz w:val="20"/>
          <w:szCs w:val="20"/>
        </w:rPr>
        <w:t>ing</w:t>
      </w:r>
      <w:r w:rsidR="00064C6F" w:rsidRPr="004363F1">
        <w:rPr>
          <w:rFonts w:ascii="Times New Roman" w:hAnsi="Times New Roman" w:cs="Times New Roman"/>
          <w:sz w:val="20"/>
          <w:szCs w:val="20"/>
        </w:rPr>
        <w:t xml:space="preserve"> the relative importance of the explanatory variables. </w:t>
      </w:r>
      <w:r w:rsidR="00347DF2" w:rsidRPr="004363F1">
        <w:rPr>
          <w:rFonts w:ascii="Times New Roman" w:hAnsi="Times New Roman" w:cs="Times New Roman"/>
          <w:sz w:val="20"/>
          <w:szCs w:val="20"/>
        </w:rPr>
        <w:t>W</w:t>
      </w:r>
      <w:r w:rsidR="00AA0E81" w:rsidRPr="004363F1">
        <w:rPr>
          <w:rFonts w:ascii="Times New Roman" w:hAnsi="Times New Roman" w:cs="Times New Roman"/>
          <w:sz w:val="20"/>
          <w:szCs w:val="20"/>
        </w:rPr>
        <w:t xml:space="preserve">e </w:t>
      </w:r>
      <w:r w:rsidR="00064C6F" w:rsidRPr="004363F1">
        <w:rPr>
          <w:rFonts w:ascii="Times New Roman" w:hAnsi="Times New Roman" w:cs="Times New Roman"/>
          <w:sz w:val="20"/>
          <w:szCs w:val="20"/>
        </w:rPr>
        <w:t>start</w:t>
      </w:r>
      <w:r w:rsidR="002E3E47" w:rsidRPr="004363F1">
        <w:rPr>
          <w:rFonts w:ascii="Times New Roman" w:hAnsi="Times New Roman" w:cs="Times New Roman"/>
          <w:sz w:val="20"/>
          <w:szCs w:val="20"/>
        </w:rPr>
        <w:t>ed</w:t>
      </w:r>
      <w:r w:rsidR="00064C6F" w:rsidRPr="004363F1">
        <w:rPr>
          <w:rFonts w:ascii="Times New Roman" w:hAnsi="Times New Roman" w:cs="Times New Roman"/>
          <w:sz w:val="20"/>
          <w:szCs w:val="20"/>
        </w:rPr>
        <w:t xml:space="preserve"> by </w:t>
      </w:r>
      <w:r w:rsidR="00AA0E81" w:rsidRPr="004363F1">
        <w:rPr>
          <w:rFonts w:ascii="Times New Roman" w:hAnsi="Times New Roman" w:cs="Times New Roman"/>
          <w:sz w:val="20"/>
          <w:szCs w:val="20"/>
        </w:rPr>
        <w:t>transform</w:t>
      </w:r>
      <w:r w:rsidR="00064C6F" w:rsidRPr="004363F1">
        <w:rPr>
          <w:rFonts w:ascii="Times New Roman" w:hAnsi="Times New Roman" w:cs="Times New Roman"/>
          <w:sz w:val="20"/>
          <w:szCs w:val="20"/>
        </w:rPr>
        <w:t>ing</w:t>
      </w:r>
      <w:r w:rsidR="00AA0E81" w:rsidRPr="004363F1">
        <w:rPr>
          <w:rFonts w:ascii="Times New Roman" w:hAnsi="Times New Roman" w:cs="Times New Roman"/>
          <w:sz w:val="20"/>
          <w:szCs w:val="20"/>
        </w:rPr>
        <w:t xml:space="preserve"> the </w:t>
      </w:r>
      <w:r w:rsidR="00347DF2" w:rsidRPr="004363F1">
        <w:rPr>
          <w:rFonts w:ascii="Times New Roman" w:hAnsi="Times New Roman" w:cs="Times New Roman"/>
          <w:sz w:val="20"/>
          <w:szCs w:val="20"/>
        </w:rPr>
        <w:t xml:space="preserve">CLOGLOG </w:t>
      </w:r>
      <w:r w:rsidR="00AA0E81" w:rsidRPr="004363F1">
        <w:rPr>
          <w:rFonts w:ascii="Times New Roman" w:hAnsi="Times New Roman" w:cs="Times New Roman"/>
          <w:sz w:val="20"/>
          <w:szCs w:val="20"/>
        </w:rPr>
        <w:t>model into the following form:</w:t>
      </w:r>
    </w:p>
    <w:p w14:paraId="5BDA3A05" w14:textId="77777777" w:rsidR="00AA0E81" w:rsidRPr="004363F1" w:rsidRDefault="00AA0E81" w:rsidP="00CC0983">
      <w:pPr>
        <w:spacing w:after="0" w:line="24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log(</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i1t</m:t>
              </m:r>
            </m:sub>
          </m:sSub>
          <m: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i2t</m:t>
              </m:r>
            </m:sub>
          </m:sSub>
          <m: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k</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ikt</m:t>
              </m:r>
            </m:sub>
          </m:sSub>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5</m:t>
              </m:r>
            </m:e>
          </m:d>
        </m:oMath>
      </m:oMathPara>
    </w:p>
    <w:p w14:paraId="5DF0B22C" w14:textId="77777777" w:rsidR="00A22272" w:rsidRPr="004363F1" w:rsidRDefault="00AA0E81" w:rsidP="00CC0983">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k</m:t>
            </m:r>
          </m:sub>
        </m:sSub>
      </m:oMath>
      <w:r w:rsidRPr="004363F1">
        <w:rPr>
          <w:rFonts w:ascii="Times New Roman" w:eastAsiaTheme="minorEastAsia" w:hAnsi="Times New Roman" w:cs="Times New Roman"/>
          <w:sz w:val="20"/>
          <w:szCs w:val="20"/>
        </w:rPr>
        <w:t xml:space="preserve">is the kth element of </w:t>
      </w:r>
      <m:oMath>
        <m:sSup>
          <m:sSupPr>
            <m:ctrlPr>
              <w:rPr>
                <w:rFonts w:ascii="Cambria Math" w:hAnsi="Cambria Math" w:cs="Times New Roman"/>
                <w:i/>
                <w:sz w:val="20"/>
                <w:szCs w:val="20"/>
              </w:rPr>
            </m:ctrlPr>
          </m:sSupPr>
          <m:e>
            <m:r>
              <m:rPr>
                <m:sty m:val="bi"/>
              </m:rPr>
              <w:rPr>
                <w:rFonts w:ascii="Cambria Math" w:hAnsi="Cambria Math" w:cs="Times New Roman"/>
                <w:sz w:val="20"/>
                <w:szCs w:val="20"/>
              </w:rPr>
              <m:t>β</m:t>
            </m:r>
          </m:e>
          <m:sup>
            <m:r>
              <w:rPr>
                <w:rFonts w:ascii="Cambria Math" w:hAnsi="Cambria Math" w:cs="Times New Roman"/>
                <w:sz w:val="20"/>
                <w:szCs w:val="20"/>
              </w:rPr>
              <m:t>'</m:t>
            </m:r>
          </m:sup>
        </m:sSup>
      </m:oMath>
      <w:r w:rsidRPr="004363F1">
        <w:rPr>
          <w:rFonts w:ascii="Times New Roman" w:eastAsiaTheme="minorEastAsia" w:hAnsi="Times New Roman" w:cs="Times New Roman"/>
          <w:sz w:val="20"/>
          <w:szCs w:val="20"/>
        </w:rPr>
        <w:t xml:space="preserve"> and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ikt</m:t>
            </m:r>
          </m:sub>
        </m:sSub>
      </m:oMath>
      <w:r w:rsidRPr="004363F1">
        <w:rPr>
          <w:rFonts w:ascii="Times New Roman" w:eastAsiaTheme="minorEastAsia" w:hAnsi="Times New Roman" w:cs="Times New Roman"/>
          <w:sz w:val="20"/>
          <w:szCs w:val="20"/>
        </w:rPr>
        <w:t xml:space="preserve"> is the kth element of </w:t>
      </w:r>
      <m:oMath>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it</m:t>
            </m:r>
          </m:sub>
        </m:sSub>
      </m:oMath>
      <w:r w:rsidRPr="004363F1">
        <w:rPr>
          <w:rFonts w:ascii="Times New Roman" w:eastAsiaTheme="minorEastAsia" w:hAnsi="Times New Roman" w:cs="Times New Roman"/>
          <w:sz w:val="20"/>
          <w:szCs w:val="20"/>
        </w:rPr>
        <w:t xml:space="preserve">. Despite the fact that the explanatory variables have different physical units, the additive terms </w:t>
      </w:r>
      <w:r w:rsidR="008347C2" w:rsidRPr="004363F1">
        <w:rPr>
          <w:rFonts w:ascii="Times New Roman" w:eastAsiaTheme="minorEastAsia" w:hAnsi="Times New Roman" w:cs="Times New Roman"/>
          <w:sz w:val="20"/>
          <w:szCs w:val="20"/>
        </w:rPr>
        <w:t>on the right-hand-side of Eq. (</w:t>
      </w:r>
      <w:r w:rsidR="00083068" w:rsidRPr="004363F1">
        <w:rPr>
          <w:rFonts w:ascii="Times New Roman" w:eastAsiaTheme="minorEastAsia" w:hAnsi="Times New Roman" w:cs="Times New Roman"/>
          <w:sz w:val="20"/>
          <w:szCs w:val="20"/>
        </w:rPr>
        <w:t>5</w:t>
      </w:r>
      <w:r w:rsidRPr="004363F1">
        <w:rPr>
          <w:rFonts w:ascii="Times New Roman" w:eastAsiaTheme="minorEastAsia" w:hAnsi="Times New Roman" w:cs="Times New Roman"/>
          <w:sz w:val="20"/>
          <w:szCs w:val="20"/>
        </w:rPr>
        <w:t>) have a common unit</w:t>
      </w:r>
      <w:r w:rsidR="00BD22FE" w:rsidRPr="004363F1">
        <w:rPr>
          <w:rFonts w:ascii="Times New Roman" w:eastAsiaTheme="minorEastAsia" w:hAnsi="Times New Roman" w:cs="Times New Roman"/>
          <w:sz w:val="20"/>
          <w:szCs w:val="20"/>
        </w:rPr>
        <w:t>,</w:t>
      </w:r>
      <w:r w:rsidRPr="004363F1">
        <w:rPr>
          <w:rFonts w:ascii="Times New Roman" w:eastAsiaTheme="minorEastAsia" w:hAnsi="Times New Roman" w:cs="Times New Roman"/>
          <w:sz w:val="20"/>
          <w:szCs w:val="20"/>
        </w:rPr>
        <w:t xml:space="preserve"> </w:t>
      </w:r>
      <w:r w:rsidR="00BD22FE" w:rsidRPr="004363F1">
        <w:rPr>
          <w:rFonts w:ascii="Times New Roman" w:eastAsiaTheme="minorEastAsia" w:hAnsi="Times New Roman" w:cs="Times New Roman"/>
          <w:sz w:val="20"/>
          <w:szCs w:val="20"/>
        </w:rPr>
        <w:t>log</w:t>
      </w:r>
      <w:r w:rsidR="008347C2" w:rsidRPr="004363F1">
        <w:rPr>
          <w:rFonts w:ascii="Times New Roman" w:eastAsiaTheme="minorEastAsia" w:hAnsi="Times New Roman" w:cs="Times New Roman"/>
          <w:sz w:val="20"/>
          <w:szCs w:val="20"/>
        </w:rPr>
        <w:t>(1/day)</w:t>
      </w:r>
      <w:r w:rsidR="00BD22FE" w:rsidRPr="004363F1">
        <w:rPr>
          <w:rFonts w:ascii="Times New Roman" w:eastAsiaTheme="minorEastAsia" w:hAnsi="Times New Roman" w:cs="Times New Roman"/>
          <w:sz w:val="20"/>
          <w:szCs w:val="20"/>
        </w:rPr>
        <w:t>,</w:t>
      </w:r>
      <w:r w:rsidR="008347C2" w:rsidRPr="004363F1">
        <w:rPr>
          <w:rFonts w:ascii="Times New Roman" w:eastAsiaTheme="minorEastAsia" w:hAnsi="Times New Roman" w:cs="Times New Roman"/>
          <w:sz w:val="20"/>
          <w:szCs w:val="20"/>
        </w:rPr>
        <w:t xml:space="preserve"> </w:t>
      </w:r>
      <w:r w:rsidRPr="004363F1">
        <w:rPr>
          <w:rFonts w:ascii="Times New Roman" w:eastAsiaTheme="minorEastAsia" w:hAnsi="Times New Roman" w:cs="Times New Roman"/>
          <w:sz w:val="20"/>
          <w:szCs w:val="20"/>
        </w:rPr>
        <w:t xml:space="preserve">so that their </w:t>
      </w:r>
      <w:r w:rsidR="008347C2" w:rsidRPr="004363F1">
        <w:rPr>
          <w:rFonts w:ascii="Times New Roman" w:eastAsiaTheme="minorEastAsia" w:hAnsi="Times New Roman" w:cs="Times New Roman"/>
          <w:sz w:val="20"/>
          <w:szCs w:val="20"/>
        </w:rPr>
        <w:t>magnitudes can be used to evaluate</w:t>
      </w:r>
      <w:r w:rsidRPr="004363F1">
        <w:rPr>
          <w:rFonts w:ascii="Times New Roman" w:eastAsiaTheme="minorEastAsia" w:hAnsi="Times New Roman" w:cs="Times New Roman"/>
          <w:sz w:val="20"/>
          <w:szCs w:val="20"/>
        </w:rPr>
        <w:t xml:space="preserve"> the relative importance among the explanatory variables in determining the log of hazard. We call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k</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ikt</m:t>
            </m:r>
          </m:sub>
        </m:sSub>
      </m:oMath>
      <w:r w:rsidRPr="004363F1">
        <w:rPr>
          <w:rFonts w:ascii="Times New Roman" w:eastAsiaTheme="minorEastAsia" w:hAnsi="Times New Roman" w:cs="Times New Roman"/>
          <w:sz w:val="20"/>
          <w:szCs w:val="20"/>
        </w:rPr>
        <w:t xml:space="preserve"> the </w:t>
      </w:r>
      <w:r w:rsidRPr="004363F1">
        <w:rPr>
          <w:rFonts w:ascii="Times New Roman" w:eastAsiaTheme="minorEastAsia" w:hAnsi="Times New Roman" w:cs="Times New Roman"/>
          <w:i/>
          <w:sz w:val="20"/>
          <w:szCs w:val="20"/>
        </w:rPr>
        <w:t>additive contribution to the log of hazard of dying</w:t>
      </w:r>
      <w:r w:rsidRPr="004363F1">
        <w:rPr>
          <w:rFonts w:ascii="Times New Roman" w:eastAsiaTheme="minorEastAsia" w:hAnsi="Times New Roman" w:cs="Times New Roman"/>
          <w:sz w:val="20"/>
          <w:szCs w:val="20"/>
        </w:rPr>
        <w:t xml:space="preserve"> by the kth explanatory variable. </w:t>
      </w:r>
    </w:p>
    <w:p w14:paraId="75F03273" w14:textId="77777777" w:rsidR="00C918EC" w:rsidRPr="00E40366" w:rsidRDefault="00C918EC" w:rsidP="00CC0983">
      <w:pPr>
        <w:spacing w:after="0" w:line="240" w:lineRule="auto"/>
        <w:jc w:val="both"/>
        <w:rPr>
          <w:rFonts w:ascii="Times New Roman" w:eastAsiaTheme="minorEastAsia" w:hAnsi="Times New Roman" w:cs="Times New Roman"/>
          <w:sz w:val="20"/>
          <w:szCs w:val="20"/>
          <w:lang w:val="en-CA" w:eastAsia="ja-JP"/>
        </w:rPr>
      </w:pPr>
      <w:r w:rsidRPr="004363F1">
        <w:rPr>
          <w:rFonts w:ascii="Times New Roman" w:eastAsiaTheme="minorEastAsia" w:hAnsi="Times New Roman" w:cs="Times New Roman"/>
          <w:sz w:val="20"/>
          <w:szCs w:val="20"/>
        </w:rPr>
        <w:tab/>
      </w:r>
      <w:r w:rsidR="007745E8" w:rsidRPr="00875DCE">
        <w:rPr>
          <w:rFonts w:ascii="Times New Roman" w:eastAsiaTheme="minorEastAsia" w:hAnsi="Times New Roman" w:cs="Times New Roman"/>
          <w:sz w:val="20"/>
          <w:szCs w:val="20"/>
        </w:rPr>
        <w:t xml:space="preserve">We then </w:t>
      </w:r>
      <w:r w:rsidRPr="00875DCE">
        <w:rPr>
          <w:rFonts w:ascii="Times New Roman" w:eastAsiaTheme="minorEastAsia" w:hAnsi="Times New Roman" w:cs="Times New Roman"/>
          <w:sz w:val="20"/>
          <w:szCs w:val="20"/>
        </w:rPr>
        <w:t>compute</w:t>
      </w:r>
      <w:r w:rsidR="00D6123F" w:rsidRPr="00875DCE">
        <w:rPr>
          <w:rFonts w:ascii="Times New Roman" w:eastAsiaTheme="minorEastAsia" w:hAnsi="Times New Roman" w:cs="Times New Roman"/>
          <w:sz w:val="20"/>
          <w:szCs w:val="20"/>
        </w:rPr>
        <w:t>d</w:t>
      </w:r>
      <w:r w:rsidRPr="00875DCE">
        <w:rPr>
          <w:rFonts w:ascii="Times New Roman" w:eastAsiaTheme="minorEastAsia" w:hAnsi="Times New Roman" w:cs="Times New Roman"/>
          <w:sz w:val="20"/>
          <w:szCs w:val="20"/>
        </w:rPr>
        <w:t xml:space="preserve"> the additive contributions to two representative</w:t>
      </w:r>
      <w:r w:rsidR="000878A0" w:rsidRPr="00875DCE">
        <w:rPr>
          <w:rFonts w:ascii="Times New Roman" w:eastAsiaTheme="minorEastAsia" w:hAnsi="Times New Roman" w:cs="Times New Roman"/>
          <w:sz w:val="20"/>
          <w:szCs w:val="20"/>
        </w:rPr>
        <w:t xml:space="preserve"> </w:t>
      </w:r>
      <w:proofErr w:type="gramStart"/>
      <w:r w:rsidR="000878A0" w:rsidRPr="00875DCE">
        <w:rPr>
          <w:rFonts w:ascii="Times New Roman" w:eastAsiaTheme="minorEastAsia" w:hAnsi="Times New Roman" w:cs="Times New Roman"/>
          <w:sz w:val="20"/>
          <w:szCs w:val="20"/>
        </w:rPr>
        <w:t>log</w:t>
      </w:r>
      <w:proofErr w:type="gramEnd"/>
      <w:r w:rsidR="000878A0" w:rsidRPr="00875DCE">
        <w:rPr>
          <w:rFonts w:ascii="Times New Roman" w:eastAsiaTheme="minorEastAsia" w:hAnsi="Times New Roman" w:cs="Times New Roman"/>
          <w:sz w:val="20"/>
          <w:szCs w:val="20"/>
        </w:rPr>
        <w:t xml:space="preserve"> of</w:t>
      </w:r>
      <w:r w:rsidRPr="00875DCE">
        <w:rPr>
          <w:rFonts w:ascii="Times New Roman" w:eastAsiaTheme="minorEastAsia" w:hAnsi="Times New Roman" w:cs="Times New Roman"/>
          <w:sz w:val="20"/>
          <w:szCs w:val="20"/>
        </w:rPr>
        <w:t xml:space="preserve"> hazards: (1) the predicted </w:t>
      </w:r>
      <w:r w:rsidR="000878A0" w:rsidRPr="00875DCE">
        <w:rPr>
          <w:rFonts w:ascii="Times New Roman" w:eastAsiaTheme="minorEastAsia" w:hAnsi="Times New Roman" w:cs="Times New Roman"/>
          <w:sz w:val="20"/>
          <w:szCs w:val="20"/>
        </w:rPr>
        <w:t xml:space="preserve">log of </w:t>
      </w:r>
      <w:r w:rsidR="000634B8" w:rsidRPr="00875DCE">
        <w:rPr>
          <w:rFonts w:ascii="Times New Roman" w:eastAsiaTheme="minorEastAsia" w:hAnsi="Times New Roman" w:cs="Times New Roman"/>
          <w:sz w:val="20"/>
          <w:szCs w:val="20"/>
        </w:rPr>
        <w:t>hazard computed for</w:t>
      </w:r>
      <w:r w:rsidRPr="00875DCE">
        <w:rPr>
          <w:rFonts w:ascii="Times New Roman" w:eastAsiaTheme="minorEastAsia" w:hAnsi="Times New Roman" w:cs="Times New Roman"/>
          <w:sz w:val="20"/>
          <w:szCs w:val="20"/>
        </w:rPr>
        <w:t xml:space="preserve"> the mean of the non-survivor group, and (2) the predicted </w:t>
      </w:r>
      <w:r w:rsidR="000878A0" w:rsidRPr="00875DCE">
        <w:rPr>
          <w:rFonts w:ascii="Times New Roman" w:eastAsiaTheme="minorEastAsia" w:hAnsi="Times New Roman" w:cs="Times New Roman"/>
          <w:sz w:val="20"/>
          <w:szCs w:val="20"/>
        </w:rPr>
        <w:t xml:space="preserve">log of </w:t>
      </w:r>
      <w:r w:rsidR="000634B8" w:rsidRPr="00875DCE">
        <w:rPr>
          <w:rFonts w:ascii="Times New Roman" w:eastAsiaTheme="minorEastAsia" w:hAnsi="Times New Roman" w:cs="Times New Roman"/>
          <w:sz w:val="20"/>
          <w:szCs w:val="20"/>
        </w:rPr>
        <w:t>hazard computed for</w:t>
      </w:r>
      <w:r w:rsidRPr="00875DCE">
        <w:rPr>
          <w:rFonts w:ascii="Times New Roman" w:eastAsiaTheme="minorEastAsia" w:hAnsi="Times New Roman" w:cs="Times New Roman"/>
          <w:sz w:val="20"/>
          <w:szCs w:val="20"/>
        </w:rPr>
        <w:t xml:space="preserve"> the mean of the survivor group. For each explanatory variable, the </w:t>
      </w:r>
      <w:r w:rsidRPr="00875DCE">
        <w:rPr>
          <w:rFonts w:ascii="Times New Roman" w:eastAsiaTheme="minorEastAsia" w:hAnsi="Times New Roman" w:cs="Times New Roman"/>
          <w:i/>
          <w:sz w:val="20"/>
          <w:szCs w:val="20"/>
        </w:rPr>
        <w:t>difference</w:t>
      </w:r>
      <w:r w:rsidRPr="00875DCE">
        <w:rPr>
          <w:rFonts w:ascii="Times New Roman" w:eastAsiaTheme="minorEastAsia" w:hAnsi="Times New Roman" w:cs="Times New Roman"/>
          <w:sz w:val="20"/>
          <w:szCs w:val="20"/>
        </w:rPr>
        <w:t xml:space="preserve"> in its additive contributions to thes</w:t>
      </w:r>
      <w:r w:rsidR="007745E8" w:rsidRPr="00875DCE">
        <w:rPr>
          <w:rFonts w:ascii="Times New Roman" w:eastAsiaTheme="minorEastAsia" w:hAnsi="Times New Roman" w:cs="Times New Roman"/>
          <w:sz w:val="20"/>
          <w:szCs w:val="20"/>
        </w:rPr>
        <w:t xml:space="preserve">e </w:t>
      </w:r>
      <w:proofErr w:type="gramStart"/>
      <w:r w:rsidR="007745E8" w:rsidRPr="00875DCE">
        <w:rPr>
          <w:rFonts w:ascii="Times New Roman" w:eastAsiaTheme="minorEastAsia" w:hAnsi="Times New Roman" w:cs="Times New Roman"/>
          <w:sz w:val="20"/>
          <w:szCs w:val="20"/>
        </w:rPr>
        <w:t>two representative</w:t>
      </w:r>
      <w:proofErr w:type="gramEnd"/>
      <w:r w:rsidR="007745E8" w:rsidRPr="00875DCE">
        <w:rPr>
          <w:rFonts w:ascii="Times New Roman" w:eastAsiaTheme="minorEastAsia" w:hAnsi="Times New Roman" w:cs="Times New Roman"/>
          <w:sz w:val="20"/>
          <w:szCs w:val="20"/>
        </w:rPr>
        <w:t xml:space="preserve"> </w:t>
      </w:r>
      <w:r w:rsidR="000878A0" w:rsidRPr="00875DCE">
        <w:rPr>
          <w:rFonts w:ascii="Times New Roman" w:eastAsiaTheme="minorEastAsia" w:hAnsi="Times New Roman" w:cs="Times New Roman"/>
          <w:sz w:val="20"/>
          <w:szCs w:val="20"/>
        </w:rPr>
        <w:t xml:space="preserve">log of </w:t>
      </w:r>
      <w:r w:rsidR="007745E8" w:rsidRPr="00875DCE">
        <w:rPr>
          <w:rFonts w:ascii="Times New Roman" w:eastAsiaTheme="minorEastAsia" w:hAnsi="Times New Roman" w:cs="Times New Roman"/>
          <w:sz w:val="20"/>
          <w:szCs w:val="20"/>
        </w:rPr>
        <w:t>hazards is</w:t>
      </w:r>
      <w:r w:rsidRPr="00875DCE">
        <w:rPr>
          <w:rFonts w:ascii="Times New Roman" w:eastAsiaTheme="minorEastAsia" w:hAnsi="Times New Roman" w:cs="Times New Roman"/>
          <w:sz w:val="20"/>
          <w:szCs w:val="20"/>
        </w:rPr>
        <w:t xml:space="preserve"> then considered as its </w:t>
      </w:r>
      <w:r w:rsidRPr="00875DCE">
        <w:rPr>
          <w:rFonts w:ascii="Times New Roman" w:eastAsiaTheme="minorEastAsia" w:hAnsi="Times New Roman" w:cs="Times New Roman"/>
          <w:i/>
          <w:sz w:val="20"/>
          <w:szCs w:val="20"/>
        </w:rPr>
        <w:t>predictive power</w:t>
      </w:r>
      <w:r w:rsidRPr="00875DCE">
        <w:rPr>
          <w:rFonts w:ascii="Times New Roman" w:eastAsiaTheme="minorEastAsia" w:hAnsi="Times New Roman" w:cs="Times New Roman"/>
          <w:sz w:val="20"/>
          <w:szCs w:val="20"/>
        </w:rPr>
        <w:t xml:space="preserve"> in distinguishing non-survivors from survivors</w:t>
      </w:r>
      <w:r w:rsidRPr="00E40366">
        <w:rPr>
          <w:rFonts w:ascii="Times New Roman" w:eastAsiaTheme="minorEastAsia" w:hAnsi="Times New Roman" w:cs="Times New Roman"/>
          <w:sz w:val="20"/>
          <w:szCs w:val="20"/>
        </w:rPr>
        <w:t xml:space="preserve">: the greater the difference, the greater the predictive power. </w:t>
      </w:r>
    </w:p>
    <w:p w14:paraId="1ACC5845" w14:textId="77777777" w:rsidR="000270F8" w:rsidRPr="004363F1" w:rsidRDefault="00875DCE" w:rsidP="00CC0983">
      <w:pPr>
        <w:spacing w:after="0" w:line="240" w:lineRule="auto"/>
        <w:ind w:firstLine="720"/>
        <w:jc w:val="both"/>
        <w:rPr>
          <w:rFonts w:ascii="Times New Roman" w:eastAsiaTheme="minorEastAsia" w:hAnsi="Times New Roman" w:cs="Times New Roman"/>
          <w:sz w:val="20"/>
          <w:szCs w:val="20"/>
        </w:rPr>
      </w:pPr>
      <w:r w:rsidRPr="00E40366">
        <w:rPr>
          <w:rFonts w:ascii="Times New Roman" w:hAnsi="Times New Roman" w:cs="Times New Roman"/>
          <w:sz w:val="20"/>
          <w:szCs w:val="20"/>
        </w:rPr>
        <w:t xml:space="preserve">Using the mean values of the 6 TVBIs on day 1 and the last day for non-survivors and survivors in Supplemental Table 2 as well as the contextual variables, </w:t>
      </w:r>
      <w:r w:rsidR="00F6554E" w:rsidRPr="00E40366">
        <w:rPr>
          <w:rFonts w:ascii="Times New Roman" w:eastAsiaTheme="minorEastAsia" w:hAnsi="Times New Roman" w:cs="Times New Roman"/>
          <w:sz w:val="20"/>
          <w:szCs w:val="20"/>
          <w:lang w:val="en-CA"/>
        </w:rPr>
        <w:t xml:space="preserve">Supplemental </w:t>
      </w:r>
      <w:r w:rsidR="004E0AD4" w:rsidRPr="00E40366">
        <w:rPr>
          <w:rFonts w:ascii="Times New Roman" w:eastAsiaTheme="minorEastAsia" w:hAnsi="Times New Roman" w:cs="Times New Roman"/>
          <w:sz w:val="20"/>
          <w:szCs w:val="20"/>
        </w:rPr>
        <w:t>Table 4</w:t>
      </w:r>
      <w:r w:rsidR="007135DB" w:rsidRPr="00E40366">
        <w:rPr>
          <w:rFonts w:ascii="Times New Roman" w:eastAsiaTheme="minorEastAsia" w:hAnsi="Times New Roman" w:cs="Times New Roman"/>
          <w:sz w:val="20"/>
          <w:szCs w:val="20"/>
        </w:rPr>
        <w:t xml:space="preserve"> demonstrates</w:t>
      </w:r>
      <w:r w:rsidR="000270F8" w:rsidRPr="00E40366">
        <w:rPr>
          <w:rFonts w:ascii="Times New Roman" w:eastAsiaTheme="minorEastAsia" w:hAnsi="Times New Roman" w:cs="Times New Roman"/>
          <w:sz w:val="20"/>
          <w:szCs w:val="20"/>
        </w:rPr>
        <w:t xml:space="preserve"> the computation of the difference in the additive contributions to the log of hazard</w:t>
      </w:r>
      <w:r w:rsidR="00C31371" w:rsidRPr="00E40366">
        <w:rPr>
          <w:rFonts w:ascii="Times New Roman" w:eastAsiaTheme="minorEastAsia" w:hAnsi="Times New Roman" w:cs="Times New Roman"/>
          <w:sz w:val="20"/>
          <w:szCs w:val="20"/>
        </w:rPr>
        <w:t>s</w:t>
      </w:r>
      <w:r w:rsidR="000270F8" w:rsidRPr="00E40366">
        <w:rPr>
          <w:rFonts w:ascii="Times New Roman" w:eastAsiaTheme="minorEastAsia" w:hAnsi="Times New Roman" w:cs="Times New Roman"/>
          <w:sz w:val="20"/>
          <w:szCs w:val="20"/>
        </w:rPr>
        <w:t xml:space="preserve"> between (1) the mean of non-survivors and (2) the mean of survivors for each explanatory variable. For example,</w:t>
      </w:r>
      <w:r w:rsidR="007135DB" w:rsidRPr="00E40366">
        <w:rPr>
          <w:rFonts w:ascii="Times New Roman" w:eastAsiaTheme="minorEastAsia" w:hAnsi="Times New Roman" w:cs="Times New Roman"/>
          <w:sz w:val="20"/>
          <w:szCs w:val="20"/>
        </w:rPr>
        <w:t xml:space="preserve"> the means</w:t>
      </w:r>
      <w:r w:rsidR="007135DB" w:rsidRPr="00875DCE">
        <w:rPr>
          <w:rFonts w:ascii="Times New Roman" w:eastAsiaTheme="minorEastAsia" w:hAnsi="Times New Roman" w:cs="Times New Roman"/>
          <w:sz w:val="20"/>
          <w:szCs w:val="20"/>
        </w:rPr>
        <w:t xml:space="preserve"> of </w:t>
      </w:r>
      <w:proofErr w:type="spellStart"/>
      <w:r w:rsidR="007135DB" w:rsidRPr="00875DCE">
        <w:rPr>
          <w:rFonts w:ascii="Times New Roman" w:eastAsiaTheme="minorEastAsia" w:hAnsi="Times New Roman" w:cs="Times New Roman"/>
          <w:sz w:val="20"/>
          <w:szCs w:val="20"/>
        </w:rPr>
        <w:t>cfDNA</w:t>
      </w:r>
      <w:proofErr w:type="spellEnd"/>
      <w:r w:rsidR="007135DB" w:rsidRPr="00875DCE">
        <w:rPr>
          <w:rFonts w:ascii="Times New Roman" w:eastAsiaTheme="minorEastAsia" w:hAnsi="Times New Roman" w:cs="Times New Roman"/>
          <w:sz w:val="20"/>
          <w:szCs w:val="20"/>
        </w:rPr>
        <w:t xml:space="preserve"> on day 1 were</w:t>
      </w:r>
      <w:r w:rsidR="000270F8" w:rsidRPr="00875DCE">
        <w:rPr>
          <w:rFonts w:ascii="Times New Roman" w:eastAsiaTheme="minorEastAsia" w:hAnsi="Times New Roman" w:cs="Times New Roman"/>
          <w:sz w:val="20"/>
          <w:szCs w:val="20"/>
        </w:rPr>
        <w:t xml:space="preserve"> 6.126</w:t>
      </w:r>
      <w:r w:rsidR="00FD567B" w:rsidRPr="00875DCE">
        <w:rPr>
          <w:rFonts w:ascii="Times New Roman" w:eastAsiaTheme="minorEastAsia" w:hAnsi="Times New Roman" w:cs="Times New Roman"/>
          <w:sz w:val="20"/>
          <w:szCs w:val="20"/>
        </w:rPr>
        <w:t xml:space="preserve"> </w:t>
      </w:r>
      <w:r w:rsidR="00C96B31" w:rsidRPr="00875DCE">
        <w:rPr>
          <w:rFonts w:ascii="Times New Roman" w:eastAsiaTheme="minorEastAsia" w:hAnsi="Times New Roman" w:cs="Times New Roman"/>
          <w:sz w:val="20"/>
          <w:szCs w:val="20"/>
        </w:rPr>
        <w:t>µg/mL</w:t>
      </w:r>
      <w:r w:rsidR="000270F8" w:rsidRPr="00875DCE">
        <w:rPr>
          <w:rFonts w:ascii="Times New Roman" w:eastAsiaTheme="minorEastAsia" w:hAnsi="Times New Roman" w:cs="Times New Roman"/>
          <w:sz w:val="20"/>
          <w:szCs w:val="20"/>
        </w:rPr>
        <w:t xml:space="preserve"> for non-survivors and 4.705</w:t>
      </w:r>
      <w:r w:rsidR="00C96B31" w:rsidRPr="00875DCE">
        <w:rPr>
          <w:rFonts w:ascii="Times New Roman" w:eastAsiaTheme="minorEastAsia" w:hAnsi="Times New Roman" w:cs="Times New Roman"/>
          <w:sz w:val="20"/>
          <w:szCs w:val="20"/>
        </w:rPr>
        <w:t xml:space="preserve"> µg/mL</w:t>
      </w:r>
      <w:r w:rsidR="000270F8" w:rsidRPr="00875DCE">
        <w:rPr>
          <w:rFonts w:ascii="Times New Roman" w:eastAsiaTheme="minorEastAsia" w:hAnsi="Times New Roman" w:cs="Times New Roman"/>
          <w:sz w:val="20"/>
          <w:szCs w:val="20"/>
        </w:rPr>
        <w:t xml:space="preserve"> for survivors. By multiplying these two means by the estimated coefficient of 0.1857, we found that</w:t>
      </w:r>
      <w:r w:rsidR="002C0B1C" w:rsidRPr="00875DCE">
        <w:rPr>
          <w:rFonts w:ascii="Times New Roman" w:eastAsiaTheme="minorEastAsia" w:hAnsi="Times New Roman" w:cs="Times New Roman"/>
          <w:sz w:val="20"/>
          <w:szCs w:val="20"/>
        </w:rPr>
        <w:t xml:space="preserve"> the</w:t>
      </w:r>
      <w:r w:rsidR="000270F8" w:rsidRPr="00875DCE">
        <w:rPr>
          <w:rFonts w:ascii="Times New Roman" w:eastAsiaTheme="minorEastAsia" w:hAnsi="Times New Roman" w:cs="Times New Roman"/>
          <w:sz w:val="20"/>
          <w:szCs w:val="20"/>
        </w:rPr>
        <w:t xml:space="preserve"> additive contributions of the day 1 variable o</w:t>
      </w:r>
      <w:r w:rsidR="007135DB" w:rsidRPr="00875DCE">
        <w:rPr>
          <w:rFonts w:ascii="Times New Roman" w:eastAsiaTheme="minorEastAsia" w:hAnsi="Times New Roman" w:cs="Times New Roman"/>
          <w:sz w:val="20"/>
          <w:szCs w:val="20"/>
        </w:rPr>
        <w:t xml:space="preserve">f </w:t>
      </w:r>
      <w:proofErr w:type="spellStart"/>
      <w:r w:rsidR="007135DB" w:rsidRPr="00875DCE">
        <w:rPr>
          <w:rFonts w:ascii="Times New Roman" w:eastAsiaTheme="minorEastAsia" w:hAnsi="Times New Roman" w:cs="Times New Roman"/>
          <w:sz w:val="20"/>
          <w:szCs w:val="20"/>
        </w:rPr>
        <w:t>cfDNA</w:t>
      </w:r>
      <w:proofErr w:type="spellEnd"/>
      <w:r w:rsidR="007135DB" w:rsidRPr="00875DCE">
        <w:rPr>
          <w:rFonts w:ascii="Times New Roman" w:eastAsiaTheme="minorEastAsia" w:hAnsi="Times New Roman" w:cs="Times New Roman"/>
          <w:sz w:val="20"/>
          <w:szCs w:val="20"/>
        </w:rPr>
        <w:t xml:space="preserve"> to the log of hazard were</w:t>
      </w:r>
      <w:r w:rsidR="000270F8" w:rsidRPr="00875DCE">
        <w:rPr>
          <w:rFonts w:ascii="Times New Roman" w:eastAsiaTheme="minorEastAsia" w:hAnsi="Times New Roman" w:cs="Times New Roman"/>
          <w:sz w:val="20"/>
          <w:szCs w:val="20"/>
        </w:rPr>
        <w:t xml:space="preserve"> 1.138 for non-survivors and</w:t>
      </w:r>
      <w:r w:rsidR="007745E8" w:rsidRPr="00875DCE">
        <w:rPr>
          <w:rFonts w:ascii="Times New Roman" w:eastAsiaTheme="minorEastAsia" w:hAnsi="Times New Roman" w:cs="Times New Roman"/>
          <w:sz w:val="20"/>
          <w:szCs w:val="20"/>
        </w:rPr>
        <w:t xml:space="preserve"> 0.874 for survivors. Hence, the predictive power of</w:t>
      </w:r>
      <w:r w:rsidR="000270F8" w:rsidRPr="00875DCE">
        <w:rPr>
          <w:rFonts w:ascii="Times New Roman" w:eastAsiaTheme="minorEastAsia" w:hAnsi="Times New Roman" w:cs="Times New Roman"/>
          <w:sz w:val="20"/>
          <w:szCs w:val="20"/>
        </w:rPr>
        <w:t xml:space="preserve"> the day</w:t>
      </w:r>
      <w:r w:rsidR="000270F8" w:rsidRPr="004363F1">
        <w:rPr>
          <w:rFonts w:ascii="Times New Roman" w:eastAsiaTheme="minorEastAsia" w:hAnsi="Times New Roman" w:cs="Times New Roman"/>
          <w:sz w:val="20"/>
          <w:szCs w:val="20"/>
        </w:rPr>
        <w:t xml:space="preserve"> 1 variable of </w:t>
      </w:r>
      <w:proofErr w:type="spellStart"/>
      <w:r w:rsidR="000270F8" w:rsidRPr="004363F1">
        <w:rPr>
          <w:rFonts w:ascii="Times New Roman" w:eastAsiaTheme="minorEastAsia" w:hAnsi="Times New Roman" w:cs="Times New Roman"/>
          <w:sz w:val="20"/>
          <w:szCs w:val="20"/>
        </w:rPr>
        <w:t>cfDNA</w:t>
      </w:r>
      <w:proofErr w:type="spellEnd"/>
      <w:r w:rsidR="0043666A" w:rsidRPr="004363F1">
        <w:rPr>
          <w:rFonts w:ascii="Times New Roman" w:eastAsiaTheme="minorEastAsia" w:hAnsi="Times New Roman" w:cs="Times New Roman"/>
          <w:sz w:val="20"/>
          <w:szCs w:val="20"/>
        </w:rPr>
        <w:t xml:space="preserve"> was</w:t>
      </w:r>
      <w:r w:rsidR="000270F8" w:rsidRPr="004363F1">
        <w:rPr>
          <w:rFonts w:ascii="Times New Roman" w:eastAsiaTheme="minorEastAsia" w:hAnsi="Times New Roman" w:cs="Times New Roman"/>
          <w:sz w:val="20"/>
          <w:szCs w:val="20"/>
        </w:rPr>
        <w:t xml:space="preserve"> </w:t>
      </w:r>
      <w:r w:rsidR="007745E8" w:rsidRPr="004363F1">
        <w:rPr>
          <w:rFonts w:ascii="Times New Roman" w:eastAsiaTheme="minorEastAsia" w:hAnsi="Times New Roman" w:cs="Times New Roman"/>
          <w:sz w:val="20"/>
          <w:szCs w:val="20"/>
        </w:rPr>
        <w:t>1.138-0.874=</w:t>
      </w:r>
      <w:r w:rsidR="00021BF1" w:rsidRPr="004363F1">
        <w:rPr>
          <w:rFonts w:ascii="Times New Roman" w:eastAsiaTheme="minorEastAsia" w:hAnsi="Times New Roman" w:cs="Times New Roman"/>
          <w:sz w:val="20"/>
          <w:szCs w:val="20"/>
        </w:rPr>
        <w:t>0.264</w:t>
      </w:r>
      <w:r w:rsidR="002C0B1C" w:rsidRPr="004363F1">
        <w:rPr>
          <w:rFonts w:ascii="Times New Roman" w:eastAsiaTheme="minorEastAsia" w:hAnsi="Times New Roman" w:cs="Times New Roman"/>
          <w:sz w:val="20"/>
          <w:szCs w:val="20"/>
        </w:rPr>
        <w:t>, which is shown in the last column of the table. S</w:t>
      </w:r>
      <w:r w:rsidR="007135DB" w:rsidRPr="004363F1">
        <w:rPr>
          <w:rFonts w:ascii="Times New Roman" w:eastAsiaTheme="minorEastAsia" w:hAnsi="Times New Roman" w:cs="Times New Roman"/>
          <w:sz w:val="20"/>
          <w:szCs w:val="20"/>
        </w:rPr>
        <w:t>uch computations wer</w:t>
      </w:r>
      <w:r w:rsidR="000270F8" w:rsidRPr="004363F1">
        <w:rPr>
          <w:rFonts w:ascii="Times New Roman" w:eastAsiaTheme="minorEastAsia" w:hAnsi="Times New Roman" w:cs="Times New Roman"/>
          <w:sz w:val="20"/>
          <w:szCs w:val="20"/>
        </w:rPr>
        <w:t>e done for all explanatory variabl</w:t>
      </w:r>
      <w:r w:rsidR="007135DB" w:rsidRPr="004363F1">
        <w:rPr>
          <w:rFonts w:ascii="Times New Roman" w:eastAsiaTheme="minorEastAsia" w:hAnsi="Times New Roman" w:cs="Times New Roman"/>
          <w:sz w:val="20"/>
          <w:szCs w:val="20"/>
        </w:rPr>
        <w:t>es</w:t>
      </w:r>
      <w:r w:rsidR="002C0B1C" w:rsidRPr="004363F1">
        <w:rPr>
          <w:rFonts w:ascii="Times New Roman" w:eastAsiaTheme="minorEastAsia" w:hAnsi="Times New Roman" w:cs="Times New Roman"/>
          <w:sz w:val="20"/>
          <w:szCs w:val="20"/>
        </w:rPr>
        <w:t xml:space="preserve"> in the table</w:t>
      </w:r>
      <w:r w:rsidR="007135DB" w:rsidRPr="004363F1">
        <w:rPr>
          <w:rFonts w:ascii="Times New Roman" w:eastAsiaTheme="minorEastAsia" w:hAnsi="Times New Roman" w:cs="Times New Roman"/>
          <w:sz w:val="20"/>
          <w:szCs w:val="20"/>
        </w:rPr>
        <w:t>. From the last column, we foun</w:t>
      </w:r>
      <w:r w:rsidR="000270F8" w:rsidRPr="004363F1">
        <w:rPr>
          <w:rFonts w:ascii="Times New Roman" w:eastAsiaTheme="minorEastAsia" w:hAnsi="Times New Roman" w:cs="Times New Roman"/>
          <w:sz w:val="20"/>
          <w:szCs w:val="20"/>
        </w:rPr>
        <w:t xml:space="preserve">d that </w:t>
      </w:r>
      <w:r w:rsidR="0082083C" w:rsidRPr="004363F1">
        <w:rPr>
          <w:rFonts w:ascii="Times New Roman" w:eastAsiaTheme="minorEastAsia" w:hAnsi="Times New Roman" w:cs="Times New Roman"/>
          <w:sz w:val="20"/>
          <w:szCs w:val="20"/>
        </w:rPr>
        <w:t xml:space="preserve">with respect to </w:t>
      </w:r>
      <w:r w:rsidR="00083ED1" w:rsidRPr="004363F1">
        <w:rPr>
          <w:rFonts w:ascii="Times New Roman" w:eastAsiaTheme="minorEastAsia" w:hAnsi="Times New Roman" w:cs="Times New Roman"/>
          <w:sz w:val="20"/>
          <w:szCs w:val="20"/>
        </w:rPr>
        <w:t xml:space="preserve">day 1 </w:t>
      </w:r>
      <w:r w:rsidR="0082083C" w:rsidRPr="004363F1">
        <w:rPr>
          <w:rFonts w:ascii="Times New Roman" w:eastAsiaTheme="minorEastAsia" w:hAnsi="Times New Roman" w:cs="Times New Roman"/>
          <w:sz w:val="20"/>
          <w:szCs w:val="20"/>
        </w:rPr>
        <w:t xml:space="preserve">variables, </w:t>
      </w:r>
      <w:proofErr w:type="spellStart"/>
      <w:r w:rsidR="000270F8" w:rsidRPr="004363F1">
        <w:rPr>
          <w:rFonts w:ascii="Times New Roman" w:eastAsiaTheme="minorEastAsia" w:hAnsi="Times New Roman" w:cs="Times New Roman"/>
          <w:sz w:val="20"/>
          <w:szCs w:val="20"/>
        </w:rPr>
        <w:t>cfD</w:t>
      </w:r>
      <w:r w:rsidR="00C87DC4" w:rsidRPr="004363F1">
        <w:rPr>
          <w:rFonts w:ascii="Times New Roman" w:eastAsiaTheme="minorEastAsia" w:hAnsi="Times New Roman" w:cs="Times New Roman"/>
          <w:sz w:val="20"/>
          <w:szCs w:val="20"/>
        </w:rPr>
        <w:t>NA</w:t>
      </w:r>
      <w:proofErr w:type="spellEnd"/>
      <w:r w:rsidR="00C87DC4" w:rsidRPr="004363F1">
        <w:rPr>
          <w:rFonts w:ascii="Times New Roman" w:eastAsiaTheme="minorEastAsia" w:hAnsi="Times New Roman" w:cs="Times New Roman"/>
          <w:sz w:val="20"/>
          <w:szCs w:val="20"/>
        </w:rPr>
        <w:t xml:space="preserve"> had the greatest predictive power (0.246)</w:t>
      </w:r>
      <w:r w:rsidR="00B927AC" w:rsidRPr="004363F1">
        <w:rPr>
          <w:rFonts w:ascii="Times New Roman" w:eastAsiaTheme="minorEastAsia" w:hAnsi="Times New Roman" w:cs="Times New Roman"/>
          <w:sz w:val="20"/>
          <w:szCs w:val="20"/>
        </w:rPr>
        <w:t>.  With respect to</w:t>
      </w:r>
      <w:r w:rsidR="0070217A" w:rsidRPr="004363F1">
        <w:rPr>
          <w:rFonts w:ascii="Times New Roman" w:eastAsiaTheme="minorEastAsia" w:hAnsi="Times New Roman" w:cs="Times New Roman"/>
          <w:sz w:val="20"/>
          <w:szCs w:val="20"/>
        </w:rPr>
        <w:t xml:space="preserve"> change variables,</w:t>
      </w:r>
      <w:r w:rsidR="00083ED1" w:rsidRPr="004363F1">
        <w:rPr>
          <w:rFonts w:ascii="Times New Roman" w:eastAsiaTheme="minorEastAsia" w:hAnsi="Times New Roman" w:cs="Times New Roman"/>
          <w:sz w:val="20"/>
          <w:szCs w:val="20"/>
        </w:rPr>
        <w:t xml:space="preserve"> </w:t>
      </w:r>
      <w:r w:rsidR="000270F8" w:rsidRPr="004363F1">
        <w:rPr>
          <w:rFonts w:ascii="Times New Roman" w:eastAsiaTheme="minorEastAsia" w:hAnsi="Times New Roman" w:cs="Times New Roman"/>
          <w:sz w:val="20"/>
          <w:szCs w:val="20"/>
        </w:rPr>
        <w:t xml:space="preserve">GCS had the greatest </w:t>
      </w:r>
      <w:r w:rsidR="00C87DC4" w:rsidRPr="004363F1">
        <w:rPr>
          <w:rFonts w:ascii="Times New Roman" w:eastAsiaTheme="minorEastAsia" w:hAnsi="Times New Roman" w:cs="Times New Roman"/>
          <w:sz w:val="20"/>
          <w:szCs w:val="20"/>
        </w:rPr>
        <w:t>predictive power</w:t>
      </w:r>
      <w:r w:rsidR="000270F8" w:rsidRPr="004363F1">
        <w:rPr>
          <w:rFonts w:ascii="Times New Roman" w:eastAsiaTheme="minorEastAsia" w:hAnsi="Times New Roman" w:cs="Times New Roman"/>
          <w:sz w:val="20"/>
          <w:szCs w:val="20"/>
        </w:rPr>
        <w:t xml:space="preserve"> (0.</w:t>
      </w:r>
      <w:r w:rsidR="00083ED1" w:rsidRPr="004363F1">
        <w:rPr>
          <w:rFonts w:ascii="Times New Roman" w:eastAsiaTheme="minorEastAsia" w:hAnsi="Times New Roman" w:cs="Times New Roman"/>
          <w:sz w:val="20"/>
          <w:szCs w:val="20"/>
        </w:rPr>
        <w:t>701)</w:t>
      </w:r>
      <w:r w:rsidR="000270F8" w:rsidRPr="004363F1">
        <w:rPr>
          <w:rFonts w:ascii="Times New Roman" w:eastAsiaTheme="minorEastAsia" w:hAnsi="Times New Roman" w:cs="Times New Roman"/>
          <w:sz w:val="20"/>
          <w:szCs w:val="20"/>
        </w:rPr>
        <w:t xml:space="preserve">. </w:t>
      </w:r>
    </w:p>
    <w:p w14:paraId="2C631786" w14:textId="77777777" w:rsidR="00AA0E81" w:rsidRPr="004363F1" w:rsidRDefault="00DD46A3" w:rsidP="00CC0983">
      <w:pPr>
        <w:spacing w:after="0" w:line="240" w:lineRule="auto"/>
        <w:jc w:val="both"/>
        <w:rPr>
          <w:rFonts w:ascii="Times New Roman" w:eastAsiaTheme="minorEastAsia" w:hAnsi="Times New Roman" w:cs="Times New Roman"/>
          <w:sz w:val="20"/>
          <w:szCs w:val="20"/>
          <w:lang w:eastAsia="ja-JP"/>
        </w:rPr>
      </w:pPr>
      <w:r w:rsidRPr="004363F1">
        <w:rPr>
          <w:rFonts w:ascii="Times New Roman" w:eastAsiaTheme="minorEastAsia" w:hAnsi="Times New Roman" w:cs="Times New Roman"/>
          <w:sz w:val="20"/>
          <w:szCs w:val="20"/>
          <w:lang w:eastAsia="ja-JP"/>
        </w:rPr>
        <w:tab/>
        <w:t>The combined</w:t>
      </w:r>
      <w:r w:rsidR="00C87DC4" w:rsidRPr="004363F1">
        <w:rPr>
          <w:rFonts w:ascii="Times New Roman" w:eastAsiaTheme="minorEastAsia" w:hAnsi="Times New Roman" w:cs="Times New Roman"/>
          <w:sz w:val="20"/>
          <w:szCs w:val="20"/>
          <w:lang w:eastAsia="ja-JP"/>
        </w:rPr>
        <w:t xml:space="preserve"> predictive power</w:t>
      </w:r>
      <w:r w:rsidR="007135DB" w:rsidRPr="004363F1">
        <w:rPr>
          <w:rFonts w:ascii="Times New Roman" w:eastAsiaTheme="minorEastAsia" w:hAnsi="Times New Roman" w:cs="Times New Roman"/>
          <w:sz w:val="20"/>
          <w:szCs w:val="20"/>
          <w:lang w:eastAsia="ja-JP"/>
        </w:rPr>
        <w:t xml:space="preserve"> of </w:t>
      </w:r>
      <w:r w:rsidRPr="004363F1">
        <w:rPr>
          <w:rFonts w:ascii="Times New Roman" w:eastAsiaTheme="minorEastAsia" w:hAnsi="Times New Roman" w:cs="Times New Roman"/>
          <w:sz w:val="20"/>
          <w:szCs w:val="20"/>
          <w:lang w:eastAsia="ja-JP"/>
        </w:rPr>
        <w:t xml:space="preserve">the day 1 and change variables of </w:t>
      </w:r>
      <w:r w:rsidR="007135DB" w:rsidRPr="004363F1">
        <w:rPr>
          <w:rFonts w:ascii="Times New Roman" w:eastAsiaTheme="minorEastAsia" w:hAnsi="Times New Roman" w:cs="Times New Roman"/>
          <w:sz w:val="20"/>
          <w:szCs w:val="20"/>
          <w:lang w:eastAsia="ja-JP"/>
        </w:rPr>
        <w:t>each TVBI wa</w:t>
      </w:r>
      <w:r w:rsidR="00021BF1" w:rsidRPr="004363F1">
        <w:rPr>
          <w:rFonts w:ascii="Times New Roman" w:eastAsiaTheme="minorEastAsia" w:hAnsi="Times New Roman" w:cs="Times New Roman"/>
          <w:sz w:val="20"/>
          <w:szCs w:val="20"/>
          <w:lang w:eastAsia="ja-JP"/>
        </w:rPr>
        <w:t xml:space="preserve">s computed by summing the </w:t>
      </w:r>
      <w:r w:rsidR="00C87DC4" w:rsidRPr="004363F1">
        <w:rPr>
          <w:rFonts w:ascii="Times New Roman" w:eastAsiaTheme="minorEastAsia" w:hAnsi="Times New Roman" w:cs="Times New Roman"/>
          <w:sz w:val="20"/>
          <w:szCs w:val="20"/>
          <w:lang w:eastAsia="ja-JP"/>
        </w:rPr>
        <w:t>predictive power</w:t>
      </w:r>
      <w:r w:rsidR="0043666A" w:rsidRPr="004363F1">
        <w:rPr>
          <w:rFonts w:ascii="Times New Roman" w:eastAsiaTheme="minorEastAsia" w:hAnsi="Times New Roman" w:cs="Times New Roman"/>
          <w:sz w:val="20"/>
          <w:szCs w:val="20"/>
          <w:lang w:eastAsia="ja-JP"/>
        </w:rPr>
        <w:t>s</w:t>
      </w:r>
      <w:r w:rsidR="00021BF1" w:rsidRPr="004363F1">
        <w:rPr>
          <w:rFonts w:ascii="Times New Roman" w:eastAsiaTheme="minorEastAsia" w:hAnsi="Times New Roman" w:cs="Times New Roman"/>
          <w:sz w:val="20"/>
          <w:szCs w:val="20"/>
          <w:lang w:eastAsia="ja-JP"/>
        </w:rPr>
        <w:t xml:space="preserve"> of its day 1 and change variables. For example, </w:t>
      </w:r>
      <w:r w:rsidRPr="004363F1">
        <w:rPr>
          <w:rFonts w:ascii="Times New Roman" w:eastAsiaTheme="minorEastAsia" w:hAnsi="Times New Roman" w:cs="Times New Roman"/>
          <w:sz w:val="20"/>
          <w:szCs w:val="20"/>
          <w:lang w:eastAsia="ja-JP"/>
        </w:rPr>
        <w:t>the combined</w:t>
      </w:r>
      <w:r w:rsidR="00C87DC4" w:rsidRPr="004363F1">
        <w:rPr>
          <w:rFonts w:ascii="Times New Roman" w:eastAsiaTheme="minorEastAsia" w:hAnsi="Times New Roman" w:cs="Times New Roman"/>
          <w:sz w:val="20"/>
          <w:szCs w:val="20"/>
          <w:lang w:eastAsia="ja-JP"/>
        </w:rPr>
        <w:t xml:space="preserve"> predictive power</w:t>
      </w:r>
      <w:r w:rsidR="00083ED1" w:rsidRPr="004363F1">
        <w:rPr>
          <w:rFonts w:ascii="Times New Roman" w:eastAsiaTheme="minorEastAsia" w:hAnsi="Times New Roman" w:cs="Times New Roman"/>
          <w:sz w:val="20"/>
          <w:szCs w:val="20"/>
          <w:lang w:eastAsia="ja-JP"/>
        </w:rPr>
        <w:t xml:space="preserve"> of </w:t>
      </w:r>
      <w:proofErr w:type="spellStart"/>
      <w:r w:rsidR="00083ED1" w:rsidRPr="004363F1">
        <w:rPr>
          <w:rFonts w:ascii="Times New Roman" w:eastAsiaTheme="minorEastAsia" w:hAnsi="Times New Roman" w:cs="Times New Roman"/>
          <w:sz w:val="20"/>
          <w:szCs w:val="20"/>
          <w:lang w:eastAsia="ja-JP"/>
        </w:rPr>
        <w:t>cfDNA</w:t>
      </w:r>
      <w:proofErr w:type="spellEnd"/>
      <w:r w:rsidR="007135DB" w:rsidRPr="004363F1">
        <w:rPr>
          <w:rFonts w:ascii="Times New Roman" w:eastAsiaTheme="minorEastAsia" w:hAnsi="Times New Roman" w:cs="Times New Roman"/>
          <w:sz w:val="20"/>
          <w:szCs w:val="20"/>
          <w:lang w:eastAsia="ja-JP"/>
        </w:rPr>
        <w:t xml:space="preserve"> wa</w:t>
      </w:r>
      <w:r w:rsidR="00021BF1" w:rsidRPr="004363F1">
        <w:rPr>
          <w:rFonts w:ascii="Times New Roman" w:eastAsiaTheme="minorEastAsia" w:hAnsi="Times New Roman" w:cs="Times New Roman"/>
          <w:sz w:val="20"/>
          <w:szCs w:val="20"/>
          <w:lang w:eastAsia="ja-JP"/>
        </w:rPr>
        <w:t>s 0.264+0.028=0.292, whereas th</w:t>
      </w:r>
      <w:r w:rsidRPr="004363F1">
        <w:rPr>
          <w:rFonts w:ascii="Times New Roman" w:eastAsiaTheme="minorEastAsia" w:hAnsi="Times New Roman" w:cs="Times New Roman"/>
          <w:sz w:val="20"/>
          <w:szCs w:val="20"/>
          <w:lang w:eastAsia="ja-JP"/>
        </w:rPr>
        <w:t>e combined</w:t>
      </w:r>
      <w:r w:rsidR="00C87DC4" w:rsidRPr="004363F1">
        <w:rPr>
          <w:rFonts w:ascii="Times New Roman" w:eastAsiaTheme="minorEastAsia" w:hAnsi="Times New Roman" w:cs="Times New Roman"/>
          <w:sz w:val="20"/>
          <w:szCs w:val="20"/>
          <w:lang w:eastAsia="ja-JP"/>
        </w:rPr>
        <w:t xml:space="preserve"> predictive po</w:t>
      </w:r>
      <w:bookmarkStart w:id="0" w:name="_GoBack"/>
      <w:bookmarkEnd w:id="0"/>
      <w:r w:rsidR="00C87DC4" w:rsidRPr="004363F1">
        <w:rPr>
          <w:rFonts w:ascii="Times New Roman" w:eastAsiaTheme="minorEastAsia" w:hAnsi="Times New Roman" w:cs="Times New Roman"/>
          <w:sz w:val="20"/>
          <w:szCs w:val="20"/>
          <w:lang w:eastAsia="ja-JP"/>
        </w:rPr>
        <w:t>wer</w:t>
      </w:r>
      <w:r w:rsidR="007135DB" w:rsidRPr="004363F1">
        <w:rPr>
          <w:rFonts w:ascii="Times New Roman" w:eastAsiaTheme="minorEastAsia" w:hAnsi="Times New Roman" w:cs="Times New Roman"/>
          <w:sz w:val="20"/>
          <w:szCs w:val="20"/>
          <w:lang w:eastAsia="ja-JP"/>
        </w:rPr>
        <w:t xml:space="preserve"> of GCS was 0.021+0.7</w:t>
      </w:r>
      <w:r w:rsidR="00D86FD9" w:rsidRPr="004363F1">
        <w:rPr>
          <w:rFonts w:ascii="Times New Roman" w:eastAsiaTheme="minorEastAsia" w:hAnsi="Times New Roman" w:cs="Times New Roman"/>
          <w:sz w:val="20"/>
          <w:szCs w:val="20"/>
          <w:lang w:eastAsia="ja-JP"/>
        </w:rPr>
        <w:t>01=0.722. In other words</w:t>
      </w:r>
      <w:r w:rsidR="007135DB" w:rsidRPr="004363F1">
        <w:rPr>
          <w:rFonts w:ascii="Times New Roman" w:eastAsiaTheme="minorEastAsia" w:hAnsi="Times New Roman" w:cs="Times New Roman"/>
          <w:sz w:val="20"/>
          <w:szCs w:val="20"/>
          <w:lang w:eastAsia="ja-JP"/>
        </w:rPr>
        <w:t>, GCS wa</w:t>
      </w:r>
      <w:r w:rsidR="00D86FD9" w:rsidRPr="004363F1">
        <w:rPr>
          <w:rFonts w:ascii="Times New Roman" w:eastAsiaTheme="minorEastAsia" w:hAnsi="Times New Roman" w:cs="Times New Roman"/>
          <w:sz w:val="20"/>
          <w:szCs w:val="20"/>
          <w:lang w:eastAsia="ja-JP"/>
        </w:rPr>
        <w:t>s much more powerful</w:t>
      </w:r>
      <w:r w:rsidR="0008684E" w:rsidRPr="004363F1">
        <w:rPr>
          <w:rFonts w:ascii="Times New Roman" w:eastAsiaTheme="minorEastAsia" w:hAnsi="Times New Roman" w:cs="Times New Roman"/>
          <w:sz w:val="20"/>
          <w:szCs w:val="20"/>
          <w:lang w:eastAsia="ja-JP"/>
        </w:rPr>
        <w:t xml:space="preserve"> than </w:t>
      </w:r>
      <w:proofErr w:type="spellStart"/>
      <w:r w:rsidR="0008684E" w:rsidRPr="004363F1">
        <w:rPr>
          <w:rFonts w:ascii="Times New Roman" w:eastAsiaTheme="minorEastAsia" w:hAnsi="Times New Roman" w:cs="Times New Roman"/>
          <w:sz w:val="20"/>
          <w:szCs w:val="20"/>
          <w:lang w:eastAsia="ja-JP"/>
        </w:rPr>
        <w:t>cfDNA</w:t>
      </w:r>
      <w:proofErr w:type="spellEnd"/>
      <w:r w:rsidR="00D86FD9" w:rsidRPr="004363F1">
        <w:rPr>
          <w:rFonts w:ascii="Times New Roman" w:eastAsiaTheme="minorEastAsia" w:hAnsi="Times New Roman" w:cs="Times New Roman"/>
          <w:sz w:val="20"/>
          <w:szCs w:val="20"/>
          <w:lang w:eastAsia="ja-JP"/>
        </w:rPr>
        <w:t xml:space="preserve"> in distinguishing non-survivors from survivors</w:t>
      </w:r>
      <w:r w:rsidR="0008684E" w:rsidRPr="004363F1">
        <w:rPr>
          <w:rFonts w:ascii="Times New Roman" w:eastAsiaTheme="minorEastAsia" w:hAnsi="Times New Roman" w:cs="Times New Roman"/>
          <w:sz w:val="20"/>
          <w:szCs w:val="20"/>
          <w:lang w:eastAsia="ja-JP"/>
        </w:rPr>
        <w:t xml:space="preserve">. The predictive power of GCS came mostly from its change, whereas the predictive power of </w:t>
      </w:r>
      <w:proofErr w:type="spellStart"/>
      <w:r w:rsidR="0008684E" w:rsidRPr="004363F1">
        <w:rPr>
          <w:rFonts w:ascii="Times New Roman" w:eastAsiaTheme="minorEastAsia" w:hAnsi="Times New Roman" w:cs="Times New Roman"/>
          <w:sz w:val="20"/>
          <w:szCs w:val="20"/>
          <w:lang w:eastAsia="ja-JP"/>
        </w:rPr>
        <w:t>cfDNA</w:t>
      </w:r>
      <w:proofErr w:type="spellEnd"/>
      <w:r w:rsidR="0008684E" w:rsidRPr="004363F1">
        <w:rPr>
          <w:rFonts w:ascii="Times New Roman" w:eastAsiaTheme="minorEastAsia" w:hAnsi="Times New Roman" w:cs="Times New Roman"/>
          <w:sz w:val="20"/>
          <w:szCs w:val="20"/>
          <w:lang w:eastAsia="ja-JP"/>
        </w:rPr>
        <w:t xml:space="preserve"> came mostly from its initial level.</w:t>
      </w:r>
      <w:r w:rsidR="00021BF1" w:rsidRPr="004363F1">
        <w:rPr>
          <w:rFonts w:ascii="Times New Roman" w:eastAsiaTheme="minorEastAsia" w:hAnsi="Times New Roman" w:cs="Times New Roman"/>
          <w:sz w:val="20"/>
          <w:szCs w:val="20"/>
          <w:lang w:eastAsia="ja-JP"/>
        </w:rPr>
        <w:t xml:space="preserve"> </w:t>
      </w:r>
    </w:p>
    <w:p w14:paraId="708A3BF4" w14:textId="77777777" w:rsidR="009866E3" w:rsidRPr="004363F1" w:rsidRDefault="0032601C"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lang w:eastAsia="ja-JP"/>
        </w:rPr>
        <w:t>The combined predictive power of the day 1 and change variables differed markedly among the six TVBI.</w:t>
      </w:r>
      <w:r w:rsidRPr="004363F1">
        <w:rPr>
          <w:rFonts w:ascii="Times New Roman" w:eastAsiaTheme="minorEastAsia" w:hAnsi="Times New Roman" w:cs="Times New Roman"/>
          <w:sz w:val="20"/>
          <w:szCs w:val="20"/>
        </w:rPr>
        <w:t xml:space="preserve"> </w:t>
      </w:r>
      <w:r w:rsidR="00B03412" w:rsidRPr="004363F1">
        <w:rPr>
          <w:rFonts w:ascii="Times New Roman" w:eastAsiaTheme="minorEastAsia" w:hAnsi="Times New Roman" w:cs="Times New Roman"/>
          <w:sz w:val="20"/>
          <w:szCs w:val="20"/>
        </w:rPr>
        <w:t xml:space="preserve">GCS </w:t>
      </w:r>
      <w:r w:rsidR="00C96B31" w:rsidRPr="004363F1">
        <w:rPr>
          <w:rFonts w:ascii="Times New Roman" w:eastAsiaTheme="minorEastAsia" w:hAnsi="Times New Roman" w:cs="Times New Roman"/>
          <w:sz w:val="20"/>
          <w:szCs w:val="20"/>
        </w:rPr>
        <w:t xml:space="preserve">is </w:t>
      </w:r>
      <w:r w:rsidR="00B03412" w:rsidRPr="004363F1">
        <w:rPr>
          <w:rFonts w:ascii="Times New Roman" w:eastAsiaTheme="minorEastAsia" w:hAnsi="Times New Roman" w:cs="Times New Roman"/>
          <w:sz w:val="20"/>
          <w:szCs w:val="20"/>
        </w:rPr>
        <w:t>about</w:t>
      </w:r>
      <w:r w:rsidR="00147518" w:rsidRPr="004363F1">
        <w:rPr>
          <w:rFonts w:ascii="Times New Roman" w:eastAsiaTheme="minorEastAsia" w:hAnsi="Times New Roman" w:cs="Times New Roman"/>
          <w:sz w:val="20"/>
          <w:szCs w:val="20"/>
        </w:rPr>
        <w:t xml:space="preserve"> four </w:t>
      </w:r>
      <w:r w:rsidR="009866E3" w:rsidRPr="004363F1">
        <w:rPr>
          <w:rFonts w:ascii="Times New Roman" w:eastAsiaTheme="minorEastAsia" w:hAnsi="Times New Roman" w:cs="Times New Roman"/>
          <w:sz w:val="20"/>
          <w:szCs w:val="20"/>
        </w:rPr>
        <w:t xml:space="preserve">times </w:t>
      </w:r>
      <w:r w:rsidR="00147518" w:rsidRPr="004363F1">
        <w:rPr>
          <w:rFonts w:ascii="Times New Roman" w:eastAsiaTheme="minorEastAsia" w:hAnsi="Times New Roman" w:cs="Times New Roman"/>
          <w:sz w:val="20"/>
          <w:szCs w:val="20"/>
        </w:rPr>
        <w:t>as important as</w:t>
      </w:r>
      <w:r w:rsidR="001634D9" w:rsidRPr="004363F1">
        <w:rPr>
          <w:rFonts w:ascii="Times New Roman" w:eastAsiaTheme="minorEastAsia" w:hAnsi="Times New Roman" w:cs="Times New Roman"/>
          <w:sz w:val="20"/>
          <w:szCs w:val="20"/>
        </w:rPr>
        <w:t xml:space="preserve"> creatinine. This finding raises</w:t>
      </w:r>
      <w:r w:rsidR="00147518" w:rsidRPr="004363F1">
        <w:rPr>
          <w:rFonts w:ascii="Times New Roman" w:eastAsiaTheme="minorEastAsia" w:hAnsi="Times New Roman" w:cs="Times New Roman"/>
          <w:sz w:val="20"/>
          <w:szCs w:val="20"/>
        </w:rPr>
        <w:t xml:space="preserve"> a question about the appropriateness of giving equal weight to GCS and creatinine in the creation of MODS and SOFA. </w:t>
      </w:r>
      <w:r w:rsidR="009866E3" w:rsidRPr="004363F1">
        <w:rPr>
          <w:rFonts w:ascii="Times New Roman" w:eastAsiaTheme="minorEastAsia" w:hAnsi="Times New Roman" w:cs="Times New Roman"/>
          <w:sz w:val="20"/>
          <w:szCs w:val="20"/>
        </w:rPr>
        <w:t xml:space="preserve">Since lactate, </w:t>
      </w:r>
      <w:proofErr w:type="spellStart"/>
      <w:r w:rsidR="009866E3" w:rsidRPr="004363F1">
        <w:rPr>
          <w:rFonts w:ascii="Times New Roman" w:eastAsiaTheme="minorEastAsia" w:hAnsi="Times New Roman" w:cs="Times New Roman"/>
          <w:sz w:val="20"/>
          <w:szCs w:val="20"/>
        </w:rPr>
        <w:t>cfDNA</w:t>
      </w:r>
      <w:proofErr w:type="spellEnd"/>
      <w:r w:rsidR="009866E3" w:rsidRPr="004363F1">
        <w:rPr>
          <w:rFonts w:ascii="Times New Roman" w:eastAsiaTheme="minorEastAsia" w:hAnsi="Times New Roman" w:cs="Times New Roman"/>
          <w:sz w:val="20"/>
          <w:szCs w:val="20"/>
        </w:rPr>
        <w:t>, and protein C were not part of MODS and SOFA but were found to have rather strong predictive powers, it is likely that the combination of our chosen TVBIs would outperform both MODS and SOFA.</w:t>
      </w:r>
    </w:p>
    <w:p w14:paraId="022AFC66" w14:textId="77777777" w:rsidR="00F31412" w:rsidRPr="004363F1" w:rsidRDefault="0032601C"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In terms of </w:t>
      </w:r>
      <w:r w:rsidRPr="004363F1">
        <w:rPr>
          <w:rFonts w:ascii="Times New Roman" w:eastAsiaTheme="minorEastAsia" w:hAnsi="Times New Roman" w:cs="Times New Roman"/>
          <w:sz w:val="20"/>
          <w:szCs w:val="20"/>
          <w:lang w:eastAsia="ja-JP"/>
        </w:rPr>
        <w:t>the combined predictive power of the day 1 and change variables</w:t>
      </w:r>
      <w:r w:rsidR="00F31412" w:rsidRPr="004363F1">
        <w:rPr>
          <w:rFonts w:ascii="Times New Roman" w:eastAsiaTheme="minorEastAsia" w:hAnsi="Times New Roman" w:cs="Times New Roman"/>
          <w:sz w:val="20"/>
          <w:szCs w:val="20"/>
        </w:rPr>
        <w:t xml:space="preserve">, the six TVBIs could be divided into </w:t>
      </w:r>
      <w:r w:rsidR="00A866B6" w:rsidRPr="004363F1">
        <w:rPr>
          <w:rFonts w:ascii="Times New Roman" w:eastAsiaTheme="minorEastAsia" w:hAnsi="Times New Roman" w:cs="Times New Roman"/>
          <w:sz w:val="20"/>
          <w:szCs w:val="20"/>
        </w:rPr>
        <w:t xml:space="preserve">3 </w:t>
      </w:r>
      <w:r w:rsidR="00F31412" w:rsidRPr="004363F1">
        <w:rPr>
          <w:rFonts w:ascii="Times New Roman" w:eastAsiaTheme="minorEastAsia" w:hAnsi="Times New Roman" w:cs="Times New Roman"/>
          <w:sz w:val="20"/>
          <w:szCs w:val="20"/>
        </w:rPr>
        <w:t>groups: (1) GCS</w:t>
      </w:r>
      <w:r w:rsidR="00CB623D" w:rsidRPr="004363F1">
        <w:rPr>
          <w:rFonts w:ascii="Times New Roman" w:eastAsiaTheme="minorEastAsia" w:hAnsi="Times New Roman" w:cs="Times New Roman"/>
          <w:sz w:val="20"/>
          <w:szCs w:val="20"/>
        </w:rPr>
        <w:t xml:space="preserve"> (0.72</w:t>
      </w:r>
      <w:r w:rsidR="00F25948" w:rsidRPr="004363F1">
        <w:rPr>
          <w:rFonts w:ascii="Times New Roman" w:eastAsiaTheme="minorEastAsia" w:hAnsi="Times New Roman" w:cs="Times New Roman"/>
          <w:sz w:val="20"/>
          <w:szCs w:val="20"/>
        </w:rPr>
        <w:t>)</w:t>
      </w:r>
      <w:r w:rsidR="00F31412" w:rsidRPr="004363F1">
        <w:rPr>
          <w:rFonts w:ascii="Times New Roman" w:eastAsiaTheme="minorEastAsia" w:hAnsi="Times New Roman" w:cs="Times New Roman"/>
          <w:sz w:val="20"/>
          <w:szCs w:val="20"/>
        </w:rPr>
        <w:t xml:space="preserve"> and lactate </w:t>
      </w:r>
      <w:r w:rsidR="00F25948" w:rsidRPr="004363F1">
        <w:rPr>
          <w:rFonts w:ascii="Times New Roman" w:eastAsiaTheme="minorEastAsia" w:hAnsi="Times New Roman" w:cs="Times New Roman"/>
          <w:sz w:val="20"/>
          <w:szCs w:val="20"/>
        </w:rPr>
        <w:t>(0.64) on the top;</w:t>
      </w:r>
      <w:r w:rsidR="00F31412" w:rsidRPr="004363F1">
        <w:rPr>
          <w:rFonts w:ascii="Times New Roman" w:eastAsiaTheme="minorEastAsia" w:hAnsi="Times New Roman" w:cs="Times New Roman"/>
          <w:sz w:val="20"/>
          <w:szCs w:val="20"/>
        </w:rPr>
        <w:t xml:space="preserve"> (2) protein C </w:t>
      </w:r>
      <w:r w:rsidR="00F25948" w:rsidRPr="004363F1">
        <w:rPr>
          <w:rFonts w:ascii="Times New Roman" w:eastAsiaTheme="minorEastAsia" w:hAnsi="Times New Roman" w:cs="Times New Roman"/>
          <w:sz w:val="20"/>
          <w:szCs w:val="20"/>
        </w:rPr>
        <w:t xml:space="preserve">(0.33) </w:t>
      </w:r>
      <w:r w:rsidR="00F31412" w:rsidRPr="004363F1">
        <w:rPr>
          <w:rFonts w:ascii="Times New Roman" w:eastAsiaTheme="minorEastAsia" w:hAnsi="Times New Roman" w:cs="Times New Roman"/>
          <w:sz w:val="20"/>
          <w:szCs w:val="20"/>
        </w:rPr>
        <w:t xml:space="preserve">and </w:t>
      </w:r>
      <w:proofErr w:type="spellStart"/>
      <w:r w:rsidR="00F31412" w:rsidRPr="004363F1">
        <w:rPr>
          <w:rFonts w:ascii="Times New Roman" w:eastAsiaTheme="minorEastAsia" w:hAnsi="Times New Roman" w:cs="Times New Roman"/>
          <w:sz w:val="20"/>
          <w:szCs w:val="20"/>
        </w:rPr>
        <w:t>cfDNA</w:t>
      </w:r>
      <w:proofErr w:type="spellEnd"/>
      <w:r w:rsidR="00F31412" w:rsidRPr="004363F1">
        <w:rPr>
          <w:rFonts w:ascii="Times New Roman" w:eastAsiaTheme="minorEastAsia" w:hAnsi="Times New Roman" w:cs="Times New Roman"/>
          <w:sz w:val="20"/>
          <w:szCs w:val="20"/>
        </w:rPr>
        <w:t xml:space="preserve"> </w:t>
      </w:r>
      <w:r w:rsidR="00F25948" w:rsidRPr="004363F1">
        <w:rPr>
          <w:rFonts w:ascii="Times New Roman" w:eastAsiaTheme="minorEastAsia" w:hAnsi="Times New Roman" w:cs="Times New Roman"/>
          <w:sz w:val="20"/>
          <w:szCs w:val="20"/>
        </w:rPr>
        <w:t>(0.29) in the middle;</w:t>
      </w:r>
      <w:r w:rsidR="00F31412" w:rsidRPr="004363F1">
        <w:rPr>
          <w:rFonts w:ascii="Times New Roman" w:eastAsiaTheme="minorEastAsia" w:hAnsi="Times New Roman" w:cs="Times New Roman"/>
          <w:sz w:val="20"/>
          <w:szCs w:val="20"/>
        </w:rPr>
        <w:t xml:space="preserve"> and (3) platelets</w:t>
      </w:r>
      <w:r w:rsidR="00F25948" w:rsidRPr="004363F1">
        <w:rPr>
          <w:rFonts w:ascii="Times New Roman" w:eastAsiaTheme="minorEastAsia" w:hAnsi="Times New Roman" w:cs="Times New Roman"/>
          <w:sz w:val="20"/>
          <w:szCs w:val="20"/>
        </w:rPr>
        <w:t xml:space="preserve"> (0.22)</w:t>
      </w:r>
      <w:r w:rsidR="00F31412" w:rsidRPr="004363F1">
        <w:rPr>
          <w:rFonts w:ascii="Times New Roman" w:eastAsiaTheme="minorEastAsia" w:hAnsi="Times New Roman" w:cs="Times New Roman"/>
          <w:sz w:val="20"/>
          <w:szCs w:val="20"/>
        </w:rPr>
        <w:t xml:space="preserve"> and creatinine </w:t>
      </w:r>
      <w:r w:rsidR="00F25948" w:rsidRPr="004363F1">
        <w:rPr>
          <w:rFonts w:ascii="Times New Roman" w:eastAsiaTheme="minorEastAsia" w:hAnsi="Times New Roman" w:cs="Times New Roman"/>
          <w:sz w:val="20"/>
          <w:szCs w:val="20"/>
        </w:rPr>
        <w:t xml:space="preserve">(0.18) </w:t>
      </w:r>
      <w:r w:rsidR="00F31412" w:rsidRPr="004363F1">
        <w:rPr>
          <w:rFonts w:ascii="Times New Roman" w:eastAsiaTheme="minorEastAsia" w:hAnsi="Times New Roman" w:cs="Times New Roman"/>
          <w:sz w:val="20"/>
          <w:szCs w:val="20"/>
        </w:rPr>
        <w:t>at the bottom.</w:t>
      </w:r>
      <w:r w:rsidR="00311236" w:rsidRPr="004363F1">
        <w:rPr>
          <w:rFonts w:ascii="Times New Roman" w:eastAsiaTheme="minorEastAsia" w:hAnsi="Times New Roman" w:cs="Times New Roman"/>
          <w:sz w:val="20"/>
          <w:szCs w:val="20"/>
        </w:rPr>
        <w:t xml:space="preserve"> By summing up the predictive powers of the set of six TVBIs and the set of contextual variables separately, we found that the TVBIs accounted for </w:t>
      </w:r>
      <w:r w:rsidR="009B25CE" w:rsidRPr="004363F1">
        <w:rPr>
          <w:rFonts w:ascii="Times New Roman" w:eastAsiaTheme="minorEastAsia" w:hAnsi="Times New Roman" w:cs="Times New Roman"/>
          <w:sz w:val="20"/>
          <w:szCs w:val="20"/>
        </w:rPr>
        <w:t>93% of the overall predictive power, leaving 7% to the contextual variables.</w:t>
      </w:r>
    </w:p>
    <w:p w14:paraId="4621992A" w14:textId="77777777" w:rsidR="00866DA2" w:rsidRPr="004363F1" w:rsidRDefault="00F31412"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lastRenderedPageBreak/>
        <w:t xml:space="preserve"> </w:t>
      </w:r>
      <w:r w:rsidR="002828C4" w:rsidRPr="004363F1">
        <w:rPr>
          <w:rFonts w:ascii="Times New Roman" w:eastAsiaTheme="minorEastAsia" w:hAnsi="Times New Roman" w:cs="Times New Roman"/>
          <w:sz w:val="20"/>
          <w:szCs w:val="20"/>
        </w:rPr>
        <w:t xml:space="preserve">The information </w:t>
      </w:r>
      <w:r w:rsidR="00ED06FE" w:rsidRPr="004363F1">
        <w:rPr>
          <w:rFonts w:ascii="Times New Roman" w:eastAsiaTheme="minorEastAsia" w:hAnsi="Times New Roman" w:cs="Times New Roman"/>
          <w:sz w:val="20"/>
          <w:szCs w:val="20"/>
        </w:rPr>
        <w:t xml:space="preserve">in the last columns of </w:t>
      </w:r>
      <w:r w:rsidR="00311236" w:rsidRPr="004363F1">
        <w:rPr>
          <w:rFonts w:ascii="Times New Roman" w:eastAsiaTheme="minorEastAsia" w:hAnsi="Times New Roman" w:cs="Times New Roman"/>
          <w:sz w:val="20"/>
          <w:szCs w:val="20"/>
        </w:rPr>
        <w:t>Supplemental Table</w:t>
      </w:r>
      <w:r w:rsidR="00280D93" w:rsidRPr="004363F1">
        <w:rPr>
          <w:rFonts w:ascii="Times New Roman" w:eastAsiaTheme="minorEastAsia" w:hAnsi="Times New Roman" w:cs="Times New Roman"/>
          <w:sz w:val="20"/>
          <w:szCs w:val="20"/>
        </w:rPr>
        <w:t xml:space="preserve"> </w:t>
      </w:r>
      <w:r w:rsidR="004E0AD4" w:rsidRPr="004363F1">
        <w:rPr>
          <w:rFonts w:ascii="Times New Roman" w:eastAsiaTheme="minorEastAsia" w:hAnsi="Times New Roman" w:cs="Times New Roman"/>
          <w:sz w:val="20"/>
          <w:szCs w:val="20"/>
        </w:rPr>
        <w:t>4</w:t>
      </w:r>
      <w:r w:rsidR="00821663" w:rsidRPr="004363F1">
        <w:rPr>
          <w:rFonts w:ascii="Times New Roman" w:eastAsiaTheme="minorEastAsia" w:hAnsi="Times New Roman" w:cs="Times New Roman"/>
          <w:sz w:val="20"/>
          <w:szCs w:val="20"/>
        </w:rPr>
        <w:t xml:space="preserve"> </w:t>
      </w:r>
      <w:r w:rsidR="00C96B31" w:rsidRPr="004363F1">
        <w:rPr>
          <w:rFonts w:ascii="Times New Roman" w:eastAsiaTheme="minorEastAsia" w:hAnsi="Times New Roman" w:cs="Times New Roman"/>
          <w:sz w:val="20"/>
          <w:szCs w:val="20"/>
        </w:rPr>
        <w:t xml:space="preserve">was transferred </w:t>
      </w:r>
      <w:r w:rsidR="0043666A" w:rsidRPr="004363F1">
        <w:rPr>
          <w:rFonts w:ascii="Times New Roman" w:eastAsiaTheme="minorEastAsia" w:hAnsi="Times New Roman" w:cs="Times New Roman"/>
          <w:sz w:val="20"/>
          <w:szCs w:val="20"/>
        </w:rPr>
        <w:t xml:space="preserve">to </w:t>
      </w:r>
      <w:r w:rsidR="00774B2D" w:rsidRPr="004363F1">
        <w:rPr>
          <w:rFonts w:ascii="Times New Roman" w:eastAsiaTheme="minorEastAsia" w:hAnsi="Times New Roman" w:cs="Times New Roman"/>
          <w:sz w:val="20"/>
          <w:szCs w:val="20"/>
        </w:rPr>
        <w:t xml:space="preserve">Supplemental Table </w:t>
      </w:r>
      <w:r w:rsidR="004E0AD4" w:rsidRPr="004363F1">
        <w:rPr>
          <w:rFonts w:ascii="Times New Roman" w:eastAsiaTheme="minorEastAsia" w:hAnsi="Times New Roman" w:cs="Times New Roman"/>
          <w:sz w:val="20"/>
          <w:szCs w:val="20"/>
        </w:rPr>
        <w:t>5</w:t>
      </w:r>
      <w:r w:rsidR="002828C4" w:rsidRPr="004363F1">
        <w:rPr>
          <w:rFonts w:ascii="Times New Roman" w:eastAsiaTheme="minorEastAsia" w:hAnsi="Times New Roman" w:cs="Times New Roman"/>
          <w:sz w:val="20"/>
          <w:szCs w:val="20"/>
        </w:rPr>
        <w:t xml:space="preserve"> for assessing the relative importance </w:t>
      </w:r>
      <w:r w:rsidR="00017863" w:rsidRPr="004363F1">
        <w:rPr>
          <w:rFonts w:ascii="Times New Roman" w:eastAsiaTheme="minorEastAsia" w:hAnsi="Times New Roman" w:cs="Times New Roman"/>
          <w:sz w:val="20"/>
          <w:szCs w:val="20"/>
        </w:rPr>
        <w:t>of the day 1</w:t>
      </w:r>
      <w:r w:rsidR="002828C4" w:rsidRPr="004363F1">
        <w:rPr>
          <w:rFonts w:ascii="Times New Roman" w:eastAsiaTheme="minorEastAsia" w:hAnsi="Times New Roman" w:cs="Times New Roman"/>
          <w:sz w:val="20"/>
          <w:szCs w:val="20"/>
        </w:rPr>
        <w:t xml:space="preserve"> against the corresponding change variable for each TVBI.</w:t>
      </w:r>
      <w:r w:rsidR="00D47C5A" w:rsidRPr="004363F1">
        <w:rPr>
          <w:rFonts w:ascii="Times New Roman" w:eastAsiaTheme="minorEastAsia" w:hAnsi="Times New Roman" w:cs="Times New Roman"/>
          <w:sz w:val="20"/>
          <w:szCs w:val="20"/>
        </w:rPr>
        <w:t xml:space="preserve">  The data in</w:t>
      </w:r>
      <w:r w:rsidR="00ED06FE" w:rsidRPr="004363F1">
        <w:rPr>
          <w:rFonts w:ascii="Times New Roman" w:eastAsiaTheme="minorEastAsia" w:hAnsi="Times New Roman" w:cs="Times New Roman"/>
          <w:sz w:val="20"/>
          <w:szCs w:val="20"/>
        </w:rPr>
        <w:t xml:space="preserve"> </w:t>
      </w:r>
      <w:r w:rsidR="0032601C" w:rsidRPr="004363F1">
        <w:rPr>
          <w:rFonts w:ascii="Times New Roman" w:eastAsiaTheme="minorEastAsia" w:hAnsi="Times New Roman" w:cs="Times New Roman"/>
          <w:sz w:val="20"/>
          <w:szCs w:val="20"/>
        </w:rPr>
        <w:t>this table</w:t>
      </w:r>
      <w:r w:rsidR="00821663" w:rsidRPr="004363F1">
        <w:rPr>
          <w:rFonts w:ascii="Times New Roman" w:eastAsiaTheme="minorEastAsia" w:hAnsi="Times New Roman" w:cs="Times New Roman"/>
          <w:sz w:val="20"/>
          <w:szCs w:val="20"/>
        </w:rPr>
        <w:t xml:space="preserve"> was used to </w:t>
      </w:r>
      <w:r w:rsidR="00C96B31" w:rsidRPr="004363F1">
        <w:rPr>
          <w:rFonts w:ascii="Times New Roman" w:eastAsiaTheme="minorEastAsia" w:hAnsi="Times New Roman" w:cs="Times New Roman"/>
          <w:sz w:val="20"/>
          <w:szCs w:val="20"/>
        </w:rPr>
        <w:t>create</w:t>
      </w:r>
      <w:r w:rsidR="00821663" w:rsidRPr="004363F1">
        <w:rPr>
          <w:rFonts w:ascii="Times New Roman" w:eastAsiaTheme="minorEastAsia" w:hAnsi="Times New Roman" w:cs="Times New Roman"/>
          <w:sz w:val="20"/>
          <w:szCs w:val="20"/>
        </w:rPr>
        <w:t xml:space="preserve"> Figure 1</w:t>
      </w:r>
      <w:r w:rsidR="00081609" w:rsidRPr="004363F1">
        <w:rPr>
          <w:rFonts w:ascii="Times New Roman" w:eastAsiaTheme="minorEastAsia" w:hAnsi="Times New Roman" w:cs="Times New Roman"/>
          <w:sz w:val="20"/>
          <w:szCs w:val="20"/>
        </w:rPr>
        <w:t>A</w:t>
      </w:r>
      <w:r w:rsidR="00821663" w:rsidRPr="004363F1">
        <w:rPr>
          <w:rFonts w:ascii="Times New Roman" w:eastAsiaTheme="minorEastAsia" w:hAnsi="Times New Roman" w:cs="Times New Roman"/>
          <w:sz w:val="20"/>
          <w:szCs w:val="20"/>
        </w:rPr>
        <w:t xml:space="preserve"> in the paper.</w:t>
      </w:r>
      <w:r w:rsidR="00F25948" w:rsidRPr="004363F1">
        <w:rPr>
          <w:rFonts w:ascii="Times New Roman" w:eastAsiaTheme="minorEastAsia" w:hAnsi="Times New Roman" w:cs="Times New Roman"/>
          <w:sz w:val="20"/>
          <w:szCs w:val="20"/>
        </w:rPr>
        <w:t xml:space="preserve"> </w:t>
      </w:r>
    </w:p>
    <w:p w14:paraId="11FDBE60" w14:textId="77777777" w:rsidR="00147518" w:rsidRPr="004363F1" w:rsidRDefault="0032601C"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T</w:t>
      </w:r>
      <w:r w:rsidR="00F25948" w:rsidRPr="004363F1">
        <w:rPr>
          <w:rFonts w:ascii="Times New Roman" w:eastAsiaTheme="minorEastAsia" w:hAnsi="Times New Roman" w:cs="Times New Roman"/>
          <w:sz w:val="20"/>
          <w:szCs w:val="20"/>
        </w:rPr>
        <w:t xml:space="preserve">he relative importance between the day 1 and change variables </w:t>
      </w:r>
      <w:r w:rsidRPr="004363F1">
        <w:rPr>
          <w:rFonts w:ascii="Times New Roman" w:eastAsiaTheme="minorEastAsia" w:hAnsi="Times New Roman" w:cs="Times New Roman"/>
          <w:sz w:val="20"/>
          <w:szCs w:val="20"/>
        </w:rPr>
        <w:t xml:space="preserve">also </w:t>
      </w:r>
      <w:r w:rsidR="00F25948" w:rsidRPr="004363F1">
        <w:rPr>
          <w:rFonts w:ascii="Times New Roman" w:eastAsiaTheme="minorEastAsia" w:hAnsi="Times New Roman" w:cs="Times New Roman"/>
          <w:sz w:val="20"/>
          <w:szCs w:val="20"/>
        </w:rPr>
        <w:t xml:space="preserve">differed markedly among the 6 TVBIs. </w:t>
      </w:r>
      <w:r w:rsidR="00FD6847" w:rsidRPr="004363F1">
        <w:rPr>
          <w:rFonts w:ascii="Times New Roman" w:eastAsiaTheme="minorEastAsia" w:hAnsi="Times New Roman" w:cs="Times New Roman"/>
          <w:sz w:val="20"/>
          <w:szCs w:val="20"/>
        </w:rPr>
        <w:t xml:space="preserve">Further insights about this marked difference will be obtained </w:t>
      </w:r>
      <w:r w:rsidR="00C2065F" w:rsidRPr="004363F1">
        <w:rPr>
          <w:rFonts w:ascii="Times New Roman" w:eastAsiaTheme="minorEastAsia" w:hAnsi="Times New Roman" w:cs="Times New Roman"/>
          <w:sz w:val="20"/>
          <w:szCs w:val="20"/>
        </w:rPr>
        <w:t xml:space="preserve">when we examine the temporal patterns of the 6 TVBIs </w:t>
      </w:r>
      <w:r w:rsidR="00ED06FE" w:rsidRPr="004363F1">
        <w:rPr>
          <w:rFonts w:ascii="Times New Roman" w:eastAsiaTheme="minorEastAsia" w:hAnsi="Times New Roman" w:cs="Times New Roman"/>
          <w:sz w:val="20"/>
          <w:szCs w:val="20"/>
        </w:rPr>
        <w:t xml:space="preserve">in </w:t>
      </w:r>
      <w:r w:rsidR="00774B2D" w:rsidRPr="004363F1">
        <w:rPr>
          <w:rFonts w:ascii="Times New Roman" w:eastAsiaTheme="minorEastAsia" w:hAnsi="Times New Roman" w:cs="Times New Roman"/>
          <w:sz w:val="20"/>
          <w:szCs w:val="20"/>
        </w:rPr>
        <w:t xml:space="preserve">Supplemental Text </w:t>
      </w:r>
      <w:r w:rsidR="00311236" w:rsidRPr="004363F1">
        <w:rPr>
          <w:rFonts w:ascii="Times New Roman" w:eastAsiaTheme="minorEastAsia" w:hAnsi="Times New Roman" w:cs="Times New Roman"/>
          <w:sz w:val="20"/>
          <w:szCs w:val="20"/>
        </w:rPr>
        <w:t>8</w:t>
      </w:r>
      <w:r w:rsidR="00FD6847" w:rsidRPr="004363F1">
        <w:rPr>
          <w:rFonts w:ascii="Times New Roman" w:eastAsiaTheme="minorEastAsia" w:hAnsi="Times New Roman" w:cs="Times New Roman"/>
          <w:sz w:val="20"/>
          <w:szCs w:val="20"/>
        </w:rPr>
        <w:t xml:space="preserve">.  </w:t>
      </w:r>
      <w:r w:rsidR="00C2065F" w:rsidRPr="004363F1">
        <w:rPr>
          <w:rFonts w:ascii="Times New Roman" w:eastAsiaTheme="minorEastAsia" w:hAnsi="Times New Roman" w:cs="Times New Roman"/>
          <w:sz w:val="20"/>
          <w:szCs w:val="20"/>
        </w:rPr>
        <w:t>Note that the reason for the change variable to represent 100% of creatinine’s predict</w:t>
      </w:r>
      <w:r w:rsidR="00311236" w:rsidRPr="004363F1">
        <w:rPr>
          <w:rFonts w:ascii="Times New Roman" w:eastAsiaTheme="minorEastAsia" w:hAnsi="Times New Roman" w:cs="Times New Roman"/>
          <w:sz w:val="20"/>
          <w:szCs w:val="20"/>
        </w:rPr>
        <w:t>ive power</w:t>
      </w:r>
      <w:r w:rsidR="00C2065F" w:rsidRPr="004363F1">
        <w:rPr>
          <w:rFonts w:ascii="Times New Roman" w:eastAsiaTheme="minorEastAsia" w:hAnsi="Times New Roman" w:cs="Times New Roman"/>
          <w:sz w:val="20"/>
          <w:szCs w:val="20"/>
        </w:rPr>
        <w:t xml:space="preserve"> was that the weaker predictive powers of the day 1 </w:t>
      </w:r>
      <w:r w:rsidR="00311236" w:rsidRPr="004363F1">
        <w:rPr>
          <w:rFonts w:ascii="Times New Roman" w:eastAsiaTheme="minorEastAsia" w:hAnsi="Times New Roman" w:cs="Times New Roman"/>
          <w:sz w:val="20"/>
          <w:szCs w:val="20"/>
        </w:rPr>
        <w:t>variable</w:t>
      </w:r>
      <w:r w:rsidR="00C2065F" w:rsidRPr="004363F1">
        <w:rPr>
          <w:rFonts w:ascii="Times New Roman" w:eastAsiaTheme="minorEastAsia" w:hAnsi="Times New Roman" w:cs="Times New Roman"/>
          <w:sz w:val="20"/>
          <w:szCs w:val="20"/>
        </w:rPr>
        <w:t xml:space="preserve"> of creatinine overlapped with the stronger predictive powers</w:t>
      </w:r>
      <w:r w:rsidR="007645CE" w:rsidRPr="004363F1">
        <w:rPr>
          <w:rFonts w:ascii="Times New Roman" w:eastAsiaTheme="minorEastAsia" w:hAnsi="Times New Roman" w:cs="Times New Roman"/>
          <w:sz w:val="20"/>
          <w:szCs w:val="20"/>
        </w:rPr>
        <w:t xml:space="preserve"> of</w:t>
      </w:r>
      <w:r w:rsidR="00866DA2" w:rsidRPr="004363F1">
        <w:rPr>
          <w:rFonts w:ascii="Times New Roman" w:eastAsiaTheme="minorEastAsia" w:hAnsi="Times New Roman" w:cs="Times New Roman"/>
          <w:sz w:val="20"/>
          <w:szCs w:val="20"/>
        </w:rPr>
        <w:t xml:space="preserve"> </w:t>
      </w:r>
      <w:r w:rsidR="00C2065F" w:rsidRPr="004363F1">
        <w:rPr>
          <w:rFonts w:ascii="Times New Roman" w:eastAsiaTheme="minorEastAsia" w:hAnsi="Times New Roman" w:cs="Times New Roman"/>
          <w:sz w:val="20"/>
          <w:szCs w:val="20"/>
        </w:rPr>
        <w:t>the day 1 variabl</w:t>
      </w:r>
      <w:r w:rsidR="00311236" w:rsidRPr="004363F1">
        <w:rPr>
          <w:rFonts w:ascii="Times New Roman" w:eastAsiaTheme="minorEastAsia" w:hAnsi="Times New Roman" w:cs="Times New Roman"/>
          <w:sz w:val="20"/>
          <w:szCs w:val="20"/>
        </w:rPr>
        <w:t>e</w:t>
      </w:r>
      <w:r w:rsidR="00ED06FE" w:rsidRPr="004363F1">
        <w:rPr>
          <w:rFonts w:ascii="Times New Roman" w:eastAsiaTheme="minorEastAsia" w:hAnsi="Times New Roman" w:cs="Times New Roman"/>
          <w:sz w:val="20"/>
          <w:szCs w:val="20"/>
        </w:rPr>
        <w:t xml:space="preserve"> of protein C and platelets (</w:t>
      </w:r>
      <w:r w:rsidR="00311236" w:rsidRPr="004363F1">
        <w:rPr>
          <w:rFonts w:ascii="Times New Roman" w:eastAsiaTheme="minorEastAsia" w:hAnsi="Times New Roman" w:cs="Times New Roman"/>
          <w:sz w:val="20"/>
          <w:szCs w:val="20"/>
        </w:rPr>
        <w:t>Supplemental Text</w:t>
      </w:r>
      <w:r w:rsidR="00C2065F" w:rsidRPr="004363F1">
        <w:rPr>
          <w:rFonts w:ascii="Times New Roman" w:eastAsiaTheme="minorEastAsia" w:hAnsi="Times New Roman" w:cs="Times New Roman"/>
          <w:sz w:val="20"/>
          <w:szCs w:val="20"/>
        </w:rPr>
        <w:t xml:space="preserve"> </w:t>
      </w:r>
      <w:r w:rsidR="00311236" w:rsidRPr="004363F1">
        <w:rPr>
          <w:rFonts w:ascii="Times New Roman" w:eastAsiaTheme="minorEastAsia" w:hAnsi="Times New Roman" w:cs="Times New Roman"/>
          <w:sz w:val="20"/>
          <w:szCs w:val="20"/>
        </w:rPr>
        <w:t>6</w:t>
      </w:r>
      <w:r w:rsidR="00AD693E" w:rsidRPr="004363F1">
        <w:rPr>
          <w:rFonts w:ascii="Times New Roman" w:eastAsiaTheme="minorEastAsia" w:hAnsi="Times New Roman" w:cs="Times New Roman"/>
          <w:sz w:val="20"/>
          <w:szCs w:val="20"/>
        </w:rPr>
        <w:t>)</w:t>
      </w:r>
      <w:r w:rsidR="00C2065F" w:rsidRPr="004363F1">
        <w:rPr>
          <w:rFonts w:ascii="Times New Roman" w:eastAsiaTheme="minorEastAsia" w:hAnsi="Times New Roman" w:cs="Times New Roman"/>
          <w:sz w:val="20"/>
          <w:szCs w:val="20"/>
        </w:rPr>
        <w:t>.</w:t>
      </w:r>
      <w:r w:rsidR="00572DDB" w:rsidRPr="004363F1">
        <w:rPr>
          <w:rFonts w:ascii="Times New Roman" w:eastAsiaTheme="minorEastAsia" w:hAnsi="Times New Roman" w:cs="Times New Roman"/>
          <w:sz w:val="20"/>
          <w:szCs w:val="20"/>
        </w:rPr>
        <w:t xml:space="preserve"> </w:t>
      </w:r>
    </w:p>
    <w:p w14:paraId="4E7D1262" w14:textId="77777777" w:rsidR="00A43A56" w:rsidRPr="004363F1" w:rsidRDefault="00A43A56" w:rsidP="00CC0983">
      <w:pPr>
        <w:spacing w:after="0" w:line="240" w:lineRule="auto"/>
        <w:ind w:firstLine="720"/>
        <w:jc w:val="both"/>
        <w:rPr>
          <w:rFonts w:ascii="Times New Roman" w:eastAsiaTheme="minorEastAsia" w:hAnsi="Times New Roman" w:cs="Times New Roman"/>
          <w:sz w:val="20"/>
          <w:szCs w:val="20"/>
        </w:rPr>
      </w:pPr>
    </w:p>
    <w:p w14:paraId="2F372B92" w14:textId="77777777" w:rsidR="003C591D" w:rsidRPr="004363F1" w:rsidRDefault="00774B2D" w:rsidP="00CC0983">
      <w:pPr>
        <w:spacing w:after="0" w:line="240" w:lineRule="auto"/>
        <w:jc w:val="both"/>
        <w:rPr>
          <w:rFonts w:ascii="Times New Roman" w:eastAsiaTheme="minorEastAsia" w:hAnsi="Times New Roman" w:cs="Times New Roman"/>
          <w:b/>
          <w:sz w:val="24"/>
          <w:szCs w:val="24"/>
          <w:lang w:val="en-CA" w:eastAsia="ja-JP"/>
        </w:rPr>
      </w:pPr>
      <w:r w:rsidRPr="004363F1">
        <w:rPr>
          <w:rFonts w:ascii="Times New Roman" w:eastAsiaTheme="minorEastAsia" w:hAnsi="Times New Roman" w:cs="Times New Roman"/>
          <w:b/>
          <w:sz w:val="24"/>
          <w:szCs w:val="24"/>
          <w:lang w:val="en-CA" w:eastAsia="ja-JP"/>
        </w:rPr>
        <w:t xml:space="preserve">Supplemental Text </w:t>
      </w:r>
      <w:r w:rsidR="00193FD4" w:rsidRPr="004363F1">
        <w:rPr>
          <w:rFonts w:ascii="Times New Roman" w:eastAsiaTheme="minorEastAsia" w:hAnsi="Times New Roman" w:cs="Times New Roman"/>
          <w:b/>
          <w:sz w:val="24"/>
          <w:szCs w:val="24"/>
          <w:lang w:val="en-CA" w:eastAsia="ja-JP"/>
        </w:rPr>
        <w:t>8</w:t>
      </w:r>
      <w:r w:rsidR="00E72111" w:rsidRPr="004363F1">
        <w:rPr>
          <w:rFonts w:ascii="Times New Roman" w:eastAsiaTheme="minorEastAsia" w:hAnsi="Times New Roman" w:cs="Times New Roman"/>
          <w:b/>
          <w:sz w:val="24"/>
          <w:szCs w:val="24"/>
          <w:lang w:val="en-CA" w:eastAsia="ja-JP"/>
        </w:rPr>
        <w:t>: Insights from</w:t>
      </w:r>
      <w:r w:rsidR="004F500F" w:rsidRPr="004363F1">
        <w:rPr>
          <w:rFonts w:ascii="Times New Roman" w:eastAsiaTheme="minorEastAsia" w:hAnsi="Times New Roman" w:cs="Times New Roman"/>
          <w:b/>
          <w:sz w:val="24"/>
          <w:szCs w:val="24"/>
          <w:lang w:val="en-CA" w:eastAsia="ja-JP"/>
        </w:rPr>
        <w:t xml:space="preserve"> the Tempor</w:t>
      </w:r>
      <w:r w:rsidR="00E72111" w:rsidRPr="004363F1">
        <w:rPr>
          <w:rFonts w:ascii="Times New Roman" w:eastAsiaTheme="minorEastAsia" w:hAnsi="Times New Roman" w:cs="Times New Roman"/>
          <w:b/>
          <w:sz w:val="24"/>
          <w:szCs w:val="24"/>
          <w:lang w:val="en-CA" w:eastAsia="ja-JP"/>
        </w:rPr>
        <w:t>al Patterns of TVBIs</w:t>
      </w:r>
    </w:p>
    <w:p w14:paraId="728F3E14" w14:textId="77777777" w:rsidR="00D669AF" w:rsidRPr="004363F1" w:rsidRDefault="003C591D" w:rsidP="00CC0983">
      <w:pPr>
        <w:spacing w:after="0" w:line="240" w:lineRule="auto"/>
        <w:jc w:val="both"/>
        <w:rPr>
          <w:rFonts w:ascii="Times New Roman" w:eastAsiaTheme="minorEastAsia" w:hAnsi="Times New Roman" w:cs="Times New Roman"/>
          <w:b/>
          <w:sz w:val="24"/>
          <w:szCs w:val="24"/>
          <w:lang w:val="en-CA" w:eastAsia="ja-JP"/>
        </w:rPr>
      </w:pPr>
      <w:r w:rsidRPr="004363F1">
        <w:rPr>
          <w:rFonts w:ascii="Times New Roman" w:hAnsi="Times New Roman" w:cs="Times New Roman"/>
          <w:sz w:val="20"/>
          <w:szCs w:val="20"/>
          <w:shd w:val="clear" w:color="auto" w:fill="FFFFFF"/>
        </w:rPr>
        <w:tab/>
      </w:r>
      <w:r w:rsidR="00D669AF" w:rsidRPr="004363F1">
        <w:rPr>
          <w:rFonts w:ascii="Times New Roman" w:hAnsi="Times New Roman" w:cs="Times New Roman"/>
          <w:sz w:val="20"/>
          <w:szCs w:val="20"/>
          <w:shd w:val="clear" w:color="auto" w:fill="FFFFFF"/>
        </w:rPr>
        <w:t>One temporal attribute shared by all six TVBI was that the day 1 variable had a strong negative correlation with the corresponding change variable</w:t>
      </w:r>
      <w:r w:rsidR="00200CA0" w:rsidRPr="004363F1">
        <w:rPr>
          <w:rFonts w:ascii="Times New Roman" w:hAnsi="Times New Roman" w:cs="Times New Roman"/>
          <w:sz w:val="20"/>
          <w:szCs w:val="20"/>
          <w:shd w:val="clear" w:color="auto" w:fill="FFFFFF"/>
        </w:rPr>
        <w:t xml:space="preserve"> (r = -0.80 for lactate, -0.70 for GCS, -0.58 for </w:t>
      </w:r>
      <w:proofErr w:type="spellStart"/>
      <w:r w:rsidR="00200CA0" w:rsidRPr="004363F1">
        <w:rPr>
          <w:rFonts w:ascii="Times New Roman" w:hAnsi="Times New Roman" w:cs="Times New Roman"/>
          <w:sz w:val="20"/>
          <w:szCs w:val="20"/>
          <w:shd w:val="clear" w:color="auto" w:fill="FFFFFF"/>
        </w:rPr>
        <w:t>cfDNA</w:t>
      </w:r>
      <w:proofErr w:type="spellEnd"/>
      <w:r w:rsidR="00200CA0" w:rsidRPr="004363F1">
        <w:rPr>
          <w:rFonts w:ascii="Times New Roman" w:hAnsi="Times New Roman" w:cs="Times New Roman"/>
          <w:sz w:val="20"/>
          <w:szCs w:val="20"/>
          <w:shd w:val="clear" w:color="auto" w:fill="FFFFFF"/>
        </w:rPr>
        <w:t>, -0.57 for creatinine, -0.36 for platelets, and -0.27 for protein C; N=6,724)</w:t>
      </w:r>
      <w:r w:rsidR="00D669AF" w:rsidRPr="004363F1">
        <w:rPr>
          <w:rFonts w:ascii="Times New Roman" w:hAnsi="Times New Roman" w:cs="Times New Roman"/>
          <w:sz w:val="20"/>
          <w:szCs w:val="20"/>
          <w:shd w:val="clear" w:color="auto" w:fill="FFFFFF"/>
        </w:rPr>
        <w:t>. This attribute suggested that sicker patients on day 1 tended to benefit more from treatments and</w:t>
      </w:r>
      <w:r w:rsidR="00C40C7F" w:rsidRPr="004363F1">
        <w:rPr>
          <w:rFonts w:ascii="Times New Roman" w:hAnsi="Times New Roman" w:cs="Times New Roman"/>
          <w:sz w:val="20"/>
          <w:szCs w:val="20"/>
          <w:shd w:val="clear" w:color="auto" w:fill="FFFFFF"/>
        </w:rPr>
        <w:t xml:space="preserve"> to</w:t>
      </w:r>
      <w:r w:rsidR="00D669AF" w:rsidRPr="004363F1">
        <w:rPr>
          <w:rFonts w:ascii="Times New Roman" w:hAnsi="Times New Roman" w:cs="Times New Roman"/>
          <w:sz w:val="20"/>
          <w:szCs w:val="20"/>
          <w:shd w:val="clear" w:color="auto" w:fill="FFFFFF"/>
        </w:rPr>
        <w:t xml:space="preserve"> experience greater improvement. Keeping this general attribute in mind, for gaining insights into the temporal pattern of each TVBI, we separate</w:t>
      </w:r>
      <w:r w:rsidR="00547984" w:rsidRPr="004363F1">
        <w:rPr>
          <w:rFonts w:ascii="Times New Roman" w:hAnsi="Times New Roman" w:cs="Times New Roman"/>
          <w:sz w:val="20"/>
          <w:szCs w:val="20"/>
          <w:shd w:val="clear" w:color="auto" w:fill="FFFFFF"/>
        </w:rPr>
        <w:t>d</w:t>
      </w:r>
      <w:r w:rsidR="00D669AF" w:rsidRPr="004363F1">
        <w:rPr>
          <w:rFonts w:ascii="Times New Roman" w:hAnsi="Times New Roman" w:cs="Times New Roman"/>
          <w:sz w:val="20"/>
          <w:szCs w:val="20"/>
          <w:shd w:val="clear" w:color="auto" w:fill="FFFFFF"/>
        </w:rPr>
        <w:t xml:space="preserve"> the patients into four quartile groups in terms of the day 1 variable</w:t>
      </w:r>
      <w:r w:rsidR="00200CA0" w:rsidRPr="004363F1">
        <w:rPr>
          <w:rFonts w:ascii="Times New Roman" w:hAnsi="Times New Roman" w:cs="Times New Roman"/>
          <w:sz w:val="20"/>
          <w:szCs w:val="20"/>
          <w:shd w:val="clear" w:color="auto" w:fill="FFFFFF"/>
        </w:rPr>
        <w:t>, and then examine</w:t>
      </w:r>
      <w:r w:rsidR="00547984" w:rsidRPr="004363F1">
        <w:rPr>
          <w:rFonts w:ascii="Times New Roman" w:hAnsi="Times New Roman" w:cs="Times New Roman"/>
          <w:sz w:val="20"/>
          <w:szCs w:val="20"/>
          <w:shd w:val="clear" w:color="auto" w:fill="FFFFFF"/>
        </w:rPr>
        <w:t>d</w:t>
      </w:r>
      <w:r w:rsidR="00200CA0" w:rsidRPr="004363F1">
        <w:rPr>
          <w:rFonts w:ascii="Times New Roman" w:hAnsi="Times New Roman" w:cs="Times New Roman"/>
          <w:sz w:val="20"/>
          <w:szCs w:val="20"/>
          <w:shd w:val="clear" w:color="auto" w:fill="FFFFFF"/>
        </w:rPr>
        <w:t xml:space="preserve"> the tren</w:t>
      </w:r>
      <w:r w:rsidR="005F3F40" w:rsidRPr="004363F1">
        <w:rPr>
          <w:rFonts w:ascii="Times New Roman" w:hAnsi="Times New Roman" w:cs="Times New Roman"/>
          <w:sz w:val="20"/>
          <w:szCs w:val="20"/>
          <w:shd w:val="clear" w:color="auto" w:fill="FFFFFF"/>
        </w:rPr>
        <w:t>d of the daily averages of each group</w:t>
      </w:r>
      <w:r w:rsidR="00200CA0" w:rsidRPr="004363F1">
        <w:rPr>
          <w:rFonts w:ascii="Times New Roman" w:hAnsi="Times New Roman" w:cs="Times New Roman"/>
          <w:sz w:val="20"/>
          <w:szCs w:val="20"/>
          <w:shd w:val="clear" w:color="auto" w:fill="FFFFFF"/>
        </w:rPr>
        <w:t xml:space="preserve">. </w:t>
      </w:r>
      <w:r w:rsidR="005F3F40" w:rsidRPr="004363F1">
        <w:rPr>
          <w:rFonts w:ascii="Times New Roman" w:hAnsi="Times New Roman"/>
          <w:bCs/>
          <w:sz w:val="20"/>
          <w:szCs w:val="20"/>
        </w:rPr>
        <w:t>To avoid the selection bias resulting from the death process that could misleadingly exaggerate improvements as the sickest patients in each group were successively removed, the daily record</w:t>
      </w:r>
      <w:r w:rsidR="00E23D52" w:rsidRPr="004363F1">
        <w:rPr>
          <w:rFonts w:ascii="Times New Roman" w:hAnsi="Times New Roman"/>
          <w:bCs/>
          <w:sz w:val="20"/>
          <w:szCs w:val="20"/>
        </w:rPr>
        <w:t>s</w:t>
      </w:r>
      <w:r w:rsidR="005F3F40" w:rsidRPr="004363F1">
        <w:rPr>
          <w:rFonts w:ascii="Times New Roman" w:hAnsi="Times New Roman"/>
          <w:bCs/>
          <w:sz w:val="20"/>
          <w:szCs w:val="20"/>
        </w:rPr>
        <w:t xml:space="preserve"> of all non-survivors were removed from the data before the daily averages were calculated.</w:t>
      </w:r>
      <w:r w:rsidR="001A7A11" w:rsidRPr="004363F1">
        <w:rPr>
          <w:rFonts w:ascii="Times New Roman" w:hAnsi="Times New Roman" w:cs="Times New Roman"/>
          <w:sz w:val="20"/>
          <w:szCs w:val="20"/>
          <w:shd w:val="clear" w:color="auto" w:fill="FFFFFF"/>
        </w:rPr>
        <w:t xml:space="preserve"> </w:t>
      </w:r>
      <w:r w:rsidR="00CE6B05" w:rsidRPr="004363F1">
        <w:rPr>
          <w:rFonts w:ascii="Times New Roman" w:hAnsi="Times New Roman" w:cs="Times New Roman"/>
          <w:sz w:val="20"/>
          <w:szCs w:val="20"/>
          <w:shd w:val="clear" w:color="auto" w:fill="FFFFFF"/>
        </w:rPr>
        <w:t>The resulting graphs are shown in Figure 1 in the paper.</w:t>
      </w:r>
      <w:r w:rsidR="008A7182" w:rsidRPr="004363F1">
        <w:rPr>
          <w:rFonts w:ascii="Times New Roman" w:hAnsi="Times New Roman" w:cs="Times New Roman"/>
          <w:sz w:val="20"/>
          <w:szCs w:val="20"/>
          <w:shd w:val="clear" w:color="auto" w:fill="FFFFFF"/>
        </w:rPr>
        <w:t xml:space="preserve"> Except for the less clear evidence for platelets, the worst quartile group experienced the greatest improvement for each TVBI.</w:t>
      </w:r>
    </w:p>
    <w:p w14:paraId="7C4D6E63" w14:textId="77777777" w:rsidR="00B2469C" w:rsidRPr="004363F1" w:rsidRDefault="009A3C20" w:rsidP="00CC0983">
      <w:pPr>
        <w:spacing w:after="0" w:line="240" w:lineRule="auto"/>
        <w:ind w:firstLine="720"/>
        <w:jc w:val="both"/>
        <w:rPr>
          <w:rFonts w:ascii="Times New Roman" w:hAnsi="Times New Roman" w:cs="Times New Roman"/>
          <w:sz w:val="20"/>
          <w:szCs w:val="20"/>
          <w:shd w:val="clear" w:color="auto" w:fill="FFFFFF"/>
        </w:rPr>
      </w:pPr>
      <w:r w:rsidRPr="004363F1">
        <w:rPr>
          <w:rFonts w:ascii="Times New Roman" w:hAnsi="Times New Roman" w:cs="Times New Roman"/>
          <w:sz w:val="20"/>
          <w:szCs w:val="20"/>
          <w:shd w:val="clear" w:color="auto" w:fill="FFFFFF"/>
        </w:rPr>
        <w:t xml:space="preserve">To </w:t>
      </w:r>
      <w:r w:rsidR="00B5255B" w:rsidRPr="004363F1">
        <w:rPr>
          <w:rFonts w:ascii="Times New Roman" w:hAnsi="Times New Roman" w:cs="Times New Roman"/>
          <w:sz w:val="20"/>
          <w:szCs w:val="20"/>
          <w:shd w:val="clear" w:color="auto" w:fill="FFFFFF"/>
        </w:rPr>
        <w:t>see the effects of removing non</w:t>
      </w:r>
      <w:r w:rsidR="001A7A11" w:rsidRPr="004363F1">
        <w:rPr>
          <w:rFonts w:ascii="Times New Roman" w:hAnsi="Times New Roman" w:cs="Times New Roman"/>
          <w:sz w:val="20"/>
          <w:szCs w:val="20"/>
          <w:shd w:val="clear" w:color="auto" w:fill="FFFFFF"/>
        </w:rPr>
        <w:t>-</w:t>
      </w:r>
      <w:r w:rsidR="00B5255B" w:rsidRPr="004363F1">
        <w:rPr>
          <w:rFonts w:ascii="Times New Roman" w:hAnsi="Times New Roman" w:cs="Times New Roman"/>
          <w:sz w:val="20"/>
          <w:szCs w:val="20"/>
          <w:shd w:val="clear" w:color="auto" w:fill="FFFFFF"/>
        </w:rPr>
        <w:t>survivors</w:t>
      </w:r>
      <w:r w:rsidR="00392650" w:rsidRPr="004363F1">
        <w:rPr>
          <w:rFonts w:ascii="Times New Roman" w:hAnsi="Times New Roman" w:cs="Times New Roman"/>
          <w:sz w:val="20"/>
          <w:szCs w:val="20"/>
          <w:shd w:val="clear" w:color="auto" w:fill="FFFFFF"/>
        </w:rPr>
        <w:t>, we</w:t>
      </w:r>
      <w:r w:rsidR="00B2469C" w:rsidRPr="004363F1">
        <w:rPr>
          <w:rFonts w:ascii="Times New Roman" w:hAnsi="Times New Roman" w:cs="Times New Roman"/>
          <w:sz w:val="20"/>
          <w:szCs w:val="20"/>
          <w:shd w:val="clear" w:color="auto" w:fill="FFFFFF"/>
        </w:rPr>
        <w:t xml:space="preserve"> compared the temporal graphs in Figure 1 and the corresponding temporal graphs generated without the removal of non-survivors from the sample. We found that, as </w:t>
      </w:r>
      <w:r w:rsidR="00392650" w:rsidRPr="004363F1">
        <w:rPr>
          <w:rFonts w:ascii="Times New Roman" w:hAnsi="Times New Roman" w:cs="Times New Roman"/>
          <w:sz w:val="20"/>
          <w:szCs w:val="20"/>
          <w:shd w:val="clear" w:color="auto" w:fill="FFFFFF"/>
        </w:rPr>
        <w:t>expected, the failure to remove</w:t>
      </w:r>
      <w:r w:rsidR="00B2469C" w:rsidRPr="004363F1">
        <w:rPr>
          <w:rFonts w:ascii="Times New Roman" w:hAnsi="Times New Roman" w:cs="Times New Roman"/>
          <w:sz w:val="20"/>
          <w:szCs w:val="20"/>
          <w:shd w:val="clear" w:color="auto" w:fill="FFFFFF"/>
        </w:rPr>
        <w:t xml:space="preserve"> non-survivors resulted in the exaggeration of improvements</w:t>
      </w:r>
      <w:r w:rsidR="00775CA2" w:rsidRPr="004363F1">
        <w:rPr>
          <w:rFonts w:ascii="Times New Roman" w:hAnsi="Times New Roman" w:cs="Times New Roman"/>
          <w:sz w:val="20"/>
          <w:szCs w:val="20"/>
          <w:shd w:val="clear" w:color="auto" w:fill="FFFFFF"/>
        </w:rPr>
        <w:t xml:space="preserve"> (data not shown)</w:t>
      </w:r>
      <w:r w:rsidR="00B2469C" w:rsidRPr="004363F1">
        <w:rPr>
          <w:rFonts w:ascii="Times New Roman" w:hAnsi="Times New Roman" w:cs="Times New Roman"/>
          <w:sz w:val="20"/>
          <w:szCs w:val="20"/>
          <w:shd w:val="clear" w:color="auto" w:fill="FFFFFF"/>
        </w:rPr>
        <w:t xml:space="preserve">.    </w:t>
      </w:r>
    </w:p>
    <w:p w14:paraId="4190C62C" w14:textId="77777777" w:rsidR="008A7182" w:rsidRPr="004363F1" w:rsidRDefault="004A3BB9" w:rsidP="00CC0983">
      <w:pPr>
        <w:spacing w:after="0" w:line="240" w:lineRule="auto"/>
        <w:ind w:firstLine="720"/>
        <w:jc w:val="both"/>
        <w:rPr>
          <w:rFonts w:ascii="Times New Roman" w:hAnsi="Times New Roman" w:cs="Times New Roman"/>
          <w:sz w:val="20"/>
          <w:szCs w:val="20"/>
          <w:shd w:val="clear" w:color="auto" w:fill="FFFFFF"/>
        </w:rPr>
      </w:pPr>
      <w:r w:rsidRPr="004363F1">
        <w:rPr>
          <w:rFonts w:ascii="Times New Roman" w:hAnsi="Times New Roman" w:cs="Times New Roman"/>
          <w:sz w:val="20"/>
          <w:szCs w:val="20"/>
          <w:shd w:val="clear" w:color="auto" w:fill="FFFFFF"/>
        </w:rPr>
        <w:t xml:space="preserve">Being the two TVBIs with the greatest predictive powers, GCS and lactate turned out to show the greatest improvements: </w:t>
      </w:r>
      <w:r w:rsidR="002C0E29" w:rsidRPr="004363F1">
        <w:rPr>
          <w:rFonts w:ascii="Times New Roman" w:hAnsi="Times New Roman" w:cs="Times New Roman"/>
          <w:sz w:val="20"/>
          <w:szCs w:val="20"/>
          <w:shd w:val="clear" w:color="auto" w:fill="FFFFFF"/>
        </w:rPr>
        <w:t xml:space="preserve">the average of </w:t>
      </w:r>
      <w:r w:rsidRPr="004363F1">
        <w:rPr>
          <w:rFonts w:ascii="Times New Roman" w:hAnsi="Times New Roman" w:cs="Times New Roman"/>
          <w:sz w:val="20"/>
          <w:szCs w:val="20"/>
          <w:shd w:val="clear" w:color="auto" w:fill="FFFFFF"/>
        </w:rPr>
        <w:t xml:space="preserve">the worse quartile group experienced a sharp and rapid improvement, and </w:t>
      </w:r>
      <w:r w:rsidR="002C0E29" w:rsidRPr="004363F1">
        <w:rPr>
          <w:rFonts w:ascii="Times New Roman" w:hAnsi="Times New Roman" w:cs="Times New Roman"/>
          <w:sz w:val="20"/>
          <w:szCs w:val="20"/>
          <w:shd w:val="clear" w:color="auto" w:fill="FFFFFF"/>
        </w:rPr>
        <w:t xml:space="preserve">the averages of </w:t>
      </w:r>
      <w:r w:rsidRPr="004363F1">
        <w:rPr>
          <w:rFonts w:ascii="Times New Roman" w:hAnsi="Times New Roman" w:cs="Times New Roman"/>
          <w:sz w:val="20"/>
          <w:szCs w:val="20"/>
          <w:shd w:val="clear" w:color="auto" w:fill="FFFFFF"/>
        </w:rPr>
        <w:t xml:space="preserve">all quartile groups converged to a narrow range around a </w:t>
      </w:r>
      <w:r w:rsidR="002C0E29" w:rsidRPr="004363F1">
        <w:rPr>
          <w:rFonts w:ascii="Times New Roman" w:hAnsi="Times New Roman" w:cs="Times New Roman"/>
          <w:sz w:val="20"/>
          <w:szCs w:val="20"/>
          <w:shd w:val="clear" w:color="auto" w:fill="FFFFFF"/>
        </w:rPr>
        <w:t>low risk level. Thi</w:t>
      </w:r>
      <w:r w:rsidR="00855BBA" w:rsidRPr="004363F1">
        <w:rPr>
          <w:rFonts w:ascii="Times New Roman" w:hAnsi="Times New Roman" w:cs="Times New Roman"/>
          <w:sz w:val="20"/>
          <w:szCs w:val="20"/>
          <w:shd w:val="clear" w:color="auto" w:fill="FFFFFF"/>
        </w:rPr>
        <w:t xml:space="preserve">s temporal pattern </w:t>
      </w:r>
      <w:r w:rsidR="0013185B" w:rsidRPr="004363F1">
        <w:rPr>
          <w:rFonts w:ascii="Times New Roman" w:hAnsi="Times New Roman" w:cs="Times New Roman"/>
          <w:sz w:val="20"/>
          <w:szCs w:val="20"/>
          <w:shd w:val="clear" w:color="auto" w:fill="FFFFFF"/>
        </w:rPr>
        <w:t xml:space="preserve">is consistent with </w:t>
      </w:r>
      <w:r w:rsidR="002C0E29" w:rsidRPr="004363F1">
        <w:rPr>
          <w:rFonts w:ascii="Times New Roman" w:hAnsi="Times New Roman" w:cs="Times New Roman"/>
          <w:sz w:val="20"/>
          <w:szCs w:val="20"/>
          <w:shd w:val="clear" w:color="auto" w:fill="FFFFFF"/>
        </w:rPr>
        <w:t>the finding that most of the predictive powers of GC</w:t>
      </w:r>
      <w:r w:rsidR="0013185B" w:rsidRPr="004363F1">
        <w:rPr>
          <w:rFonts w:ascii="Times New Roman" w:hAnsi="Times New Roman" w:cs="Times New Roman"/>
          <w:sz w:val="20"/>
          <w:szCs w:val="20"/>
          <w:shd w:val="clear" w:color="auto" w:fill="FFFFFF"/>
        </w:rPr>
        <w:t>S and lactate (97% and 88%) come</w:t>
      </w:r>
      <w:r w:rsidR="002C0E29" w:rsidRPr="004363F1">
        <w:rPr>
          <w:rFonts w:ascii="Times New Roman" w:hAnsi="Times New Roman" w:cs="Times New Roman"/>
          <w:sz w:val="20"/>
          <w:szCs w:val="20"/>
          <w:shd w:val="clear" w:color="auto" w:fill="FFFFFF"/>
        </w:rPr>
        <w:t xml:space="preserve"> from their change variable</w:t>
      </w:r>
      <w:r w:rsidR="0013185B" w:rsidRPr="004363F1">
        <w:rPr>
          <w:rFonts w:ascii="Times New Roman" w:hAnsi="Times New Roman" w:cs="Times New Roman"/>
          <w:sz w:val="20"/>
          <w:szCs w:val="20"/>
          <w:shd w:val="clear" w:color="auto" w:fill="FFFFFF"/>
        </w:rPr>
        <w:t>s</w:t>
      </w:r>
      <w:r w:rsidR="002C0E29" w:rsidRPr="004363F1">
        <w:rPr>
          <w:rFonts w:ascii="Times New Roman" w:hAnsi="Times New Roman" w:cs="Times New Roman"/>
          <w:sz w:val="20"/>
          <w:szCs w:val="20"/>
          <w:shd w:val="clear" w:color="auto" w:fill="FFFFFF"/>
        </w:rPr>
        <w:t>. This finding suggest</w:t>
      </w:r>
      <w:r w:rsidR="00855BBA" w:rsidRPr="004363F1">
        <w:rPr>
          <w:rFonts w:ascii="Times New Roman" w:hAnsi="Times New Roman" w:cs="Times New Roman"/>
          <w:sz w:val="20"/>
          <w:szCs w:val="20"/>
          <w:shd w:val="clear" w:color="auto" w:fill="FFFFFF"/>
        </w:rPr>
        <w:t>s</w:t>
      </w:r>
      <w:r w:rsidR="002C0E29" w:rsidRPr="004363F1">
        <w:rPr>
          <w:rFonts w:ascii="Times New Roman" w:hAnsi="Times New Roman" w:cs="Times New Roman"/>
          <w:sz w:val="20"/>
          <w:szCs w:val="20"/>
          <w:shd w:val="clear" w:color="auto" w:fill="FFFFFF"/>
        </w:rPr>
        <w:t xml:space="preserve"> that the treatments that helped improve GCS and lactate contributed greatly to the reduction of the mortality risk level.</w:t>
      </w:r>
    </w:p>
    <w:p w14:paraId="6A0F69B6" w14:textId="77777777" w:rsidR="00775CA2" w:rsidRPr="004363F1" w:rsidRDefault="00855BBA" w:rsidP="00CC0983">
      <w:pPr>
        <w:spacing w:after="0" w:line="240" w:lineRule="auto"/>
        <w:ind w:firstLine="720"/>
        <w:jc w:val="both"/>
        <w:rPr>
          <w:rFonts w:ascii="Times New Roman" w:hAnsi="Times New Roman" w:cs="Times New Roman"/>
          <w:sz w:val="20"/>
          <w:szCs w:val="20"/>
          <w:shd w:val="clear" w:color="auto" w:fill="FFFFFF"/>
        </w:rPr>
      </w:pPr>
      <w:r w:rsidRPr="004363F1">
        <w:rPr>
          <w:rFonts w:ascii="Times New Roman" w:hAnsi="Times New Roman" w:cs="Times New Roman"/>
          <w:sz w:val="20"/>
          <w:szCs w:val="20"/>
          <w:shd w:val="clear" w:color="auto" w:fill="FFFFFF"/>
        </w:rPr>
        <w:t xml:space="preserve">For </w:t>
      </w:r>
      <w:proofErr w:type="spellStart"/>
      <w:r w:rsidRPr="004363F1">
        <w:rPr>
          <w:rFonts w:ascii="Times New Roman" w:hAnsi="Times New Roman" w:cs="Times New Roman"/>
          <w:sz w:val="20"/>
          <w:szCs w:val="20"/>
          <w:shd w:val="clear" w:color="auto" w:fill="FFFFFF"/>
        </w:rPr>
        <w:t>cfDNA</w:t>
      </w:r>
      <w:proofErr w:type="spellEnd"/>
      <w:r w:rsidRPr="004363F1">
        <w:rPr>
          <w:rFonts w:ascii="Times New Roman" w:hAnsi="Times New Roman" w:cs="Times New Roman"/>
          <w:sz w:val="20"/>
          <w:szCs w:val="20"/>
          <w:shd w:val="clear" w:color="auto" w:fill="FFFFFF"/>
        </w:rPr>
        <w:t xml:space="preserve">, the average of the worst quartile group remained at the </w:t>
      </w:r>
      <w:proofErr w:type="gramStart"/>
      <w:r w:rsidRPr="004363F1">
        <w:rPr>
          <w:rFonts w:ascii="Times New Roman" w:hAnsi="Times New Roman" w:cs="Times New Roman"/>
          <w:sz w:val="20"/>
          <w:szCs w:val="20"/>
          <w:shd w:val="clear" w:color="auto" w:fill="FFFFFF"/>
        </w:rPr>
        <w:t>high risk</w:t>
      </w:r>
      <w:proofErr w:type="gramEnd"/>
      <w:r w:rsidRPr="004363F1">
        <w:rPr>
          <w:rFonts w:ascii="Times New Roman" w:hAnsi="Times New Roman" w:cs="Times New Roman"/>
          <w:sz w:val="20"/>
          <w:szCs w:val="20"/>
          <w:shd w:val="clear" w:color="auto" w:fill="FFFFFF"/>
        </w:rPr>
        <w:t xml:space="preserve"> level of 6 ug/mL, after a brief improvement from day 1 to day 4, while the average of the best quartile group increased from less than 3 ug/mL to nearly 4 ug/</w:t>
      </w:r>
      <w:proofErr w:type="spellStart"/>
      <w:r w:rsidRPr="004363F1">
        <w:rPr>
          <w:rFonts w:ascii="Times New Roman" w:hAnsi="Times New Roman" w:cs="Times New Roman"/>
          <w:sz w:val="20"/>
          <w:szCs w:val="20"/>
          <w:shd w:val="clear" w:color="auto" w:fill="FFFFFF"/>
        </w:rPr>
        <w:t>mL.</w:t>
      </w:r>
      <w:proofErr w:type="spellEnd"/>
      <w:r w:rsidRPr="004363F1">
        <w:rPr>
          <w:rFonts w:ascii="Times New Roman" w:hAnsi="Times New Roman" w:cs="Times New Roman"/>
          <w:sz w:val="20"/>
          <w:szCs w:val="20"/>
          <w:shd w:val="clear" w:color="auto" w:fill="FFFFFF"/>
        </w:rPr>
        <w:t xml:space="preserve"> This temporal pattern corresponded to the finding that a very high proportion of the predictive power (91%) </w:t>
      </w:r>
      <w:r w:rsidR="009F705F" w:rsidRPr="004363F1">
        <w:rPr>
          <w:rFonts w:ascii="Times New Roman" w:hAnsi="Times New Roman" w:cs="Times New Roman"/>
          <w:sz w:val="20"/>
          <w:szCs w:val="20"/>
          <w:shd w:val="clear" w:color="auto" w:fill="FFFFFF"/>
        </w:rPr>
        <w:t xml:space="preserve">of </w:t>
      </w:r>
      <w:proofErr w:type="spellStart"/>
      <w:r w:rsidR="009F705F" w:rsidRPr="004363F1">
        <w:rPr>
          <w:rFonts w:ascii="Times New Roman" w:hAnsi="Times New Roman" w:cs="Times New Roman"/>
          <w:sz w:val="20"/>
          <w:szCs w:val="20"/>
          <w:shd w:val="clear" w:color="auto" w:fill="FFFFFF"/>
        </w:rPr>
        <w:t>cfDNA</w:t>
      </w:r>
      <w:proofErr w:type="spellEnd"/>
      <w:r w:rsidR="009F705F" w:rsidRPr="004363F1">
        <w:rPr>
          <w:rFonts w:ascii="Times New Roman" w:hAnsi="Times New Roman" w:cs="Times New Roman"/>
          <w:sz w:val="20"/>
          <w:szCs w:val="20"/>
          <w:shd w:val="clear" w:color="auto" w:fill="FFFFFF"/>
        </w:rPr>
        <w:t xml:space="preserve"> </w:t>
      </w:r>
      <w:r w:rsidRPr="004363F1">
        <w:rPr>
          <w:rFonts w:ascii="Times New Roman" w:hAnsi="Times New Roman" w:cs="Times New Roman"/>
          <w:sz w:val="20"/>
          <w:szCs w:val="20"/>
          <w:shd w:val="clear" w:color="auto" w:fill="FFFFFF"/>
        </w:rPr>
        <w:t>came</w:t>
      </w:r>
      <w:r w:rsidR="009F705F" w:rsidRPr="004363F1">
        <w:rPr>
          <w:rFonts w:ascii="Times New Roman" w:hAnsi="Times New Roman" w:cs="Times New Roman"/>
          <w:sz w:val="20"/>
          <w:szCs w:val="20"/>
          <w:shd w:val="clear" w:color="auto" w:fill="FFFFFF"/>
        </w:rPr>
        <w:t xml:space="preserve"> its day 1 variable, leaving only 9% for its change variable. This</w:t>
      </w:r>
      <w:r w:rsidR="00775CA2" w:rsidRPr="004363F1">
        <w:rPr>
          <w:rFonts w:ascii="Times New Roman" w:hAnsi="Times New Roman" w:cs="Times New Roman"/>
          <w:sz w:val="20"/>
          <w:szCs w:val="20"/>
          <w:shd w:val="clear" w:color="auto" w:fill="FFFFFF"/>
        </w:rPr>
        <w:t xml:space="preserve"> finding suggests that </w:t>
      </w:r>
      <w:r w:rsidR="0013185B" w:rsidRPr="004363F1">
        <w:rPr>
          <w:rFonts w:ascii="Times New Roman" w:hAnsi="Times New Roman" w:cs="Times New Roman"/>
          <w:sz w:val="20"/>
          <w:szCs w:val="20"/>
          <w:shd w:val="clear" w:color="auto" w:fill="FFFFFF"/>
        </w:rPr>
        <w:t xml:space="preserve">novel </w:t>
      </w:r>
      <w:r w:rsidR="00775CA2" w:rsidRPr="004363F1">
        <w:rPr>
          <w:rFonts w:ascii="Times New Roman" w:hAnsi="Times New Roman" w:cs="Times New Roman"/>
          <w:sz w:val="20"/>
          <w:szCs w:val="20"/>
          <w:shd w:val="clear" w:color="auto" w:fill="FFFFFF"/>
        </w:rPr>
        <w:t>strategies</w:t>
      </w:r>
      <w:r w:rsidR="009F705F" w:rsidRPr="004363F1">
        <w:rPr>
          <w:rFonts w:ascii="Times New Roman" w:hAnsi="Times New Roman" w:cs="Times New Roman"/>
          <w:sz w:val="20"/>
          <w:szCs w:val="20"/>
          <w:shd w:val="clear" w:color="auto" w:fill="FFFFFF"/>
        </w:rPr>
        <w:t xml:space="preserve"> for reducing </w:t>
      </w:r>
      <w:proofErr w:type="spellStart"/>
      <w:r w:rsidR="009F705F" w:rsidRPr="004363F1">
        <w:rPr>
          <w:rFonts w:ascii="Times New Roman" w:hAnsi="Times New Roman" w:cs="Times New Roman"/>
          <w:sz w:val="20"/>
          <w:szCs w:val="20"/>
          <w:shd w:val="clear" w:color="auto" w:fill="FFFFFF"/>
        </w:rPr>
        <w:t>cfDNA</w:t>
      </w:r>
      <w:proofErr w:type="spellEnd"/>
      <w:r w:rsidR="009F705F" w:rsidRPr="004363F1">
        <w:rPr>
          <w:rFonts w:ascii="Times New Roman" w:hAnsi="Times New Roman" w:cs="Times New Roman"/>
          <w:sz w:val="20"/>
          <w:szCs w:val="20"/>
          <w:shd w:val="clear" w:color="auto" w:fill="FFFFFF"/>
        </w:rPr>
        <w:t xml:space="preserve"> </w:t>
      </w:r>
      <w:r w:rsidR="00775CA2" w:rsidRPr="004363F1">
        <w:rPr>
          <w:rFonts w:ascii="Times New Roman" w:hAnsi="Times New Roman" w:cs="Times New Roman"/>
          <w:sz w:val="20"/>
          <w:szCs w:val="20"/>
          <w:shd w:val="clear" w:color="auto" w:fill="FFFFFF"/>
        </w:rPr>
        <w:t>may improve outcome.</w:t>
      </w:r>
    </w:p>
    <w:p w14:paraId="6C576240" w14:textId="77777777" w:rsidR="00903BB7" w:rsidRPr="004363F1" w:rsidRDefault="00A852F7" w:rsidP="00CC0983">
      <w:pPr>
        <w:spacing w:after="0" w:line="240" w:lineRule="auto"/>
        <w:ind w:firstLine="720"/>
        <w:jc w:val="both"/>
        <w:rPr>
          <w:rFonts w:ascii="Times New Roman" w:eastAsiaTheme="minorEastAsia" w:hAnsi="Times New Roman" w:cs="Times New Roman"/>
          <w:sz w:val="20"/>
          <w:szCs w:val="20"/>
          <w:lang w:val="en-CA"/>
        </w:rPr>
      </w:pPr>
      <w:r w:rsidRPr="004363F1">
        <w:rPr>
          <w:rFonts w:ascii="Times New Roman" w:eastAsiaTheme="minorEastAsia" w:hAnsi="Times New Roman" w:cs="Times New Roman"/>
          <w:sz w:val="20"/>
          <w:szCs w:val="20"/>
        </w:rPr>
        <w:t>P</w:t>
      </w:r>
      <w:proofErr w:type="spellStart"/>
      <w:r w:rsidR="00FC69BF" w:rsidRPr="004363F1">
        <w:rPr>
          <w:rFonts w:ascii="Times New Roman" w:eastAsiaTheme="minorEastAsia" w:hAnsi="Times New Roman" w:cs="Times New Roman"/>
          <w:sz w:val="20"/>
          <w:szCs w:val="20"/>
          <w:lang w:val="en-CA"/>
        </w:rPr>
        <w:t>rotein</w:t>
      </w:r>
      <w:proofErr w:type="spellEnd"/>
      <w:r w:rsidR="00FC69BF" w:rsidRPr="004363F1">
        <w:rPr>
          <w:rFonts w:ascii="Times New Roman" w:eastAsiaTheme="minorEastAsia" w:hAnsi="Times New Roman" w:cs="Times New Roman"/>
          <w:sz w:val="20"/>
          <w:szCs w:val="20"/>
          <w:lang w:val="en-CA"/>
        </w:rPr>
        <w:t xml:space="preserve"> C was the third most powerful predictor of the hazards of dying, with 45% of its predictive power coming from its change variable. </w:t>
      </w:r>
      <w:r w:rsidR="009F705F" w:rsidRPr="004363F1">
        <w:rPr>
          <w:rFonts w:ascii="Times New Roman" w:eastAsiaTheme="minorEastAsia" w:hAnsi="Times New Roman" w:cs="Times New Roman"/>
          <w:sz w:val="20"/>
          <w:szCs w:val="20"/>
          <w:lang w:val="en-CA"/>
        </w:rPr>
        <w:t>T</w:t>
      </w:r>
      <w:r w:rsidR="00FC69BF" w:rsidRPr="004363F1">
        <w:rPr>
          <w:rFonts w:ascii="Times New Roman" w:eastAsiaTheme="minorEastAsia" w:hAnsi="Times New Roman" w:cs="Times New Roman"/>
          <w:sz w:val="20"/>
          <w:szCs w:val="20"/>
          <w:lang w:val="en-CA"/>
        </w:rPr>
        <w:t xml:space="preserve">here </w:t>
      </w:r>
      <w:r w:rsidR="008A385B" w:rsidRPr="004363F1">
        <w:rPr>
          <w:rFonts w:ascii="Times New Roman" w:eastAsiaTheme="minorEastAsia" w:hAnsi="Times New Roman" w:cs="Times New Roman"/>
          <w:sz w:val="20"/>
          <w:szCs w:val="20"/>
          <w:lang w:val="en-CA"/>
        </w:rPr>
        <w:t xml:space="preserve">was </w:t>
      </w:r>
      <w:r w:rsidR="00FC69BF" w:rsidRPr="004363F1">
        <w:rPr>
          <w:rFonts w:ascii="Times New Roman" w:eastAsiaTheme="minorEastAsia" w:hAnsi="Times New Roman" w:cs="Times New Roman"/>
          <w:sz w:val="20"/>
          <w:szCs w:val="20"/>
          <w:lang w:val="en-CA"/>
        </w:rPr>
        <w:t>a g</w:t>
      </w:r>
      <w:r w:rsidR="008A385B" w:rsidRPr="004363F1">
        <w:rPr>
          <w:rFonts w:ascii="Times New Roman" w:eastAsiaTheme="minorEastAsia" w:hAnsi="Times New Roman" w:cs="Times New Roman"/>
          <w:sz w:val="20"/>
          <w:szCs w:val="20"/>
          <w:lang w:val="en-CA"/>
        </w:rPr>
        <w:t>eneral pattern of improvement in</w:t>
      </w:r>
      <w:r w:rsidR="00FC69BF" w:rsidRPr="004363F1">
        <w:rPr>
          <w:rFonts w:ascii="Times New Roman" w:eastAsiaTheme="minorEastAsia" w:hAnsi="Times New Roman" w:cs="Times New Roman"/>
          <w:sz w:val="20"/>
          <w:szCs w:val="20"/>
          <w:lang w:val="en-CA"/>
        </w:rPr>
        <w:t xml:space="preserve"> protein C for all </w:t>
      </w:r>
      <w:r w:rsidR="00E00CBB" w:rsidRPr="004363F1">
        <w:rPr>
          <w:rFonts w:ascii="Times New Roman" w:eastAsiaTheme="minorEastAsia" w:hAnsi="Times New Roman" w:cs="Times New Roman"/>
          <w:sz w:val="20"/>
          <w:szCs w:val="20"/>
          <w:lang w:val="en-CA"/>
        </w:rPr>
        <w:t>quartile group</w:t>
      </w:r>
      <w:r w:rsidR="00FC69BF" w:rsidRPr="004363F1">
        <w:rPr>
          <w:rFonts w:ascii="Times New Roman" w:eastAsiaTheme="minorEastAsia" w:hAnsi="Times New Roman" w:cs="Times New Roman"/>
          <w:sz w:val="20"/>
          <w:szCs w:val="20"/>
          <w:lang w:val="en-CA"/>
        </w:rPr>
        <w:t xml:space="preserve">s, with the </w:t>
      </w:r>
      <w:r w:rsidR="00333D00" w:rsidRPr="004363F1">
        <w:rPr>
          <w:rFonts w:ascii="Times New Roman" w:eastAsiaTheme="minorEastAsia" w:hAnsi="Times New Roman" w:cs="Times New Roman"/>
          <w:sz w:val="20"/>
          <w:szCs w:val="20"/>
          <w:lang w:val="en-CA"/>
        </w:rPr>
        <w:t xml:space="preserve">worst </w:t>
      </w:r>
      <w:r w:rsidR="00E00CBB" w:rsidRPr="004363F1">
        <w:rPr>
          <w:rFonts w:ascii="Times New Roman" w:eastAsiaTheme="minorEastAsia" w:hAnsi="Times New Roman" w:cs="Times New Roman"/>
          <w:sz w:val="20"/>
          <w:szCs w:val="20"/>
          <w:lang w:val="en-CA"/>
        </w:rPr>
        <w:t>quartile group</w:t>
      </w:r>
      <w:r w:rsidR="00333D00" w:rsidRPr="004363F1">
        <w:rPr>
          <w:rFonts w:ascii="Times New Roman" w:eastAsiaTheme="minorEastAsia" w:hAnsi="Times New Roman" w:cs="Times New Roman"/>
          <w:sz w:val="20"/>
          <w:szCs w:val="20"/>
          <w:lang w:val="en-CA"/>
        </w:rPr>
        <w:t xml:space="preserve"> experiencing the </w:t>
      </w:r>
      <w:r w:rsidR="00FC69BF" w:rsidRPr="004363F1">
        <w:rPr>
          <w:rFonts w:ascii="Times New Roman" w:eastAsiaTheme="minorEastAsia" w:hAnsi="Times New Roman" w:cs="Times New Roman"/>
          <w:sz w:val="20"/>
          <w:szCs w:val="20"/>
          <w:lang w:val="en-CA"/>
        </w:rPr>
        <w:t>greatest</w:t>
      </w:r>
      <w:r w:rsidR="00333D00" w:rsidRPr="004363F1">
        <w:rPr>
          <w:rFonts w:ascii="Times New Roman" w:eastAsiaTheme="minorEastAsia" w:hAnsi="Times New Roman" w:cs="Times New Roman"/>
          <w:sz w:val="20"/>
          <w:szCs w:val="20"/>
          <w:lang w:val="en-CA"/>
        </w:rPr>
        <w:t xml:space="preserve"> improvement. However, by day 28, the gap between the worst and best </w:t>
      </w:r>
      <w:r w:rsidR="00E00CBB" w:rsidRPr="004363F1">
        <w:rPr>
          <w:rFonts w:ascii="Times New Roman" w:eastAsiaTheme="minorEastAsia" w:hAnsi="Times New Roman" w:cs="Times New Roman"/>
          <w:sz w:val="20"/>
          <w:szCs w:val="20"/>
          <w:lang w:val="en-CA"/>
        </w:rPr>
        <w:t>quartile group</w:t>
      </w:r>
      <w:r w:rsidR="00333D00" w:rsidRPr="004363F1">
        <w:rPr>
          <w:rFonts w:ascii="Times New Roman" w:eastAsiaTheme="minorEastAsia" w:hAnsi="Times New Roman" w:cs="Times New Roman"/>
          <w:sz w:val="20"/>
          <w:szCs w:val="20"/>
          <w:lang w:val="en-CA"/>
        </w:rPr>
        <w:t xml:space="preserve">s remained quite large, with the average of the worst </w:t>
      </w:r>
      <w:r w:rsidR="00E00CBB" w:rsidRPr="004363F1">
        <w:rPr>
          <w:rFonts w:ascii="Times New Roman" w:eastAsiaTheme="minorEastAsia" w:hAnsi="Times New Roman" w:cs="Times New Roman"/>
          <w:sz w:val="20"/>
          <w:szCs w:val="20"/>
          <w:lang w:val="en-CA"/>
        </w:rPr>
        <w:t>quartile group</w:t>
      </w:r>
      <w:r w:rsidR="008A385B" w:rsidRPr="004363F1">
        <w:rPr>
          <w:rFonts w:ascii="Times New Roman" w:eastAsiaTheme="minorEastAsia" w:hAnsi="Times New Roman" w:cs="Times New Roman"/>
          <w:sz w:val="20"/>
          <w:szCs w:val="20"/>
          <w:lang w:val="en-CA"/>
        </w:rPr>
        <w:t xml:space="preserve"> being </w:t>
      </w:r>
      <w:r w:rsidR="0013185B" w:rsidRPr="004363F1">
        <w:rPr>
          <w:rFonts w:ascii="Times New Roman" w:eastAsiaTheme="minorEastAsia" w:hAnsi="Times New Roman" w:cs="Times New Roman"/>
          <w:sz w:val="20"/>
          <w:szCs w:val="20"/>
          <w:lang w:val="en-CA"/>
        </w:rPr>
        <w:t>&lt;</w:t>
      </w:r>
      <w:r w:rsidR="00333D00" w:rsidRPr="004363F1">
        <w:rPr>
          <w:rFonts w:ascii="Times New Roman" w:eastAsiaTheme="minorEastAsia" w:hAnsi="Times New Roman" w:cs="Times New Roman"/>
          <w:sz w:val="20"/>
          <w:szCs w:val="20"/>
          <w:lang w:val="en-CA"/>
        </w:rPr>
        <w:t xml:space="preserve">70% of the normal level. Compared with lactate and GCS, </w:t>
      </w:r>
      <w:r w:rsidR="00903BB7" w:rsidRPr="004363F1">
        <w:rPr>
          <w:rFonts w:ascii="Times New Roman" w:eastAsiaTheme="minorEastAsia" w:hAnsi="Times New Roman" w:cs="Times New Roman"/>
          <w:sz w:val="20"/>
          <w:szCs w:val="20"/>
          <w:lang w:val="en-CA"/>
        </w:rPr>
        <w:t>the improvement in protein C was smaller and more prolonged, so that its contribution to the overall reduction of mortality risk was much less.</w:t>
      </w:r>
      <w:r w:rsidR="00E00E1B" w:rsidRPr="004363F1">
        <w:rPr>
          <w:rFonts w:ascii="Times New Roman" w:eastAsiaTheme="minorEastAsia" w:hAnsi="Times New Roman" w:cs="Times New Roman"/>
          <w:sz w:val="20"/>
          <w:szCs w:val="20"/>
          <w:lang w:val="en-CA"/>
        </w:rPr>
        <w:t xml:space="preserve"> Since protein C </w:t>
      </w:r>
      <w:r w:rsidR="0013185B" w:rsidRPr="004363F1">
        <w:rPr>
          <w:rFonts w:ascii="Times New Roman" w:eastAsiaTheme="minorEastAsia" w:hAnsi="Times New Roman" w:cs="Times New Roman"/>
          <w:sz w:val="20"/>
          <w:szCs w:val="20"/>
          <w:lang w:val="en-CA"/>
        </w:rPr>
        <w:t xml:space="preserve">is similar to </w:t>
      </w:r>
      <w:proofErr w:type="spellStart"/>
      <w:r w:rsidR="00E00E1B" w:rsidRPr="004363F1">
        <w:rPr>
          <w:rFonts w:ascii="Times New Roman" w:eastAsiaTheme="minorEastAsia" w:hAnsi="Times New Roman" w:cs="Times New Roman"/>
          <w:sz w:val="20"/>
          <w:szCs w:val="20"/>
          <w:lang w:val="en-CA"/>
        </w:rPr>
        <w:t>cfDNA</w:t>
      </w:r>
      <w:proofErr w:type="spellEnd"/>
      <w:r w:rsidR="00E00E1B" w:rsidRPr="004363F1">
        <w:rPr>
          <w:rFonts w:ascii="Times New Roman" w:eastAsiaTheme="minorEastAsia" w:hAnsi="Times New Roman" w:cs="Times New Roman"/>
          <w:sz w:val="20"/>
          <w:szCs w:val="20"/>
          <w:lang w:val="en-CA"/>
        </w:rPr>
        <w:t xml:space="preserve"> in having a strong predictive powe</w:t>
      </w:r>
      <w:r w:rsidR="0013185B" w:rsidRPr="004363F1">
        <w:rPr>
          <w:rFonts w:ascii="Times New Roman" w:eastAsiaTheme="minorEastAsia" w:hAnsi="Times New Roman" w:cs="Times New Roman"/>
          <w:sz w:val="20"/>
          <w:szCs w:val="20"/>
          <w:lang w:val="en-CA"/>
        </w:rPr>
        <w:t>r for its day 1 variable, a low</w:t>
      </w:r>
      <w:r w:rsidR="00E00E1B" w:rsidRPr="004363F1">
        <w:rPr>
          <w:rFonts w:ascii="Times New Roman" w:eastAsiaTheme="minorEastAsia" w:hAnsi="Times New Roman" w:cs="Times New Roman"/>
          <w:sz w:val="20"/>
          <w:szCs w:val="20"/>
          <w:lang w:val="en-CA"/>
        </w:rPr>
        <w:t xml:space="preserve"> level of protein C was strongly connected to a high risk of dying. </w:t>
      </w:r>
      <w:r w:rsidR="00864AEE" w:rsidRPr="004363F1">
        <w:rPr>
          <w:rFonts w:ascii="Times New Roman" w:eastAsiaTheme="minorEastAsia" w:hAnsi="Times New Roman" w:cs="Times New Roman"/>
          <w:sz w:val="20"/>
          <w:szCs w:val="20"/>
          <w:lang w:val="en-CA"/>
        </w:rPr>
        <w:t>Strategies to</w:t>
      </w:r>
      <w:r w:rsidR="00925264" w:rsidRPr="004363F1">
        <w:rPr>
          <w:rFonts w:ascii="Times New Roman" w:eastAsiaTheme="minorEastAsia" w:hAnsi="Times New Roman" w:cs="Times New Roman"/>
          <w:sz w:val="20"/>
          <w:szCs w:val="20"/>
          <w:lang w:val="en-CA"/>
        </w:rPr>
        <w:t xml:space="preserve"> increase</w:t>
      </w:r>
      <w:r w:rsidR="00864AEE" w:rsidRPr="004363F1">
        <w:rPr>
          <w:rFonts w:ascii="Times New Roman" w:eastAsiaTheme="minorEastAsia" w:hAnsi="Times New Roman" w:cs="Times New Roman"/>
          <w:sz w:val="20"/>
          <w:szCs w:val="20"/>
          <w:lang w:val="en-CA"/>
        </w:rPr>
        <w:t xml:space="preserve"> protein C levels may also improve outcome.</w:t>
      </w:r>
      <w:r w:rsidR="00E00E1B" w:rsidRPr="004363F1">
        <w:rPr>
          <w:rFonts w:ascii="Times New Roman" w:eastAsiaTheme="minorEastAsia" w:hAnsi="Times New Roman" w:cs="Times New Roman"/>
          <w:sz w:val="20"/>
          <w:szCs w:val="20"/>
          <w:lang w:val="en-CA"/>
        </w:rPr>
        <w:t xml:space="preserve">  </w:t>
      </w:r>
    </w:p>
    <w:p w14:paraId="6F612A1B" w14:textId="77777777" w:rsidR="00333D00" w:rsidRPr="004363F1" w:rsidRDefault="00903BB7" w:rsidP="00CC0983">
      <w:pPr>
        <w:spacing w:after="0" w:line="240" w:lineRule="auto"/>
        <w:jc w:val="both"/>
        <w:rPr>
          <w:rFonts w:ascii="Times New Roman" w:eastAsiaTheme="minorEastAsia" w:hAnsi="Times New Roman" w:cs="Times New Roman"/>
          <w:sz w:val="20"/>
          <w:szCs w:val="20"/>
          <w:lang w:val="en-CA"/>
        </w:rPr>
      </w:pPr>
      <w:r w:rsidRPr="004363F1">
        <w:rPr>
          <w:rFonts w:ascii="Times New Roman" w:eastAsiaTheme="minorEastAsia" w:hAnsi="Times New Roman" w:cs="Times New Roman"/>
          <w:sz w:val="20"/>
          <w:szCs w:val="20"/>
          <w:lang w:val="en-CA"/>
        </w:rPr>
        <w:tab/>
      </w:r>
      <w:r w:rsidR="009F705F" w:rsidRPr="004363F1">
        <w:rPr>
          <w:rFonts w:ascii="Times New Roman" w:eastAsiaTheme="minorEastAsia" w:hAnsi="Times New Roman" w:cs="Times New Roman"/>
          <w:sz w:val="20"/>
          <w:szCs w:val="20"/>
          <w:lang w:val="en-CA"/>
        </w:rPr>
        <w:t>P</w:t>
      </w:r>
      <w:r w:rsidR="00765D64" w:rsidRPr="004363F1">
        <w:rPr>
          <w:rFonts w:ascii="Times New Roman" w:eastAsiaTheme="minorEastAsia" w:hAnsi="Times New Roman" w:cs="Times New Roman"/>
          <w:sz w:val="20"/>
          <w:szCs w:val="20"/>
          <w:lang w:val="en-CA"/>
        </w:rPr>
        <w:t>latelet</w:t>
      </w:r>
      <w:r w:rsidR="00864AEE" w:rsidRPr="004363F1">
        <w:rPr>
          <w:rFonts w:ascii="Times New Roman" w:eastAsiaTheme="minorEastAsia" w:hAnsi="Times New Roman" w:cs="Times New Roman"/>
          <w:sz w:val="20"/>
          <w:szCs w:val="20"/>
          <w:lang w:val="en-CA"/>
        </w:rPr>
        <w:t xml:space="preserve"> counts</w:t>
      </w:r>
      <w:r w:rsidR="00765D64" w:rsidRPr="004363F1">
        <w:rPr>
          <w:rFonts w:ascii="Times New Roman" w:eastAsiaTheme="minorEastAsia" w:hAnsi="Times New Roman" w:cs="Times New Roman"/>
          <w:sz w:val="20"/>
          <w:szCs w:val="20"/>
          <w:lang w:val="en-CA"/>
        </w:rPr>
        <w:t xml:space="preserve"> had the second weakest predictive power, with 54% of it coming from the change variable. </w:t>
      </w:r>
      <w:r w:rsidR="009F705F" w:rsidRPr="004363F1">
        <w:rPr>
          <w:rFonts w:ascii="Times New Roman" w:eastAsiaTheme="minorEastAsia" w:hAnsi="Times New Roman" w:cs="Times New Roman"/>
          <w:sz w:val="20"/>
          <w:szCs w:val="20"/>
          <w:lang w:val="en-CA"/>
        </w:rPr>
        <w:t xml:space="preserve">It </w:t>
      </w:r>
      <w:r w:rsidR="00864AEE" w:rsidRPr="004363F1">
        <w:rPr>
          <w:rFonts w:ascii="Times New Roman" w:eastAsiaTheme="minorEastAsia" w:hAnsi="Times New Roman" w:cs="Times New Roman"/>
          <w:sz w:val="20"/>
          <w:szCs w:val="20"/>
          <w:lang w:val="en-CA"/>
        </w:rPr>
        <w:t>has</w:t>
      </w:r>
      <w:r w:rsidR="00765D64" w:rsidRPr="004363F1">
        <w:rPr>
          <w:rFonts w:ascii="Times New Roman" w:eastAsiaTheme="minorEastAsia" w:hAnsi="Times New Roman" w:cs="Times New Roman"/>
          <w:sz w:val="20"/>
          <w:szCs w:val="20"/>
          <w:lang w:val="en-CA"/>
        </w:rPr>
        <w:t xml:space="preserve"> the distinctive feature of a general lack of improvement during the first few days. During the first 3 or 4 days, the average of the worst </w:t>
      </w:r>
      <w:r w:rsidR="00E00CBB" w:rsidRPr="004363F1">
        <w:rPr>
          <w:rFonts w:ascii="Times New Roman" w:eastAsiaTheme="minorEastAsia" w:hAnsi="Times New Roman" w:cs="Times New Roman"/>
          <w:sz w:val="20"/>
          <w:szCs w:val="20"/>
          <w:lang w:val="en-CA"/>
        </w:rPr>
        <w:t>quartile group</w:t>
      </w:r>
      <w:r w:rsidR="00765D64" w:rsidRPr="004363F1">
        <w:rPr>
          <w:rFonts w:ascii="Times New Roman" w:eastAsiaTheme="minorEastAsia" w:hAnsi="Times New Roman" w:cs="Times New Roman"/>
          <w:sz w:val="20"/>
          <w:szCs w:val="20"/>
          <w:lang w:val="en-CA"/>
        </w:rPr>
        <w:t xml:space="preserve"> remained a</w:t>
      </w:r>
      <w:r w:rsidR="00B94E42" w:rsidRPr="004363F1">
        <w:rPr>
          <w:rFonts w:ascii="Times New Roman" w:eastAsiaTheme="minorEastAsia" w:hAnsi="Times New Roman" w:cs="Times New Roman"/>
          <w:sz w:val="20"/>
          <w:szCs w:val="20"/>
          <w:lang w:val="en-CA"/>
        </w:rPr>
        <w:t>t</w:t>
      </w:r>
      <w:r w:rsidR="00765D64" w:rsidRPr="004363F1">
        <w:rPr>
          <w:rFonts w:ascii="Times New Roman" w:eastAsiaTheme="minorEastAsia" w:hAnsi="Times New Roman" w:cs="Times New Roman"/>
          <w:sz w:val="20"/>
          <w:szCs w:val="20"/>
          <w:lang w:val="en-CA"/>
        </w:rPr>
        <w:t xml:space="preserve"> the same high risk level of about 100 </w:t>
      </w:r>
      <w:r w:rsidR="00B94E42" w:rsidRPr="004363F1">
        <w:rPr>
          <w:rFonts w:ascii="Times New Roman" w:eastAsiaTheme="minorEastAsia" w:hAnsi="Times New Roman" w:cs="Times New Roman"/>
          <w:sz w:val="20"/>
          <w:szCs w:val="20"/>
          <w:lang w:val="en-CA"/>
        </w:rPr>
        <w:t xml:space="preserve">units, whereas the averages of the 3 better </w:t>
      </w:r>
      <w:r w:rsidR="00E00CBB" w:rsidRPr="004363F1">
        <w:rPr>
          <w:rFonts w:ascii="Times New Roman" w:eastAsiaTheme="minorEastAsia" w:hAnsi="Times New Roman" w:cs="Times New Roman"/>
          <w:sz w:val="20"/>
          <w:szCs w:val="20"/>
          <w:lang w:val="en-CA"/>
        </w:rPr>
        <w:t>quartile group</w:t>
      </w:r>
      <w:r w:rsidR="00B94E42" w:rsidRPr="004363F1">
        <w:rPr>
          <w:rFonts w:ascii="Times New Roman" w:eastAsiaTheme="minorEastAsia" w:hAnsi="Times New Roman" w:cs="Times New Roman"/>
          <w:sz w:val="20"/>
          <w:szCs w:val="20"/>
          <w:lang w:val="en-CA"/>
        </w:rPr>
        <w:t xml:space="preserve">s all worsened. Beyond day 4, the averages of all </w:t>
      </w:r>
      <w:r w:rsidR="00E00CBB" w:rsidRPr="004363F1">
        <w:rPr>
          <w:rFonts w:ascii="Times New Roman" w:eastAsiaTheme="minorEastAsia" w:hAnsi="Times New Roman" w:cs="Times New Roman"/>
          <w:sz w:val="20"/>
          <w:szCs w:val="20"/>
          <w:lang w:val="en-CA"/>
        </w:rPr>
        <w:t>quartile group</w:t>
      </w:r>
      <w:r w:rsidR="00B94E42" w:rsidRPr="004363F1">
        <w:rPr>
          <w:rFonts w:ascii="Times New Roman" w:eastAsiaTheme="minorEastAsia" w:hAnsi="Times New Roman" w:cs="Times New Roman"/>
          <w:sz w:val="20"/>
          <w:szCs w:val="20"/>
          <w:lang w:val="en-CA"/>
        </w:rPr>
        <w:t xml:space="preserve">s experienced a prolonged and moderate improvement until around the end of the second week. </w:t>
      </w:r>
      <w:r w:rsidR="00765D64" w:rsidRPr="004363F1">
        <w:rPr>
          <w:rFonts w:ascii="Times New Roman" w:eastAsiaTheme="minorEastAsia" w:hAnsi="Times New Roman" w:cs="Times New Roman"/>
          <w:sz w:val="20"/>
          <w:szCs w:val="20"/>
          <w:lang w:val="en-CA"/>
        </w:rPr>
        <w:t xml:space="preserve"> </w:t>
      </w:r>
      <w:r w:rsidR="00F715B3" w:rsidRPr="004363F1">
        <w:rPr>
          <w:rFonts w:ascii="Times New Roman" w:eastAsiaTheme="minorEastAsia" w:hAnsi="Times New Roman" w:cs="Times New Roman"/>
          <w:sz w:val="20"/>
          <w:szCs w:val="20"/>
          <w:lang w:val="en-CA"/>
        </w:rPr>
        <w:t xml:space="preserve">By day 28, the gap between the worst </w:t>
      </w:r>
      <w:r w:rsidR="00E00CBB" w:rsidRPr="004363F1">
        <w:rPr>
          <w:rFonts w:ascii="Times New Roman" w:eastAsiaTheme="minorEastAsia" w:hAnsi="Times New Roman" w:cs="Times New Roman"/>
          <w:sz w:val="20"/>
          <w:szCs w:val="20"/>
          <w:lang w:val="en-CA"/>
        </w:rPr>
        <w:t>quartile group</w:t>
      </w:r>
      <w:r w:rsidR="00F715B3" w:rsidRPr="004363F1">
        <w:rPr>
          <w:rFonts w:ascii="Times New Roman" w:eastAsiaTheme="minorEastAsia" w:hAnsi="Times New Roman" w:cs="Times New Roman"/>
          <w:sz w:val="20"/>
          <w:szCs w:val="20"/>
          <w:lang w:val="en-CA"/>
        </w:rPr>
        <w:t xml:space="preserve"> (175) and the best </w:t>
      </w:r>
      <w:r w:rsidR="00E00CBB" w:rsidRPr="004363F1">
        <w:rPr>
          <w:rFonts w:ascii="Times New Roman" w:eastAsiaTheme="minorEastAsia" w:hAnsi="Times New Roman" w:cs="Times New Roman"/>
          <w:sz w:val="20"/>
          <w:szCs w:val="20"/>
          <w:lang w:val="en-CA"/>
        </w:rPr>
        <w:t>quartile group</w:t>
      </w:r>
      <w:r w:rsidR="00F715B3" w:rsidRPr="004363F1">
        <w:rPr>
          <w:rFonts w:ascii="Times New Roman" w:eastAsiaTheme="minorEastAsia" w:hAnsi="Times New Roman" w:cs="Times New Roman"/>
          <w:sz w:val="20"/>
          <w:szCs w:val="20"/>
          <w:lang w:val="en-CA"/>
        </w:rPr>
        <w:t xml:space="preserve"> (350) remained large.</w:t>
      </w:r>
    </w:p>
    <w:p w14:paraId="7D994D8F" w14:textId="77777777" w:rsidR="00016ADC" w:rsidRPr="004363F1" w:rsidRDefault="00016ADC" w:rsidP="00CC0983">
      <w:pPr>
        <w:spacing w:after="0" w:line="240" w:lineRule="auto"/>
        <w:jc w:val="both"/>
        <w:rPr>
          <w:rFonts w:ascii="Times New Roman" w:eastAsiaTheme="minorEastAsia" w:hAnsi="Times New Roman" w:cs="Times New Roman"/>
          <w:sz w:val="20"/>
          <w:szCs w:val="20"/>
          <w:lang w:val="en-CA"/>
        </w:rPr>
      </w:pPr>
      <w:r w:rsidRPr="004363F1">
        <w:rPr>
          <w:rFonts w:ascii="Times New Roman" w:eastAsiaTheme="minorEastAsia" w:hAnsi="Times New Roman" w:cs="Times New Roman"/>
          <w:sz w:val="20"/>
          <w:szCs w:val="20"/>
          <w:lang w:val="en-CA"/>
        </w:rPr>
        <w:tab/>
      </w:r>
      <w:r w:rsidR="00925264" w:rsidRPr="004363F1">
        <w:rPr>
          <w:rFonts w:ascii="Times New Roman" w:eastAsiaTheme="minorEastAsia" w:hAnsi="Times New Roman" w:cs="Times New Roman"/>
          <w:sz w:val="20"/>
          <w:szCs w:val="20"/>
          <w:lang w:val="en-CA"/>
        </w:rPr>
        <w:t>C</w:t>
      </w:r>
      <w:r w:rsidRPr="004363F1">
        <w:rPr>
          <w:rFonts w:ascii="Times New Roman" w:eastAsiaTheme="minorEastAsia" w:hAnsi="Times New Roman" w:cs="Times New Roman"/>
          <w:sz w:val="20"/>
          <w:szCs w:val="20"/>
          <w:lang w:val="en-CA"/>
        </w:rPr>
        <w:t xml:space="preserve">reatinine, the weakest predictor, </w:t>
      </w:r>
      <w:r w:rsidR="00103A8E" w:rsidRPr="004363F1">
        <w:rPr>
          <w:rFonts w:ascii="Times New Roman" w:eastAsiaTheme="minorEastAsia" w:hAnsi="Times New Roman" w:cs="Times New Roman"/>
          <w:sz w:val="20"/>
          <w:szCs w:val="20"/>
          <w:lang w:val="en-CA"/>
        </w:rPr>
        <w:t>had all</w:t>
      </w:r>
      <w:r w:rsidR="00874DDA" w:rsidRPr="004363F1">
        <w:rPr>
          <w:rFonts w:ascii="Times New Roman" w:eastAsiaTheme="minorEastAsia" w:hAnsi="Times New Roman" w:cs="Times New Roman"/>
          <w:sz w:val="20"/>
          <w:szCs w:val="20"/>
          <w:lang w:val="en-CA"/>
        </w:rPr>
        <w:t xml:space="preserve"> of</w:t>
      </w:r>
      <w:r w:rsidR="00103A8E" w:rsidRPr="004363F1">
        <w:rPr>
          <w:rFonts w:ascii="Times New Roman" w:eastAsiaTheme="minorEastAsia" w:hAnsi="Times New Roman" w:cs="Times New Roman"/>
          <w:sz w:val="20"/>
          <w:szCs w:val="20"/>
          <w:lang w:val="en-CA"/>
        </w:rPr>
        <w:t xml:space="preserve"> its predictive power coming from its change </w:t>
      </w:r>
      <w:r w:rsidR="006B013F" w:rsidRPr="004363F1">
        <w:rPr>
          <w:rFonts w:ascii="Times New Roman" w:eastAsiaTheme="minorEastAsia" w:hAnsi="Times New Roman" w:cs="Times New Roman"/>
          <w:sz w:val="20"/>
          <w:szCs w:val="20"/>
          <w:lang w:val="en-CA"/>
        </w:rPr>
        <w:t>variable. T</w:t>
      </w:r>
      <w:r w:rsidR="00AD6C58" w:rsidRPr="004363F1">
        <w:rPr>
          <w:rFonts w:ascii="Times New Roman" w:eastAsiaTheme="minorEastAsia" w:hAnsi="Times New Roman" w:cs="Times New Roman"/>
          <w:sz w:val="20"/>
          <w:szCs w:val="20"/>
          <w:lang w:val="en-CA"/>
        </w:rPr>
        <w:t>he average creatinine of the wor</w:t>
      </w:r>
      <w:r w:rsidR="00874DDA" w:rsidRPr="004363F1">
        <w:rPr>
          <w:rFonts w:ascii="Times New Roman" w:eastAsiaTheme="minorEastAsia" w:hAnsi="Times New Roman" w:cs="Times New Roman"/>
          <w:sz w:val="20"/>
          <w:szCs w:val="20"/>
          <w:lang w:val="en-CA"/>
        </w:rPr>
        <w:t xml:space="preserve">st </w:t>
      </w:r>
      <w:r w:rsidR="00E00CBB" w:rsidRPr="004363F1">
        <w:rPr>
          <w:rFonts w:ascii="Times New Roman" w:eastAsiaTheme="minorEastAsia" w:hAnsi="Times New Roman" w:cs="Times New Roman"/>
          <w:sz w:val="20"/>
          <w:szCs w:val="20"/>
          <w:lang w:val="en-CA"/>
        </w:rPr>
        <w:t>quartile group</w:t>
      </w:r>
      <w:r w:rsidR="00874DDA" w:rsidRPr="004363F1">
        <w:rPr>
          <w:rFonts w:ascii="Times New Roman" w:eastAsiaTheme="minorEastAsia" w:hAnsi="Times New Roman" w:cs="Times New Roman"/>
          <w:sz w:val="20"/>
          <w:szCs w:val="20"/>
          <w:lang w:val="en-CA"/>
        </w:rPr>
        <w:t xml:space="preserve"> experienced a</w:t>
      </w:r>
      <w:r w:rsidR="001C22CE" w:rsidRPr="004363F1">
        <w:rPr>
          <w:rFonts w:ascii="Times New Roman" w:eastAsiaTheme="minorEastAsia" w:hAnsi="Times New Roman" w:cs="Times New Roman"/>
          <w:sz w:val="20"/>
          <w:szCs w:val="20"/>
          <w:lang w:val="en-CA"/>
        </w:rPr>
        <w:t>n improvement from 350 µmol/L on day 1 to 225 µ</w:t>
      </w:r>
      <w:r w:rsidR="00AD6C58" w:rsidRPr="004363F1">
        <w:rPr>
          <w:rFonts w:ascii="Times New Roman" w:eastAsiaTheme="minorEastAsia" w:hAnsi="Times New Roman" w:cs="Times New Roman"/>
          <w:sz w:val="20"/>
          <w:szCs w:val="20"/>
          <w:lang w:val="en-CA"/>
        </w:rPr>
        <w:t>mol</w:t>
      </w:r>
      <w:r w:rsidR="00874DDA" w:rsidRPr="004363F1">
        <w:rPr>
          <w:rFonts w:ascii="Times New Roman" w:eastAsiaTheme="minorEastAsia" w:hAnsi="Times New Roman" w:cs="Times New Roman"/>
          <w:sz w:val="20"/>
          <w:szCs w:val="20"/>
          <w:lang w:val="en-CA"/>
        </w:rPr>
        <w:t>/L on day 6. However, with almost no</w:t>
      </w:r>
      <w:r w:rsidR="00AD6C58" w:rsidRPr="004363F1">
        <w:rPr>
          <w:rFonts w:ascii="Times New Roman" w:eastAsiaTheme="minorEastAsia" w:hAnsi="Times New Roman" w:cs="Times New Roman"/>
          <w:sz w:val="20"/>
          <w:szCs w:val="20"/>
          <w:lang w:val="en-CA"/>
        </w:rPr>
        <w:t xml:space="preserve"> further improvement, the gap between the worst </w:t>
      </w:r>
      <w:r w:rsidR="00E00CBB" w:rsidRPr="004363F1">
        <w:rPr>
          <w:rFonts w:ascii="Times New Roman" w:eastAsiaTheme="minorEastAsia" w:hAnsi="Times New Roman" w:cs="Times New Roman"/>
          <w:sz w:val="20"/>
          <w:szCs w:val="20"/>
          <w:lang w:val="en-CA"/>
        </w:rPr>
        <w:t>quartile group</w:t>
      </w:r>
      <w:r w:rsidR="002149E0" w:rsidRPr="004363F1">
        <w:rPr>
          <w:rFonts w:ascii="Times New Roman" w:eastAsiaTheme="minorEastAsia" w:hAnsi="Times New Roman" w:cs="Times New Roman"/>
          <w:sz w:val="20"/>
          <w:szCs w:val="20"/>
          <w:lang w:val="en-CA"/>
        </w:rPr>
        <w:t xml:space="preserve"> (220 µ</w:t>
      </w:r>
      <w:r w:rsidR="00874DDA" w:rsidRPr="004363F1">
        <w:rPr>
          <w:rFonts w:ascii="Times New Roman" w:eastAsiaTheme="minorEastAsia" w:hAnsi="Times New Roman" w:cs="Times New Roman"/>
          <w:sz w:val="20"/>
          <w:szCs w:val="20"/>
          <w:lang w:val="en-CA"/>
        </w:rPr>
        <w:t>mol/L)</w:t>
      </w:r>
      <w:r w:rsidR="00DA5ECB" w:rsidRPr="004363F1">
        <w:rPr>
          <w:rFonts w:ascii="Times New Roman" w:eastAsiaTheme="minorEastAsia" w:hAnsi="Times New Roman" w:cs="Times New Roman"/>
          <w:sz w:val="20"/>
          <w:szCs w:val="20"/>
          <w:lang w:val="en-CA"/>
        </w:rPr>
        <w:t xml:space="preserve"> </w:t>
      </w:r>
      <w:r w:rsidR="00AD6C58" w:rsidRPr="004363F1">
        <w:rPr>
          <w:rFonts w:ascii="Times New Roman" w:eastAsiaTheme="minorEastAsia" w:hAnsi="Times New Roman" w:cs="Times New Roman"/>
          <w:sz w:val="20"/>
          <w:szCs w:val="20"/>
          <w:lang w:val="en-CA"/>
        </w:rPr>
        <w:t xml:space="preserve">and </w:t>
      </w:r>
      <w:r w:rsidR="00DA5ECB" w:rsidRPr="004363F1">
        <w:rPr>
          <w:rFonts w:ascii="Times New Roman" w:eastAsiaTheme="minorEastAsia" w:hAnsi="Times New Roman" w:cs="Times New Roman"/>
          <w:sz w:val="20"/>
          <w:szCs w:val="20"/>
          <w:lang w:val="en-CA"/>
        </w:rPr>
        <w:t xml:space="preserve">the best </w:t>
      </w:r>
      <w:r w:rsidR="00E00CBB" w:rsidRPr="004363F1">
        <w:rPr>
          <w:rFonts w:ascii="Times New Roman" w:eastAsiaTheme="minorEastAsia" w:hAnsi="Times New Roman" w:cs="Times New Roman"/>
          <w:sz w:val="20"/>
          <w:szCs w:val="20"/>
          <w:lang w:val="en-CA"/>
        </w:rPr>
        <w:t>quartile group</w:t>
      </w:r>
      <w:r w:rsidR="002149E0" w:rsidRPr="004363F1">
        <w:rPr>
          <w:rFonts w:ascii="Times New Roman" w:eastAsiaTheme="minorEastAsia" w:hAnsi="Times New Roman" w:cs="Times New Roman"/>
          <w:sz w:val="20"/>
          <w:szCs w:val="20"/>
          <w:lang w:val="en-CA"/>
        </w:rPr>
        <w:t xml:space="preserve"> (50 µ</w:t>
      </w:r>
      <w:r w:rsidR="00811D9E" w:rsidRPr="004363F1">
        <w:rPr>
          <w:rFonts w:ascii="Times New Roman" w:eastAsiaTheme="minorEastAsia" w:hAnsi="Times New Roman" w:cs="Times New Roman"/>
          <w:sz w:val="20"/>
          <w:szCs w:val="20"/>
          <w:lang w:val="en-CA"/>
        </w:rPr>
        <w:t>mol/L) was still large on</w:t>
      </w:r>
      <w:r w:rsidR="00DA5ECB" w:rsidRPr="004363F1">
        <w:rPr>
          <w:rFonts w:ascii="Times New Roman" w:eastAsiaTheme="minorEastAsia" w:hAnsi="Times New Roman" w:cs="Times New Roman"/>
          <w:sz w:val="20"/>
          <w:szCs w:val="20"/>
          <w:lang w:val="en-CA"/>
        </w:rPr>
        <w:t xml:space="preserve"> day 28. </w:t>
      </w:r>
      <w:r w:rsidR="00774CD0" w:rsidRPr="004363F1">
        <w:rPr>
          <w:rFonts w:ascii="Times New Roman" w:eastAsiaTheme="minorEastAsia" w:hAnsi="Times New Roman" w:cs="Times New Roman"/>
          <w:sz w:val="20"/>
          <w:szCs w:val="20"/>
          <w:lang w:val="en-CA"/>
        </w:rPr>
        <w:t xml:space="preserve">In summary, </w:t>
      </w:r>
      <w:r w:rsidR="000B2359" w:rsidRPr="004363F1">
        <w:rPr>
          <w:rFonts w:ascii="Times New Roman" w:eastAsiaTheme="minorEastAsia" w:hAnsi="Times New Roman" w:cs="Times New Roman"/>
          <w:sz w:val="20"/>
          <w:szCs w:val="20"/>
          <w:lang w:val="en-CA"/>
        </w:rPr>
        <w:t>t</w:t>
      </w:r>
      <w:r w:rsidR="00DA5ECB" w:rsidRPr="004363F1">
        <w:rPr>
          <w:rFonts w:ascii="Times New Roman" w:eastAsiaTheme="minorEastAsia" w:hAnsi="Times New Roman" w:cs="Times New Roman"/>
          <w:sz w:val="20"/>
          <w:szCs w:val="20"/>
          <w:lang w:val="en-CA"/>
        </w:rPr>
        <w:t>he limit</w:t>
      </w:r>
      <w:r w:rsidR="008A385B" w:rsidRPr="004363F1">
        <w:rPr>
          <w:rFonts w:ascii="Times New Roman" w:eastAsiaTheme="minorEastAsia" w:hAnsi="Times New Roman" w:cs="Times New Roman"/>
          <w:sz w:val="20"/>
          <w:szCs w:val="20"/>
          <w:lang w:val="en-CA"/>
        </w:rPr>
        <w:t>ed improvement in creatinine made</w:t>
      </w:r>
      <w:r w:rsidR="00DA5ECB" w:rsidRPr="004363F1">
        <w:rPr>
          <w:rFonts w:ascii="Times New Roman" w:eastAsiaTheme="minorEastAsia" w:hAnsi="Times New Roman" w:cs="Times New Roman"/>
          <w:sz w:val="20"/>
          <w:szCs w:val="20"/>
          <w:lang w:val="en-CA"/>
        </w:rPr>
        <w:t xml:space="preserve"> a small contribution to the overall reduction in mortality risk.</w:t>
      </w:r>
      <w:r w:rsidR="00AD6C58" w:rsidRPr="004363F1">
        <w:rPr>
          <w:rFonts w:ascii="Times New Roman" w:eastAsiaTheme="minorEastAsia" w:hAnsi="Times New Roman" w:cs="Times New Roman"/>
          <w:sz w:val="20"/>
          <w:szCs w:val="20"/>
          <w:lang w:val="en-CA"/>
        </w:rPr>
        <w:t xml:space="preserve"> </w:t>
      </w:r>
    </w:p>
    <w:p w14:paraId="7D415B9C" w14:textId="77777777" w:rsidR="00A43A56" w:rsidRPr="004363F1" w:rsidRDefault="00A43A56" w:rsidP="00CC0983">
      <w:pPr>
        <w:spacing w:after="0" w:line="240" w:lineRule="auto"/>
        <w:jc w:val="both"/>
        <w:rPr>
          <w:rFonts w:ascii="Times New Roman" w:eastAsiaTheme="minorEastAsia" w:hAnsi="Times New Roman" w:cs="Times New Roman"/>
          <w:sz w:val="20"/>
          <w:szCs w:val="20"/>
          <w:lang w:val="en-CA"/>
        </w:rPr>
      </w:pPr>
    </w:p>
    <w:p w14:paraId="4F6468D5" w14:textId="77777777" w:rsidR="00E72111" w:rsidRPr="004363F1" w:rsidRDefault="00774B2D" w:rsidP="00CC0983">
      <w:pPr>
        <w:spacing w:after="0" w:line="240" w:lineRule="auto"/>
        <w:jc w:val="both"/>
        <w:rPr>
          <w:rFonts w:ascii="Times New Roman" w:eastAsiaTheme="minorEastAsia" w:hAnsi="Times New Roman" w:cs="Times New Roman"/>
          <w:b/>
          <w:sz w:val="24"/>
          <w:szCs w:val="24"/>
        </w:rPr>
      </w:pPr>
      <w:r w:rsidRPr="004363F1">
        <w:rPr>
          <w:rFonts w:ascii="Times New Roman" w:eastAsiaTheme="minorEastAsia" w:hAnsi="Times New Roman" w:cs="Times New Roman"/>
          <w:b/>
          <w:sz w:val="24"/>
          <w:szCs w:val="24"/>
          <w:lang w:val="en-CA" w:eastAsia="ja-JP"/>
        </w:rPr>
        <w:lastRenderedPageBreak/>
        <w:t xml:space="preserve">Supplemental Text </w:t>
      </w:r>
      <w:r w:rsidR="001A7A11" w:rsidRPr="004363F1">
        <w:rPr>
          <w:rFonts w:ascii="Times New Roman" w:eastAsiaTheme="minorEastAsia" w:hAnsi="Times New Roman" w:cs="Times New Roman"/>
          <w:b/>
          <w:sz w:val="24"/>
          <w:szCs w:val="24"/>
          <w:lang w:val="en-CA" w:eastAsia="ja-JP"/>
        </w:rPr>
        <w:t>9</w:t>
      </w:r>
      <w:r w:rsidR="00E72111" w:rsidRPr="004363F1">
        <w:rPr>
          <w:rFonts w:ascii="Times New Roman" w:eastAsiaTheme="minorEastAsia" w:hAnsi="Times New Roman" w:cs="Times New Roman"/>
          <w:b/>
          <w:sz w:val="24"/>
          <w:szCs w:val="24"/>
          <w:lang w:val="en-CA" w:eastAsia="ja-JP"/>
        </w:rPr>
        <w:t>: Construction and Use of Mortality Risk Profiles for Individual Septic Patients</w:t>
      </w:r>
    </w:p>
    <w:p w14:paraId="5A168247" w14:textId="77777777" w:rsidR="00186B06" w:rsidRPr="004363F1" w:rsidRDefault="00E72111" w:rsidP="00CC0983">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ab/>
      </w:r>
      <w:r w:rsidR="00C96B31" w:rsidRPr="004363F1">
        <w:rPr>
          <w:rFonts w:ascii="Times New Roman" w:eastAsiaTheme="minorEastAsia" w:hAnsi="Times New Roman" w:cs="Times New Roman"/>
          <w:sz w:val="20"/>
          <w:szCs w:val="20"/>
        </w:rPr>
        <w:t>To identify</w:t>
      </w:r>
      <w:r w:rsidR="00B8271A" w:rsidRPr="004363F1">
        <w:rPr>
          <w:rFonts w:ascii="Times New Roman" w:eastAsiaTheme="minorEastAsia" w:hAnsi="Times New Roman" w:cs="Times New Roman"/>
          <w:sz w:val="20"/>
          <w:szCs w:val="20"/>
        </w:rPr>
        <w:t xml:space="preserve"> the main TVBIs </w:t>
      </w:r>
      <w:r w:rsidR="00C96B31" w:rsidRPr="004363F1">
        <w:rPr>
          <w:rFonts w:ascii="Times New Roman" w:eastAsiaTheme="minorEastAsia" w:hAnsi="Times New Roman" w:cs="Times New Roman"/>
          <w:sz w:val="20"/>
          <w:szCs w:val="20"/>
        </w:rPr>
        <w:t xml:space="preserve">that contribute to </w:t>
      </w:r>
      <w:r w:rsidR="00B34E7D" w:rsidRPr="004363F1">
        <w:rPr>
          <w:rFonts w:ascii="Times New Roman" w:eastAsiaTheme="minorEastAsia" w:hAnsi="Times New Roman" w:cs="Times New Roman"/>
          <w:sz w:val="20"/>
          <w:szCs w:val="20"/>
        </w:rPr>
        <w:t>mortality risk and</w:t>
      </w:r>
      <w:r w:rsidR="00C96B31" w:rsidRPr="004363F1">
        <w:rPr>
          <w:rFonts w:ascii="Times New Roman" w:eastAsiaTheme="minorEastAsia" w:hAnsi="Times New Roman" w:cs="Times New Roman"/>
          <w:sz w:val="20"/>
          <w:szCs w:val="20"/>
        </w:rPr>
        <w:t xml:space="preserve"> to determine how improvements in TVBIs can reduce t</w:t>
      </w:r>
      <w:r w:rsidR="00B8271A" w:rsidRPr="004363F1">
        <w:rPr>
          <w:rFonts w:ascii="Times New Roman" w:eastAsiaTheme="minorEastAsia" w:hAnsi="Times New Roman" w:cs="Times New Roman"/>
          <w:sz w:val="20"/>
          <w:szCs w:val="20"/>
        </w:rPr>
        <w:t>he mortality risk</w:t>
      </w:r>
      <w:r w:rsidR="00112B9F" w:rsidRPr="004363F1">
        <w:rPr>
          <w:rFonts w:ascii="Times New Roman" w:eastAsiaTheme="minorEastAsia" w:hAnsi="Times New Roman" w:cs="Times New Roman"/>
          <w:sz w:val="20"/>
          <w:szCs w:val="20"/>
        </w:rPr>
        <w:t xml:space="preserve"> of a patient in question</w:t>
      </w:r>
      <w:r w:rsidR="001C0E75" w:rsidRPr="004363F1">
        <w:rPr>
          <w:rFonts w:ascii="Times New Roman" w:eastAsiaTheme="minorEastAsia" w:hAnsi="Times New Roman" w:cs="Times New Roman"/>
          <w:sz w:val="20"/>
          <w:szCs w:val="20"/>
        </w:rPr>
        <w:t xml:space="preserve">, </w:t>
      </w:r>
      <w:r w:rsidR="00C96B31" w:rsidRPr="004363F1">
        <w:rPr>
          <w:rFonts w:ascii="Times New Roman" w:eastAsiaTheme="minorEastAsia" w:hAnsi="Times New Roman" w:cs="Times New Roman"/>
          <w:sz w:val="20"/>
          <w:szCs w:val="20"/>
        </w:rPr>
        <w:t xml:space="preserve">we describe </w:t>
      </w:r>
      <w:r w:rsidR="00B8271A" w:rsidRPr="004363F1">
        <w:rPr>
          <w:rFonts w:ascii="Times New Roman" w:eastAsiaTheme="minorEastAsia" w:hAnsi="Times New Roman" w:cs="Times New Roman"/>
          <w:sz w:val="20"/>
          <w:szCs w:val="20"/>
        </w:rPr>
        <w:t>how a</w:t>
      </w:r>
      <w:r w:rsidR="00B8271A" w:rsidRPr="004363F1">
        <w:rPr>
          <w:rFonts w:ascii="Times New Roman" w:eastAsiaTheme="minorEastAsia" w:hAnsi="Times New Roman" w:cs="Times New Roman"/>
          <w:i/>
          <w:sz w:val="20"/>
          <w:szCs w:val="20"/>
        </w:rPr>
        <w:t xml:space="preserve"> mortality risk profile</w:t>
      </w:r>
      <w:r w:rsidR="00B8271A" w:rsidRPr="004363F1">
        <w:rPr>
          <w:rFonts w:ascii="Times New Roman" w:eastAsiaTheme="minorEastAsia" w:hAnsi="Times New Roman" w:cs="Times New Roman"/>
          <w:sz w:val="20"/>
          <w:szCs w:val="20"/>
        </w:rPr>
        <w:t xml:space="preserve"> is constructed </w:t>
      </w:r>
      <w:r w:rsidR="00C96B31" w:rsidRPr="004363F1">
        <w:rPr>
          <w:rFonts w:ascii="Times New Roman" w:eastAsiaTheme="minorEastAsia" w:hAnsi="Times New Roman" w:cs="Times New Roman"/>
          <w:sz w:val="20"/>
          <w:szCs w:val="20"/>
        </w:rPr>
        <w:t>and how it can be used</w:t>
      </w:r>
      <w:r w:rsidR="00B8271A" w:rsidRPr="004363F1">
        <w:rPr>
          <w:rFonts w:ascii="Times New Roman" w:eastAsiaTheme="minorEastAsia" w:hAnsi="Times New Roman" w:cs="Times New Roman"/>
          <w:sz w:val="20"/>
          <w:szCs w:val="20"/>
        </w:rPr>
        <w:t>.</w:t>
      </w:r>
      <w:r w:rsidR="008910B2" w:rsidRPr="004363F1">
        <w:rPr>
          <w:rFonts w:ascii="Times New Roman" w:eastAsiaTheme="minorEastAsia" w:hAnsi="Times New Roman" w:cs="Times New Roman"/>
          <w:sz w:val="20"/>
          <w:szCs w:val="20"/>
        </w:rPr>
        <w:t xml:space="preserve">  </w:t>
      </w:r>
      <w:r w:rsidR="00112B9F" w:rsidRPr="004363F1">
        <w:rPr>
          <w:rFonts w:ascii="Times New Roman" w:eastAsiaTheme="minorEastAsia" w:hAnsi="Times New Roman" w:cs="Times New Roman"/>
          <w:sz w:val="20"/>
          <w:szCs w:val="20"/>
        </w:rPr>
        <w:t>As a basis for constructing a</w:t>
      </w:r>
      <w:r w:rsidR="00B34E7D" w:rsidRPr="004363F1">
        <w:rPr>
          <w:rFonts w:ascii="Times New Roman" w:eastAsiaTheme="minorEastAsia" w:hAnsi="Times New Roman" w:cs="Times New Roman"/>
          <w:sz w:val="20"/>
          <w:szCs w:val="20"/>
        </w:rPr>
        <w:t xml:space="preserve"> </w:t>
      </w:r>
      <w:r w:rsidR="000C0E7C" w:rsidRPr="004363F1">
        <w:rPr>
          <w:rFonts w:ascii="Times New Roman" w:eastAsiaTheme="minorEastAsia" w:hAnsi="Times New Roman" w:cs="Times New Roman"/>
          <w:sz w:val="20"/>
          <w:szCs w:val="20"/>
        </w:rPr>
        <w:t xml:space="preserve">mortality risk </w:t>
      </w:r>
      <w:r w:rsidR="00B34E7D" w:rsidRPr="004363F1">
        <w:rPr>
          <w:rFonts w:ascii="Times New Roman" w:eastAsiaTheme="minorEastAsia" w:hAnsi="Times New Roman" w:cs="Times New Roman"/>
          <w:sz w:val="20"/>
          <w:szCs w:val="20"/>
        </w:rPr>
        <w:t xml:space="preserve">profile, we first </w:t>
      </w:r>
      <w:r w:rsidR="000C0E7C" w:rsidRPr="004363F1">
        <w:rPr>
          <w:rFonts w:ascii="Times New Roman" w:eastAsiaTheme="minorEastAsia" w:hAnsi="Times New Roman" w:cs="Times New Roman"/>
          <w:sz w:val="20"/>
          <w:szCs w:val="20"/>
        </w:rPr>
        <w:t xml:space="preserve">selected among the survivors the patients in the best 10% of the predicted probability of dying to serve as the </w:t>
      </w:r>
      <w:r w:rsidR="000C0E7C" w:rsidRPr="004363F1">
        <w:rPr>
          <w:rFonts w:ascii="Times New Roman" w:eastAsiaTheme="minorEastAsia" w:hAnsi="Times New Roman" w:cs="Times New Roman"/>
          <w:i/>
          <w:sz w:val="20"/>
          <w:szCs w:val="20"/>
        </w:rPr>
        <w:t>benchmark</w:t>
      </w:r>
      <w:r w:rsidR="000C0E7C" w:rsidRPr="004363F1">
        <w:rPr>
          <w:rFonts w:ascii="Times New Roman" w:eastAsiaTheme="minorEastAsia" w:hAnsi="Times New Roman" w:cs="Times New Roman"/>
          <w:sz w:val="20"/>
          <w:szCs w:val="20"/>
        </w:rPr>
        <w:t xml:space="preserve"> for comparison.</w:t>
      </w:r>
      <w:r w:rsidR="00E34939" w:rsidRPr="004363F1">
        <w:rPr>
          <w:rFonts w:ascii="Times New Roman" w:eastAsiaTheme="minorEastAsia" w:hAnsi="Times New Roman" w:cs="Times New Roman"/>
          <w:sz w:val="20"/>
          <w:szCs w:val="20"/>
        </w:rPr>
        <w:t xml:space="preserve"> </w:t>
      </w:r>
    </w:p>
    <w:p w14:paraId="2C90C1E6" w14:textId="77777777" w:rsidR="00632244" w:rsidRPr="004363F1" w:rsidRDefault="001C1B91"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Based on the estimated coeffic</w:t>
      </w:r>
      <w:r w:rsidR="001A7A11" w:rsidRPr="004363F1">
        <w:rPr>
          <w:rFonts w:ascii="Times New Roman" w:eastAsiaTheme="minorEastAsia" w:hAnsi="Times New Roman" w:cs="Times New Roman"/>
          <w:sz w:val="20"/>
          <w:szCs w:val="20"/>
        </w:rPr>
        <w:t>ients</w:t>
      </w:r>
      <w:r w:rsidRPr="004363F1">
        <w:rPr>
          <w:rFonts w:ascii="Times New Roman" w:eastAsiaTheme="minorEastAsia" w:hAnsi="Times New Roman" w:cs="Times New Roman"/>
          <w:sz w:val="20"/>
          <w:szCs w:val="20"/>
        </w:rPr>
        <w:t xml:space="preserve"> of the CLOGLOG model, t</w:t>
      </w:r>
      <w:r w:rsidR="00E72111" w:rsidRPr="004363F1">
        <w:rPr>
          <w:rFonts w:ascii="Times New Roman" w:eastAsiaTheme="minorEastAsia" w:hAnsi="Times New Roman" w:cs="Times New Roman"/>
          <w:sz w:val="20"/>
          <w:szCs w:val="20"/>
        </w:rPr>
        <w:t>he construction</w:t>
      </w:r>
      <w:r w:rsidRPr="004363F1">
        <w:rPr>
          <w:rFonts w:ascii="Times New Roman" w:eastAsiaTheme="minorEastAsia" w:hAnsi="Times New Roman" w:cs="Times New Roman"/>
          <w:sz w:val="20"/>
          <w:szCs w:val="20"/>
        </w:rPr>
        <w:t xml:space="preserve"> of</w:t>
      </w:r>
      <w:r w:rsidR="0087722F" w:rsidRPr="004363F1">
        <w:rPr>
          <w:rFonts w:ascii="Times New Roman" w:eastAsiaTheme="minorEastAsia" w:hAnsi="Times New Roman" w:cs="Times New Roman"/>
          <w:sz w:val="20"/>
          <w:szCs w:val="20"/>
        </w:rPr>
        <w:t xml:space="preserve"> the mortality risk profile</w:t>
      </w:r>
      <w:r w:rsidR="00E72111" w:rsidRPr="004363F1">
        <w:rPr>
          <w:rFonts w:ascii="Times New Roman" w:eastAsiaTheme="minorEastAsia" w:hAnsi="Times New Roman" w:cs="Times New Roman"/>
          <w:sz w:val="20"/>
          <w:szCs w:val="20"/>
        </w:rPr>
        <w:t xml:space="preserve"> is demonstrated for a</w:t>
      </w:r>
      <w:r w:rsidR="00AD378E" w:rsidRPr="004363F1">
        <w:rPr>
          <w:rFonts w:ascii="Times New Roman" w:eastAsiaTheme="minorEastAsia" w:hAnsi="Times New Roman" w:cs="Times New Roman"/>
          <w:sz w:val="20"/>
          <w:szCs w:val="20"/>
        </w:rPr>
        <w:t xml:space="preserve"> 66-</w:t>
      </w:r>
      <w:r w:rsidR="00B34E7D" w:rsidRPr="004363F1">
        <w:rPr>
          <w:rFonts w:ascii="Times New Roman" w:eastAsiaTheme="minorEastAsia" w:hAnsi="Times New Roman" w:cs="Times New Roman"/>
          <w:sz w:val="20"/>
          <w:szCs w:val="20"/>
        </w:rPr>
        <w:t>year old</w:t>
      </w:r>
      <w:r w:rsidR="00E72111" w:rsidRPr="004363F1">
        <w:rPr>
          <w:rFonts w:ascii="Times New Roman" w:eastAsiaTheme="minorEastAsia" w:hAnsi="Times New Roman" w:cs="Times New Roman"/>
          <w:sz w:val="20"/>
          <w:szCs w:val="20"/>
        </w:rPr>
        <w:t xml:space="preserve"> male patient</w:t>
      </w:r>
      <w:r w:rsidR="00757A01" w:rsidRPr="004363F1">
        <w:rPr>
          <w:rFonts w:ascii="Times New Roman" w:eastAsiaTheme="minorEastAsia" w:hAnsi="Times New Roman" w:cs="Times New Roman"/>
          <w:sz w:val="20"/>
          <w:szCs w:val="20"/>
        </w:rPr>
        <w:t xml:space="preserve"> who remained alive on day 28</w:t>
      </w:r>
      <w:r w:rsidR="00E72111" w:rsidRPr="004363F1">
        <w:rPr>
          <w:rFonts w:ascii="Times New Roman" w:eastAsiaTheme="minorEastAsia" w:hAnsi="Times New Roman" w:cs="Times New Roman"/>
          <w:sz w:val="20"/>
          <w:szCs w:val="20"/>
        </w:rPr>
        <w:t xml:space="preserve"> (Patient A). </w:t>
      </w:r>
      <w:r w:rsidR="00632244" w:rsidRPr="004363F1">
        <w:rPr>
          <w:rFonts w:ascii="Times New Roman" w:eastAsiaTheme="minorEastAsia" w:hAnsi="Times New Roman" w:cs="Times New Roman"/>
          <w:sz w:val="20"/>
          <w:szCs w:val="20"/>
        </w:rPr>
        <w:t>The primary data of Patient A and the benchmark</w:t>
      </w:r>
      <w:r w:rsidR="00E34939" w:rsidRPr="004363F1">
        <w:rPr>
          <w:rFonts w:ascii="Times New Roman" w:eastAsiaTheme="minorEastAsia" w:hAnsi="Times New Roman" w:cs="Times New Roman"/>
          <w:sz w:val="20"/>
          <w:szCs w:val="20"/>
        </w:rPr>
        <w:t xml:space="preserve"> for constructing the mortality risk profile are shown in </w:t>
      </w:r>
      <w:r w:rsidR="005717BE" w:rsidRPr="004363F1">
        <w:rPr>
          <w:rFonts w:ascii="Times New Roman" w:eastAsiaTheme="minorEastAsia" w:hAnsi="Times New Roman" w:cs="Times New Roman"/>
          <w:sz w:val="20"/>
          <w:szCs w:val="20"/>
        </w:rPr>
        <w:t>Supplemental Table</w:t>
      </w:r>
      <w:r w:rsidR="004E0AD4" w:rsidRPr="004363F1">
        <w:rPr>
          <w:rFonts w:ascii="Times New Roman" w:eastAsiaTheme="minorEastAsia" w:hAnsi="Times New Roman" w:cs="Times New Roman"/>
          <w:sz w:val="20"/>
          <w:szCs w:val="20"/>
        </w:rPr>
        <w:t xml:space="preserve"> 6</w:t>
      </w:r>
      <w:r w:rsidR="0037446F" w:rsidRPr="004363F1">
        <w:rPr>
          <w:rFonts w:ascii="Times New Roman" w:eastAsiaTheme="minorEastAsia" w:hAnsi="Times New Roman" w:cs="Times New Roman"/>
          <w:sz w:val="20"/>
          <w:szCs w:val="20"/>
        </w:rPr>
        <w:t xml:space="preserve">. In </w:t>
      </w:r>
      <w:r w:rsidR="00774B2D" w:rsidRPr="004363F1">
        <w:rPr>
          <w:rFonts w:ascii="Times New Roman" w:eastAsiaTheme="minorEastAsia" w:hAnsi="Times New Roman" w:cs="Times New Roman"/>
          <w:sz w:val="20"/>
          <w:szCs w:val="20"/>
        </w:rPr>
        <w:t xml:space="preserve">Supplemental Table </w:t>
      </w:r>
      <w:r w:rsidR="004E0AD4" w:rsidRPr="004363F1">
        <w:rPr>
          <w:rFonts w:ascii="Times New Roman" w:eastAsiaTheme="minorEastAsia" w:hAnsi="Times New Roman" w:cs="Times New Roman"/>
          <w:sz w:val="20"/>
          <w:szCs w:val="20"/>
        </w:rPr>
        <w:t>7</w:t>
      </w:r>
      <w:r w:rsidR="00632244" w:rsidRPr="004363F1">
        <w:rPr>
          <w:rFonts w:ascii="Times New Roman" w:eastAsiaTheme="minorEastAsia" w:hAnsi="Times New Roman" w:cs="Times New Roman"/>
          <w:sz w:val="20"/>
          <w:szCs w:val="20"/>
        </w:rPr>
        <w:t>, these data are then used to generate the values of all explanatory variables for both Patient A (in the 2nd numeric column) and the benchmark (in the 4th</w:t>
      </w:r>
      <w:r w:rsidR="00E34939" w:rsidRPr="004363F1">
        <w:rPr>
          <w:rFonts w:ascii="Times New Roman" w:eastAsiaTheme="minorEastAsia" w:hAnsi="Times New Roman" w:cs="Times New Roman"/>
          <w:sz w:val="20"/>
          <w:szCs w:val="20"/>
        </w:rPr>
        <w:t xml:space="preserve"> </w:t>
      </w:r>
      <w:r w:rsidR="00632244" w:rsidRPr="004363F1">
        <w:rPr>
          <w:rFonts w:ascii="Times New Roman" w:eastAsiaTheme="minorEastAsia" w:hAnsi="Times New Roman" w:cs="Times New Roman"/>
          <w:sz w:val="20"/>
          <w:szCs w:val="20"/>
        </w:rPr>
        <w:t>numeric column)</w:t>
      </w:r>
      <w:r w:rsidR="005B00D1" w:rsidRPr="004363F1">
        <w:rPr>
          <w:rFonts w:ascii="Times New Roman" w:eastAsiaTheme="minorEastAsia" w:hAnsi="Times New Roman" w:cs="Times New Roman"/>
          <w:sz w:val="20"/>
          <w:szCs w:val="20"/>
        </w:rPr>
        <w:t>. For example, the value of the explanatory variable “Log(</w:t>
      </w:r>
      <w:proofErr w:type="spellStart"/>
      <w:r w:rsidR="005B00D1" w:rsidRPr="004363F1">
        <w:rPr>
          <w:rFonts w:ascii="Times New Roman" w:eastAsiaTheme="minorEastAsia" w:hAnsi="Times New Roman" w:cs="Times New Roman"/>
          <w:sz w:val="20"/>
          <w:szCs w:val="20"/>
        </w:rPr>
        <w:t>ProteinC_change_factor</w:t>
      </w:r>
      <w:proofErr w:type="spellEnd"/>
      <w:r w:rsidR="005B00D1" w:rsidRPr="004363F1">
        <w:rPr>
          <w:rFonts w:ascii="Times New Roman" w:eastAsiaTheme="minorEastAsia" w:hAnsi="Times New Roman" w:cs="Times New Roman"/>
          <w:sz w:val="20"/>
          <w:szCs w:val="20"/>
        </w:rPr>
        <w:t xml:space="preserve">)” for Patient A is </w:t>
      </w:r>
      <w:r w:rsidRPr="004363F1">
        <w:rPr>
          <w:rFonts w:ascii="Times New Roman" w:eastAsiaTheme="minorEastAsia" w:hAnsi="Times New Roman" w:cs="Times New Roman"/>
          <w:sz w:val="20"/>
          <w:szCs w:val="20"/>
        </w:rPr>
        <w:t xml:space="preserve">generated </w:t>
      </w:r>
      <w:r w:rsidR="005B00D1" w:rsidRPr="004363F1">
        <w:rPr>
          <w:rFonts w:ascii="Times New Roman" w:eastAsiaTheme="minorEastAsia" w:hAnsi="Times New Roman" w:cs="Times New Roman"/>
          <w:sz w:val="20"/>
          <w:szCs w:val="20"/>
        </w:rPr>
        <w:t>from his day1 and current values of protein C (33 and 47) as log(47/33)=</w:t>
      </w:r>
      <w:r w:rsidRPr="004363F1">
        <w:rPr>
          <w:rFonts w:ascii="Times New Roman" w:eastAsiaTheme="minorEastAsia" w:hAnsi="Times New Roman" w:cs="Times New Roman"/>
          <w:sz w:val="20"/>
          <w:szCs w:val="20"/>
        </w:rPr>
        <w:t xml:space="preserve">0.35, where log is the natural log function. The remaining computations in the table </w:t>
      </w:r>
      <w:r w:rsidR="0037446F" w:rsidRPr="004363F1">
        <w:rPr>
          <w:rFonts w:ascii="Times New Roman" w:eastAsiaTheme="minorEastAsia" w:hAnsi="Times New Roman" w:cs="Times New Roman"/>
          <w:sz w:val="20"/>
          <w:szCs w:val="20"/>
        </w:rPr>
        <w:t xml:space="preserve">are identical to those used in </w:t>
      </w:r>
      <w:r w:rsidR="00774B2D" w:rsidRPr="004363F1">
        <w:rPr>
          <w:rFonts w:ascii="Times New Roman" w:eastAsiaTheme="minorEastAsia" w:hAnsi="Times New Roman" w:cs="Times New Roman"/>
          <w:sz w:val="20"/>
          <w:szCs w:val="20"/>
        </w:rPr>
        <w:t xml:space="preserve">Supplemental Table </w:t>
      </w:r>
      <w:r w:rsidR="004E0AD4" w:rsidRPr="004363F1">
        <w:rPr>
          <w:rFonts w:ascii="Times New Roman" w:eastAsiaTheme="minorEastAsia" w:hAnsi="Times New Roman" w:cs="Times New Roman"/>
          <w:sz w:val="20"/>
          <w:szCs w:val="20"/>
        </w:rPr>
        <w:t>4</w:t>
      </w:r>
      <w:r w:rsidRPr="004363F1">
        <w:rPr>
          <w:rFonts w:ascii="Times New Roman" w:eastAsiaTheme="minorEastAsia" w:hAnsi="Times New Roman" w:cs="Times New Roman"/>
          <w:sz w:val="20"/>
          <w:szCs w:val="20"/>
        </w:rPr>
        <w:t xml:space="preserve">. </w:t>
      </w:r>
    </w:p>
    <w:p w14:paraId="486B61CE" w14:textId="77777777" w:rsidR="00342E8F" w:rsidRPr="004363F1" w:rsidRDefault="0087722F"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The elements in the</w:t>
      </w:r>
      <w:r w:rsidR="00C53740" w:rsidRPr="004363F1">
        <w:rPr>
          <w:rFonts w:ascii="Times New Roman" w:eastAsiaTheme="minorEastAsia" w:hAnsi="Times New Roman" w:cs="Times New Roman"/>
          <w:sz w:val="20"/>
          <w:szCs w:val="20"/>
        </w:rPr>
        <w:t xml:space="preserve"> mortality risk profile (</w:t>
      </w:r>
      <w:r w:rsidR="0037446F" w:rsidRPr="004363F1">
        <w:rPr>
          <w:rFonts w:ascii="Times New Roman" w:eastAsiaTheme="minorEastAsia" w:hAnsi="Times New Roman" w:cs="Times New Roman"/>
          <w:sz w:val="20"/>
          <w:szCs w:val="20"/>
        </w:rPr>
        <w:t xml:space="preserve">last column of </w:t>
      </w:r>
      <w:r w:rsidR="00774B2D" w:rsidRPr="004363F1">
        <w:rPr>
          <w:rFonts w:ascii="Times New Roman" w:eastAsiaTheme="minorEastAsia" w:hAnsi="Times New Roman" w:cs="Times New Roman"/>
          <w:sz w:val="20"/>
          <w:szCs w:val="20"/>
        </w:rPr>
        <w:t xml:space="preserve">Supplemental Table </w:t>
      </w:r>
      <w:r w:rsidRPr="004363F1">
        <w:rPr>
          <w:rFonts w:ascii="Times New Roman" w:eastAsiaTheme="minorEastAsia" w:hAnsi="Times New Roman" w:cs="Times New Roman"/>
          <w:sz w:val="20"/>
          <w:szCs w:val="20"/>
        </w:rPr>
        <w:t xml:space="preserve">9) are the predictive powers of the explanatory variables. For example, </w:t>
      </w:r>
      <w:r w:rsidR="00342E8F" w:rsidRPr="004363F1">
        <w:rPr>
          <w:rFonts w:ascii="Times New Roman" w:eastAsiaTheme="minorEastAsia" w:hAnsi="Times New Roman" w:cs="Times New Roman"/>
          <w:sz w:val="20"/>
          <w:szCs w:val="20"/>
        </w:rPr>
        <w:t xml:space="preserve">the predictive power of the day 1 variable of </w:t>
      </w:r>
      <w:proofErr w:type="spellStart"/>
      <w:r w:rsidR="00342E8F" w:rsidRPr="004363F1">
        <w:rPr>
          <w:rFonts w:ascii="Times New Roman" w:eastAsiaTheme="minorEastAsia" w:hAnsi="Times New Roman" w:cs="Times New Roman"/>
          <w:sz w:val="20"/>
          <w:szCs w:val="20"/>
        </w:rPr>
        <w:t>cfDNA</w:t>
      </w:r>
      <w:proofErr w:type="spellEnd"/>
      <w:r w:rsidR="00342E8F" w:rsidRPr="004363F1">
        <w:rPr>
          <w:rFonts w:ascii="Times New Roman" w:eastAsiaTheme="minorEastAsia" w:hAnsi="Times New Roman" w:cs="Times New Roman"/>
          <w:sz w:val="20"/>
          <w:szCs w:val="20"/>
        </w:rPr>
        <w:t xml:space="preserve"> is 0.34, which is this variable’s contribution to [(the log of hazard of Patient A) – (the log of hazard of the benchmark)]. The greater is the predictive power, the greater is this variable’s ability to account for the predicted </w:t>
      </w:r>
      <w:r w:rsidR="00B01B5F" w:rsidRPr="004363F1">
        <w:rPr>
          <w:rFonts w:ascii="Times New Roman" w:eastAsiaTheme="minorEastAsia" w:hAnsi="Times New Roman" w:cs="Times New Roman"/>
          <w:sz w:val="20"/>
          <w:szCs w:val="20"/>
        </w:rPr>
        <w:t xml:space="preserve">overall </w:t>
      </w:r>
      <w:r w:rsidR="00342E8F" w:rsidRPr="004363F1">
        <w:rPr>
          <w:rFonts w:ascii="Times New Roman" w:eastAsiaTheme="minorEastAsia" w:hAnsi="Times New Roman" w:cs="Times New Roman"/>
          <w:sz w:val="20"/>
          <w:szCs w:val="20"/>
        </w:rPr>
        <w:t>mortality gap between Patient A and the benchmark.</w:t>
      </w:r>
    </w:p>
    <w:p w14:paraId="5A940017" w14:textId="77777777" w:rsidR="00C53740" w:rsidRPr="004363F1" w:rsidRDefault="00DC049B"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T</w:t>
      </w:r>
      <w:r w:rsidR="00B01B5F" w:rsidRPr="004363F1">
        <w:rPr>
          <w:rFonts w:ascii="Times New Roman" w:eastAsiaTheme="minorEastAsia" w:hAnsi="Times New Roman" w:cs="Times New Roman"/>
          <w:sz w:val="20"/>
          <w:szCs w:val="20"/>
        </w:rPr>
        <w:t xml:space="preserve">he bottom </w:t>
      </w:r>
      <w:r w:rsidRPr="004363F1">
        <w:rPr>
          <w:rFonts w:ascii="Times New Roman" w:eastAsiaTheme="minorEastAsia" w:hAnsi="Times New Roman" w:cs="Times New Roman"/>
          <w:sz w:val="20"/>
          <w:szCs w:val="20"/>
        </w:rPr>
        <w:t xml:space="preserve">5 elements of the last column </w:t>
      </w:r>
      <w:r w:rsidR="0037446F" w:rsidRPr="004363F1">
        <w:rPr>
          <w:rFonts w:ascii="Times New Roman" w:eastAsiaTheme="minorEastAsia" w:hAnsi="Times New Roman" w:cs="Times New Roman"/>
          <w:sz w:val="20"/>
          <w:szCs w:val="20"/>
        </w:rPr>
        <w:t xml:space="preserve">of </w:t>
      </w:r>
      <w:r w:rsidR="00774B2D" w:rsidRPr="004363F1">
        <w:rPr>
          <w:rFonts w:ascii="Times New Roman" w:eastAsiaTheme="minorEastAsia" w:hAnsi="Times New Roman" w:cs="Times New Roman"/>
          <w:sz w:val="20"/>
          <w:szCs w:val="20"/>
        </w:rPr>
        <w:t xml:space="preserve">Supplemental Table </w:t>
      </w:r>
      <w:r w:rsidR="004E0AD4" w:rsidRPr="004363F1">
        <w:rPr>
          <w:rFonts w:ascii="Times New Roman" w:eastAsiaTheme="minorEastAsia" w:hAnsi="Times New Roman" w:cs="Times New Roman"/>
          <w:sz w:val="20"/>
          <w:szCs w:val="20"/>
        </w:rPr>
        <w:t>7</w:t>
      </w:r>
      <w:r w:rsidRPr="004363F1">
        <w:rPr>
          <w:rFonts w:ascii="Times New Roman" w:eastAsiaTheme="minorEastAsia" w:hAnsi="Times New Roman" w:cs="Times New Roman"/>
          <w:sz w:val="20"/>
          <w:szCs w:val="20"/>
        </w:rPr>
        <w:t xml:space="preserve"> are alternative measures of the overall</w:t>
      </w:r>
      <w:r w:rsidR="00C40CD5" w:rsidRPr="004363F1">
        <w:rPr>
          <w:rFonts w:ascii="Times New Roman" w:eastAsiaTheme="minorEastAsia" w:hAnsi="Times New Roman" w:cs="Times New Roman"/>
          <w:sz w:val="20"/>
          <w:szCs w:val="20"/>
        </w:rPr>
        <w:t xml:space="preserve"> mortality gap between Patient A</w:t>
      </w:r>
      <w:r w:rsidRPr="004363F1">
        <w:rPr>
          <w:rFonts w:ascii="Times New Roman" w:eastAsiaTheme="minorEastAsia" w:hAnsi="Times New Roman" w:cs="Times New Roman"/>
          <w:sz w:val="20"/>
          <w:szCs w:val="20"/>
        </w:rPr>
        <w:t xml:space="preserve"> and the benchmark. The overall difference in log of hazard </w:t>
      </w:r>
      <w:r w:rsidR="009E6865" w:rsidRPr="004363F1">
        <w:rPr>
          <w:rFonts w:ascii="Times New Roman" w:eastAsiaTheme="minorEastAsia" w:hAnsi="Times New Roman" w:cs="Times New Roman"/>
          <w:sz w:val="20"/>
          <w:szCs w:val="20"/>
        </w:rPr>
        <w:t xml:space="preserve">(1.849) is the sum of the predictive powers of all explanatory variables. The HR representing the mortality gap is 6.4. </w:t>
      </w:r>
      <w:r w:rsidR="009E4D94" w:rsidRPr="004363F1">
        <w:rPr>
          <w:rFonts w:ascii="Times New Roman" w:eastAsiaTheme="minorEastAsia" w:hAnsi="Times New Roman" w:cs="Times New Roman"/>
          <w:sz w:val="20"/>
          <w:szCs w:val="20"/>
        </w:rPr>
        <w:t>T</w:t>
      </w:r>
      <w:r w:rsidR="009E6865" w:rsidRPr="004363F1">
        <w:rPr>
          <w:rFonts w:ascii="Times New Roman" w:eastAsiaTheme="minorEastAsia" w:hAnsi="Times New Roman" w:cs="Times New Roman"/>
          <w:sz w:val="20"/>
          <w:szCs w:val="20"/>
        </w:rPr>
        <w:t xml:space="preserve">he predicted probability of dying in 28 days (P28) </w:t>
      </w:r>
      <w:r w:rsidR="009E4D94" w:rsidRPr="004363F1">
        <w:rPr>
          <w:rFonts w:ascii="Times New Roman" w:eastAsiaTheme="minorEastAsia" w:hAnsi="Times New Roman" w:cs="Times New Roman"/>
          <w:sz w:val="20"/>
          <w:szCs w:val="20"/>
        </w:rPr>
        <w:t>is 13.3% for Patient A and 2.2% for the benchmark, so that the gap in P28 was 11.1%.</w:t>
      </w:r>
      <w:r w:rsidR="008C4F1B" w:rsidRPr="004363F1">
        <w:rPr>
          <w:rFonts w:ascii="Times New Roman" w:eastAsiaTheme="minorEastAsia" w:hAnsi="Times New Roman" w:cs="Times New Roman"/>
          <w:sz w:val="20"/>
          <w:szCs w:val="20"/>
        </w:rPr>
        <w:t xml:space="preserve"> </w:t>
      </w:r>
    </w:p>
    <w:p w14:paraId="7AD44D8A" w14:textId="77777777" w:rsidR="008B0BC7" w:rsidRPr="004363F1" w:rsidRDefault="0086622E"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The elements in the last col</w:t>
      </w:r>
      <w:r w:rsidR="0037446F" w:rsidRPr="004363F1">
        <w:rPr>
          <w:rFonts w:ascii="Times New Roman" w:eastAsiaTheme="minorEastAsia" w:hAnsi="Times New Roman" w:cs="Times New Roman"/>
          <w:sz w:val="20"/>
          <w:szCs w:val="20"/>
        </w:rPr>
        <w:t xml:space="preserve">umn of </w:t>
      </w:r>
      <w:r w:rsidR="00774B2D" w:rsidRPr="004363F1">
        <w:rPr>
          <w:rFonts w:ascii="Times New Roman" w:eastAsiaTheme="minorEastAsia" w:hAnsi="Times New Roman" w:cs="Times New Roman"/>
          <w:sz w:val="20"/>
          <w:szCs w:val="20"/>
        </w:rPr>
        <w:t xml:space="preserve">Supplemental Table </w:t>
      </w:r>
      <w:r w:rsidR="004E0AD4" w:rsidRPr="004363F1">
        <w:rPr>
          <w:rFonts w:ascii="Times New Roman" w:eastAsiaTheme="minorEastAsia" w:hAnsi="Times New Roman" w:cs="Times New Roman"/>
          <w:sz w:val="20"/>
          <w:szCs w:val="20"/>
        </w:rPr>
        <w:t>7</w:t>
      </w:r>
      <w:r w:rsidR="002F3B26" w:rsidRPr="004363F1">
        <w:rPr>
          <w:rFonts w:ascii="Times New Roman" w:eastAsiaTheme="minorEastAsia" w:hAnsi="Times New Roman" w:cs="Times New Roman"/>
          <w:sz w:val="20"/>
          <w:szCs w:val="20"/>
        </w:rPr>
        <w:t xml:space="preserve"> are used to create</w:t>
      </w:r>
      <w:r w:rsidRPr="004363F1">
        <w:rPr>
          <w:rFonts w:ascii="Times New Roman" w:eastAsiaTheme="minorEastAsia" w:hAnsi="Times New Roman" w:cs="Times New Roman"/>
          <w:sz w:val="20"/>
          <w:szCs w:val="20"/>
        </w:rPr>
        <w:t xml:space="preserve"> the top graph in Figure 2 in the paper.</w:t>
      </w:r>
      <w:r w:rsidR="002F3B26" w:rsidRPr="004363F1">
        <w:rPr>
          <w:rFonts w:ascii="Times New Roman" w:eastAsiaTheme="minorEastAsia" w:hAnsi="Times New Roman" w:cs="Times New Roman"/>
          <w:sz w:val="20"/>
          <w:szCs w:val="20"/>
        </w:rPr>
        <w:t xml:space="preserve">  </w:t>
      </w:r>
      <w:r w:rsidR="00833234" w:rsidRPr="004363F1">
        <w:rPr>
          <w:rFonts w:ascii="Times New Roman" w:eastAsiaTheme="minorEastAsia" w:hAnsi="Times New Roman" w:cs="Times New Roman"/>
          <w:sz w:val="20"/>
          <w:szCs w:val="20"/>
        </w:rPr>
        <w:t>Patient A’s mortality</w:t>
      </w:r>
      <w:r w:rsidR="004252BC" w:rsidRPr="004363F1">
        <w:rPr>
          <w:rFonts w:ascii="Times New Roman" w:eastAsiaTheme="minorEastAsia" w:hAnsi="Times New Roman" w:cs="Times New Roman"/>
          <w:sz w:val="20"/>
          <w:szCs w:val="20"/>
        </w:rPr>
        <w:t xml:space="preserve"> risk</w:t>
      </w:r>
      <w:r w:rsidR="00EA2D50" w:rsidRPr="004363F1">
        <w:rPr>
          <w:rFonts w:ascii="Times New Roman" w:eastAsiaTheme="minorEastAsia" w:hAnsi="Times New Roman" w:cs="Times New Roman"/>
          <w:sz w:val="20"/>
          <w:szCs w:val="20"/>
        </w:rPr>
        <w:t xml:space="preserve"> was mainly associated with</w:t>
      </w:r>
      <w:r w:rsidR="00833234" w:rsidRPr="004363F1">
        <w:rPr>
          <w:rFonts w:ascii="Times New Roman" w:eastAsiaTheme="minorEastAsia" w:hAnsi="Times New Roman" w:cs="Times New Roman"/>
          <w:sz w:val="20"/>
          <w:szCs w:val="20"/>
        </w:rPr>
        <w:t xml:space="preserve"> his relatively poor values of the day 1 variables of 5 TVBIs. For </w:t>
      </w:r>
      <w:proofErr w:type="spellStart"/>
      <w:r w:rsidR="00833234" w:rsidRPr="004363F1">
        <w:rPr>
          <w:rFonts w:ascii="Times New Roman" w:eastAsiaTheme="minorEastAsia" w:hAnsi="Times New Roman" w:cs="Times New Roman"/>
          <w:sz w:val="20"/>
          <w:szCs w:val="20"/>
        </w:rPr>
        <w:t>cfDNA</w:t>
      </w:r>
      <w:proofErr w:type="spellEnd"/>
      <w:r w:rsidR="00833234" w:rsidRPr="004363F1">
        <w:rPr>
          <w:rFonts w:ascii="Times New Roman" w:eastAsiaTheme="minorEastAsia" w:hAnsi="Times New Roman" w:cs="Times New Roman"/>
          <w:sz w:val="20"/>
          <w:szCs w:val="20"/>
        </w:rPr>
        <w:t>, GCS and lactate, Patient A actually experienced greater improvements than did the benchmark. In other words, if Patient A had not experienced these greater improvements, the mortality</w:t>
      </w:r>
      <w:r w:rsidR="008B0BC7" w:rsidRPr="004363F1">
        <w:rPr>
          <w:rFonts w:ascii="Times New Roman" w:eastAsiaTheme="minorEastAsia" w:hAnsi="Times New Roman" w:cs="Times New Roman"/>
          <w:sz w:val="20"/>
          <w:szCs w:val="20"/>
        </w:rPr>
        <w:t xml:space="preserve"> gap in P28</w:t>
      </w:r>
      <w:r w:rsidR="00833234" w:rsidRPr="004363F1">
        <w:rPr>
          <w:rFonts w:ascii="Times New Roman" w:eastAsiaTheme="minorEastAsia" w:hAnsi="Times New Roman" w:cs="Times New Roman"/>
          <w:sz w:val="20"/>
          <w:szCs w:val="20"/>
        </w:rPr>
        <w:t xml:space="preserve"> would have been </w:t>
      </w:r>
      <w:r w:rsidR="008B0BC7" w:rsidRPr="004363F1">
        <w:rPr>
          <w:rFonts w:ascii="Times New Roman" w:eastAsiaTheme="minorEastAsia" w:hAnsi="Times New Roman" w:cs="Times New Roman"/>
          <w:sz w:val="20"/>
          <w:szCs w:val="20"/>
        </w:rPr>
        <w:t>greater than 11.1%.</w:t>
      </w:r>
    </w:p>
    <w:p w14:paraId="3DAFA982" w14:textId="77777777" w:rsidR="00EA2D50" w:rsidRPr="004363F1" w:rsidRDefault="00101BBD"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By summing up the predictive powers of the </w:t>
      </w:r>
      <w:r w:rsidR="008B0BC7" w:rsidRPr="004363F1">
        <w:rPr>
          <w:rFonts w:ascii="Times New Roman" w:eastAsiaTheme="minorEastAsia" w:hAnsi="Times New Roman" w:cs="Times New Roman"/>
          <w:sz w:val="20"/>
          <w:szCs w:val="20"/>
        </w:rPr>
        <w:t xml:space="preserve">day 1 and change </w:t>
      </w:r>
      <w:r w:rsidRPr="004363F1">
        <w:rPr>
          <w:rFonts w:ascii="Times New Roman" w:eastAsiaTheme="minorEastAsia" w:hAnsi="Times New Roman" w:cs="Times New Roman"/>
          <w:sz w:val="20"/>
          <w:szCs w:val="20"/>
        </w:rPr>
        <w:t>variables of each TVBI, we obtained the combined predictive power of each TVBI</w:t>
      </w:r>
      <w:r w:rsidR="008B0BC7" w:rsidRPr="004363F1">
        <w:rPr>
          <w:rFonts w:ascii="Times New Roman" w:eastAsiaTheme="minorEastAsia" w:hAnsi="Times New Roman" w:cs="Times New Roman"/>
          <w:sz w:val="20"/>
          <w:szCs w:val="20"/>
        </w:rPr>
        <w:t xml:space="preserve"> shown in the middle graph of Figure 2. We found from this graph that </w:t>
      </w:r>
      <w:r w:rsidRPr="004363F1">
        <w:rPr>
          <w:rFonts w:ascii="Times New Roman" w:eastAsiaTheme="minorEastAsia" w:hAnsi="Times New Roman" w:cs="Times New Roman"/>
          <w:sz w:val="20"/>
          <w:szCs w:val="20"/>
        </w:rPr>
        <w:t>Patient A’s</w:t>
      </w:r>
      <w:r w:rsidR="008B0BC7" w:rsidRPr="004363F1">
        <w:rPr>
          <w:rFonts w:ascii="Times New Roman" w:eastAsiaTheme="minorEastAsia" w:hAnsi="Times New Roman" w:cs="Times New Roman"/>
          <w:sz w:val="20"/>
          <w:szCs w:val="20"/>
        </w:rPr>
        <w:t xml:space="preserve"> improvement</w:t>
      </w:r>
      <w:r w:rsidRPr="004363F1">
        <w:rPr>
          <w:rFonts w:ascii="Times New Roman" w:eastAsiaTheme="minorEastAsia" w:hAnsi="Times New Roman" w:cs="Times New Roman"/>
          <w:sz w:val="20"/>
          <w:szCs w:val="20"/>
        </w:rPr>
        <w:t xml:space="preserve">s in </w:t>
      </w:r>
      <w:r w:rsidR="008C4F1B" w:rsidRPr="004363F1">
        <w:rPr>
          <w:rFonts w:ascii="Times New Roman" w:eastAsiaTheme="minorEastAsia" w:hAnsi="Times New Roman" w:cs="Times New Roman"/>
          <w:sz w:val="20"/>
          <w:szCs w:val="20"/>
        </w:rPr>
        <w:t>GCS and lactate were not</w:t>
      </w:r>
      <w:r w:rsidR="00BB18DB" w:rsidRPr="004363F1">
        <w:rPr>
          <w:rFonts w:ascii="Times New Roman" w:eastAsiaTheme="minorEastAsia" w:hAnsi="Times New Roman" w:cs="Times New Roman"/>
          <w:sz w:val="20"/>
          <w:szCs w:val="20"/>
        </w:rPr>
        <w:t xml:space="preserve"> large</w:t>
      </w:r>
      <w:r w:rsidR="00833234" w:rsidRPr="004363F1">
        <w:rPr>
          <w:rFonts w:ascii="Times New Roman" w:eastAsiaTheme="minorEastAsia" w:hAnsi="Times New Roman" w:cs="Times New Roman"/>
          <w:sz w:val="20"/>
          <w:szCs w:val="20"/>
        </w:rPr>
        <w:t xml:space="preserve"> </w:t>
      </w:r>
      <w:r w:rsidRPr="004363F1">
        <w:rPr>
          <w:rFonts w:ascii="Times New Roman" w:eastAsiaTheme="minorEastAsia" w:hAnsi="Times New Roman" w:cs="Times New Roman"/>
          <w:sz w:val="20"/>
          <w:szCs w:val="20"/>
        </w:rPr>
        <w:t xml:space="preserve">enough to fully compensate for the initial disadvantage, although the improvement </w:t>
      </w:r>
      <w:r w:rsidR="00D3366D" w:rsidRPr="004363F1">
        <w:rPr>
          <w:rFonts w:ascii="Times New Roman" w:eastAsiaTheme="minorEastAsia" w:hAnsi="Times New Roman" w:cs="Times New Roman"/>
          <w:sz w:val="20"/>
          <w:szCs w:val="20"/>
        </w:rPr>
        <w:t xml:space="preserve">in his </w:t>
      </w:r>
      <w:proofErr w:type="spellStart"/>
      <w:r w:rsidR="00D3366D" w:rsidRPr="004363F1">
        <w:rPr>
          <w:rFonts w:ascii="Times New Roman" w:eastAsiaTheme="minorEastAsia" w:hAnsi="Times New Roman" w:cs="Times New Roman"/>
          <w:sz w:val="20"/>
          <w:szCs w:val="20"/>
        </w:rPr>
        <w:t>cfDNA</w:t>
      </w:r>
      <w:proofErr w:type="spellEnd"/>
      <w:r w:rsidR="00D3366D" w:rsidRPr="004363F1">
        <w:rPr>
          <w:rFonts w:ascii="Times New Roman" w:eastAsiaTheme="minorEastAsia" w:hAnsi="Times New Roman" w:cs="Times New Roman"/>
          <w:sz w:val="20"/>
          <w:szCs w:val="20"/>
        </w:rPr>
        <w:t xml:space="preserve"> was able to do so.  </w:t>
      </w:r>
      <w:r w:rsidRPr="004363F1">
        <w:rPr>
          <w:rFonts w:ascii="Times New Roman" w:eastAsiaTheme="minorEastAsia" w:hAnsi="Times New Roman" w:cs="Times New Roman"/>
          <w:sz w:val="20"/>
          <w:szCs w:val="20"/>
        </w:rPr>
        <w:t>For ease of communication, we applied exponential transformation to each bar in the middle graph to make it into a hazard ratio (HR)</w:t>
      </w:r>
      <w:r w:rsidR="00FB5EEA" w:rsidRPr="004363F1">
        <w:rPr>
          <w:rFonts w:ascii="Times New Roman" w:eastAsiaTheme="minorEastAsia" w:hAnsi="Times New Roman" w:cs="Times New Roman"/>
          <w:sz w:val="20"/>
          <w:szCs w:val="20"/>
        </w:rPr>
        <w:t xml:space="preserve">. For ease of visualization, we plotted (HR – 1) for each TVBI in the bottom graph of Figure 2. The HRs used to create this graph are </w:t>
      </w:r>
      <w:r w:rsidR="00FB5EEA" w:rsidRPr="004363F1">
        <w:rPr>
          <w:rFonts w:ascii="Times New Roman" w:eastAsiaTheme="minorEastAsia" w:hAnsi="Times New Roman" w:cs="Times New Roman"/>
          <w:i/>
          <w:sz w:val="20"/>
          <w:szCs w:val="20"/>
        </w:rPr>
        <w:t>multiplicative components</w:t>
      </w:r>
      <w:r w:rsidR="00FB5EEA" w:rsidRPr="004363F1">
        <w:rPr>
          <w:rFonts w:ascii="Times New Roman" w:eastAsiaTheme="minorEastAsia" w:hAnsi="Times New Roman" w:cs="Times New Roman"/>
          <w:sz w:val="20"/>
          <w:szCs w:val="20"/>
        </w:rPr>
        <w:t xml:space="preserve"> of th</w:t>
      </w:r>
      <w:r w:rsidR="008C4F1B" w:rsidRPr="004363F1">
        <w:rPr>
          <w:rFonts w:ascii="Times New Roman" w:eastAsiaTheme="minorEastAsia" w:hAnsi="Times New Roman" w:cs="Times New Roman"/>
          <w:sz w:val="20"/>
          <w:szCs w:val="20"/>
        </w:rPr>
        <w:t>e overall HR of 6.4</w:t>
      </w:r>
      <w:r w:rsidR="00FB5EEA" w:rsidRPr="004363F1">
        <w:rPr>
          <w:rFonts w:ascii="Times New Roman" w:eastAsiaTheme="minorEastAsia" w:hAnsi="Times New Roman" w:cs="Times New Roman"/>
          <w:sz w:val="20"/>
          <w:szCs w:val="20"/>
        </w:rPr>
        <w:t>. Among these components, the HR for protein C (2.1) was the greatest.</w:t>
      </w:r>
      <w:r w:rsidR="00757A01" w:rsidRPr="004363F1">
        <w:rPr>
          <w:rFonts w:ascii="Times New Roman" w:eastAsiaTheme="minorEastAsia" w:hAnsi="Times New Roman" w:cs="Times New Roman"/>
          <w:sz w:val="20"/>
          <w:szCs w:val="20"/>
        </w:rPr>
        <w:t xml:space="preserve"> </w:t>
      </w:r>
    </w:p>
    <w:p w14:paraId="1706BC2B" w14:textId="77777777" w:rsidR="00D35F19" w:rsidRPr="004363F1" w:rsidRDefault="008C4F1B"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Using </w:t>
      </w:r>
      <w:r w:rsidR="0037446F" w:rsidRPr="004363F1">
        <w:rPr>
          <w:rFonts w:ascii="Times New Roman" w:eastAsiaTheme="minorEastAsia" w:hAnsi="Times New Roman" w:cs="Times New Roman"/>
          <w:sz w:val="20"/>
          <w:szCs w:val="20"/>
        </w:rPr>
        <w:t xml:space="preserve">the Excel version of </w:t>
      </w:r>
      <w:r w:rsidR="00774B2D" w:rsidRPr="004363F1">
        <w:rPr>
          <w:rFonts w:ascii="Times New Roman" w:eastAsiaTheme="minorEastAsia" w:hAnsi="Times New Roman" w:cs="Times New Roman"/>
          <w:sz w:val="20"/>
          <w:szCs w:val="20"/>
        </w:rPr>
        <w:t xml:space="preserve">Supplemental Table </w:t>
      </w:r>
      <w:r w:rsidR="004E0AD4" w:rsidRPr="004363F1">
        <w:rPr>
          <w:rFonts w:ascii="Times New Roman" w:eastAsiaTheme="minorEastAsia" w:hAnsi="Times New Roman" w:cs="Times New Roman"/>
          <w:sz w:val="20"/>
          <w:szCs w:val="20"/>
        </w:rPr>
        <w:t>7</w:t>
      </w:r>
      <w:r w:rsidRPr="004363F1">
        <w:rPr>
          <w:rFonts w:ascii="Times New Roman" w:eastAsiaTheme="minorEastAsia" w:hAnsi="Times New Roman" w:cs="Times New Roman"/>
          <w:sz w:val="20"/>
          <w:szCs w:val="20"/>
        </w:rPr>
        <w:t>, we found</w:t>
      </w:r>
      <w:r w:rsidR="007116EF" w:rsidRPr="004363F1">
        <w:rPr>
          <w:rFonts w:ascii="Times New Roman" w:eastAsiaTheme="minorEastAsia" w:hAnsi="Times New Roman" w:cs="Times New Roman"/>
          <w:sz w:val="20"/>
          <w:szCs w:val="20"/>
        </w:rPr>
        <w:t xml:space="preserve"> that an increase of</w:t>
      </w:r>
      <w:r w:rsidR="003328E2" w:rsidRPr="004363F1">
        <w:rPr>
          <w:rFonts w:ascii="Times New Roman" w:eastAsiaTheme="minorEastAsia" w:hAnsi="Times New Roman" w:cs="Times New Roman"/>
          <w:sz w:val="20"/>
          <w:szCs w:val="20"/>
        </w:rPr>
        <w:t xml:space="preserve"> Patient A’s protein C </w:t>
      </w:r>
      <w:r w:rsidR="00FC52F4" w:rsidRPr="004363F1">
        <w:rPr>
          <w:rFonts w:ascii="Times New Roman" w:eastAsiaTheme="minorEastAsia" w:hAnsi="Times New Roman" w:cs="Times New Roman"/>
          <w:sz w:val="20"/>
          <w:szCs w:val="20"/>
        </w:rPr>
        <w:t>(47</w:t>
      </w:r>
      <w:r w:rsidR="00C532CF" w:rsidRPr="004363F1">
        <w:rPr>
          <w:rFonts w:ascii="Times New Roman" w:eastAsiaTheme="minorEastAsia" w:hAnsi="Times New Roman" w:cs="Times New Roman"/>
          <w:sz w:val="20"/>
          <w:szCs w:val="20"/>
        </w:rPr>
        <w:t xml:space="preserve">) </w:t>
      </w:r>
      <w:r w:rsidR="003328E2" w:rsidRPr="004363F1">
        <w:rPr>
          <w:rFonts w:ascii="Times New Roman" w:eastAsiaTheme="minorEastAsia" w:hAnsi="Times New Roman" w:cs="Times New Roman"/>
          <w:sz w:val="20"/>
          <w:szCs w:val="20"/>
        </w:rPr>
        <w:t xml:space="preserve">to </w:t>
      </w:r>
      <w:r w:rsidR="00FC52F4" w:rsidRPr="004363F1">
        <w:rPr>
          <w:rFonts w:ascii="Times New Roman" w:eastAsiaTheme="minorEastAsia" w:hAnsi="Times New Roman" w:cs="Times New Roman"/>
          <w:sz w:val="20"/>
          <w:szCs w:val="20"/>
        </w:rPr>
        <w:t>the level of the benchmark (131</w:t>
      </w:r>
      <w:r w:rsidR="00C532CF" w:rsidRPr="004363F1">
        <w:rPr>
          <w:rFonts w:ascii="Times New Roman" w:eastAsiaTheme="minorEastAsia" w:hAnsi="Times New Roman" w:cs="Times New Roman"/>
          <w:sz w:val="20"/>
          <w:szCs w:val="20"/>
        </w:rPr>
        <w:t>)</w:t>
      </w:r>
      <w:r w:rsidR="007116EF" w:rsidRPr="004363F1">
        <w:rPr>
          <w:rFonts w:ascii="Times New Roman" w:eastAsiaTheme="minorEastAsia" w:hAnsi="Times New Roman" w:cs="Times New Roman"/>
          <w:sz w:val="20"/>
          <w:szCs w:val="20"/>
        </w:rPr>
        <w:t xml:space="preserve"> is associated with a decrease of</w:t>
      </w:r>
      <w:r w:rsidR="00C532CF" w:rsidRPr="004363F1">
        <w:rPr>
          <w:rFonts w:ascii="Times New Roman" w:eastAsiaTheme="minorEastAsia" w:hAnsi="Times New Roman" w:cs="Times New Roman"/>
          <w:sz w:val="20"/>
          <w:szCs w:val="20"/>
        </w:rPr>
        <w:t xml:space="preserve"> his</w:t>
      </w:r>
      <w:r w:rsidR="003328E2" w:rsidRPr="004363F1">
        <w:rPr>
          <w:rFonts w:ascii="Times New Roman" w:eastAsiaTheme="minorEastAsia" w:hAnsi="Times New Roman" w:cs="Times New Roman"/>
          <w:sz w:val="20"/>
          <w:szCs w:val="20"/>
        </w:rPr>
        <w:t xml:space="preserve"> P28 </w:t>
      </w:r>
      <w:r w:rsidR="00C532CF" w:rsidRPr="004363F1">
        <w:rPr>
          <w:rFonts w:ascii="Times New Roman" w:eastAsiaTheme="minorEastAsia" w:hAnsi="Times New Roman" w:cs="Times New Roman"/>
          <w:sz w:val="20"/>
          <w:szCs w:val="20"/>
        </w:rPr>
        <w:t>from</w:t>
      </w:r>
      <w:r w:rsidR="003328E2" w:rsidRPr="004363F1">
        <w:rPr>
          <w:rFonts w:ascii="Times New Roman" w:eastAsiaTheme="minorEastAsia" w:hAnsi="Times New Roman" w:cs="Times New Roman"/>
          <w:sz w:val="20"/>
          <w:szCs w:val="20"/>
        </w:rPr>
        <w:t xml:space="preserve"> 13.3% to 7.2%</w:t>
      </w:r>
      <w:r w:rsidR="00975106" w:rsidRPr="004363F1">
        <w:rPr>
          <w:rFonts w:ascii="Times New Roman" w:eastAsiaTheme="minorEastAsia" w:hAnsi="Times New Roman" w:cs="Times New Roman"/>
          <w:sz w:val="20"/>
          <w:szCs w:val="20"/>
        </w:rPr>
        <w:t xml:space="preserve">, and that </w:t>
      </w:r>
      <w:r w:rsidR="00593DB7" w:rsidRPr="004363F1">
        <w:rPr>
          <w:rFonts w:ascii="Times New Roman" w:eastAsiaTheme="minorEastAsia" w:hAnsi="Times New Roman" w:cs="Times New Roman"/>
          <w:sz w:val="20"/>
          <w:szCs w:val="20"/>
        </w:rPr>
        <w:t>further increases of</w:t>
      </w:r>
      <w:r w:rsidR="00C532CF" w:rsidRPr="004363F1">
        <w:rPr>
          <w:rFonts w:ascii="Times New Roman" w:eastAsiaTheme="minorEastAsia" w:hAnsi="Times New Roman" w:cs="Times New Roman"/>
          <w:sz w:val="20"/>
          <w:szCs w:val="20"/>
        </w:rPr>
        <w:t xml:space="preserve"> his platelets</w:t>
      </w:r>
      <w:r w:rsidR="00C532CF" w:rsidRPr="004363F1">
        <w:rPr>
          <w:rFonts w:ascii="Times New Roman" w:eastAsiaTheme="minorEastAsia" w:hAnsi="Times New Roman"/>
          <w:sz w:val="20"/>
          <w:szCs w:val="20"/>
        </w:rPr>
        <w:t xml:space="preserve"> (111) and GCS (11) to the levels of the benchmark (309 and 14, respectively)</w:t>
      </w:r>
      <w:r w:rsidR="00593DB7" w:rsidRPr="004363F1">
        <w:rPr>
          <w:rFonts w:ascii="Times New Roman" w:eastAsiaTheme="minorEastAsia" w:hAnsi="Times New Roman"/>
          <w:sz w:val="20"/>
          <w:szCs w:val="20"/>
        </w:rPr>
        <w:t xml:space="preserve"> are associated with a further reduction of his P28</w:t>
      </w:r>
      <w:r w:rsidR="00C532CF" w:rsidRPr="004363F1">
        <w:rPr>
          <w:rFonts w:ascii="Times New Roman" w:eastAsiaTheme="minorEastAsia" w:hAnsi="Times New Roman"/>
          <w:sz w:val="20"/>
          <w:szCs w:val="20"/>
        </w:rPr>
        <w:t xml:space="preserve"> to 3.3%.</w:t>
      </w:r>
    </w:p>
    <w:p w14:paraId="786D6C39" w14:textId="77777777" w:rsidR="00CD3C0C" w:rsidRPr="004363F1" w:rsidRDefault="00D35F19"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  </w:t>
      </w:r>
      <w:r w:rsidR="003328E2" w:rsidRPr="004363F1">
        <w:rPr>
          <w:rFonts w:ascii="Times New Roman" w:eastAsiaTheme="minorEastAsia" w:hAnsi="Times New Roman" w:cs="Times New Roman"/>
          <w:sz w:val="20"/>
          <w:szCs w:val="20"/>
        </w:rPr>
        <w:t xml:space="preserve"> </w:t>
      </w:r>
      <w:r w:rsidR="00E72111" w:rsidRPr="004363F1">
        <w:rPr>
          <w:rFonts w:ascii="Times New Roman" w:eastAsiaTheme="minorEastAsia" w:hAnsi="Times New Roman" w:cs="Times New Roman"/>
          <w:sz w:val="20"/>
          <w:szCs w:val="20"/>
        </w:rPr>
        <w:t xml:space="preserve">To demonstrate </w:t>
      </w:r>
      <w:r w:rsidR="000C7540" w:rsidRPr="004363F1">
        <w:rPr>
          <w:rFonts w:ascii="Times New Roman" w:eastAsiaTheme="minorEastAsia" w:hAnsi="Times New Roman" w:cs="Times New Roman"/>
          <w:sz w:val="20"/>
          <w:szCs w:val="20"/>
        </w:rPr>
        <w:t xml:space="preserve">how the knowledge of the dynamic nature of the benchmark and the primary data of a patient could facilitate </w:t>
      </w:r>
      <w:r w:rsidR="00E72111" w:rsidRPr="004363F1">
        <w:rPr>
          <w:rFonts w:ascii="Times New Roman" w:eastAsiaTheme="minorEastAsia" w:hAnsi="Times New Roman" w:cs="Times New Roman"/>
          <w:sz w:val="20"/>
          <w:szCs w:val="20"/>
        </w:rPr>
        <w:t>use of the mortality risk profile</w:t>
      </w:r>
      <w:r w:rsidR="000C7540" w:rsidRPr="004363F1">
        <w:rPr>
          <w:rFonts w:ascii="Times New Roman" w:eastAsiaTheme="minorEastAsia" w:hAnsi="Times New Roman" w:cs="Times New Roman"/>
          <w:sz w:val="20"/>
          <w:szCs w:val="20"/>
        </w:rPr>
        <w:t>,</w:t>
      </w:r>
      <w:r w:rsidR="00E72111" w:rsidRPr="004363F1">
        <w:rPr>
          <w:rFonts w:ascii="Times New Roman" w:eastAsiaTheme="minorEastAsia" w:hAnsi="Times New Roman" w:cs="Times New Roman"/>
          <w:sz w:val="20"/>
          <w:szCs w:val="20"/>
        </w:rPr>
        <w:t xml:space="preserve"> we constructed the profile of another </w:t>
      </w:r>
      <w:r w:rsidR="00CD3C0C" w:rsidRPr="004363F1">
        <w:rPr>
          <w:rFonts w:ascii="Times New Roman" w:eastAsiaTheme="minorEastAsia" w:hAnsi="Times New Roman" w:cs="Times New Roman"/>
          <w:sz w:val="20"/>
          <w:szCs w:val="20"/>
        </w:rPr>
        <w:t xml:space="preserve">male </w:t>
      </w:r>
      <w:r w:rsidR="00E72111" w:rsidRPr="004363F1">
        <w:rPr>
          <w:rFonts w:ascii="Times New Roman" w:eastAsiaTheme="minorEastAsia" w:hAnsi="Times New Roman" w:cs="Times New Roman"/>
          <w:sz w:val="20"/>
          <w:szCs w:val="20"/>
        </w:rPr>
        <w:t>pa</w:t>
      </w:r>
      <w:r w:rsidR="00CD3C0C" w:rsidRPr="004363F1">
        <w:rPr>
          <w:rFonts w:ascii="Times New Roman" w:eastAsiaTheme="minorEastAsia" w:hAnsi="Times New Roman" w:cs="Times New Roman"/>
          <w:sz w:val="20"/>
          <w:szCs w:val="20"/>
        </w:rPr>
        <w:t xml:space="preserve">tient (Patient B) </w:t>
      </w:r>
      <w:r w:rsidR="00E72111" w:rsidRPr="004363F1">
        <w:rPr>
          <w:rFonts w:ascii="Times New Roman" w:eastAsiaTheme="minorEastAsia" w:hAnsi="Times New Roman" w:cs="Times New Roman"/>
          <w:sz w:val="20"/>
          <w:szCs w:val="20"/>
        </w:rPr>
        <w:t xml:space="preserve">who </w:t>
      </w:r>
      <w:r w:rsidR="00CD3C0C" w:rsidRPr="004363F1">
        <w:rPr>
          <w:rFonts w:ascii="Times New Roman" w:eastAsiaTheme="minorEastAsia" w:hAnsi="Times New Roman" w:cs="Times New Roman"/>
          <w:sz w:val="20"/>
          <w:szCs w:val="20"/>
        </w:rPr>
        <w:t xml:space="preserve">was discharged on day 12. The primary data of Patient B </w:t>
      </w:r>
      <w:r w:rsidR="0037446F" w:rsidRPr="004363F1">
        <w:rPr>
          <w:rFonts w:ascii="Times New Roman" w:eastAsiaTheme="minorEastAsia" w:hAnsi="Times New Roman" w:cs="Times New Roman"/>
          <w:sz w:val="20"/>
          <w:szCs w:val="20"/>
        </w:rPr>
        <w:t xml:space="preserve">and the benchmark are shown in </w:t>
      </w:r>
      <w:r w:rsidR="00774B2D" w:rsidRPr="004363F1">
        <w:rPr>
          <w:rFonts w:ascii="Times New Roman" w:eastAsiaTheme="minorEastAsia" w:hAnsi="Times New Roman" w:cs="Times New Roman"/>
          <w:sz w:val="20"/>
          <w:szCs w:val="20"/>
        </w:rPr>
        <w:t xml:space="preserve">Supplemental Table </w:t>
      </w:r>
      <w:r w:rsidR="00E15FAB" w:rsidRPr="004363F1">
        <w:rPr>
          <w:rFonts w:ascii="Times New Roman" w:eastAsiaTheme="minorEastAsia" w:hAnsi="Times New Roman" w:cs="Times New Roman"/>
          <w:sz w:val="20"/>
          <w:szCs w:val="20"/>
        </w:rPr>
        <w:t>8</w:t>
      </w:r>
      <w:r w:rsidR="00CD3C0C" w:rsidRPr="004363F1">
        <w:rPr>
          <w:rFonts w:ascii="Times New Roman" w:eastAsiaTheme="minorEastAsia" w:hAnsi="Times New Roman" w:cs="Times New Roman"/>
          <w:sz w:val="20"/>
          <w:szCs w:val="20"/>
        </w:rPr>
        <w:t>, the computations are</w:t>
      </w:r>
      <w:r w:rsidR="00FC52F4" w:rsidRPr="004363F1">
        <w:rPr>
          <w:rFonts w:ascii="Times New Roman" w:eastAsiaTheme="minorEastAsia" w:hAnsi="Times New Roman" w:cs="Times New Roman"/>
          <w:sz w:val="20"/>
          <w:szCs w:val="20"/>
        </w:rPr>
        <w:t xml:space="preserve"> presented</w:t>
      </w:r>
      <w:r w:rsidR="0037446F" w:rsidRPr="004363F1">
        <w:rPr>
          <w:rFonts w:ascii="Times New Roman" w:eastAsiaTheme="minorEastAsia" w:hAnsi="Times New Roman" w:cs="Times New Roman"/>
          <w:sz w:val="20"/>
          <w:szCs w:val="20"/>
        </w:rPr>
        <w:t xml:space="preserve"> in </w:t>
      </w:r>
      <w:r w:rsidR="00774B2D" w:rsidRPr="004363F1">
        <w:rPr>
          <w:rFonts w:ascii="Times New Roman" w:eastAsiaTheme="minorEastAsia" w:hAnsi="Times New Roman" w:cs="Times New Roman"/>
          <w:sz w:val="20"/>
          <w:szCs w:val="20"/>
        </w:rPr>
        <w:t xml:space="preserve">Supplemental Table </w:t>
      </w:r>
      <w:r w:rsidR="00E15FAB" w:rsidRPr="004363F1">
        <w:rPr>
          <w:rFonts w:ascii="Times New Roman" w:eastAsiaTheme="minorEastAsia" w:hAnsi="Times New Roman" w:cs="Times New Roman"/>
          <w:sz w:val="20"/>
          <w:szCs w:val="20"/>
        </w:rPr>
        <w:t>9</w:t>
      </w:r>
      <w:r w:rsidR="00CD3C0C" w:rsidRPr="004363F1">
        <w:rPr>
          <w:rFonts w:ascii="Times New Roman" w:eastAsiaTheme="minorEastAsia" w:hAnsi="Times New Roman" w:cs="Times New Roman"/>
          <w:sz w:val="20"/>
          <w:szCs w:val="20"/>
        </w:rPr>
        <w:t>, and his mort</w:t>
      </w:r>
      <w:r w:rsidR="0037446F" w:rsidRPr="004363F1">
        <w:rPr>
          <w:rFonts w:ascii="Times New Roman" w:eastAsiaTheme="minorEastAsia" w:hAnsi="Times New Roman" w:cs="Times New Roman"/>
          <w:sz w:val="20"/>
          <w:szCs w:val="20"/>
        </w:rPr>
        <w:t xml:space="preserve">ality risk profile is shown in </w:t>
      </w:r>
      <w:r w:rsidR="00774B2D" w:rsidRPr="004363F1">
        <w:rPr>
          <w:rFonts w:ascii="Times New Roman" w:eastAsiaTheme="minorEastAsia" w:hAnsi="Times New Roman" w:cs="Times New Roman"/>
          <w:sz w:val="20"/>
          <w:szCs w:val="20"/>
        </w:rPr>
        <w:t xml:space="preserve">Supplemental Figure </w:t>
      </w:r>
      <w:r w:rsidR="00CD3C0C" w:rsidRPr="004363F1">
        <w:rPr>
          <w:rFonts w:ascii="Times New Roman" w:eastAsiaTheme="minorEastAsia" w:hAnsi="Times New Roman" w:cs="Times New Roman"/>
          <w:sz w:val="20"/>
          <w:szCs w:val="20"/>
        </w:rPr>
        <w:t>4.</w:t>
      </w:r>
    </w:p>
    <w:p w14:paraId="18DDC62A" w14:textId="77777777" w:rsidR="002C085C" w:rsidRPr="004363F1" w:rsidRDefault="00436B47"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Partly as a consequence of having an</w:t>
      </w:r>
      <w:r w:rsidR="00CD3C0C" w:rsidRPr="004363F1">
        <w:rPr>
          <w:rFonts w:ascii="Times New Roman" w:eastAsiaTheme="minorEastAsia" w:hAnsi="Times New Roman" w:cs="Times New Roman"/>
          <w:sz w:val="20"/>
          <w:szCs w:val="20"/>
        </w:rPr>
        <w:t xml:space="preserve"> advanced age </w:t>
      </w:r>
      <w:r w:rsidR="00273C50" w:rsidRPr="004363F1">
        <w:rPr>
          <w:rFonts w:ascii="Times New Roman" w:eastAsiaTheme="minorEastAsia" w:hAnsi="Times New Roman" w:cs="Times New Roman"/>
          <w:sz w:val="20"/>
          <w:szCs w:val="20"/>
        </w:rPr>
        <w:t xml:space="preserve">of 79 </w:t>
      </w:r>
      <w:r w:rsidR="00CD3C0C" w:rsidRPr="004363F1">
        <w:rPr>
          <w:rFonts w:ascii="Times New Roman" w:eastAsiaTheme="minorEastAsia" w:hAnsi="Times New Roman" w:cs="Times New Roman"/>
          <w:sz w:val="20"/>
          <w:szCs w:val="20"/>
        </w:rPr>
        <w:t xml:space="preserve">and the precondition of chronic </w:t>
      </w:r>
      <w:r w:rsidR="00FC52F4" w:rsidRPr="004363F1">
        <w:rPr>
          <w:rFonts w:ascii="Times New Roman" w:eastAsiaTheme="minorEastAsia" w:hAnsi="Times New Roman" w:cs="Times New Roman"/>
          <w:sz w:val="20"/>
          <w:szCs w:val="20"/>
        </w:rPr>
        <w:t xml:space="preserve">lung </w:t>
      </w:r>
      <w:r w:rsidR="00CD3C0C" w:rsidRPr="004363F1">
        <w:rPr>
          <w:rFonts w:ascii="Times New Roman" w:eastAsiaTheme="minorEastAsia" w:hAnsi="Times New Roman" w:cs="Times New Roman"/>
          <w:sz w:val="20"/>
          <w:szCs w:val="20"/>
        </w:rPr>
        <w:t>disease, his P28 was quite high (</w:t>
      </w:r>
      <w:r w:rsidR="000105B9" w:rsidRPr="004363F1">
        <w:rPr>
          <w:rFonts w:ascii="Times New Roman" w:eastAsiaTheme="minorEastAsia" w:hAnsi="Times New Roman" w:cs="Times New Roman"/>
          <w:sz w:val="20"/>
          <w:szCs w:val="20"/>
        </w:rPr>
        <w:t>50%). The finding that among the 6 TVBIs, lactate had</w:t>
      </w:r>
      <w:r w:rsidR="004252BC" w:rsidRPr="004363F1">
        <w:rPr>
          <w:rFonts w:ascii="Times New Roman" w:eastAsiaTheme="minorEastAsia" w:hAnsi="Times New Roman" w:cs="Times New Roman"/>
          <w:sz w:val="20"/>
          <w:szCs w:val="20"/>
        </w:rPr>
        <w:t xml:space="preserve"> the highest HR of 2.1</w:t>
      </w:r>
      <w:r w:rsidR="00B75DA8" w:rsidRPr="004363F1">
        <w:rPr>
          <w:rFonts w:ascii="Times New Roman" w:eastAsiaTheme="minorEastAsia" w:hAnsi="Times New Roman" w:cs="Times New Roman"/>
          <w:sz w:val="20"/>
          <w:szCs w:val="20"/>
        </w:rPr>
        <w:t>, which suggested</w:t>
      </w:r>
      <w:r w:rsidR="000105B9" w:rsidRPr="004363F1">
        <w:rPr>
          <w:rFonts w:ascii="Times New Roman" w:eastAsiaTheme="minorEastAsia" w:hAnsi="Times New Roman" w:cs="Times New Roman"/>
          <w:sz w:val="20"/>
          <w:szCs w:val="20"/>
        </w:rPr>
        <w:t xml:space="preserve"> that </w:t>
      </w:r>
      <w:r w:rsidR="00B75DA8" w:rsidRPr="004363F1">
        <w:rPr>
          <w:rFonts w:ascii="Times New Roman" w:eastAsiaTheme="minorEastAsia" w:hAnsi="Times New Roman" w:cs="Times New Roman"/>
          <w:sz w:val="20"/>
          <w:szCs w:val="20"/>
        </w:rPr>
        <w:t xml:space="preserve">a </w:t>
      </w:r>
      <w:r w:rsidR="004252BC" w:rsidRPr="004363F1">
        <w:rPr>
          <w:rFonts w:ascii="Times New Roman" w:eastAsiaTheme="minorEastAsia" w:hAnsi="Times New Roman" w:cs="Times New Roman"/>
          <w:sz w:val="20"/>
          <w:szCs w:val="20"/>
        </w:rPr>
        <w:t>lowering</w:t>
      </w:r>
      <w:r w:rsidR="00FC52F4" w:rsidRPr="004363F1">
        <w:rPr>
          <w:rFonts w:ascii="Times New Roman" w:eastAsiaTheme="minorEastAsia" w:hAnsi="Times New Roman" w:cs="Times New Roman"/>
          <w:sz w:val="20"/>
          <w:szCs w:val="20"/>
        </w:rPr>
        <w:t xml:space="preserve"> his lactate level</w:t>
      </w:r>
      <w:r w:rsidR="004252BC" w:rsidRPr="004363F1">
        <w:rPr>
          <w:rFonts w:ascii="Times New Roman" w:eastAsiaTheme="minorEastAsia" w:hAnsi="Times New Roman" w:cs="Times New Roman"/>
          <w:sz w:val="20"/>
          <w:szCs w:val="20"/>
        </w:rPr>
        <w:t xml:space="preserve"> would </w:t>
      </w:r>
      <w:r w:rsidR="00B75DA8" w:rsidRPr="004363F1">
        <w:rPr>
          <w:rFonts w:ascii="Times New Roman" w:eastAsiaTheme="minorEastAsia" w:hAnsi="Times New Roman" w:cs="Times New Roman"/>
          <w:sz w:val="20"/>
          <w:szCs w:val="20"/>
        </w:rPr>
        <w:t>most likely be accompanied by a reduction in</w:t>
      </w:r>
      <w:r w:rsidR="004252BC" w:rsidRPr="004363F1">
        <w:rPr>
          <w:rFonts w:ascii="Times New Roman" w:eastAsiaTheme="minorEastAsia" w:hAnsi="Times New Roman" w:cs="Times New Roman"/>
          <w:sz w:val="20"/>
          <w:szCs w:val="20"/>
        </w:rPr>
        <w:t xml:space="preserve"> his mortality risk</w:t>
      </w:r>
      <w:r w:rsidR="00FC52F4" w:rsidRPr="004363F1">
        <w:rPr>
          <w:rFonts w:ascii="Times New Roman" w:eastAsiaTheme="minorEastAsia" w:hAnsi="Times New Roman" w:cs="Times New Roman"/>
          <w:sz w:val="20"/>
          <w:szCs w:val="20"/>
        </w:rPr>
        <w:t>.  However</w:t>
      </w:r>
      <w:r w:rsidR="0037446F" w:rsidRPr="004363F1">
        <w:rPr>
          <w:rFonts w:ascii="Times New Roman" w:eastAsiaTheme="minorEastAsia" w:hAnsi="Times New Roman" w:cs="Times New Roman"/>
          <w:sz w:val="20"/>
          <w:szCs w:val="20"/>
        </w:rPr>
        <w:t xml:space="preserve">, a closer examination of </w:t>
      </w:r>
      <w:r w:rsidR="00E15FAB" w:rsidRPr="004363F1">
        <w:rPr>
          <w:rFonts w:ascii="Times New Roman" w:eastAsiaTheme="minorEastAsia" w:hAnsi="Times New Roman" w:cs="Times New Roman"/>
          <w:sz w:val="20"/>
          <w:szCs w:val="20"/>
        </w:rPr>
        <w:t xml:space="preserve">Supplemental </w:t>
      </w:r>
      <w:r w:rsidR="000105B9" w:rsidRPr="004363F1">
        <w:rPr>
          <w:rFonts w:ascii="Times New Roman" w:eastAsiaTheme="minorEastAsia" w:hAnsi="Times New Roman" w:cs="Times New Roman"/>
          <w:sz w:val="20"/>
          <w:szCs w:val="20"/>
        </w:rPr>
        <w:t xml:space="preserve">Tables </w:t>
      </w:r>
      <w:r w:rsidR="00E15FAB" w:rsidRPr="004363F1">
        <w:rPr>
          <w:rFonts w:ascii="Times New Roman" w:eastAsiaTheme="minorEastAsia" w:hAnsi="Times New Roman" w:cs="Times New Roman"/>
          <w:sz w:val="20"/>
          <w:szCs w:val="20"/>
        </w:rPr>
        <w:t>8</w:t>
      </w:r>
      <w:r w:rsidR="000105B9" w:rsidRPr="004363F1">
        <w:rPr>
          <w:rFonts w:ascii="Times New Roman" w:eastAsiaTheme="minorEastAsia" w:hAnsi="Times New Roman" w:cs="Times New Roman"/>
          <w:sz w:val="20"/>
          <w:szCs w:val="20"/>
        </w:rPr>
        <w:t xml:space="preserve"> and </w:t>
      </w:r>
      <w:r w:rsidR="00E15FAB" w:rsidRPr="004363F1">
        <w:rPr>
          <w:rFonts w:ascii="Times New Roman" w:eastAsiaTheme="minorEastAsia" w:hAnsi="Times New Roman" w:cs="Times New Roman"/>
          <w:sz w:val="20"/>
          <w:szCs w:val="20"/>
        </w:rPr>
        <w:t>9</w:t>
      </w:r>
      <w:r w:rsidR="000105B9" w:rsidRPr="004363F1">
        <w:rPr>
          <w:rFonts w:ascii="Times New Roman" w:eastAsiaTheme="minorEastAsia" w:hAnsi="Times New Roman" w:cs="Times New Roman"/>
          <w:sz w:val="20"/>
          <w:szCs w:val="20"/>
        </w:rPr>
        <w:t xml:space="preserve"> revealed that Patient B started with a ve</w:t>
      </w:r>
      <w:r w:rsidRPr="004363F1">
        <w:rPr>
          <w:rFonts w:ascii="Times New Roman" w:eastAsiaTheme="minorEastAsia" w:hAnsi="Times New Roman" w:cs="Times New Roman"/>
          <w:sz w:val="20"/>
          <w:szCs w:val="20"/>
        </w:rPr>
        <w:t>r</w:t>
      </w:r>
      <w:r w:rsidR="000105B9" w:rsidRPr="004363F1">
        <w:rPr>
          <w:rFonts w:ascii="Times New Roman" w:eastAsiaTheme="minorEastAsia" w:hAnsi="Times New Roman" w:cs="Times New Roman"/>
          <w:sz w:val="20"/>
          <w:szCs w:val="20"/>
        </w:rPr>
        <w:t>y low level of lactate (1.3 mmol/L)</w:t>
      </w:r>
      <w:r w:rsidR="008352A8" w:rsidRPr="004363F1">
        <w:rPr>
          <w:rFonts w:ascii="Times New Roman" w:eastAsiaTheme="minorEastAsia" w:hAnsi="Times New Roman" w:cs="Times New Roman"/>
          <w:sz w:val="20"/>
          <w:szCs w:val="20"/>
        </w:rPr>
        <w:t xml:space="preserve"> and maintain</w:t>
      </w:r>
      <w:r w:rsidR="00ED316B" w:rsidRPr="004363F1">
        <w:rPr>
          <w:rFonts w:ascii="Times New Roman" w:eastAsiaTheme="minorEastAsia" w:hAnsi="Times New Roman" w:cs="Times New Roman"/>
          <w:sz w:val="20"/>
          <w:szCs w:val="20"/>
        </w:rPr>
        <w:t>ed</w:t>
      </w:r>
      <w:r w:rsidR="008352A8" w:rsidRPr="004363F1">
        <w:rPr>
          <w:rFonts w:ascii="Times New Roman" w:eastAsiaTheme="minorEastAsia" w:hAnsi="Times New Roman" w:cs="Times New Roman"/>
          <w:sz w:val="20"/>
          <w:szCs w:val="20"/>
        </w:rPr>
        <w:t xml:space="preserve"> the same level on the day of discharge</w:t>
      </w:r>
      <w:r w:rsidR="000105B9" w:rsidRPr="004363F1">
        <w:rPr>
          <w:rFonts w:ascii="Times New Roman" w:eastAsiaTheme="minorEastAsia" w:hAnsi="Times New Roman" w:cs="Times New Roman"/>
          <w:sz w:val="20"/>
          <w:szCs w:val="20"/>
        </w:rPr>
        <w:t>, whereas the benchmark started with a rather high lactate level (</w:t>
      </w:r>
      <w:r w:rsidR="008352A8" w:rsidRPr="004363F1">
        <w:rPr>
          <w:rFonts w:ascii="Times New Roman" w:eastAsiaTheme="minorEastAsia" w:hAnsi="Times New Roman" w:cs="Times New Roman"/>
          <w:sz w:val="20"/>
          <w:szCs w:val="20"/>
        </w:rPr>
        <w:t xml:space="preserve">4.5) and experienced a large decrease (-3.2) to a low level (1.3) on the last day. Thus, </w:t>
      </w:r>
      <w:r w:rsidR="002C085C" w:rsidRPr="004363F1">
        <w:rPr>
          <w:rFonts w:ascii="Times New Roman" w:eastAsiaTheme="minorEastAsia" w:hAnsi="Times New Roman" w:cs="Times New Roman"/>
          <w:sz w:val="20"/>
          <w:szCs w:val="20"/>
        </w:rPr>
        <w:t>the impressive improvement of the benchmark</w:t>
      </w:r>
      <w:r w:rsidRPr="004363F1">
        <w:rPr>
          <w:rFonts w:ascii="Times New Roman" w:eastAsiaTheme="minorEastAsia" w:hAnsi="Times New Roman" w:cs="Times New Roman"/>
          <w:sz w:val="20"/>
          <w:szCs w:val="20"/>
        </w:rPr>
        <w:t>’</w:t>
      </w:r>
      <w:r w:rsidR="002C085C" w:rsidRPr="004363F1">
        <w:rPr>
          <w:rFonts w:ascii="Times New Roman" w:eastAsiaTheme="minorEastAsia" w:hAnsi="Times New Roman" w:cs="Times New Roman"/>
          <w:sz w:val="20"/>
          <w:szCs w:val="20"/>
        </w:rPr>
        <w:t>s lactate could not be replicated by Patient A</w:t>
      </w:r>
      <w:r w:rsidRPr="004363F1">
        <w:rPr>
          <w:rFonts w:ascii="Times New Roman" w:eastAsiaTheme="minorEastAsia" w:hAnsi="Times New Roman" w:cs="Times New Roman"/>
          <w:sz w:val="20"/>
          <w:szCs w:val="20"/>
        </w:rPr>
        <w:t>, because his lactate level was</w:t>
      </w:r>
      <w:r w:rsidR="002C085C" w:rsidRPr="004363F1">
        <w:rPr>
          <w:rFonts w:ascii="Times New Roman" w:eastAsiaTheme="minorEastAsia" w:hAnsi="Times New Roman" w:cs="Times New Roman"/>
          <w:sz w:val="20"/>
          <w:szCs w:val="20"/>
        </w:rPr>
        <w:t xml:space="preserve"> already very low.</w:t>
      </w:r>
    </w:p>
    <w:p w14:paraId="0F07EBB0" w14:textId="77777777" w:rsidR="00A43A56" w:rsidRPr="004363F1" w:rsidRDefault="00ED316B"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In </w:t>
      </w:r>
      <w:r w:rsidR="00774B2D" w:rsidRPr="004363F1">
        <w:rPr>
          <w:rFonts w:ascii="Times New Roman" w:eastAsiaTheme="minorEastAsia" w:hAnsi="Times New Roman" w:cs="Times New Roman"/>
          <w:sz w:val="20"/>
          <w:szCs w:val="20"/>
        </w:rPr>
        <w:t xml:space="preserve">Supplemental Figure </w:t>
      </w:r>
      <w:r w:rsidR="00E15FAB" w:rsidRPr="004363F1">
        <w:rPr>
          <w:rFonts w:ascii="Times New Roman" w:eastAsiaTheme="minorEastAsia" w:hAnsi="Times New Roman" w:cs="Times New Roman"/>
          <w:sz w:val="20"/>
          <w:szCs w:val="20"/>
        </w:rPr>
        <w:t>3</w:t>
      </w:r>
      <w:r w:rsidRPr="004363F1">
        <w:rPr>
          <w:rFonts w:ascii="Times New Roman" w:eastAsiaTheme="minorEastAsia" w:hAnsi="Times New Roman" w:cs="Times New Roman"/>
          <w:sz w:val="20"/>
          <w:szCs w:val="20"/>
        </w:rPr>
        <w:t xml:space="preserve">, </w:t>
      </w:r>
      <w:proofErr w:type="spellStart"/>
      <w:r w:rsidR="002C085C" w:rsidRPr="004363F1">
        <w:rPr>
          <w:rFonts w:ascii="Times New Roman" w:eastAsiaTheme="minorEastAsia" w:hAnsi="Times New Roman" w:cs="Times New Roman"/>
          <w:sz w:val="20"/>
          <w:szCs w:val="20"/>
        </w:rPr>
        <w:t>cfDNA</w:t>
      </w:r>
      <w:proofErr w:type="spellEnd"/>
      <w:r w:rsidR="002C085C" w:rsidRPr="004363F1">
        <w:rPr>
          <w:rFonts w:ascii="Times New Roman" w:eastAsiaTheme="minorEastAsia" w:hAnsi="Times New Roman" w:cs="Times New Roman"/>
          <w:sz w:val="20"/>
          <w:szCs w:val="20"/>
        </w:rPr>
        <w:t xml:space="preserve"> had the next highest HR (1.8). We found from </w:t>
      </w:r>
      <w:r w:rsidR="005717BE" w:rsidRPr="004363F1">
        <w:rPr>
          <w:rFonts w:ascii="Times New Roman" w:eastAsiaTheme="minorEastAsia" w:hAnsi="Times New Roman" w:cs="Times New Roman"/>
          <w:sz w:val="20"/>
          <w:szCs w:val="20"/>
        </w:rPr>
        <w:t>Supplemental Table</w:t>
      </w:r>
      <w:r w:rsidR="002C085C" w:rsidRPr="004363F1">
        <w:rPr>
          <w:rFonts w:ascii="Times New Roman" w:eastAsiaTheme="minorEastAsia" w:hAnsi="Times New Roman" w:cs="Times New Roman"/>
          <w:sz w:val="20"/>
          <w:szCs w:val="20"/>
        </w:rPr>
        <w:t xml:space="preserve"> 10 that the level of </w:t>
      </w:r>
      <w:proofErr w:type="spellStart"/>
      <w:r w:rsidR="002C085C" w:rsidRPr="004363F1">
        <w:rPr>
          <w:rFonts w:ascii="Times New Roman" w:eastAsiaTheme="minorEastAsia" w:hAnsi="Times New Roman" w:cs="Times New Roman"/>
          <w:sz w:val="20"/>
          <w:szCs w:val="20"/>
        </w:rPr>
        <w:t>cfDNA</w:t>
      </w:r>
      <w:proofErr w:type="spellEnd"/>
      <w:r w:rsidR="002C085C" w:rsidRPr="004363F1">
        <w:rPr>
          <w:rFonts w:ascii="Times New Roman" w:eastAsiaTheme="minorEastAsia" w:hAnsi="Times New Roman" w:cs="Times New Roman"/>
          <w:sz w:val="20"/>
          <w:szCs w:val="20"/>
        </w:rPr>
        <w:t xml:space="preserve"> on the last day was much higher for Patient B (7.2 ug/mL) than for the benchmark (4.0</w:t>
      </w:r>
      <w:r w:rsidR="00FC52F4" w:rsidRPr="004363F1">
        <w:rPr>
          <w:rFonts w:ascii="Times New Roman" w:eastAsiaTheme="minorEastAsia" w:hAnsi="Times New Roman" w:cs="Times New Roman"/>
          <w:sz w:val="20"/>
          <w:szCs w:val="20"/>
        </w:rPr>
        <w:t xml:space="preserve"> </w:t>
      </w:r>
      <w:r w:rsidR="00FC52F4" w:rsidRPr="004363F1">
        <w:rPr>
          <w:rFonts w:ascii="Times New Roman" w:eastAsiaTheme="minorEastAsia" w:hAnsi="Times New Roman" w:cs="Times New Roman"/>
          <w:sz w:val="20"/>
          <w:szCs w:val="20"/>
        </w:rPr>
        <w:lastRenderedPageBreak/>
        <w:t>µg/mL</w:t>
      </w:r>
      <w:r w:rsidR="002C085C" w:rsidRPr="004363F1">
        <w:rPr>
          <w:rFonts w:ascii="Times New Roman" w:eastAsiaTheme="minorEastAsia" w:hAnsi="Times New Roman" w:cs="Times New Roman"/>
          <w:sz w:val="20"/>
          <w:szCs w:val="20"/>
        </w:rPr>
        <w:t xml:space="preserve">). </w:t>
      </w:r>
      <w:r w:rsidR="0037446F" w:rsidRPr="004363F1">
        <w:rPr>
          <w:rFonts w:ascii="Times New Roman" w:eastAsiaTheme="minorEastAsia" w:hAnsi="Times New Roman" w:cs="Times New Roman"/>
          <w:sz w:val="20"/>
          <w:szCs w:val="20"/>
        </w:rPr>
        <w:t xml:space="preserve">Using the Excel version of </w:t>
      </w:r>
      <w:r w:rsidR="00774B2D" w:rsidRPr="004363F1">
        <w:rPr>
          <w:rFonts w:ascii="Times New Roman" w:eastAsiaTheme="minorEastAsia" w:hAnsi="Times New Roman" w:cs="Times New Roman"/>
          <w:sz w:val="20"/>
          <w:szCs w:val="20"/>
        </w:rPr>
        <w:t xml:space="preserve">Supplemental </w:t>
      </w:r>
      <w:r w:rsidR="008C2C7B" w:rsidRPr="004363F1">
        <w:rPr>
          <w:rFonts w:ascii="Times New Roman" w:eastAsiaTheme="minorEastAsia" w:hAnsi="Times New Roman" w:cs="Times New Roman"/>
          <w:sz w:val="20"/>
          <w:szCs w:val="20"/>
        </w:rPr>
        <w:t>Table 12</w:t>
      </w:r>
      <w:r w:rsidR="00593DB7" w:rsidRPr="004363F1">
        <w:rPr>
          <w:rFonts w:ascii="Times New Roman" w:eastAsiaTheme="minorEastAsia" w:hAnsi="Times New Roman" w:cs="Times New Roman"/>
          <w:sz w:val="20"/>
          <w:szCs w:val="20"/>
        </w:rPr>
        <w:t>, we found that a reduction of</w:t>
      </w:r>
      <w:r w:rsidR="0004376A" w:rsidRPr="004363F1">
        <w:rPr>
          <w:rFonts w:ascii="Times New Roman" w:eastAsiaTheme="minorEastAsia" w:hAnsi="Times New Roman" w:cs="Times New Roman"/>
          <w:sz w:val="20"/>
          <w:szCs w:val="20"/>
        </w:rPr>
        <w:t xml:space="preserve"> Patient B’s </w:t>
      </w:r>
      <w:proofErr w:type="spellStart"/>
      <w:r w:rsidR="0004376A" w:rsidRPr="004363F1">
        <w:rPr>
          <w:rFonts w:ascii="Times New Roman" w:eastAsiaTheme="minorEastAsia" w:hAnsi="Times New Roman" w:cs="Times New Roman"/>
          <w:sz w:val="20"/>
          <w:szCs w:val="20"/>
        </w:rPr>
        <w:t>cfDNA</w:t>
      </w:r>
      <w:proofErr w:type="spellEnd"/>
      <w:r w:rsidR="0004376A" w:rsidRPr="004363F1">
        <w:rPr>
          <w:rFonts w:ascii="Times New Roman" w:eastAsiaTheme="minorEastAsia" w:hAnsi="Times New Roman" w:cs="Times New Roman"/>
          <w:sz w:val="20"/>
          <w:szCs w:val="20"/>
        </w:rPr>
        <w:t xml:space="preserve"> to 4.0</w:t>
      </w:r>
      <w:r w:rsidR="00FC52F4" w:rsidRPr="004363F1">
        <w:rPr>
          <w:rFonts w:ascii="Times New Roman" w:eastAsiaTheme="minorEastAsia" w:hAnsi="Times New Roman" w:cs="Times New Roman"/>
          <w:sz w:val="20"/>
          <w:szCs w:val="20"/>
        </w:rPr>
        <w:t xml:space="preserve"> µg/mL</w:t>
      </w:r>
      <w:r w:rsidR="0004376A" w:rsidRPr="004363F1">
        <w:rPr>
          <w:rFonts w:ascii="Times New Roman" w:eastAsiaTheme="minorEastAsia" w:hAnsi="Times New Roman" w:cs="Times New Roman"/>
          <w:sz w:val="20"/>
          <w:szCs w:val="20"/>
        </w:rPr>
        <w:t xml:space="preserve"> and 2.0</w:t>
      </w:r>
      <w:r w:rsidR="00FC52F4" w:rsidRPr="004363F1">
        <w:rPr>
          <w:rFonts w:ascii="Times New Roman" w:eastAsiaTheme="minorEastAsia" w:hAnsi="Times New Roman" w:cs="Times New Roman"/>
          <w:sz w:val="20"/>
          <w:szCs w:val="20"/>
        </w:rPr>
        <w:t xml:space="preserve"> µg/mL</w:t>
      </w:r>
      <w:r w:rsidR="00593DB7" w:rsidRPr="004363F1">
        <w:rPr>
          <w:rFonts w:ascii="Times New Roman" w:eastAsiaTheme="minorEastAsia" w:hAnsi="Times New Roman" w:cs="Times New Roman"/>
          <w:sz w:val="20"/>
          <w:szCs w:val="20"/>
        </w:rPr>
        <w:t xml:space="preserve"> is associated with a reduction of </w:t>
      </w:r>
      <w:r w:rsidR="0004376A" w:rsidRPr="004363F1">
        <w:rPr>
          <w:rFonts w:ascii="Times New Roman" w:eastAsiaTheme="minorEastAsia" w:hAnsi="Times New Roman" w:cs="Times New Roman"/>
          <w:sz w:val="20"/>
          <w:szCs w:val="20"/>
        </w:rPr>
        <w:t>his P28</w:t>
      </w:r>
      <w:r w:rsidR="00E000A8" w:rsidRPr="004363F1">
        <w:rPr>
          <w:rFonts w:ascii="Times New Roman" w:eastAsiaTheme="minorEastAsia" w:hAnsi="Times New Roman" w:cs="Times New Roman"/>
          <w:sz w:val="20"/>
          <w:szCs w:val="20"/>
        </w:rPr>
        <w:t xml:space="preserve"> </w:t>
      </w:r>
      <w:r w:rsidR="0004376A" w:rsidRPr="004363F1">
        <w:rPr>
          <w:rFonts w:ascii="Times New Roman" w:eastAsiaTheme="minorEastAsia" w:hAnsi="Times New Roman" w:cs="Times New Roman"/>
          <w:sz w:val="20"/>
          <w:szCs w:val="20"/>
        </w:rPr>
        <w:t xml:space="preserve">from 50% to 32% and 23%, </w:t>
      </w:r>
      <w:r w:rsidR="00593DB7" w:rsidRPr="004363F1">
        <w:rPr>
          <w:rFonts w:ascii="Times New Roman" w:eastAsiaTheme="minorEastAsia" w:hAnsi="Times New Roman" w:cs="Times New Roman"/>
          <w:sz w:val="20"/>
          <w:szCs w:val="20"/>
        </w:rPr>
        <w:t xml:space="preserve">respectively. </w:t>
      </w:r>
      <w:r w:rsidR="00D92A57" w:rsidRPr="004363F1">
        <w:rPr>
          <w:rFonts w:ascii="Times New Roman" w:eastAsiaTheme="minorEastAsia" w:hAnsi="Times New Roman" w:cs="Times New Roman"/>
          <w:sz w:val="20"/>
          <w:szCs w:val="20"/>
        </w:rPr>
        <w:t xml:space="preserve">Together with </w:t>
      </w:r>
      <w:r w:rsidR="00593DB7" w:rsidRPr="004363F1">
        <w:rPr>
          <w:rFonts w:ascii="Times New Roman" w:eastAsiaTheme="minorEastAsia" w:hAnsi="Times New Roman" w:cs="Times New Roman"/>
          <w:sz w:val="20"/>
          <w:szCs w:val="20"/>
        </w:rPr>
        <w:t xml:space="preserve">a reduction of </w:t>
      </w:r>
      <w:proofErr w:type="spellStart"/>
      <w:r w:rsidR="00593DB7" w:rsidRPr="004363F1">
        <w:rPr>
          <w:rFonts w:ascii="Times New Roman" w:eastAsiaTheme="minorEastAsia" w:hAnsi="Times New Roman" w:cs="Times New Roman"/>
          <w:sz w:val="20"/>
          <w:szCs w:val="20"/>
        </w:rPr>
        <w:t>cfDNA</w:t>
      </w:r>
      <w:proofErr w:type="spellEnd"/>
      <w:r w:rsidR="00593DB7" w:rsidRPr="004363F1">
        <w:rPr>
          <w:rFonts w:ascii="Times New Roman" w:eastAsiaTheme="minorEastAsia" w:hAnsi="Times New Roman" w:cs="Times New Roman"/>
          <w:sz w:val="20"/>
          <w:szCs w:val="20"/>
        </w:rPr>
        <w:t xml:space="preserve"> to 2.0, an</w:t>
      </w:r>
      <w:r w:rsidR="00D92A57" w:rsidRPr="004363F1">
        <w:rPr>
          <w:rFonts w:ascii="Times New Roman" w:eastAsiaTheme="minorEastAsia" w:hAnsi="Times New Roman" w:cs="Times New Roman"/>
          <w:sz w:val="20"/>
          <w:szCs w:val="20"/>
        </w:rPr>
        <w:t xml:space="preserve"> increase of GCS </w:t>
      </w:r>
      <w:r w:rsidR="00830C23" w:rsidRPr="004363F1">
        <w:rPr>
          <w:rFonts w:ascii="Times New Roman" w:eastAsiaTheme="minorEastAsia" w:hAnsi="Times New Roman" w:cs="Times New Roman"/>
          <w:sz w:val="20"/>
          <w:szCs w:val="20"/>
        </w:rPr>
        <w:t xml:space="preserve">from </w:t>
      </w:r>
      <w:r w:rsidR="00273C50" w:rsidRPr="004363F1">
        <w:rPr>
          <w:rFonts w:ascii="Times New Roman" w:eastAsiaTheme="minorEastAsia" w:hAnsi="Times New Roman" w:cs="Times New Roman"/>
          <w:sz w:val="20"/>
          <w:szCs w:val="20"/>
        </w:rPr>
        <w:t xml:space="preserve">the current level of </w:t>
      </w:r>
      <w:r w:rsidR="00830C23" w:rsidRPr="004363F1">
        <w:rPr>
          <w:rFonts w:ascii="Times New Roman" w:eastAsiaTheme="minorEastAsia" w:hAnsi="Times New Roman" w:cs="Times New Roman"/>
          <w:sz w:val="20"/>
          <w:szCs w:val="20"/>
        </w:rPr>
        <w:t xml:space="preserve">12 </w:t>
      </w:r>
      <w:r w:rsidR="00D92A57" w:rsidRPr="004363F1">
        <w:rPr>
          <w:rFonts w:ascii="Times New Roman" w:eastAsiaTheme="minorEastAsia" w:hAnsi="Times New Roman" w:cs="Times New Roman"/>
          <w:sz w:val="20"/>
          <w:szCs w:val="20"/>
        </w:rPr>
        <w:t xml:space="preserve">to 15 </w:t>
      </w:r>
      <w:r w:rsidR="00593DB7" w:rsidRPr="004363F1">
        <w:rPr>
          <w:rFonts w:ascii="Times New Roman" w:eastAsiaTheme="minorEastAsia" w:hAnsi="Times New Roman" w:cs="Times New Roman"/>
          <w:sz w:val="20"/>
          <w:szCs w:val="20"/>
        </w:rPr>
        <w:t>is associated with a</w:t>
      </w:r>
      <w:r w:rsidR="00D92A57" w:rsidRPr="004363F1">
        <w:rPr>
          <w:rFonts w:ascii="Times New Roman" w:eastAsiaTheme="minorEastAsia" w:hAnsi="Times New Roman" w:cs="Times New Roman"/>
          <w:sz w:val="20"/>
          <w:szCs w:val="20"/>
        </w:rPr>
        <w:t xml:space="preserve"> </w:t>
      </w:r>
      <w:r w:rsidR="00593DB7" w:rsidRPr="004363F1">
        <w:rPr>
          <w:rFonts w:ascii="Times New Roman" w:eastAsiaTheme="minorEastAsia" w:hAnsi="Times New Roman" w:cs="Times New Roman"/>
          <w:sz w:val="20"/>
          <w:szCs w:val="20"/>
        </w:rPr>
        <w:t>further reduction of</w:t>
      </w:r>
      <w:r w:rsidR="00C40CD5" w:rsidRPr="004363F1">
        <w:rPr>
          <w:rFonts w:ascii="Times New Roman" w:eastAsiaTheme="minorEastAsia" w:hAnsi="Times New Roman" w:cs="Times New Roman"/>
          <w:sz w:val="20"/>
          <w:szCs w:val="20"/>
        </w:rPr>
        <w:t xml:space="preserve"> Patient B</w:t>
      </w:r>
      <w:r w:rsidR="00D92A57" w:rsidRPr="004363F1">
        <w:rPr>
          <w:rFonts w:ascii="Times New Roman" w:eastAsiaTheme="minorEastAsia" w:hAnsi="Times New Roman" w:cs="Times New Roman"/>
          <w:sz w:val="20"/>
          <w:szCs w:val="20"/>
        </w:rPr>
        <w:t xml:space="preserve">’s P28 to 15%. </w:t>
      </w:r>
    </w:p>
    <w:p w14:paraId="3DE97BC8" w14:textId="77777777" w:rsidR="008205B7" w:rsidRPr="004363F1" w:rsidRDefault="008205B7"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imes New Roman" w:hAnsi="Times New Roman" w:cs="Times New Roman"/>
          <w:sz w:val="20"/>
          <w:szCs w:val="20"/>
        </w:rPr>
        <w:t>Ideally, the mortality risk profiles of a patient should be created on day 1 and every two days in week 1, and then weekly, because rapid changes tend to occur in week 1. If a patient is admitted to the ICU with sepsis, our model should be directly applicable.</w:t>
      </w:r>
    </w:p>
    <w:p w14:paraId="413E6E04" w14:textId="77777777" w:rsidR="00C10F1D" w:rsidRPr="004363F1" w:rsidRDefault="00C10F1D" w:rsidP="00CC0983">
      <w:pPr>
        <w:spacing w:after="0" w:line="240" w:lineRule="auto"/>
        <w:ind w:firstLine="720"/>
        <w:jc w:val="both"/>
        <w:rPr>
          <w:rFonts w:ascii="Times New Roman" w:eastAsiaTheme="minorEastAsia" w:hAnsi="Times New Roman" w:cs="Times New Roman"/>
          <w:sz w:val="20"/>
          <w:szCs w:val="20"/>
        </w:rPr>
      </w:pPr>
    </w:p>
    <w:p w14:paraId="130F5870" w14:textId="77777777" w:rsidR="001F5508" w:rsidRPr="004363F1" w:rsidRDefault="001F5508" w:rsidP="00CC0983">
      <w:pPr>
        <w:spacing w:after="0" w:line="240" w:lineRule="auto"/>
        <w:jc w:val="both"/>
        <w:rPr>
          <w:rFonts w:ascii="Times New Roman" w:eastAsiaTheme="minorEastAsia" w:hAnsi="Times New Roman" w:cs="Times New Roman"/>
          <w:b/>
          <w:sz w:val="24"/>
          <w:szCs w:val="24"/>
          <w:lang w:val="en-CA" w:eastAsia="ja-JP"/>
        </w:rPr>
      </w:pPr>
      <w:r w:rsidRPr="004363F1">
        <w:rPr>
          <w:rFonts w:ascii="Times New Roman" w:eastAsiaTheme="minorEastAsia" w:hAnsi="Times New Roman" w:cs="Times New Roman"/>
          <w:b/>
          <w:sz w:val="24"/>
          <w:szCs w:val="24"/>
          <w:lang w:val="en-CA" w:eastAsia="ja-JP"/>
        </w:rPr>
        <w:t>Supplemental Text 10: Validation</w:t>
      </w:r>
    </w:p>
    <w:p w14:paraId="4EC07104" w14:textId="77777777" w:rsidR="002A3082" w:rsidRPr="004363F1" w:rsidRDefault="001F5508" w:rsidP="00CC0983">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ab/>
      </w:r>
      <w:r w:rsidR="002A3082" w:rsidRPr="004363F1">
        <w:rPr>
          <w:rFonts w:ascii="Times New Roman" w:eastAsiaTheme="minorEastAsia" w:hAnsi="Times New Roman" w:cs="Times New Roman"/>
          <w:sz w:val="20"/>
          <w:szCs w:val="20"/>
        </w:rPr>
        <w:t xml:space="preserve">We used two approaches to </w:t>
      </w:r>
      <w:r w:rsidRPr="004363F1">
        <w:rPr>
          <w:rFonts w:ascii="Times New Roman" w:eastAsiaTheme="minorEastAsia" w:hAnsi="Times New Roman" w:cs="Times New Roman"/>
          <w:sz w:val="20"/>
          <w:szCs w:val="20"/>
        </w:rPr>
        <w:t>validate our CLOGLOG model</w:t>
      </w:r>
      <w:r w:rsidR="002A3082" w:rsidRPr="004363F1">
        <w:rPr>
          <w:rFonts w:ascii="Times New Roman" w:eastAsiaTheme="minorEastAsia" w:hAnsi="Times New Roman" w:cs="Times New Roman"/>
          <w:sz w:val="20"/>
          <w:szCs w:val="20"/>
        </w:rPr>
        <w:t>. First</w:t>
      </w:r>
      <w:r w:rsidRPr="004363F1">
        <w:rPr>
          <w:rFonts w:ascii="Times New Roman" w:eastAsiaTheme="minorEastAsia" w:hAnsi="Times New Roman" w:cs="Times New Roman"/>
          <w:sz w:val="20"/>
          <w:szCs w:val="20"/>
        </w:rPr>
        <w:t xml:space="preserve">, we used the estimated coefficients of the model in </w:t>
      </w:r>
      <w:r w:rsidR="00A74C16" w:rsidRPr="004363F1">
        <w:rPr>
          <w:rFonts w:ascii="Times New Roman" w:eastAsiaTheme="minorEastAsia" w:hAnsi="Times New Roman" w:cs="Times New Roman"/>
          <w:sz w:val="20"/>
          <w:szCs w:val="20"/>
        </w:rPr>
        <w:t xml:space="preserve">Panel 1 of </w:t>
      </w:r>
      <w:r w:rsidRPr="004363F1">
        <w:rPr>
          <w:rFonts w:ascii="Times New Roman" w:eastAsiaTheme="minorEastAsia" w:hAnsi="Times New Roman" w:cs="Times New Roman"/>
          <w:sz w:val="20"/>
          <w:szCs w:val="20"/>
        </w:rPr>
        <w:t xml:space="preserve">Table 2 to predict the mortality outcomes of the ICU patients from the 9 Canadian hospitals who were originally non-septic but later became septic in the ICU. </w:t>
      </w:r>
      <w:r w:rsidR="002A3082" w:rsidRPr="004363F1">
        <w:rPr>
          <w:rFonts w:ascii="Times New Roman" w:eastAsiaTheme="minorEastAsia" w:hAnsi="Times New Roman" w:cs="Times New Roman"/>
          <w:sz w:val="20"/>
          <w:szCs w:val="20"/>
        </w:rPr>
        <w:t xml:space="preserve">Second, we split up the 6,724 records in our original input data randomly into 10 subsets and then applied a 10 fold </w:t>
      </w:r>
      <w:r w:rsidR="00CB2D11" w:rsidRPr="004363F1">
        <w:rPr>
          <w:rFonts w:ascii="Times New Roman" w:eastAsiaTheme="minorEastAsia" w:hAnsi="Times New Roman" w:cs="Times New Roman"/>
          <w:sz w:val="20"/>
          <w:szCs w:val="20"/>
        </w:rPr>
        <w:t>cross-validation</w:t>
      </w:r>
      <w:r w:rsidR="002A3082" w:rsidRPr="004363F1">
        <w:rPr>
          <w:rFonts w:ascii="Times New Roman" w:eastAsiaTheme="minorEastAsia" w:hAnsi="Times New Roman" w:cs="Times New Roman"/>
          <w:sz w:val="20"/>
          <w:szCs w:val="20"/>
        </w:rPr>
        <w:t>.</w:t>
      </w:r>
    </w:p>
    <w:p w14:paraId="47BC865C" w14:textId="77777777" w:rsidR="001F5508" w:rsidRPr="004363F1" w:rsidRDefault="002A3082" w:rsidP="002A3082">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In the first approach, w</w:t>
      </w:r>
      <w:r w:rsidR="001F5508" w:rsidRPr="004363F1">
        <w:rPr>
          <w:rFonts w:ascii="Times New Roman" w:eastAsiaTheme="minorEastAsia" w:hAnsi="Times New Roman" w:cs="Times New Roman"/>
          <w:sz w:val="20"/>
          <w:szCs w:val="20"/>
        </w:rPr>
        <w:t>e recruited 33 such patients among whom 28 had non-missing values for all the explanatory variables and hence were used to form the validation g</w:t>
      </w:r>
      <w:r w:rsidR="00F92312" w:rsidRPr="004363F1">
        <w:rPr>
          <w:rFonts w:ascii="Times New Roman" w:eastAsiaTheme="minorEastAsia" w:hAnsi="Times New Roman" w:cs="Times New Roman"/>
          <w:sz w:val="20"/>
          <w:szCs w:val="20"/>
        </w:rPr>
        <w:t>roup. For four of the six TVBIs, one or more patients had missing values after imputation: 1 patient for platelets, 1 patient for creatinine, 1 patient for GCS, and 4 patients for lactate. The null hypothesis that the pattern of missing values acro</w:t>
      </w:r>
      <w:r w:rsidR="009D633D" w:rsidRPr="004363F1">
        <w:rPr>
          <w:rFonts w:ascii="Times New Roman" w:eastAsiaTheme="minorEastAsia" w:hAnsi="Times New Roman" w:cs="Times New Roman"/>
          <w:sz w:val="20"/>
          <w:szCs w:val="20"/>
        </w:rPr>
        <w:t>ss the 4</w:t>
      </w:r>
      <w:r w:rsidR="00F87387" w:rsidRPr="004363F1">
        <w:rPr>
          <w:rFonts w:ascii="Times New Roman" w:eastAsiaTheme="minorEastAsia" w:hAnsi="Times New Roman" w:cs="Times New Roman"/>
          <w:sz w:val="20"/>
          <w:szCs w:val="20"/>
        </w:rPr>
        <w:t xml:space="preserve"> TVBIs </w:t>
      </w:r>
      <w:r w:rsidR="009D633D" w:rsidRPr="004363F1">
        <w:rPr>
          <w:rFonts w:ascii="Times New Roman" w:eastAsiaTheme="minorEastAsia" w:hAnsi="Times New Roman" w:cs="Times New Roman"/>
          <w:sz w:val="20"/>
          <w:szCs w:val="20"/>
        </w:rPr>
        <w:t xml:space="preserve">with missing values </w:t>
      </w:r>
      <w:r w:rsidR="00F87387" w:rsidRPr="004363F1">
        <w:rPr>
          <w:rFonts w:ascii="Times New Roman" w:eastAsiaTheme="minorEastAsia" w:hAnsi="Times New Roman" w:cs="Times New Roman"/>
          <w:sz w:val="20"/>
          <w:szCs w:val="20"/>
        </w:rPr>
        <w:t>was</w:t>
      </w:r>
      <w:r w:rsidR="00F92312" w:rsidRPr="004363F1">
        <w:rPr>
          <w:rFonts w:ascii="Times New Roman" w:eastAsiaTheme="minorEastAsia" w:hAnsi="Times New Roman" w:cs="Times New Roman"/>
          <w:sz w:val="20"/>
          <w:szCs w:val="20"/>
        </w:rPr>
        <w:t xml:space="preserve"> random cou</w:t>
      </w:r>
      <w:r w:rsidR="00F87387" w:rsidRPr="004363F1">
        <w:rPr>
          <w:rFonts w:ascii="Times New Roman" w:eastAsiaTheme="minorEastAsia" w:hAnsi="Times New Roman" w:cs="Times New Roman"/>
          <w:sz w:val="20"/>
          <w:szCs w:val="20"/>
        </w:rPr>
        <w:t>ld not be reject</w:t>
      </w:r>
      <w:r w:rsidR="009D633D" w:rsidRPr="004363F1">
        <w:rPr>
          <w:rFonts w:ascii="Times New Roman" w:eastAsiaTheme="minorEastAsia" w:hAnsi="Times New Roman" w:cs="Times New Roman"/>
          <w:sz w:val="20"/>
          <w:szCs w:val="20"/>
        </w:rPr>
        <w:t>ed by Little’s test (p=0.191</w:t>
      </w:r>
      <w:r w:rsidR="00F87387" w:rsidRPr="004363F1">
        <w:rPr>
          <w:rFonts w:ascii="Times New Roman" w:eastAsiaTheme="minorEastAsia" w:hAnsi="Times New Roman" w:cs="Times New Roman"/>
          <w:sz w:val="20"/>
          <w:szCs w:val="20"/>
        </w:rPr>
        <w:t>).</w:t>
      </w:r>
      <w:r w:rsidR="00F92312" w:rsidRPr="004363F1">
        <w:rPr>
          <w:rFonts w:ascii="Times New Roman" w:eastAsiaTheme="minorEastAsia" w:hAnsi="Times New Roman" w:cs="Times New Roman"/>
          <w:sz w:val="20"/>
          <w:szCs w:val="20"/>
        </w:rPr>
        <w:t xml:space="preserve"> </w:t>
      </w:r>
      <w:r w:rsidR="00F272AA" w:rsidRPr="004363F1">
        <w:rPr>
          <w:rFonts w:ascii="Times New Roman" w:hAnsi="Times New Roman" w:cs="Times New Roman"/>
          <w:sz w:val="20"/>
          <w:szCs w:val="20"/>
        </w:rPr>
        <w:t xml:space="preserve">The removal of patients with missing values caused the proportion of non-survivors to change from 15% to 18%. </w:t>
      </w:r>
      <w:r w:rsidR="00F92312" w:rsidRPr="004363F1">
        <w:rPr>
          <w:rFonts w:ascii="Times New Roman" w:eastAsiaTheme="minorEastAsia" w:hAnsi="Times New Roman" w:cs="Times New Roman"/>
          <w:sz w:val="20"/>
          <w:szCs w:val="20"/>
        </w:rPr>
        <w:t xml:space="preserve">The baseline data of the 28 </w:t>
      </w:r>
      <w:r w:rsidR="001F5508" w:rsidRPr="004363F1">
        <w:rPr>
          <w:rFonts w:ascii="Times New Roman" w:eastAsiaTheme="minorEastAsia" w:hAnsi="Times New Roman" w:cs="Times New Roman"/>
          <w:sz w:val="20"/>
          <w:szCs w:val="20"/>
        </w:rPr>
        <w:t xml:space="preserve">patients are shown </w:t>
      </w:r>
      <w:r w:rsidR="00B95122" w:rsidRPr="004363F1">
        <w:rPr>
          <w:rFonts w:ascii="Times New Roman" w:eastAsiaTheme="minorEastAsia" w:hAnsi="Times New Roman" w:cs="Times New Roman"/>
          <w:sz w:val="20"/>
          <w:szCs w:val="20"/>
        </w:rPr>
        <w:t>in Supplement Table 10</w:t>
      </w:r>
      <w:r w:rsidR="001F5508" w:rsidRPr="004363F1">
        <w:rPr>
          <w:rFonts w:ascii="Times New Roman" w:eastAsiaTheme="minorEastAsia" w:hAnsi="Times New Roman" w:cs="Times New Roman"/>
          <w:sz w:val="20"/>
          <w:szCs w:val="20"/>
        </w:rPr>
        <w:t>.</w:t>
      </w:r>
      <w:r w:rsidR="00984C04" w:rsidRPr="004363F1">
        <w:rPr>
          <w:rFonts w:ascii="Times New Roman" w:eastAsiaTheme="minorEastAsia" w:hAnsi="Times New Roman" w:cs="Times New Roman"/>
          <w:sz w:val="20"/>
          <w:szCs w:val="20"/>
        </w:rPr>
        <w:t xml:space="preserve"> </w:t>
      </w:r>
    </w:p>
    <w:p w14:paraId="267B6472" w14:textId="77777777" w:rsidR="001F5508" w:rsidRPr="004363F1" w:rsidRDefault="001F5508"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Before conducting the validation, we considered the issue about what should be the definition of day 1: (1) the day of admission or (2) the day of becoming septic. We decided to conduct two validations: (V1) with the admission date as day 1 and (V2) with the day of becoming septic as day 1.  For V2, we extended the censored date for any patient who was still alive on day 28 until he/she died, discharged, or remained alive on day 28 since becoming septic.  Since there were 5 non-survivors in V1 and 6 non-survivors in V2, the proportion of non-survivors was 18% in V1 and 21% in V2. </w:t>
      </w:r>
    </w:p>
    <w:p w14:paraId="66C927E7" w14:textId="77777777" w:rsidR="00F112AF" w:rsidRPr="004363F1" w:rsidRDefault="001F5508" w:rsidP="00CC0983">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ab/>
        <w:t xml:space="preserve">For each patient in the validation group, we first found the values of all explanatory variables as of her/his last day. We then computed her/his predicted hazard of dying by inputting these values into our estimated CLOGLOG model. The predicted hazards of all 28 patients were then translated into </w:t>
      </w:r>
      <w:r w:rsidR="006A2934" w:rsidRPr="004363F1">
        <w:rPr>
          <w:rFonts w:ascii="Times New Roman" w:eastAsiaTheme="minorEastAsia" w:hAnsi="Times New Roman" w:cs="Times New Roman"/>
          <w:sz w:val="20"/>
          <w:szCs w:val="20"/>
        </w:rPr>
        <w:t>the probability of dying</w:t>
      </w:r>
      <w:r w:rsidRPr="004363F1">
        <w:rPr>
          <w:rFonts w:ascii="Times New Roman" w:eastAsiaTheme="minorEastAsia" w:hAnsi="Times New Roman" w:cs="Times New Roman"/>
          <w:sz w:val="20"/>
          <w:szCs w:val="20"/>
        </w:rPr>
        <w:t xml:space="preserve"> in 28 days </w:t>
      </w:r>
      <w:r w:rsidR="006A2934" w:rsidRPr="004363F1">
        <w:rPr>
          <w:rFonts w:ascii="Times New Roman" w:eastAsiaTheme="minorEastAsia" w:hAnsi="Times New Roman" w:cs="Times New Roman"/>
          <w:sz w:val="20"/>
          <w:szCs w:val="20"/>
        </w:rPr>
        <w:t xml:space="preserve">(P28) and the predicted daily probabilities of dying (P1) </w:t>
      </w:r>
      <w:r w:rsidRPr="004363F1">
        <w:rPr>
          <w:rFonts w:ascii="Times New Roman" w:eastAsiaTheme="minorEastAsia" w:hAnsi="Times New Roman" w:cs="Times New Roman"/>
          <w:sz w:val="20"/>
          <w:szCs w:val="20"/>
        </w:rPr>
        <w:t>for conductin</w:t>
      </w:r>
      <w:r w:rsidR="006A2934" w:rsidRPr="004363F1">
        <w:rPr>
          <w:rFonts w:ascii="Times New Roman" w:eastAsiaTheme="minorEastAsia" w:hAnsi="Times New Roman" w:cs="Times New Roman"/>
          <w:sz w:val="20"/>
          <w:szCs w:val="20"/>
        </w:rPr>
        <w:t xml:space="preserve">g an ROC analysis. </w:t>
      </w:r>
    </w:p>
    <w:p w14:paraId="4E0CB57D" w14:textId="77777777" w:rsidR="00975106" w:rsidRPr="004363F1" w:rsidRDefault="00C41DA4" w:rsidP="00CC0983">
      <w:pPr>
        <w:spacing w:after="0" w:line="240" w:lineRule="auto"/>
        <w:jc w:val="both"/>
        <w:rPr>
          <w:rFonts w:ascii="Times New Roman" w:eastAsiaTheme="minorEastAsia" w:hAnsi="Times New Roman" w:cs="Times New Roman"/>
          <w:sz w:val="20"/>
          <w:szCs w:val="20"/>
          <w:lang w:val="it-IT"/>
        </w:rPr>
      </w:pPr>
      <w:r w:rsidRPr="004363F1">
        <w:rPr>
          <w:rFonts w:ascii="Times New Roman" w:eastAsiaTheme="minorEastAsia" w:hAnsi="Times New Roman" w:cs="Times New Roman"/>
          <w:sz w:val="20"/>
          <w:szCs w:val="20"/>
        </w:rPr>
        <w:tab/>
        <w:t>For observations</w:t>
      </w:r>
      <w:r w:rsidR="000753DD" w:rsidRPr="004363F1">
        <w:rPr>
          <w:rFonts w:ascii="Times New Roman" w:eastAsiaTheme="minorEastAsia" w:hAnsi="Times New Roman" w:cs="Times New Roman"/>
          <w:sz w:val="20"/>
          <w:szCs w:val="20"/>
        </w:rPr>
        <w:t xml:space="preserve"> in V1, the analysis revealed that AUC_P28 = </w:t>
      </w:r>
      <w:r w:rsidR="00055C16" w:rsidRPr="004363F1">
        <w:rPr>
          <w:rFonts w:ascii="Times New Roman" w:eastAsiaTheme="minorEastAsia" w:hAnsi="Times New Roman" w:cs="Times New Roman"/>
          <w:sz w:val="20"/>
          <w:szCs w:val="20"/>
          <w:lang w:val="it-IT"/>
        </w:rPr>
        <w:t>0.939 (95% CI, 0.845-</w:t>
      </w:r>
      <w:r w:rsidR="000753DD" w:rsidRPr="004363F1">
        <w:rPr>
          <w:rFonts w:ascii="Times New Roman" w:eastAsiaTheme="minorEastAsia" w:hAnsi="Times New Roman" w:cs="Times New Roman"/>
          <w:sz w:val="20"/>
          <w:szCs w:val="20"/>
          <w:lang w:val="it-IT"/>
        </w:rPr>
        <w:t>1.000) and AUC_P1 = 0.901 (95% CI, 0.838</w:t>
      </w:r>
      <w:r w:rsidR="00055C16" w:rsidRPr="004363F1">
        <w:rPr>
          <w:rFonts w:ascii="Times New Roman" w:eastAsiaTheme="minorEastAsia" w:hAnsi="Times New Roman" w:cs="Times New Roman"/>
          <w:sz w:val="20"/>
          <w:szCs w:val="20"/>
          <w:lang w:val="it-IT"/>
        </w:rPr>
        <w:t>-</w:t>
      </w:r>
      <w:r w:rsidR="000753DD" w:rsidRPr="004363F1">
        <w:rPr>
          <w:rFonts w:ascii="Times New Roman" w:eastAsiaTheme="minorEastAsia" w:hAnsi="Times New Roman" w:cs="Times New Roman"/>
          <w:sz w:val="20"/>
          <w:szCs w:val="20"/>
          <w:lang w:val="it-IT"/>
        </w:rPr>
        <w:t>0.963), which are somewhat higher than the correspinding values for the derivation group of 356 patients: AUC_P28 = 0.903 (95% CI, 0.864 - 0.941) and AUC_P1 = 0.865 (95% CI, 0.826 - 0.903).</w:t>
      </w:r>
      <w:r w:rsidRPr="004363F1">
        <w:rPr>
          <w:rFonts w:ascii="Times New Roman" w:eastAsiaTheme="minorEastAsia" w:hAnsi="Times New Roman" w:cs="Times New Roman"/>
          <w:sz w:val="20"/>
          <w:szCs w:val="20"/>
          <w:lang w:val="it-IT"/>
        </w:rPr>
        <w:t xml:space="preserve">  </w:t>
      </w:r>
    </w:p>
    <w:p w14:paraId="589B5DD1" w14:textId="77777777" w:rsidR="00055C16" w:rsidRPr="004363F1" w:rsidRDefault="00C41DA4" w:rsidP="00975106">
      <w:pPr>
        <w:spacing w:after="0" w:line="240" w:lineRule="auto"/>
        <w:ind w:firstLine="720"/>
        <w:jc w:val="both"/>
        <w:rPr>
          <w:rFonts w:ascii="Times New Roman" w:eastAsiaTheme="minorEastAsia" w:hAnsi="Times New Roman" w:cs="Times New Roman"/>
          <w:sz w:val="20"/>
          <w:szCs w:val="20"/>
          <w:lang w:val="it-IT"/>
        </w:rPr>
      </w:pPr>
      <w:r w:rsidRPr="004363F1">
        <w:rPr>
          <w:rFonts w:ascii="Times New Roman" w:eastAsiaTheme="minorEastAsia" w:hAnsi="Times New Roman" w:cs="Times New Roman"/>
          <w:sz w:val="20"/>
          <w:szCs w:val="20"/>
          <w:lang w:val="it-IT"/>
        </w:rPr>
        <w:t>For observations</w:t>
      </w:r>
      <w:r w:rsidR="00055C16" w:rsidRPr="004363F1">
        <w:rPr>
          <w:rFonts w:ascii="Times New Roman" w:eastAsiaTheme="minorEastAsia" w:hAnsi="Times New Roman" w:cs="Times New Roman"/>
          <w:sz w:val="20"/>
          <w:szCs w:val="20"/>
          <w:lang w:val="it-IT"/>
        </w:rPr>
        <w:t xml:space="preserve"> in V2, we found that AUC_P28 = </w:t>
      </w:r>
      <w:r w:rsidR="00055C16" w:rsidRPr="004363F1">
        <w:rPr>
          <w:rFonts w:ascii="Times New Roman" w:hAnsi="Times New Roman" w:cs="Times New Roman"/>
          <w:sz w:val="20"/>
          <w:szCs w:val="20"/>
          <w:lang w:val="it-IT"/>
        </w:rPr>
        <w:t>0.886 (95% CI, 0.746 – 1.000) and</w:t>
      </w:r>
      <w:r w:rsidR="00055C16" w:rsidRPr="004363F1">
        <w:rPr>
          <w:rFonts w:ascii="Times New Roman" w:hAnsi="Times New Roman" w:cs="Times New Roman"/>
          <w:sz w:val="20"/>
          <w:szCs w:val="20"/>
          <w:lang w:val="en-CA"/>
        </w:rPr>
        <w:t xml:space="preserve"> AUC_P1 = </w:t>
      </w:r>
      <w:r w:rsidR="00055C16" w:rsidRPr="004363F1">
        <w:rPr>
          <w:rFonts w:ascii="Times New Roman" w:hAnsi="Times New Roman" w:cs="Times New Roman"/>
          <w:sz w:val="20"/>
          <w:szCs w:val="20"/>
          <w:lang w:val="it-IT"/>
        </w:rPr>
        <w:t>0.863 (95% CI, 0.748 – 0.979)</w:t>
      </w:r>
      <w:r w:rsidR="00530299">
        <w:rPr>
          <w:rFonts w:ascii="Times New Roman" w:hAnsi="Times New Roman" w:cs="Times New Roman"/>
          <w:sz w:val="20"/>
          <w:szCs w:val="20"/>
          <w:lang w:val="it-IT"/>
        </w:rPr>
        <w:t xml:space="preserve"> , which are somewhat lower </w:t>
      </w:r>
      <w:r w:rsidR="00530299" w:rsidRPr="00554619">
        <w:rPr>
          <w:rFonts w:ascii="Times New Roman" w:hAnsi="Times New Roman" w:cs="Times New Roman"/>
          <w:sz w:val="20"/>
          <w:szCs w:val="20"/>
          <w:lang w:val="it-IT"/>
        </w:rPr>
        <w:t>than</w:t>
      </w:r>
      <w:r w:rsidR="00055C16" w:rsidRPr="004363F1">
        <w:rPr>
          <w:rFonts w:ascii="Times New Roman" w:hAnsi="Times New Roman" w:cs="Times New Roman"/>
          <w:sz w:val="20"/>
          <w:szCs w:val="20"/>
          <w:lang w:val="it-IT"/>
        </w:rPr>
        <w:t xml:space="preserve"> the corresponding values of the derivation gr</w:t>
      </w:r>
      <w:r w:rsidRPr="004363F1">
        <w:rPr>
          <w:rFonts w:ascii="Times New Roman" w:hAnsi="Times New Roman" w:cs="Times New Roman"/>
          <w:sz w:val="20"/>
          <w:szCs w:val="20"/>
          <w:lang w:val="it-IT"/>
        </w:rPr>
        <w:t>oup. Thus, no matter how day 1 wa</w:t>
      </w:r>
      <w:r w:rsidR="00055C16" w:rsidRPr="004363F1">
        <w:rPr>
          <w:rFonts w:ascii="Times New Roman" w:hAnsi="Times New Roman" w:cs="Times New Roman"/>
          <w:sz w:val="20"/>
          <w:szCs w:val="20"/>
          <w:lang w:val="it-IT"/>
        </w:rPr>
        <w:t>s defined, the validation group was about as well predicted as the derivation group.</w:t>
      </w:r>
    </w:p>
    <w:p w14:paraId="5B6AF9DC" w14:textId="77777777" w:rsidR="001F5508" w:rsidRPr="004363F1" w:rsidRDefault="00055C16" w:rsidP="00CC0983">
      <w:pPr>
        <w:spacing w:after="0" w:line="240" w:lineRule="auto"/>
        <w:jc w:val="both"/>
        <w:rPr>
          <w:rFonts w:ascii="Times New Roman" w:eastAsiaTheme="minorEastAsia" w:hAnsi="Times New Roman" w:cs="Times New Roman"/>
          <w:sz w:val="20"/>
          <w:szCs w:val="20"/>
          <w:lang w:val="it-IT"/>
        </w:rPr>
      </w:pPr>
      <w:r w:rsidRPr="004363F1">
        <w:rPr>
          <w:rFonts w:ascii="Times New Roman" w:eastAsiaTheme="minorEastAsia" w:hAnsi="Times New Roman" w:cs="Times New Roman"/>
          <w:sz w:val="20"/>
          <w:szCs w:val="20"/>
          <w:lang w:val="it-IT"/>
        </w:rPr>
        <w:tab/>
      </w:r>
      <w:r w:rsidR="001F5508" w:rsidRPr="004363F1">
        <w:rPr>
          <w:rFonts w:ascii="Times New Roman" w:eastAsiaTheme="minorEastAsia" w:hAnsi="Times New Roman" w:cs="Times New Roman"/>
          <w:sz w:val="20"/>
          <w:szCs w:val="20"/>
          <w:lang w:val="it-IT"/>
        </w:rPr>
        <w:t xml:space="preserve">Since the validation group had a much smaller sample size than did the derivation group, the 95% confidence intervals of the </w:t>
      </w:r>
      <w:r w:rsidR="00A3347E" w:rsidRPr="004363F1">
        <w:rPr>
          <w:rFonts w:ascii="Times New Roman" w:eastAsiaTheme="minorEastAsia" w:hAnsi="Times New Roman" w:cs="Times New Roman"/>
          <w:sz w:val="20"/>
          <w:szCs w:val="20"/>
          <w:lang w:val="it-IT"/>
        </w:rPr>
        <w:t>values of AUC_P28</w:t>
      </w:r>
      <w:r w:rsidRPr="004363F1">
        <w:rPr>
          <w:rFonts w:ascii="Times New Roman" w:eastAsiaTheme="minorEastAsia" w:hAnsi="Times New Roman" w:cs="Times New Roman"/>
          <w:sz w:val="20"/>
          <w:szCs w:val="20"/>
          <w:lang w:val="it-IT"/>
        </w:rPr>
        <w:t xml:space="preserve"> and AUC_P1</w:t>
      </w:r>
      <w:r w:rsidR="001F5508" w:rsidRPr="004363F1">
        <w:rPr>
          <w:rFonts w:ascii="Times New Roman" w:eastAsiaTheme="minorEastAsia" w:hAnsi="Times New Roman" w:cs="Times New Roman"/>
          <w:sz w:val="20"/>
          <w:szCs w:val="20"/>
          <w:lang w:val="it-IT"/>
        </w:rPr>
        <w:t xml:space="preserve"> for V1 and V2 were much wider than </w:t>
      </w:r>
      <w:r w:rsidRPr="004363F1">
        <w:rPr>
          <w:rFonts w:ascii="Times New Roman" w:eastAsiaTheme="minorEastAsia" w:hAnsi="Times New Roman" w:cs="Times New Roman"/>
          <w:sz w:val="20"/>
          <w:szCs w:val="20"/>
          <w:lang w:val="it-IT"/>
        </w:rPr>
        <w:t>those</w:t>
      </w:r>
      <w:r w:rsidR="001F5508" w:rsidRPr="004363F1">
        <w:rPr>
          <w:rFonts w:ascii="Times New Roman" w:eastAsiaTheme="minorEastAsia" w:hAnsi="Times New Roman" w:cs="Times New Roman"/>
          <w:sz w:val="20"/>
          <w:szCs w:val="20"/>
          <w:lang w:val="it-IT"/>
        </w:rPr>
        <w:t xml:space="preserve"> for the derivation group. Despite the smaller sample size, the validation results were statistically supportive, because the</w:t>
      </w:r>
      <w:r w:rsidR="00A62008" w:rsidRPr="004363F1">
        <w:rPr>
          <w:rFonts w:ascii="Times New Roman" w:eastAsiaTheme="minorEastAsia" w:hAnsi="Times New Roman" w:cs="Times New Roman"/>
          <w:sz w:val="20"/>
          <w:szCs w:val="20"/>
          <w:lang w:val="it-IT"/>
        </w:rPr>
        <w:t xml:space="preserve"> lower limits</w:t>
      </w:r>
      <w:r w:rsidR="00115F6F" w:rsidRPr="004363F1">
        <w:rPr>
          <w:rFonts w:ascii="Times New Roman" w:eastAsiaTheme="minorEastAsia" w:hAnsi="Times New Roman" w:cs="Times New Roman"/>
          <w:sz w:val="20"/>
          <w:szCs w:val="20"/>
          <w:lang w:val="it-IT"/>
        </w:rPr>
        <w:t xml:space="preserve"> of all 95%CIs</w:t>
      </w:r>
      <w:r w:rsidR="001F5508" w:rsidRPr="004363F1">
        <w:rPr>
          <w:rFonts w:ascii="Times New Roman" w:eastAsiaTheme="minorEastAsia" w:hAnsi="Times New Roman" w:cs="Times New Roman"/>
          <w:sz w:val="20"/>
          <w:szCs w:val="20"/>
          <w:lang w:val="it-IT"/>
        </w:rPr>
        <w:t xml:space="preserve"> were </w:t>
      </w:r>
      <w:r w:rsidR="00A62008" w:rsidRPr="004363F1">
        <w:rPr>
          <w:rFonts w:ascii="Times New Roman" w:eastAsiaTheme="minorEastAsia" w:hAnsi="Times New Roman" w:cs="Times New Roman"/>
          <w:sz w:val="20"/>
          <w:szCs w:val="20"/>
          <w:lang w:val="it-IT"/>
        </w:rPr>
        <w:t xml:space="preserve">all </w:t>
      </w:r>
      <w:r w:rsidR="001F5508" w:rsidRPr="004363F1">
        <w:rPr>
          <w:rFonts w:ascii="Times New Roman" w:eastAsiaTheme="minorEastAsia" w:hAnsi="Times New Roman" w:cs="Times New Roman"/>
          <w:sz w:val="20"/>
          <w:szCs w:val="20"/>
          <w:lang w:val="it-IT"/>
        </w:rPr>
        <w:t>much higher than 0.5. The ROC curve</w:t>
      </w:r>
      <w:r w:rsidR="0032186C" w:rsidRPr="004363F1">
        <w:rPr>
          <w:rFonts w:ascii="Times New Roman" w:eastAsiaTheme="minorEastAsia" w:hAnsi="Times New Roman" w:cs="Times New Roman"/>
          <w:sz w:val="20"/>
          <w:szCs w:val="20"/>
          <w:lang w:val="it-IT"/>
        </w:rPr>
        <w:t xml:space="preserve">s for the V1 and V2 validations in terms of P28 </w:t>
      </w:r>
      <w:r w:rsidR="001F5508" w:rsidRPr="004363F1">
        <w:rPr>
          <w:rFonts w:ascii="Times New Roman" w:eastAsiaTheme="minorEastAsia" w:hAnsi="Times New Roman" w:cs="Times New Roman"/>
          <w:sz w:val="20"/>
          <w:szCs w:val="20"/>
          <w:lang w:val="it-IT"/>
        </w:rPr>
        <w:t>are compared with that of the derivation group in Supplemental Figure 4.</w:t>
      </w:r>
    </w:p>
    <w:p w14:paraId="32004C15" w14:textId="77777777" w:rsidR="00BA5059" w:rsidRPr="004363F1" w:rsidRDefault="008D7BFF" w:rsidP="00BA5059">
      <w:pPr>
        <w:spacing w:after="0" w:line="240" w:lineRule="auto"/>
        <w:jc w:val="both"/>
        <w:rPr>
          <w:rFonts w:ascii="Times New Roman" w:eastAsia="Times New Roman" w:hAnsi="Times New Roman" w:cs="Times New Roman"/>
          <w:sz w:val="20"/>
          <w:szCs w:val="20"/>
        </w:rPr>
      </w:pPr>
      <w:r w:rsidRPr="004363F1">
        <w:rPr>
          <w:rFonts w:ascii="Times New Roman" w:eastAsiaTheme="minorEastAsia" w:hAnsi="Times New Roman" w:cs="Times New Roman"/>
          <w:sz w:val="20"/>
          <w:szCs w:val="20"/>
          <w:lang w:val="it-IT"/>
        </w:rPr>
        <w:tab/>
      </w:r>
      <w:r w:rsidR="00A62008" w:rsidRPr="004363F1">
        <w:rPr>
          <w:rFonts w:ascii="Times New Roman" w:eastAsiaTheme="minorEastAsia" w:hAnsi="Times New Roman" w:cs="Times New Roman"/>
          <w:sz w:val="20"/>
          <w:szCs w:val="20"/>
          <w:lang w:val="it-IT"/>
        </w:rPr>
        <w:t>The validation group also helped show that our best CLOGLOG model is stronger</w:t>
      </w:r>
      <w:r w:rsidR="00BA168C" w:rsidRPr="004363F1">
        <w:rPr>
          <w:rFonts w:ascii="Times New Roman" w:eastAsiaTheme="minorEastAsia" w:hAnsi="Times New Roman" w:cs="Times New Roman"/>
          <w:sz w:val="20"/>
          <w:szCs w:val="20"/>
          <w:lang w:val="it-IT"/>
        </w:rPr>
        <w:t xml:space="preserve"> in predi</w:t>
      </w:r>
      <w:r w:rsidR="00A62008" w:rsidRPr="004363F1">
        <w:rPr>
          <w:rFonts w:ascii="Times New Roman" w:eastAsiaTheme="minorEastAsia" w:hAnsi="Times New Roman" w:cs="Times New Roman"/>
          <w:sz w:val="20"/>
          <w:szCs w:val="20"/>
          <w:lang w:val="it-IT"/>
        </w:rPr>
        <w:t>ctive power th</w:t>
      </w:r>
      <w:r w:rsidR="00486D95" w:rsidRPr="004363F1">
        <w:rPr>
          <w:rFonts w:ascii="Times New Roman" w:eastAsiaTheme="minorEastAsia" w:hAnsi="Times New Roman" w:cs="Times New Roman"/>
          <w:sz w:val="20"/>
          <w:szCs w:val="20"/>
          <w:lang w:val="it-IT"/>
        </w:rPr>
        <w:t>an</w:t>
      </w:r>
      <w:r w:rsidR="00A62008" w:rsidRPr="004363F1">
        <w:rPr>
          <w:rFonts w:ascii="Times New Roman" w:eastAsiaTheme="minorEastAsia" w:hAnsi="Times New Roman" w:cs="Times New Roman"/>
          <w:sz w:val="20"/>
          <w:szCs w:val="20"/>
          <w:lang w:val="it-IT"/>
        </w:rPr>
        <w:t xml:space="preserve"> the CLOGLOG with SOFA representing t</w:t>
      </w:r>
      <w:r w:rsidR="00486D95" w:rsidRPr="004363F1">
        <w:rPr>
          <w:rFonts w:ascii="Times New Roman" w:eastAsiaTheme="minorEastAsia" w:hAnsi="Times New Roman" w:cs="Times New Roman"/>
          <w:sz w:val="20"/>
          <w:szCs w:val="20"/>
          <w:lang w:val="it-IT"/>
        </w:rPr>
        <w:t xml:space="preserve">he effects of TVBIs, which is </w:t>
      </w:r>
      <w:r w:rsidR="00A62008" w:rsidRPr="004363F1">
        <w:rPr>
          <w:rFonts w:ascii="Times New Roman" w:eastAsiaTheme="minorEastAsia" w:hAnsi="Times New Roman" w:cs="Times New Roman"/>
          <w:sz w:val="20"/>
          <w:szCs w:val="20"/>
          <w:lang w:val="it-IT"/>
        </w:rPr>
        <w:t xml:space="preserve">the strongest alternative model </w:t>
      </w:r>
      <w:r w:rsidR="00486D95" w:rsidRPr="004363F1">
        <w:rPr>
          <w:rFonts w:ascii="Times New Roman" w:eastAsiaTheme="minorEastAsia" w:hAnsi="Times New Roman" w:cs="Times New Roman"/>
          <w:sz w:val="20"/>
          <w:szCs w:val="20"/>
          <w:lang w:val="it-IT"/>
        </w:rPr>
        <w:t xml:space="preserve">in Panel 2 of Suppemental Table 12. </w:t>
      </w:r>
      <w:r w:rsidRPr="004363F1">
        <w:rPr>
          <w:rFonts w:ascii="Times New Roman" w:eastAsiaTheme="minorEastAsia" w:hAnsi="Times New Roman" w:cs="Times New Roman"/>
          <w:sz w:val="20"/>
          <w:szCs w:val="20"/>
          <w:lang w:val="it-IT"/>
        </w:rPr>
        <w:t>Fo</w:t>
      </w:r>
      <w:r w:rsidR="00115F6F" w:rsidRPr="004363F1">
        <w:rPr>
          <w:rFonts w:ascii="Times New Roman" w:eastAsiaTheme="minorEastAsia" w:hAnsi="Times New Roman" w:cs="Times New Roman"/>
          <w:sz w:val="20"/>
          <w:szCs w:val="20"/>
          <w:lang w:val="it-IT"/>
        </w:rPr>
        <w:t>r the patients</w:t>
      </w:r>
      <w:r w:rsidR="00486D95" w:rsidRPr="004363F1">
        <w:rPr>
          <w:rFonts w:ascii="Times New Roman" w:eastAsiaTheme="minorEastAsia" w:hAnsi="Times New Roman" w:cs="Times New Roman"/>
          <w:sz w:val="20"/>
          <w:szCs w:val="20"/>
          <w:lang w:val="it-IT"/>
        </w:rPr>
        <w:t xml:space="preserve"> in V1, this alternative model yielded</w:t>
      </w:r>
      <w:r w:rsidR="003B7DA0" w:rsidRPr="004363F1">
        <w:rPr>
          <w:rFonts w:ascii="Times New Roman" w:eastAsiaTheme="minorEastAsia" w:hAnsi="Times New Roman" w:cs="Times New Roman"/>
          <w:sz w:val="20"/>
          <w:szCs w:val="20"/>
          <w:lang w:val="it-IT"/>
        </w:rPr>
        <w:t xml:space="preserve"> </w:t>
      </w:r>
      <w:r w:rsidR="00104B15" w:rsidRPr="004363F1">
        <w:rPr>
          <w:rFonts w:ascii="Times New Roman" w:eastAsiaTheme="minorEastAsia" w:hAnsi="Times New Roman" w:cs="Times New Roman"/>
          <w:sz w:val="20"/>
          <w:szCs w:val="20"/>
          <w:lang w:val="it-IT"/>
        </w:rPr>
        <w:t>AUC</w:t>
      </w:r>
      <w:r w:rsidR="00A3347E" w:rsidRPr="004363F1">
        <w:rPr>
          <w:rFonts w:ascii="Times New Roman" w:eastAsiaTheme="minorEastAsia" w:hAnsi="Times New Roman" w:cs="Times New Roman"/>
          <w:sz w:val="20"/>
          <w:szCs w:val="20"/>
          <w:lang w:val="it-IT"/>
        </w:rPr>
        <w:t>_P28</w:t>
      </w:r>
      <w:r w:rsidR="00104B15" w:rsidRPr="004363F1">
        <w:rPr>
          <w:rFonts w:ascii="Times New Roman" w:eastAsiaTheme="minorEastAsia" w:hAnsi="Times New Roman" w:cs="Times New Roman"/>
          <w:sz w:val="20"/>
          <w:szCs w:val="20"/>
          <w:lang w:val="it-IT"/>
        </w:rPr>
        <w:t xml:space="preserve"> </w:t>
      </w:r>
      <w:r w:rsidR="003B7DA0" w:rsidRPr="004363F1">
        <w:rPr>
          <w:rFonts w:ascii="Times New Roman" w:eastAsiaTheme="minorEastAsia" w:hAnsi="Times New Roman" w:cs="Times New Roman"/>
          <w:sz w:val="20"/>
          <w:szCs w:val="20"/>
          <w:lang w:val="it-IT"/>
        </w:rPr>
        <w:t xml:space="preserve">= </w:t>
      </w:r>
      <w:r w:rsidR="00104B15" w:rsidRPr="004363F1">
        <w:rPr>
          <w:rFonts w:ascii="Times New Roman" w:eastAsia="Times New Roman" w:hAnsi="Times New Roman" w:cs="Times New Roman"/>
          <w:sz w:val="20"/>
          <w:szCs w:val="20"/>
        </w:rPr>
        <w:t>0.835 (95%CI: 0.578-1.000)</w:t>
      </w:r>
      <w:r w:rsidR="003B7DA0" w:rsidRPr="004363F1">
        <w:rPr>
          <w:rFonts w:ascii="Times New Roman" w:eastAsia="Times New Roman" w:hAnsi="Times New Roman" w:cs="Times New Roman"/>
          <w:sz w:val="20"/>
          <w:szCs w:val="20"/>
        </w:rPr>
        <w:t xml:space="preserve"> and AUC_P1 = 0.735 (95%CI: 0.480-0.990)</w:t>
      </w:r>
      <w:r w:rsidR="00104B15" w:rsidRPr="004363F1">
        <w:rPr>
          <w:rFonts w:ascii="Times New Roman" w:eastAsia="Times New Roman" w:hAnsi="Times New Roman" w:cs="Times New Roman"/>
          <w:sz w:val="20"/>
          <w:szCs w:val="20"/>
        </w:rPr>
        <w:t xml:space="preserve">. Since </w:t>
      </w:r>
      <w:r w:rsidR="00486D95" w:rsidRPr="004363F1">
        <w:rPr>
          <w:rFonts w:ascii="Times New Roman" w:eastAsia="Times New Roman" w:hAnsi="Times New Roman" w:cs="Times New Roman"/>
          <w:sz w:val="20"/>
          <w:szCs w:val="20"/>
        </w:rPr>
        <w:t xml:space="preserve">both </w:t>
      </w:r>
      <w:r w:rsidR="00104B15" w:rsidRPr="004363F1">
        <w:rPr>
          <w:rFonts w:ascii="Times New Roman" w:eastAsia="Times New Roman" w:hAnsi="Times New Roman" w:cs="Times New Roman"/>
          <w:sz w:val="20"/>
          <w:szCs w:val="20"/>
        </w:rPr>
        <w:t xml:space="preserve">0.835 </w:t>
      </w:r>
      <w:r w:rsidR="00486D95" w:rsidRPr="004363F1">
        <w:rPr>
          <w:rFonts w:ascii="Times New Roman" w:eastAsia="Times New Roman" w:hAnsi="Times New Roman" w:cs="Times New Roman"/>
          <w:sz w:val="20"/>
          <w:szCs w:val="20"/>
        </w:rPr>
        <w:t xml:space="preserve">and 0.735 are less than the lower limits of the corresponding </w:t>
      </w:r>
      <w:r w:rsidR="00104B15" w:rsidRPr="004363F1">
        <w:rPr>
          <w:rFonts w:ascii="Times New Roman" w:eastAsia="Times New Roman" w:hAnsi="Times New Roman" w:cs="Times New Roman"/>
          <w:sz w:val="20"/>
          <w:szCs w:val="20"/>
        </w:rPr>
        <w:t>95%CI</w:t>
      </w:r>
      <w:r w:rsidR="00486D95" w:rsidRPr="004363F1">
        <w:rPr>
          <w:rFonts w:ascii="Times New Roman" w:eastAsia="Times New Roman" w:hAnsi="Times New Roman" w:cs="Times New Roman"/>
          <w:sz w:val="20"/>
          <w:szCs w:val="20"/>
        </w:rPr>
        <w:t xml:space="preserve">s for </w:t>
      </w:r>
      <w:r w:rsidR="00104B15" w:rsidRPr="004363F1">
        <w:rPr>
          <w:rFonts w:ascii="Times New Roman" w:eastAsia="Times New Roman" w:hAnsi="Times New Roman" w:cs="Times New Roman"/>
          <w:sz w:val="20"/>
          <w:szCs w:val="20"/>
        </w:rPr>
        <w:t xml:space="preserve">our model, we have validated that our model is </w:t>
      </w:r>
      <w:r w:rsidR="00350251" w:rsidRPr="004363F1">
        <w:rPr>
          <w:rFonts w:ascii="Times New Roman" w:eastAsia="Times New Roman" w:hAnsi="Times New Roman" w:cs="Times New Roman"/>
          <w:sz w:val="20"/>
          <w:szCs w:val="20"/>
        </w:rPr>
        <w:t xml:space="preserve">significantly </w:t>
      </w:r>
      <w:r w:rsidR="00104B15" w:rsidRPr="004363F1">
        <w:rPr>
          <w:rFonts w:ascii="Times New Roman" w:eastAsia="Times New Roman" w:hAnsi="Times New Roman" w:cs="Times New Roman"/>
          <w:sz w:val="20"/>
          <w:szCs w:val="20"/>
        </w:rPr>
        <w:t>stron</w:t>
      </w:r>
      <w:r w:rsidR="002E5EEE" w:rsidRPr="004363F1">
        <w:rPr>
          <w:rFonts w:ascii="Times New Roman" w:eastAsia="Times New Roman" w:hAnsi="Times New Roman" w:cs="Times New Roman"/>
          <w:sz w:val="20"/>
          <w:szCs w:val="20"/>
        </w:rPr>
        <w:t xml:space="preserve">ger in predictive power </w:t>
      </w:r>
      <w:r w:rsidR="00350251" w:rsidRPr="004363F1">
        <w:rPr>
          <w:rFonts w:ascii="Times New Roman" w:eastAsia="Times New Roman" w:hAnsi="Times New Roman" w:cs="Times New Roman"/>
          <w:sz w:val="20"/>
          <w:szCs w:val="20"/>
        </w:rPr>
        <w:t>than</w:t>
      </w:r>
      <w:r w:rsidR="008C196C" w:rsidRPr="004363F1">
        <w:rPr>
          <w:rFonts w:ascii="Times New Roman" w:eastAsia="Times New Roman" w:hAnsi="Times New Roman" w:cs="Times New Roman"/>
          <w:sz w:val="20"/>
          <w:szCs w:val="20"/>
        </w:rPr>
        <w:t xml:space="preserve"> the </w:t>
      </w:r>
      <w:r w:rsidR="00A143CE" w:rsidRPr="004363F1">
        <w:rPr>
          <w:rFonts w:ascii="Times New Roman" w:eastAsia="Times New Roman" w:hAnsi="Times New Roman" w:cs="Times New Roman"/>
          <w:sz w:val="20"/>
          <w:szCs w:val="20"/>
        </w:rPr>
        <w:t>CLOGLOG model with SOFA</w:t>
      </w:r>
      <w:r w:rsidR="00104B15" w:rsidRPr="004363F1">
        <w:rPr>
          <w:rFonts w:ascii="Times New Roman" w:eastAsia="Times New Roman" w:hAnsi="Times New Roman" w:cs="Times New Roman"/>
          <w:sz w:val="20"/>
          <w:szCs w:val="20"/>
        </w:rPr>
        <w:t>.</w:t>
      </w:r>
    </w:p>
    <w:p w14:paraId="50738F54" w14:textId="77777777" w:rsidR="001F5508" w:rsidRPr="004363F1" w:rsidRDefault="001F5508" w:rsidP="00BA5059">
      <w:pPr>
        <w:spacing w:after="0" w:line="240" w:lineRule="auto"/>
        <w:jc w:val="both"/>
        <w:rPr>
          <w:rFonts w:ascii="Times New Roman" w:hAnsi="Times New Roman" w:cs="Times New Roman"/>
          <w:sz w:val="20"/>
          <w:szCs w:val="20"/>
          <w:shd w:val="clear" w:color="auto" w:fill="FFFFFF"/>
        </w:rPr>
      </w:pPr>
      <w:r w:rsidRPr="004363F1">
        <w:rPr>
          <w:rFonts w:ascii="Times New Roman" w:hAnsi="Times New Roman" w:cs="Times New Roman"/>
          <w:sz w:val="20"/>
          <w:szCs w:val="20"/>
          <w:shd w:val="clear" w:color="auto" w:fill="FFFFFF"/>
        </w:rPr>
        <w:t xml:space="preserve"> </w:t>
      </w:r>
      <w:r w:rsidR="00A3347E" w:rsidRPr="004363F1">
        <w:rPr>
          <w:rFonts w:ascii="Times New Roman" w:hAnsi="Times New Roman" w:cs="Times New Roman"/>
          <w:sz w:val="20"/>
          <w:szCs w:val="20"/>
          <w:shd w:val="clear" w:color="auto" w:fill="FFFFFF"/>
        </w:rPr>
        <w:tab/>
        <w:t xml:space="preserve">In the second approach, </w:t>
      </w:r>
      <w:r w:rsidR="00707E33" w:rsidRPr="004363F1">
        <w:rPr>
          <w:rFonts w:ascii="Times New Roman" w:hAnsi="Times New Roman" w:cs="Times New Roman"/>
          <w:sz w:val="20"/>
          <w:szCs w:val="20"/>
          <w:shd w:val="clear" w:color="auto" w:fill="FFFFFF"/>
        </w:rPr>
        <w:t xml:space="preserve">the 10 fold </w:t>
      </w:r>
      <w:r w:rsidR="00CB2D11" w:rsidRPr="004363F1">
        <w:rPr>
          <w:rFonts w:ascii="Times New Roman" w:hAnsi="Times New Roman" w:cs="Times New Roman"/>
          <w:sz w:val="20"/>
          <w:szCs w:val="20"/>
          <w:shd w:val="clear" w:color="auto" w:fill="FFFFFF"/>
        </w:rPr>
        <w:t>cross-validation</w:t>
      </w:r>
      <w:r w:rsidR="00707E33" w:rsidRPr="004363F1">
        <w:rPr>
          <w:rFonts w:ascii="Times New Roman" w:hAnsi="Times New Roman" w:cs="Times New Roman"/>
          <w:sz w:val="20"/>
          <w:szCs w:val="20"/>
          <w:shd w:val="clear" w:color="auto" w:fill="FFFFFF"/>
        </w:rPr>
        <w:t xml:space="preserve"> worked in the following way. First, w</w:t>
      </w:r>
      <w:r w:rsidR="00A3347E" w:rsidRPr="004363F1">
        <w:rPr>
          <w:rFonts w:ascii="Times New Roman" w:hAnsi="Times New Roman" w:cs="Times New Roman"/>
          <w:sz w:val="20"/>
          <w:szCs w:val="20"/>
          <w:shd w:val="clear" w:color="auto" w:fill="FFFFFF"/>
        </w:rPr>
        <w:t xml:space="preserve">e used the </w:t>
      </w:r>
      <w:proofErr w:type="spellStart"/>
      <w:r w:rsidR="00A3347E" w:rsidRPr="004363F1">
        <w:rPr>
          <w:rFonts w:ascii="Times New Roman" w:hAnsi="Times New Roman" w:cs="Times New Roman"/>
          <w:sz w:val="20"/>
          <w:szCs w:val="20"/>
          <w:shd w:val="clear" w:color="auto" w:fill="FFFFFF"/>
        </w:rPr>
        <w:t>SurveySelect</w:t>
      </w:r>
      <w:proofErr w:type="spellEnd"/>
      <w:r w:rsidR="00A3347E" w:rsidRPr="004363F1">
        <w:rPr>
          <w:rFonts w:ascii="Times New Roman" w:hAnsi="Times New Roman" w:cs="Times New Roman"/>
          <w:sz w:val="20"/>
          <w:szCs w:val="20"/>
          <w:shd w:val="clear" w:color="auto" w:fill="FFFFFF"/>
        </w:rPr>
        <w:t xml:space="preserve"> procedure of SAS to randomly assign the 6,724 records of our original input data into 10 subsets of approximately equal sample size</w:t>
      </w:r>
      <w:r w:rsidR="00A50733" w:rsidRPr="004363F1">
        <w:rPr>
          <w:rFonts w:ascii="Times New Roman" w:hAnsi="Times New Roman" w:cs="Times New Roman"/>
          <w:sz w:val="20"/>
          <w:szCs w:val="20"/>
          <w:shd w:val="clear" w:color="auto" w:fill="FFFFFF"/>
        </w:rPr>
        <w:t>. Second, we set aside the first subset as the first Test set an</w:t>
      </w:r>
      <w:r w:rsidR="00707E33" w:rsidRPr="004363F1">
        <w:rPr>
          <w:rFonts w:ascii="Times New Roman" w:hAnsi="Times New Roman" w:cs="Times New Roman"/>
          <w:sz w:val="20"/>
          <w:szCs w:val="20"/>
          <w:shd w:val="clear" w:color="auto" w:fill="FFFFFF"/>
        </w:rPr>
        <w:t>d let the remaining 9 subsets be</w:t>
      </w:r>
      <w:r w:rsidR="00A50733" w:rsidRPr="004363F1">
        <w:rPr>
          <w:rFonts w:ascii="Times New Roman" w:hAnsi="Times New Roman" w:cs="Times New Roman"/>
          <w:sz w:val="20"/>
          <w:szCs w:val="20"/>
          <w:shd w:val="clear" w:color="auto" w:fill="FFFFFF"/>
        </w:rPr>
        <w:t xml:space="preserve"> the first Training set. Third, we used the first Training set to estimate the unknown coefficients of our CLOGLOG model and to generate a value for </w:t>
      </w:r>
      <w:r w:rsidR="00525208" w:rsidRPr="004363F1">
        <w:rPr>
          <w:rFonts w:ascii="Times New Roman" w:hAnsi="Times New Roman" w:cs="Times New Roman"/>
          <w:sz w:val="20"/>
          <w:szCs w:val="20"/>
          <w:shd w:val="clear" w:color="auto" w:fill="FFFFFF"/>
        </w:rPr>
        <w:t xml:space="preserve">the goodness-of-fit indicator: </w:t>
      </w:r>
      <w:r w:rsidR="00A50733" w:rsidRPr="004363F1">
        <w:rPr>
          <w:rFonts w:ascii="Times New Roman" w:hAnsi="Times New Roman" w:cs="Times New Roman"/>
          <w:sz w:val="20"/>
          <w:szCs w:val="20"/>
          <w:shd w:val="clear" w:color="auto" w:fill="FFFFFF"/>
        </w:rPr>
        <w:t>AUC_P1(Training). Fourth, the estimated coefficients were then used to predict the mortality outcomes in the first Test set,</w:t>
      </w:r>
      <w:r w:rsidR="00525208" w:rsidRPr="004363F1">
        <w:rPr>
          <w:rFonts w:ascii="Times New Roman" w:hAnsi="Times New Roman" w:cs="Times New Roman"/>
          <w:sz w:val="20"/>
          <w:szCs w:val="20"/>
          <w:shd w:val="clear" w:color="auto" w:fill="FFFFFF"/>
        </w:rPr>
        <w:t xml:space="preserve"> yielding a value for the indicator of the predictive power: AUC_P1(Test). Fifth, steps 2 to 4 were repeated 9 times</w:t>
      </w:r>
      <w:r w:rsidR="00707E33" w:rsidRPr="004363F1">
        <w:rPr>
          <w:rFonts w:ascii="Times New Roman" w:hAnsi="Times New Roman" w:cs="Times New Roman"/>
          <w:sz w:val="20"/>
          <w:szCs w:val="20"/>
          <w:shd w:val="clear" w:color="auto" w:fill="FFFFFF"/>
        </w:rPr>
        <w:t>. In each repetition,</w:t>
      </w:r>
      <w:r w:rsidR="00525208" w:rsidRPr="004363F1">
        <w:rPr>
          <w:rFonts w:ascii="Times New Roman" w:hAnsi="Times New Roman" w:cs="Times New Roman"/>
          <w:sz w:val="20"/>
          <w:szCs w:val="20"/>
          <w:shd w:val="clear" w:color="auto" w:fill="FFFFFF"/>
        </w:rPr>
        <w:t xml:space="preserve"> </w:t>
      </w:r>
      <w:r w:rsidR="00707E33" w:rsidRPr="004363F1">
        <w:rPr>
          <w:rFonts w:ascii="Times New Roman" w:hAnsi="Times New Roman" w:cs="Times New Roman"/>
          <w:sz w:val="20"/>
          <w:szCs w:val="20"/>
          <w:shd w:val="clear" w:color="auto" w:fill="FFFFFF"/>
        </w:rPr>
        <w:t>we let</w:t>
      </w:r>
      <w:r w:rsidR="00525208" w:rsidRPr="004363F1">
        <w:rPr>
          <w:rFonts w:ascii="Times New Roman" w:hAnsi="Times New Roman" w:cs="Times New Roman"/>
          <w:sz w:val="20"/>
          <w:szCs w:val="20"/>
          <w:shd w:val="clear" w:color="auto" w:fill="FFFFFF"/>
        </w:rPr>
        <w:t xml:space="preserve"> the Test set go from the second subset to the 10</w:t>
      </w:r>
      <w:r w:rsidR="00525208" w:rsidRPr="004363F1">
        <w:rPr>
          <w:rFonts w:ascii="Times New Roman" w:hAnsi="Times New Roman" w:cs="Times New Roman"/>
          <w:sz w:val="20"/>
          <w:szCs w:val="20"/>
          <w:shd w:val="clear" w:color="auto" w:fill="FFFFFF"/>
          <w:vertAlign w:val="superscript"/>
        </w:rPr>
        <w:t>th</w:t>
      </w:r>
      <w:r w:rsidR="00525208" w:rsidRPr="004363F1">
        <w:rPr>
          <w:rFonts w:ascii="Times New Roman" w:hAnsi="Times New Roman" w:cs="Times New Roman"/>
          <w:sz w:val="20"/>
          <w:szCs w:val="20"/>
          <w:shd w:val="clear" w:color="auto" w:fill="FFFFFF"/>
        </w:rPr>
        <w:t xml:space="preserve"> subset of the data, while using the corresponding remaining 9 </w:t>
      </w:r>
      <w:r w:rsidR="00525208" w:rsidRPr="004363F1">
        <w:rPr>
          <w:rFonts w:ascii="Times New Roman" w:hAnsi="Times New Roman" w:cs="Times New Roman"/>
          <w:sz w:val="20"/>
          <w:szCs w:val="20"/>
          <w:shd w:val="clear" w:color="auto" w:fill="FFFFFF"/>
        </w:rPr>
        <w:lastRenderedPageBreak/>
        <w:t>subsets as the Training set.</w:t>
      </w:r>
      <w:r w:rsidR="00707E33" w:rsidRPr="004363F1">
        <w:rPr>
          <w:rFonts w:ascii="Times New Roman" w:hAnsi="Times New Roman" w:cs="Times New Roman"/>
          <w:sz w:val="20"/>
          <w:szCs w:val="20"/>
          <w:shd w:val="clear" w:color="auto" w:fill="FFFFFF"/>
        </w:rPr>
        <w:t xml:space="preserve"> In the 9</w:t>
      </w:r>
      <w:r w:rsidR="00707E33" w:rsidRPr="004363F1">
        <w:rPr>
          <w:rFonts w:ascii="Times New Roman" w:hAnsi="Times New Roman" w:cs="Times New Roman"/>
          <w:sz w:val="20"/>
          <w:szCs w:val="20"/>
          <w:shd w:val="clear" w:color="auto" w:fill="FFFFFF"/>
          <w:vertAlign w:val="superscript"/>
        </w:rPr>
        <w:t>th</w:t>
      </w:r>
      <w:r w:rsidR="00707E33" w:rsidRPr="004363F1">
        <w:rPr>
          <w:rFonts w:ascii="Times New Roman" w:hAnsi="Times New Roman" w:cs="Times New Roman"/>
          <w:sz w:val="20"/>
          <w:szCs w:val="20"/>
          <w:shd w:val="clear" w:color="auto" w:fill="FFFFFF"/>
        </w:rPr>
        <w:t xml:space="preserve"> repetition, the 10</w:t>
      </w:r>
      <w:r w:rsidR="00707E33" w:rsidRPr="004363F1">
        <w:rPr>
          <w:rFonts w:ascii="Times New Roman" w:hAnsi="Times New Roman" w:cs="Times New Roman"/>
          <w:sz w:val="20"/>
          <w:szCs w:val="20"/>
          <w:shd w:val="clear" w:color="auto" w:fill="FFFFFF"/>
          <w:vertAlign w:val="superscript"/>
        </w:rPr>
        <w:t>th</w:t>
      </w:r>
      <w:r w:rsidR="00707E33" w:rsidRPr="004363F1">
        <w:rPr>
          <w:rFonts w:ascii="Times New Roman" w:hAnsi="Times New Roman" w:cs="Times New Roman"/>
          <w:sz w:val="20"/>
          <w:szCs w:val="20"/>
          <w:shd w:val="clear" w:color="auto" w:fill="FFFFFF"/>
        </w:rPr>
        <w:t xml:space="preserve"> </w:t>
      </w:r>
      <w:r w:rsidR="00720C4E" w:rsidRPr="004363F1">
        <w:rPr>
          <w:rFonts w:ascii="Times New Roman" w:hAnsi="Times New Roman" w:cs="Times New Roman"/>
          <w:sz w:val="20"/>
          <w:szCs w:val="20"/>
          <w:shd w:val="clear" w:color="auto" w:fill="FFFFFF"/>
        </w:rPr>
        <w:t>subset beca</w:t>
      </w:r>
      <w:r w:rsidR="00707E33" w:rsidRPr="004363F1">
        <w:rPr>
          <w:rFonts w:ascii="Times New Roman" w:hAnsi="Times New Roman" w:cs="Times New Roman"/>
          <w:sz w:val="20"/>
          <w:szCs w:val="20"/>
          <w:shd w:val="clear" w:color="auto" w:fill="FFFFFF"/>
        </w:rPr>
        <w:t>me the 10</w:t>
      </w:r>
      <w:r w:rsidR="00707E33" w:rsidRPr="004363F1">
        <w:rPr>
          <w:rFonts w:ascii="Times New Roman" w:hAnsi="Times New Roman" w:cs="Times New Roman"/>
          <w:sz w:val="20"/>
          <w:szCs w:val="20"/>
          <w:shd w:val="clear" w:color="auto" w:fill="FFFFFF"/>
          <w:vertAlign w:val="superscript"/>
        </w:rPr>
        <w:t>th</w:t>
      </w:r>
      <w:r w:rsidR="00707E33" w:rsidRPr="004363F1">
        <w:rPr>
          <w:rFonts w:ascii="Times New Roman" w:hAnsi="Times New Roman" w:cs="Times New Roman"/>
          <w:sz w:val="20"/>
          <w:szCs w:val="20"/>
          <w:shd w:val="clear" w:color="auto" w:fill="FFFFFF"/>
        </w:rPr>
        <w:t xml:space="preserve"> Test set and the first 9 subsets became the </w:t>
      </w:r>
      <w:r w:rsidR="00720C4E" w:rsidRPr="004363F1">
        <w:rPr>
          <w:rFonts w:ascii="Times New Roman" w:hAnsi="Times New Roman" w:cs="Times New Roman"/>
          <w:sz w:val="20"/>
          <w:szCs w:val="20"/>
          <w:shd w:val="clear" w:color="auto" w:fill="FFFFFF"/>
        </w:rPr>
        <w:t>10</w:t>
      </w:r>
      <w:r w:rsidR="00720C4E" w:rsidRPr="004363F1">
        <w:rPr>
          <w:rFonts w:ascii="Times New Roman" w:hAnsi="Times New Roman" w:cs="Times New Roman"/>
          <w:sz w:val="20"/>
          <w:szCs w:val="20"/>
          <w:shd w:val="clear" w:color="auto" w:fill="FFFFFF"/>
          <w:vertAlign w:val="superscript"/>
        </w:rPr>
        <w:t>th</w:t>
      </w:r>
      <w:r w:rsidR="00720C4E" w:rsidRPr="004363F1">
        <w:rPr>
          <w:rFonts w:ascii="Times New Roman" w:hAnsi="Times New Roman" w:cs="Times New Roman"/>
          <w:sz w:val="20"/>
          <w:szCs w:val="20"/>
          <w:shd w:val="clear" w:color="auto" w:fill="FFFFFF"/>
        </w:rPr>
        <w:t xml:space="preserve"> </w:t>
      </w:r>
      <w:r w:rsidR="00707E33" w:rsidRPr="004363F1">
        <w:rPr>
          <w:rFonts w:ascii="Times New Roman" w:hAnsi="Times New Roman" w:cs="Times New Roman"/>
          <w:sz w:val="20"/>
          <w:szCs w:val="20"/>
          <w:shd w:val="clear" w:color="auto" w:fill="FFFFFF"/>
        </w:rPr>
        <w:t xml:space="preserve">Training set. </w:t>
      </w:r>
      <w:r w:rsidR="00525208" w:rsidRPr="004363F1">
        <w:rPr>
          <w:rFonts w:ascii="Times New Roman" w:hAnsi="Times New Roman" w:cs="Times New Roman"/>
          <w:sz w:val="20"/>
          <w:szCs w:val="20"/>
          <w:shd w:val="clear" w:color="auto" w:fill="FFFFFF"/>
        </w:rPr>
        <w:t xml:space="preserve"> </w:t>
      </w:r>
      <w:r w:rsidR="00A50733" w:rsidRPr="004363F1">
        <w:rPr>
          <w:rFonts w:ascii="Times New Roman" w:hAnsi="Times New Roman" w:cs="Times New Roman"/>
          <w:sz w:val="20"/>
          <w:szCs w:val="20"/>
          <w:shd w:val="clear" w:color="auto" w:fill="FFFFFF"/>
        </w:rPr>
        <w:t xml:space="preserve">   </w:t>
      </w:r>
    </w:p>
    <w:p w14:paraId="7C4E7137" w14:textId="77777777" w:rsidR="005D48D3" w:rsidRPr="004363F1" w:rsidRDefault="00720C4E" w:rsidP="00AA064F">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The findings of the 10 fold </w:t>
      </w:r>
      <w:r w:rsidR="00CB2D11" w:rsidRPr="004363F1">
        <w:rPr>
          <w:rFonts w:ascii="Times New Roman" w:eastAsiaTheme="minorEastAsia" w:hAnsi="Times New Roman" w:cs="Times New Roman"/>
          <w:sz w:val="20"/>
          <w:szCs w:val="20"/>
        </w:rPr>
        <w:t>cross-validation</w:t>
      </w:r>
      <w:r w:rsidRPr="004363F1">
        <w:rPr>
          <w:rFonts w:ascii="Times New Roman" w:eastAsiaTheme="minorEastAsia" w:hAnsi="Times New Roman" w:cs="Times New Roman"/>
          <w:sz w:val="20"/>
          <w:szCs w:val="20"/>
        </w:rPr>
        <w:t xml:space="preserve"> are summarized in Supplemental Table 11.</w:t>
      </w:r>
      <w:r w:rsidR="00AD7390" w:rsidRPr="004363F1">
        <w:rPr>
          <w:rFonts w:ascii="Times New Roman" w:eastAsiaTheme="minorEastAsia" w:hAnsi="Times New Roman" w:cs="Times New Roman"/>
          <w:sz w:val="20"/>
          <w:szCs w:val="20"/>
        </w:rPr>
        <w:t xml:space="preserve"> Keeping in mind that the AUC_P1 of our best CLOGLOG model is 0.865 (95% CI, 0.826 - 0.903), we found that the </w:t>
      </w:r>
      <w:r w:rsidR="00CB2D11" w:rsidRPr="004363F1">
        <w:rPr>
          <w:rFonts w:ascii="Times New Roman" w:eastAsiaTheme="minorEastAsia" w:hAnsi="Times New Roman" w:cs="Times New Roman"/>
          <w:sz w:val="20"/>
          <w:szCs w:val="20"/>
        </w:rPr>
        <w:t>cross-validation</w:t>
      </w:r>
      <w:r w:rsidR="00AD7390" w:rsidRPr="004363F1">
        <w:rPr>
          <w:rFonts w:ascii="Times New Roman" w:eastAsiaTheme="minorEastAsia" w:hAnsi="Times New Roman" w:cs="Times New Roman"/>
          <w:sz w:val="20"/>
          <w:szCs w:val="20"/>
        </w:rPr>
        <w:t xml:space="preserve"> revealed that our best model is quite robust.  AUC_P1(Training) turned out to have a mean of 0.865 and a standard deviation of 0.008, while AUC_P1(Test) turned out to have a mean of 0.854 and a standard deviation of 0.073.</w:t>
      </w:r>
      <w:r w:rsidR="00AA064F">
        <w:rPr>
          <w:rFonts w:ascii="Times New Roman" w:eastAsiaTheme="minorEastAsia" w:hAnsi="Times New Roman" w:cs="Times New Roman"/>
          <w:sz w:val="20"/>
          <w:szCs w:val="20"/>
        </w:rPr>
        <w:t xml:space="preserve"> </w:t>
      </w:r>
    </w:p>
    <w:p w14:paraId="685A33CE" w14:textId="77777777" w:rsidR="001F5508" w:rsidRPr="004363F1" w:rsidRDefault="00AD7390"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color w:val="FF0000"/>
          <w:sz w:val="20"/>
          <w:szCs w:val="20"/>
        </w:rPr>
        <w:t xml:space="preserve">  </w:t>
      </w:r>
      <w:r w:rsidR="00720C4E" w:rsidRPr="004363F1">
        <w:rPr>
          <w:rFonts w:ascii="Times New Roman" w:eastAsiaTheme="minorEastAsia" w:hAnsi="Times New Roman" w:cs="Times New Roman"/>
          <w:color w:val="FF0000"/>
          <w:sz w:val="20"/>
          <w:szCs w:val="20"/>
        </w:rPr>
        <w:t xml:space="preserve"> </w:t>
      </w:r>
    </w:p>
    <w:p w14:paraId="6782442B" w14:textId="77777777" w:rsidR="006D6430" w:rsidRPr="004363F1" w:rsidRDefault="00774B2D" w:rsidP="00CC0983">
      <w:pPr>
        <w:spacing w:after="0" w:line="240" w:lineRule="auto"/>
        <w:jc w:val="both"/>
        <w:rPr>
          <w:rFonts w:ascii="Times New Roman" w:eastAsiaTheme="minorEastAsia" w:hAnsi="Times New Roman" w:cs="Times New Roman"/>
          <w:b/>
          <w:sz w:val="24"/>
          <w:szCs w:val="24"/>
          <w:lang w:val="en-CA" w:eastAsia="ja-JP"/>
        </w:rPr>
      </w:pPr>
      <w:r w:rsidRPr="004363F1">
        <w:rPr>
          <w:rFonts w:ascii="Times New Roman" w:eastAsiaTheme="minorEastAsia" w:hAnsi="Times New Roman" w:cs="Times New Roman"/>
          <w:b/>
          <w:sz w:val="24"/>
          <w:szCs w:val="24"/>
          <w:lang w:val="en-CA" w:eastAsia="ja-JP"/>
        </w:rPr>
        <w:t xml:space="preserve">Supplemental Text </w:t>
      </w:r>
      <w:r w:rsidR="001F5508" w:rsidRPr="004363F1">
        <w:rPr>
          <w:rFonts w:ascii="Times New Roman" w:eastAsiaTheme="minorEastAsia" w:hAnsi="Times New Roman" w:cs="Times New Roman"/>
          <w:b/>
          <w:sz w:val="24"/>
          <w:szCs w:val="24"/>
          <w:lang w:val="en-CA" w:eastAsia="ja-JP"/>
        </w:rPr>
        <w:t>11</w:t>
      </w:r>
      <w:r w:rsidR="006D6430" w:rsidRPr="004363F1">
        <w:rPr>
          <w:rFonts w:ascii="Times New Roman" w:eastAsiaTheme="minorEastAsia" w:hAnsi="Times New Roman" w:cs="Times New Roman"/>
          <w:b/>
          <w:sz w:val="24"/>
          <w:szCs w:val="24"/>
          <w:lang w:val="en-CA" w:eastAsia="ja-JP"/>
        </w:rPr>
        <w:t>: Assessment of the Predictive Powers of MODS, SOFA and APACHE II</w:t>
      </w:r>
    </w:p>
    <w:p w14:paraId="0B7E19C3" w14:textId="77777777" w:rsidR="005A302B" w:rsidRPr="004363F1" w:rsidRDefault="006D6430"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lang w:val="en-CA" w:eastAsia="ja-JP"/>
        </w:rPr>
        <w:t xml:space="preserve">For both MODS and SOFA, we created the day 1 and change variables and then assessed the predictive power of each of them in the CLOGLOG model that contained the same set of contextual variables as in our own model. For APACHE II, we </w:t>
      </w:r>
      <w:r w:rsidR="00D3043F" w:rsidRPr="004363F1">
        <w:rPr>
          <w:rFonts w:ascii="Times New Roman" w:eastAsiaTheme="minorEastAsia" w:hAnsi="Times New Roman" w:cs="Times New Roman"/>
          <w:sz w:val="20"/>
          <w:szCs w:val="20"/>
          <w:lang w:val="en-CA" w:eastAsia="ja-JP"/>
        </w:rPr>
        <w:t>only created the day 1 variable</w:t>
      </w:r>
      <w:r w:rsidRPr="004363F1">
        <w:rPr>
          <w:rFonts w:ascii="Times New Roman" w:eastAsiaTheme="minorEastAsia" w:hAnsi="Times New Roman" w:cs="Times New Roman"/>
          <w:sz w:val="20"/>
          <w:szCs w:val="20"/>
          <w:lang w:val="en-CA" w:eastAsia="ja-JP"/>
        </w:rPr>
        <w:t xml:space="preserve"> because </w:t>
      </w:r>
      <w:r w:rsidR="00C10F1D" w:rsidRPr="004363F1">
        <w:rPr>
          <w:rFonts w:ascii="Times New Roman" w:eastAsiaTheme="minorEastAsia" w:hAnsi="Times New Roman" w:cs="Times New Roman"/>
          <w:sz w:val="20"/>
          <w:szCs w:val="20"/>
          <w:lang w:val="en-CA" w:eastAsia="ja-JP"/>
        </w:rPr>
        <w:t xml:space="preserve">APACHE II </w:t>
      </w:r>
      <w:r w:rsidRPr="004363F1">
        <w:rPr>
          <w:rFonts w:ascii="Times New Roman" w:eastAsiaTheme="minorEastAsia" w:hAnsi="Times New Roman" w:cs="Times New Roman"/>
          <w:sz w:val="20"/>
          <w:szCs w:val="20"/>
          <w:lang w:val="en-CA" w:eastAsia="ja-JP"/>
        </w:rPr>
        <w:t xml:space="preserve">was designed to measure </w:t>
      </w:r>
      <w:r w:rsidR="00D3043F" w:rsidRPr="004363F1">
        <w:rPr>
          <w:rFonts w:ascii="Times New Roman" w:eastAsiaTheme="minorEastAsia" w:hAnsi="Times New Roman" w:cs="Times New Roman"/>
          <w:sz w:val="20"/>
          <w:szCs w:val="20"/>
          <w:lang w:val="en-CA" w:eastAsia="ja-JP"/>
        </w:rPr>
        <w:t>disease severity within</w:t>
      </w:r>
      <w:r w:rsidRPr="004363F1">
        <w:rPr>
          <w:rFonts w:ascii="Times New Roman" w:eastAsiaTheme="minorEastAsia" w:hAnsi="Times New Roman" w:cs="Times New Roman"/>
          <w:sz w:val="20"/>
          <w:szCs w:val="20"/>
          <w:lang w:val="en-CA" w:eastAsia="ja-JP"/>
        </w:rPr>
        <w:t xml:space="preserve"> 24 hours</w:t>
      </w:r>
      <w:r w:rsidR="00D3043F" w:rsidRPr="004363F1">
        <w:rPr>
          <w:rFonts w:ascii="Times New Roman" w:eastAsiaTheme="minorEastAsia" w:hAnsi="Times New Roman" w:cs="Times New Roman"/>
          <w:sz w:val="20"/>
          <w:szCs w:val="20"/>
          <w:lang w:val="en-CA" w:eastAsia="ja-JP"/>
        </w:rPr>
        <w:t xml:space="preserve"> of ICU</w:t>
      </w:r>
      <w:r w:rsidRPr="004363F1">
        <w:rPr>
          <w:rFonts w:ascii="Times New Roman" w:eastAsiaTheme="minorEastAsia" w:hAnsi="Times New Roman" w:cs="Times New Roman"/>
          <w:sz w:val="20"/>
          <w:szCs w:val="20"/>
          <w:lang w:val="en-CA" w:eastAsia="ja-JP"/>
        </w:rPr>
        <w:t xml:space="preserve"> admission. </w:t>
      </w:r>
      <w:r w:rsidR="0037446F" w:rsidRPr="004363F1">
        <w:rPr>
          <w:rFonts w:ascii="Times New Roman" w:eastAsiaTheme="minorEastAsia" w:hAnsi="Times New Roman" w:cs="Times New Roman"/>
          <w:sz w:val="20"/>
          <w:szCs w:val="20"/>
          <w:lang w:val="en-CA" w:eastAsia="ja-JP"/>
        </w:rPr>
        <w:t xml:space="preserve">As shown in </w:t>
      </w:r>
      <w:r w:rsidR="00774B2D" w:rsidRPr="004363F1">
        <w:rPr>
          <w:rFonts w:ascii="Times New Roman" w:eastAsiaTheme="minorEastAsia" w:hAnsi="Times New Roman" w:cs="Times New Roman"/>
          <w:sz w:val="20"/>
          <w:szCs w:val="20"/>
          <w:lang w:val="en-CA" w:eastAsia="ja-JP"/>
        </w:rPr>
        <w:t xml:space="preserve">Supplemental Table </w:t>
      </w:r>
      <w:r w:rsidR="001B685D" w:rsidRPr="004363F1">
        <w:rPr>
          <w:rFonts w:ascii="Times New Roman" w:eastAsiaTheme="minorEastAsia" w:hAnsi="Times New Roman" w:cs="Times New Roman"/>
          <w:sz w:val="20"/>
          <w:szCs w:val="20"/>
          <w:lang w:val="en-CA" w:eastAsia="ja-JP"/>
        </w:rPr>
        <w:t>12</w:t>
      </w:r>
      <w:r w:rsidR="00C56C8A" w:rsidRPr="004363F1">
        <w:rPr>
          <w:rFonts w:ascii="Times New Roman" w:eastAsiaTheme="minorEastAsia" w:hAnsi="Times New Roman" w:cs="Times New Roman"/>
          <w:sz w:val="20"/>
          <w:szCs w:val="20"/>
          <w:lang w:val="en-CA" w:eastAsia="ja-JP"/>
        </w:rPr>
        <w:t>, t</w:t>
      </w:r>
      <w:r w:rsidRPr="004363F1">
        <w:rPr>
          <w:rFonts w:ascii="Times New Roman" w:eastAsiaTheme="minorEastAsia" w:hAnsi="Times New Roman" w:cs="Times New Roman"/>
          <w:sz w:val="20"/>
          <w:szCs w:val="20"/>
        </w:rPr>
        <w:t>he values of AUC</w:t>
      </w:r>
      <w:r w:rsidR="004E511D" w:rsidRPr="004363F1">
        <w:rPr>
          <w:rFonts w:ascii="Times New Roman" w:eastAsiaTheme="minorEastAsia" w:hAnsi="Times New Roman" w:cs="Times New Roman"/>
          <w:sz w:val="20"/>
          <w:szCs w:val="20"/>
        </w:rPr>
        <w:t>_P28</w:t>
      </w:r>
      <w:r w:rsidRPr="004363F1">
        <w:rPr>
          <w:rFonts w:ascii="Times New Roman" w:eastAsiaTheme="minorEastAsia" w:hAnsi="Times New Roman" w:cs="Times New Roman"/>
          <w:sz w:val="20"/>
          <w:szCs w:val="20"/>
        </w:rPr>
        <w:t xml:space="preserve"> </w:t>
      </w:r>
      <w:r w:rsidR="00D3043F" w:rsidRPr="004363F1">
        <w:rPr>
          <w:rFonts w:ascii="Times New Roman" w:eastAsiaTheme="minorEastAsia" w:hAnsi="Times New Roman" w:cs="Times New Roman"/>
          <w:sz w:val="20"/>
          <w:szCs w:val="20"/>
        </w:rPr>
        <w:t xml:space="preserve">are </w:t>
      </w:r>
      <w:r w:rsidRPr="004363F1">
        <w:rPr>
          <w:rFonts w:ascii="Times New Roman" w:eastAsiaTheme="minorEastAsia" w:hAnsi="Times New Roman" w:cs="Times New Roman"/>
          <w:sz w:val="20"/>
          <w:szCs w:val="20"/>
        </w:rPr>
        <w:t>0.802 (95% CI, 0.746 - 0.858) for MODS, 0.862 (95% CI, 0.817 – 0.907) for SOFA, and 0.774 (CI: 0.723 - 0.826) for APACHE II. All three were lower than the AUC</w:t>
      </w:r>
      <w:r w:rsidR="004E511D" w:rsidRPr="004363F1">
        <w:rPr>
          <w:rFonts w:ascii="Times New Roman" w:eastAsiaTheme="minorEastAsia" w:hAnsi="Times New Roman" w:cs="Times New Roman"/>
          <w:sz w:val="20"/>
          <w:szCs w:val="20"/>
        </w:rPr>
        <w:t>_P28</w:t>
      </w:r>
      <w:r w:rsidRPr="004363F1">
        <w:rPr>
          <w:rFonts w:ascii="Times New Roman" w:eastAsiaTheme="minorEastAsia" w:hAnsi="Times New Roman" w:cs="Times New Roman"/>
          <w:sz w:val="20"/>
          <w:szCs w:val="20"/>
        </w:rPr>
        <w:t xml:space="preserve"> achiev</w:t>
      </w:r>
      <w:r w:rsidR="0081666A" w:rsidRPr="004363F1">
        <w:rPr>
          <w:rFonts w:ascii="Times New Roman" w:eastAsiaTheme="minorEastAsia" w:hAnsi="Times New Roman" w:cs="Times New Roman"/>
          <w:sz w:val="20"/>
          <w:szCs w:val="20"/>
        </w:rPr>
        <w:t>ed by</w:t>
      </w:r>
      <w:r w:rsidRPr="004363F1">
        <w:rPr>
          <w:rFonts w:ascii="Times New Roman" w:eastAsiaTheme="minorEastAsia" w:hAnsi="Times New Roman" w:cs="Times New Roman"/>
          <w:sz w:val="20"/>
          <w:szCs w:val="20"/>
        </w:rPr>
        <w:t xml:space="preserve"> our model: 0.903 (95% CI, 0.864 - 0.941).</w:t>
      </w:r>
      <w:r w:rsidR="00C56C8A" w:rsidRPr="004363F1">
        <w:rPr>
          <w:rFonts w:ascii="Times New Roman" w:eastAsiaTheme="minorEastAsia" w:hAnsi="Times New Roman" w:cs="Times New Roman"/>
          <w:sz w:val="20"/>
          <w:szCs w:val="20"/>
          <w:lang w:val="en-CA" w:eastAsia="ja-JP"/>
        </w:rPr>
        <w:t xml:space="preserve">  </w:t>
      </w:r>
      <w:r w:rsidR="00FE2703" w:rsidRPr="004363F1">
        <w:rPr>
          <w:rFonts w:ascii="Times New Roman" w:eastAsiaTheme="minorEastAsia" w:hAnsi="Times New Roman" w:cs="Times New Roman"/>
          <w:sz w:val="20"/>
          <w:szCs w:val="20"/>
          <w:lang w:val="en-CA" w:eastAsia="ja-JP"/>
        </w:rPr>
        <w:t xml:space="preserve">Although </w:t>
      </w:r>
      <w:r w:rsidR="001A5880" w:rsidRPr="004363F1">
        <w:rPr>
          <w:rFonts w:ascii="Times New Roman" w:eastAsiaTheme="minorEastAsia" w:hAnsi="Times New Roman" w:cs="Times New Roman"/>
          <w:sz w:val="20"/>
          <w:szCs w:val="20"/>
          <w:lang w:val="en-CA" w:eastAsia="ja-JP"/>
        </w:rPr>
        <w:t xml:space="preserve">both </w:t>
      </w:r>
      <w:r w:rsidR="00FE2703" w:rsidRPr="004363F1">
        <w:rPr>
          <w:rFonts w:ascii="Times New Roman" w:eastAsiaTheme="minorEastAsia" w:hAnsi="Times New Roman" w:cs="Times New Roman"/>
          <w:sz w:val="20"/>
          <w:szCs w:val="20"/>
          <w:lang w:val="en-CA" w:eastAsia="ja-JP"/>
        </w:rPr>
        <w:t xml:space="preserve">MODS and </w:t>
      </w:r>
      <w:r w:rsidRPr="004363F1">
        <w:rPr>
          <w:rFonts w:ascii="Times New Roman" w:eastAsiaTheme="minorEastAsia" w:hAnsi="Times New Roman" w:cs="Times New Roman"/>
          <w:sz w:val="20"/>
          <w:szCs w:val="20"/>
          <w:lang w:val="en-CA" w:eastAsia="ja-JP"/>
        </w:rPr>
        <w:t xml:space="preserve">in SOFA </w:t>
      </w:r>
      <w:r w:rsidR="001A5880" w:rsidRPr="004363F1">
        <w:rPr>
          <w:rFonts w:ascii="Times New Roman" w:eastAsiaTheme="minorEastAsia" w:hAnsi="Times New Roman" w:cs="Times New Roman"/>
          <w:sz w:val="20"/>
          <w:szCs w:val="20"/>
          <w:lang w:val="en-CA" w:eastAsia="ja-JP"/>
        </w:rPr>
        <w:t>we</w:t>
      </w:r>
      <w:r w:rsidR="00D3043F" w:rsidRPr="004363F1">
        <w:rPr>
          <w:rFonts w:ascii="Times New Roman" w:eastAsiaTheme="minorEastAsia" w:hAnsi="Times New Roman" w:cs="Times New Roman"/>
          <w:sz w:val="20"/>
          <w:szCs w:val="20"/>
          <w:lang w:val="en-CA" w:eastAsia="ja-JP"/>
        </w:rPr>
        <w:t xml:space="preserve">re </w:t>
      </w:r>
      <w:r w:rsidR="001A5880" w:rsidRPr="004363F1">
        <w:rPr>
          <w:rFonts w:ascii="Times New Roman" w:eastAsiaTheme="minorEastAsia" w:hAnsi="Times New Roman" w:cs="Times New Roman"/>
          <w:sz w:val="20"/>
          <w:szCs w:val="20"/>
          <w:lang w:val="en-CA" w:eastAsia="ja-JP"/>
        </w:rPr>
        <w:t>constructed from 6 TVBIs</w:t>
      </w:r>
      <w:r w:rsidRPr="004363F1">
        <w:rPr>
          <w:rFonts w:ascii="Times New Roman" w:eastAsiaTheme="minorEastAsia" w:hAnsi="Times New Roman" w:cs="Times New Roman"/>
          <w:sz w:val="20"/>
          <w:szCs w:val="20"/>
          <w:lang w:val="en-CA" w:eastAsia="ja-JP"/>
        </w:rPr>
        <w:t xml:space="preserve">, SOFA performed markedly better than did MODS. </w:t>
      </w:r>
      <w:r w:rsidRPr="004363F1">
        <w:rPr>
          <w:rFonts w:ascii="Times New Roman" w:eastAsiaTheme="minorEastAsia" w:hAnsi="Times New Roman" w:cs="Times New Roman"/>
          <w:sz w:val="20"/>
          <w:szCs w:val="20"/>
        </w:rPr>
        <w:t>The better performance of S</w:t>
      </w:r>
      <w:r w:rsidR="00D3043F" w:rsidRPr="004363F1">
        <w:rPr>
          <w:rFonts w:ascii="Times New Roman" w:eastAsiaTheme="minorEastAsia" w:hAnsi="Times New Roman" w:cs="Times New Roman"/>
          <w:sz w:val="20"/>
          <w:szCs w:val="20"/>
        </w:rPr>
        <w:t>OFA over MODS probably reflects</w:t>
      </w:r>
      <w:r w:rsidRPr="004363F1">
        <w:rPr>
          <w:rFonts w:ascii="Times New Roman" w:eastAsiaTheme="minorEastAsia" w:hAnsi="Times New Roman" w:cs="Times New Roman"/>
          <w:sz w:val="20"/>
          <w:szCs w:val="20"/>
        </w:rPr>
        <w:t xml:space="preserve"> the fact that one of the TVBIs used in constructing SOFA involved choices of different treatments for hypotension, with worse scores for higher dosages.</w:t>
      </w:r>
      <w:r w:rsidR="001A5880" w:rsidRPr="004363F1">
        <w:rPr>
          <w:rFonts w:ascii="Times New Roman" w:eastAsiaTheme="minorEastAsia" w:hAnsi="Times New Roman" w:cs="Times New Roman"/>
          <w:sz w:val="20"/>
          <w:szCs w:val="20"/>
        </w:rPr>
        <w:t xml:space="preserve"> In other words, the predictive power of SOFA </w:t>
      </w:r>
      <w:r w:rsidR="007B6CB2" w:rsidRPr="004363F1">
        <w:rPr>
          <w:rFonts w:ascii="Times New Roman" w:eastAsiaTheme="minorEastAsia" w:hAnsi="Times New Roman" w:cs="Times New Roman"/>
          <w:sz w:val="20"/>
          <w:szCs w:val="20"/>
        </w:rPr>
        <w:t>seemed to benefit</w:t>
      </w:r>
      <w:r w:rsidR="001A5880" w:rsidRPr="004363F1">
        <w:rPr>
          <w:rFonts w:ascii="Times New Roman" w:eastAsiaTheme="minorEastAsia" w:hAnsi="Times New Roman" w:cs="Times New Roman"/>
          <w:sz w:val="20"/>
          <w:szCs w:val="20"/>
        </w:rPr>
        <w:t xml:space="preserve"> from physicians’ </w:t>
      </w:r>
      <w:r w:rsidR="00642821" w:rsidRPr="004363F1">
        <w:rPr>
          <w:rFonts w:ascii="Times New Roman" w:eastAsiaTheme="minorEastAsia" w:hAnsi="Times New Roman" w:cs="Times New Roman"/>
          <w:sz w:val="20"/>
          <w:szCs w:val="20"/>
        </w:rPr>
        <w:t xml:space="preserve">professional </w:t>
      </w:r>
      <w:r w:rsidR="001A5880" w:rsidRPr="004363F1">
        <w:rPr>
          <w:rFonts w:ascii="Times New Roman" w:eastAsiaTheme="minorEastAsia" w:hAnsi="Times New Roman" w:cs="Times New Roman"/>
          <w:sz w:val="20"/>
          <w:szCs w:val="20"/>
        </w:rPr>
        <w:t>judgements on the relative sickness of patients.</w:t>
      </w:r>
      <w:r w:rsidRPr="004363F1">
        <w:rPr>
          <w:rFonts w:ascii="Times New Roman" w:eastAsiaTheme="minorEastAsia" w:hAnsi="Times New Roman" w:cs="Times New Roman"/>
          <w:sz w:val="20"/>
          <w:szCs w:val="20"/>
        </w:rPr>
        <w:t xml:space="preserve"> </w:t>
      </w:r>
    </w:p>
    <w:p w14:paraId="7FAF1624" w14:textId="77777777" w:rsidR="005A302B" w:rsidRPr="004363F1" w:rsidRDefault="005A302B" w:rsidP="00CC0983">
      <w:pPr>
        <w:spacing w:after="0" w:line="240" w:lineRule="auto"/>
        <w:ind w:firstLine="720"/>
        <w:jc w:val="both"/>
        <w:rPr>
          <w:rFonts w:ascii="Times New Roman" w:eastAsiaTheme="minorEastAsia" w:hAnsi="Times New Roman" w:cs="Times New Roman"/>
          <w:sz w:val="20"/>
          <w:szCs w:val="20"/>
          <w:lang w:val="en-CA" w:eastAsia="ja-JP"/>
        </w:rPr>
      </w:pPr>
    </w:p>
    <w:p w14:paraId="7AF16E24" w14:textId="77777777" w:rsidR="00292EB1" w:rsidRPr="004363F1" w:rsidRDefault="00774B2D" w:rsidP="00CC0983">
      <w:pPr>
        <w:spacing w:after="0" w:line="240" w:lineRule="auto"/>
        <w:jc w:val="both"/>
        <w:rPr>
          <w:rFonts w:ascii="Times New Roman" w:eastAsiaTheme="minorEastAsia" w:hAnsi="Times New Roman" w:cs="Times New Roman"/>
          <w:b/>
          <w:sz w:val="24"/>
          <w:szCs w:val="24"/>
          <w:lang w:val="en-CA" w:eastAsia="ja-JP"/>
        </w:rPr>
      </w:pPr>
      <w:r w:rsidRPr="004363F1">
        <w:rPr>
          <w:rFonts w:ascii="Times New Roman" w:eastAsiaTheme="minorEastAsia" w:hAnsi="Times New Roman" w:cs="Times New Roman"/>
          <w:b/>
          <w:sz w:val="24"/>
          <w:szCs w:val="24"/>
          <w:lang w:val="en-CA" w:eastAsia="ja-JP"/>
        </w:rPr>
        <w:t xml:space="preserve">Supplemental Text </w:t>
      </w:r>
      <w:r w:rsidR="001F5508" w:rsidRPr="004363F1">
        <w:rPr>
          <w:rFonts w:ascii="Times New Roman" w:eastAsiaTheme="minorEastAsia" w:hAnsi="Times New Roman" w:cs="Times New Roman"/>
          <w:b/>
          <w:sz w:val="24"/>
          <w:szCs w:val="24"/>
          <w:lang w:val="en-CA" w:eastAsia="ja-JP"/>
        </w:rPr>
        <w:t>12</w:t>
      </w:r>
      <w:r w:rsidR="00292EB1" w:rsidRPr="004363F1">
        <w:rPr>
          <w:rFonts w:ascii="Times New Roman" w:eastAsiaTheme="minorEastAsia" w:hAnsi="Times New Roman" w:cs="Times New Roman"/>
          <w:b/>
          <w:sz w:val="24"/>
          <w:szCs w:val="24"/>
          <w:lang w:val="en-CA" w:eastAsia="ja-JP"/>
        </w:rPr>
        <w:t>: Assessment of the Usefulness of Four Additional TVBIs</w:t>
      </w:r>
      <w:r w:rsidR="00744601" w:rsidRPr="004363F1">
        <w:rPr>
          <w:rFonts w:ascii="Times New Roman" w:eastAsiaTheme="minorEastAsia" w:hAnsi="Times New Roman" w:cs="Times New Roman"/>
          <w:b/>
          <w:sz w:val="24"/>
          <w:szCs w:val="24"/>
          <w:lang w:val="en-CA" w:eastAsia="ja-JP"/>
        </w:rPr>
        <w:t xml:space="preserve"> and Other Contextual Variables</w:t>
      </w:r>
    </w:p>
    <w:p w14:paraId="1B1B6014" w14:textId="77777777" w:rsidR="005336E7" w:rsidRPr="004363F1" w:rsidRDefault="00820C86" w:rsidP="00CC0983">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ab/>
        <w:t xml:space="preserve"> </w:t>
      </w:r>
      <w:r w:rsidR="008B7925" w:rsidRPr="004363F1">
        <w:rPr>
          <w:rFonts w:ascii="Times New Roman" w:eastAsiaTheme="minorEastAsia" w:hAnsi="Times New Roman" w:cs="Times New Roman"/>
          <w:sz w:val="20"/>
          <w:szCs w:val="20"/>
        </w:rPr>
        <w:t xml:space="preserve">To explore the possibility that </w:t>
      </w:r>
      <w:r w:rsidR="00292EB1" w:rsidRPr="004363F1">
        <w:rPr>
          <w:rFonts w:ascii="Times New Roman" w:eastAsiaTheme="minorEastAsia" w:hAnsi="Times New Roman" w:cs="Times New Roman"/>
          <w:sz w:val="20"/>
          <w:szCs w:val="20"/>
        </w:rPr>
        <w:t xml:space="preserve">adding more TVBIs </w:t>
      </w:r>
      <w:r w:rsidR="00ED51ED" w:rsidRPr="004363F1">
        <w:rPr>
          <w:rFonts w:ascii="Times New Roman" w:eastAsiaTheme="minorEastAsia" w:hAnsi="Times New Roman" w:cs="Times New Roman"/>
          <w:sz w:val="20"/>
          <w:szCs w:val="20"/>
        </w:rPr>
        <w:t xml:space="preserve">into our assessment tool </w:t>
      </w:r>
      <w:r w:rsidR="008B7925" w:rsidRPr="004363F1">
        <w:rPr>
          <w:rFonts w:ascii="Times New Roman" w:eastAsiaTheme="minorEastAsia" w:hAnsi="Times New Roman" w:cs="Times New Roman"/>
          <w:sz w:val="20"/>
          <w:szCs w:val="20"/>
        </w:rPr>
        <w:t xml:space="preserve">can </w:t>
      </w:r>
      <w:r w:rsidR="00ED51ED" w:rsidRPr="004363F1">
        <w:rPr>
          <w:rFonts w:ascii="Times New Roman" w:eastAsiaTheme="minorEastAsia" w:hAnsi="Times New Roman" w:cs="Times New Roman"/>
          <w:sz w:val="20"/>
          <w:szCs w:val="20"/>
        </w:rPr>
        <w:t>enhance its</w:t>
      </w:r>
      <w:r w:rsidR="00292EB1" w:rsidRPr="004363F1">
        <w:rPr>
          <w:rFonts w:ascii="Times New Roman" w:eastAsiaTheme="minorEastAsia" w:hAnsi="Times New Roman" w:cs="Times New Roman"/>
          <w:sz w:val="20"/>
          <w:szCs w:val="20"/>
        </w:rPr>
        <w:t xml:space="preserve"> predict</w:t>
      </w:r>
      <w:r w:rsidR="00ED51ED" w:rsidRPr="004363F1">
        <w:rPr>
          <w:rFonts w:ascii="Times New Roman" w:eastAsiaTheme="minorEastAsia" w:hAnsi="Times New Roman" w:cs="Times New Roman"/>
          <w:sz w:val="20"/>
          <w:szCs w:val="20"/>
        </w:rPr>
        <w:t>ive power</w:t>
      </w:r>
      <w:r w:rsidR="008B7925" w:rsidRPr="004363F1">
        <w:rPr>
          <w:rFonts w:ascii="Times New Roman" w:eastAsiaTheme="minorEastAsia" w:hAnsi="Times New Roman" w:cs="Times New Roman"/>
          <w:sz w:val="20"/>
          <w:szCs w:val="20"/>
        </w:rPr>
        <w:t xml:space="preserve">, we </w:t>
      </w:r>
      <w:r w:rsidR="00292EB1" w:rsidRPr="004363F1">
        <w:rPr>
          <w:rFonts w:ascii="Times New Roman" w:eastAsiaTheme="minorEastAsia" w:hAnsi="Times New Roman" w:cs="Times New Roman"/>
          <w:sz w:val="20"/>
          <w:szCs w:val="20"/>
        </w:rPr>
        <w:t>adde</w:t>
      </w:r>
      <w:r w:rsidR="00C15576" w:rsidRPr="004363F1">
        <w:rPr>
          <w:rFonts w:ascii="Times New Roman" w:eastAsiaTheme="minorEastAsia" w:hAnsi="Times New Roman" w:cs="Times New Roman"/>
          <w:sz w:val="20"/>
          <w:szCs w:val="20"/>
        </w:rPr>
        <w:t>d 4</w:t>
      </w:r>
      <w:r w:rsidR="00ED51ED" w:rsidRPr="004363F1">
        <w:rPr>
          <w:rFonts w:ascii="Times New Roman" w:eastAsiaTheme="minorEastAsia" w:hAnsi="Times New Roman" w:cs="Times New Roman"/>
          <w:sz w:val="20"/>
          <w:szCs w:val="20"/>
        </w:rPr>
        <w:t xml:space="preserve"> additional TVBIs separately int</w:t>
      </w:r>
      <w:r w:rsidR="0081666A" w:rsidRPr="004363F1">
        <w:rPr>
          <w:rFonts w:ascii="Times New Roman" w:eastAsiaTheme="minorEastAsia" w:hAnsi="Times New Roman" w:cs="Times New Roman"/>
          <w:sz w:val="20"/>
          <w:szCs w:val="20"/>
        </w:rPr>
        <w:t>o our</w:t>
      </w:r>
      <w:r w:rsidR="00ED51ED" w:rsidRPr="004363F1">
        <w:rPr>
          <w:rFonts w:ascii="Times New Roman" w:eastAsiaTheme="minorEastAsia" w:hAnsi="Times New Roman" w:cs="Times New Roman"/>
          <w:sz w:val="20"/>
          <w:szCs w:val="20"/>
        </w:rPr>
        <w:t xml:space="preserve"> CLOGLOG model</w:t>
      </w:r>
      <w:r w:rsidR="00151F5C" w:rsidRPr="004363F1">
        <w:rPr>
          <w:rFonts w:ascii="Times New Roman" w:eastAsiaTheme="minorEastAsia" w:hAnsi="Times New Roman" w:cs="Times New Roman"/>
          <w:sz w:val="20"/>
          <w:szCs w:val="20"/>
        </w:rPr>
        <w:t xml:space="preserve"> represented by</w:t>
      </w:r>
      <w:r w:rsidR="00ED51ED" w:rsidRPr="004363F1">
        <w:rPr>
          <w:rFonts w:ascii="Times New Roman" w:eastAsiaTheme="minorEastAsia" w:hAnsi="Times New Roman" w:cs="Times New Roman"/>
          <w:sz w:val="20"/>
          <w:szCs w:val="20"/>
        </w:rPr>
        <w:t xml:space="preserve"> </w:t>
      </w:r>
      <w:r w:rsidR="00151F5C" w:rsidRPr="004363F1">
        <w:rPr>
          <w:rFonts w:ascii="Times New Roman" w:eastAsiaTheme="minorEastAsia" w:hAnsi="Times New Roman" w:cs="Times New Roman"/>
          <w:sz w:val="20"/>
          <w:szCs w:val="20"/>
        </w:rPr>
        <w:t xml:space="preserve">Panel 1 of </w:t>
      </w:r>
      <w:r w:rsidR="00ED51ED" w:rsidRPr="004363F1">
        <w:rPr>
          <w:rFonts w:ascii="Times New Roman" w:eastAsiaTheme="minorEastAsia" w:hAnsi="Times New Roman" w:cs="Times New Roman"/>
          <w:sz w:val="20"/>
          <w:szCs w:val="20"/>
        </w:rPr>
        <w:t>Table 2</w:t>
      </w:r>
      <w:r w:rsidR="001A429F" w:rsidRPr="004363F1">
        <w:rPr>
          <w:rFonts w:ascii="Times New Roman" w:eastAsiaTheme="minorEastAsia" w:hAnsi="Times New Roman" w:cs="Times New Roman"/>
          <w:sz w:val="20"/>
          <w:szCs w:val="20"/>
        </w:rPr>
        <w:t xml:space="preserve"> in the paper</w:t>
      </w:r>
      <w:r w:rsidR="00ED51ED" w:rsidRPr="004363F1">
        <w:rPr>
          <w:rFonts w:ascii="Times New Roman" w:eastAsiaTheme="minorEastAsia" w:hAnsi="Times New Roman" w:cs="Times New Roman"/>
          <w:sz w:val="20"/>
          <w:szCs w:val="20"/>
        </w:rPr>
        <w:t>.</w:t>
      </w:r>
      <w:r w:rsidR="00C15576" w:rsidRPr="004363F1">
        <w:rPr>
          <w:rFonts w:ascii="Times New Roman" w:eastAsiaTheme="minorEastAsia" w:hAnsi="Times New Roman" w:cs="Times New Roman"/>
          <w:sz w:val="20"/>
          <w:szCs w:val="20"/>
        </w:rPr>
        <w:t xml:space="preserve">  Three of the additional TVBIs are the remaining components of the MODS </w:t>
      </w:r>
      <w:r w:rsidR="003E34DE" w:rsidRPr="004363F1">
        <w:rPr>
          <w:rFonts w:ascii="Times New Roman" w:eastAsiaTheme="minorEastAsia" w:hAnsi="Times New Roman" w:cs="Times New Roman"/>
          <w:sz w:val="20"/>
          <w:szCs w:val="20"/>
        </w:rPr>
        <w:t>s</w:t>
      </w:r>
      <w:r w:rsidR="00C15576" w:rsidRPr="004363F1">
        <w:rPr>
          <w:rFonts w:ascii="Times New Roman" w:eastAsiaTheme="minorEastAsia" w:hAnsi="Times New Roman" w:cs="Times New Roman"/>
          <w:sz w:val="20"/>
          <w:szCs w:val="20"/>
        </w:rPr>
        <w:t>cor</w:t>
      </w:r>
      <w:r w:rsidR="003E34DE" w:rsidRPr="004363F1">
        <w:rPr>
          <w:rFonts w:ascii="Times New Roman" w:eastAsiaTheme="minorEastAsia" w:hAnsi="Times New Roman" w:cs="Times New Roman"/>
          <w:sz w:val="20"/>
          <w:szCs w:val="20"/>
        </w:rPr>
        <w:t>e</w:t>
      </w:r>
      <w:r w:rsidR="00C15576" w:rsidRPr="004363F1">
        <w:rPr>
          <w:rFonts w:ascii="Times New Roman" w:eastAsiaTheme="minorEastAsia" w:hAnsi="Times New Roman" w:cs="Times New Roman"/>
          <w:sz w:val="20"/>
          <w:szCs w:val="20"/>
        </w:rPr>
        <w:t xml:space="preserve"> (</w:t>
      </w:r>
      <w:r w:rsidR="00ED51ED" w:rsidRPr="004363F1">
        <w:rPr>
          <w:rFonts w:ascii="Times New Roman" w:eastAsiaTheme="minorEastAsia" w:hAnsi="Times New Roman" w:cs="Times New Roman"/>
          <w:sz w:val="20"/>
          <w:szCs w:val="20"/>
        </w:rPr>
        <w:t xml:space="preserve">bilirubin, </w:t>
      </w:r>
      <w:r w:rsidR="00122776" w:rsidRPr="004363F1">
        <w:rPr>
          <w:rFonts w:ascii="Times New Roman" w:eastAsiaTheme="minorEastAsia" w:hAnsi="Times New Roman" w:cs="Times New Roman"/>
          <w:sz w:val="20"/>
          <w:szCs w:val="20"/>
        </w:rPr>
        <w:t>PaO</w:t>
      </w:r>
      <w:r w:rsidR="00122776" w:rsidRPr="004363F1">
        <w:rPr>
          <w:rFonts w:ascii="Times New Roman" w:eastAsiaTheme="minorEastAsia" w:hAnsi="Times New Roman" w:cs="Times New Roman"/>
          <w:sz w:val="20"/>
          <w:szCs w:val="20"/>
          <w:vertAlign w:val="subscript"/>
        </w:rPr>
        <w:t>2</w:t>
      </w:r>
      <w:r w:rsidR="005336E7" w:rsidRPr="004363F1">
        <w:rPr>
          <w:rFonts w:ascii="Times New Roman" w:eastAsiaTheme="minorEastAsia" w:hAnsi="Times New Roman" w:cs="Times New Roman"/>
          <w:sz w:val="20"/>
          <w:szCs w:val="20"/>
        </w:rPr>
        <w:t>/FiO</w:t>
      </w:r>
      <w:r w:rsidR="005336E7" w:rsidRPr="004363F1">
        <w:rPr>
          <w:rFonts w:ascii="Times New Roman" w:eastAsiaTheme="minorEastAsia" w:hAnsi="Times New Roman" w:cs="Times New Roman"/>
          <w:sz w:val="20"/>
          <w:szCs w:val="20"/>
          <w:vertAlign w:val="subscript"/>
        </w:rPr>
        <w:t>2</w:t>
      </w:r>
      <w:r w:rsidR="005336E7" w:rsidRPr="004363F1">
        <w:rPr>
          <w:rFonts w:ascii="Times New Roman" w:eastAsiaTheme="minorEastAsia" w:hAnsi="Times New Roman" w:cs="Times New Roman"/>
          <w:sz w:val="20"/>
          <w:szCs w:val="20"/>
        </w:rPr>
        <w:t xml:space="preserve"> ratio, </w:t>
      </w:r>
      <w:r w:rsidR="00E954B6" w:rsidRPr="004363F1">
        <w:rPr>
          <w:rFonts w:ascii="Times New Roman" w:eastAsiaTheme="minorEastAsia" w:hAnsi="Times New Roman" w:cs="Times New Roman"/>
          <w:sz w:val="20"/>
          <w:szCs w:val="20"/>
        </w:rPr>
        <w:t xml:space="preserve">pressure </w:t>
      </w:r>
      <w:r w:rsidR="008B7925" w:rsidRPr="004363F1">
        <w:rPr>
          <w:rFonts w:ascii="Times New Roman" w:eastAsiaTheme="minorEastAsia" w:hAnsi="Times New Roman" w:cs="Times New Roman"/>
          <w:sz w:val="20"/>
          <w:szCs w:val="20"/>
        </w:rPr>
        <w:t>adjusted heart rate (PAR)</w:t>
      </w:r>
      <w:r w:rsidR="00C15576" w:rsidRPr="004363F1">
        <w:rPr>
          <w:rFonts w:ascii="Times New Roman" w:eastAsiaTheme="minorEastAsia" w:hAnsi="Times New Roman" w:cs="Times New Roman"/>
          <w:sz w:val="20"/>
          <w:szCs w:val="20"/>
        </w:rPr>
        <w:t>).  We also examined n</w:t>
      </w:r>
      <w:r w:rsidR="00502E1E" w:rsidRPr="004363F1">
        <w:rPr>
          <w:rFonts w:ascii="Times New Roman" w:eastAsiaTheme="minorEastAsia" w:hAnsi="Times New Roman" w:cs="Times New Roman"/>
          <w:sz w:val="20"/>
          <w:szCs w:val="20"/>
        </w:rPr>
        <w:t>eutrophil count</w:t>
      </w:r>
      <w:r w:rsidR="00C15576" w:rsidRPr="004363F1">
        <w:rPr>
          <w:rFonts w:ascii="Times New Roman" w:eastAsiaTheme="minorEastAsia" w:hAnsi="Times New Roman" w:cs="Times New Roman"/>
          <w:sz w:val="20"/>
          <w:szCs w:val="20"/>
        </w:rPr>
        <w:t xml:space="preserve"> since neutrophils are a potential source of </w:t>
      </w:r>
      <w:r w:rsidR="00146D60" w:rsidRPr="004363F1">
        <w:rPr>
          <w:rFonts w:ascii="Times New Roman" w:eastAsiaTheme="minorEastAsia" w:hAnsi="Times New Roman" w:cs="Times New Roman"/>
          <w:sz w:val="20"/>
          <w:szCs w:val="20"/>
        </w:rPr>
        <w:t xml:space="preserve">circulating </w:t>
      </w:r>
      <w:proofErr w:type="spellStart"/>
      <w:r w:rsidR="00C15576" w:rsidRPr="004363F1">
        <w:rPr>
          <w:rFonts w:ascii="Times New Roman" w:eastAsiaTheme="minorEastAsia" w:hAnsi="Times New Roman" w:cs="Times New Roman"/>
          <w:sz w:val="20"/>
          <w:szCs w:val="20"/>
        </w:rPr>
        <w:t>cfDNA</w:t>
      </w:r>
      <w:proofErr w:type="spellEnd"/>
      <w:r w:rsidR="00E954B6" w:rsidRPr="004363F1">
        <w:rPr>
          <w:rFonts w:ascii="Times New Roman" w:eastAsiaTheme="minorEastAsia" w:hAnsi="Times New Roman" w:cs="Times New Roman"/>
          <w:sz w:val="20"/>
          <w:szCs w:val="20"/>
        </w:rPr>
        <w:t xml:space="preserve">. </w:t>
      </w:r>
      <w:r w:rsidR="00ED51ED" w:rsidRPr="004363F1">
        <w:rPr>
          <w:rFonts w:ascii="Times New Roman" w:eastAsiaTheme="minorEastAsia" w:hAnsi="Times New Roman" w:cs="Times New Roman"/>
          <w:sz w:val="20"/>
          <w:szCs w:val="20"/>
        </w:rPr>
        <w:t>The day 1 and change variables of each TVBI were en</w:t>
      </w:r>
      <w:r w:rsidR="00C15576" w:rsidRPr="004363F1">
        <w:rPr>
          <w:rFonts w:ascii="Times New Roman" w:eastAsiaTheme="minorEastAsia" w:hAnsi="Times New Roman" w:cs="Times New Roman"/>
          <w:sz w:val="20"/>
          <w:szCs w:val="20"/>
        </w:rPr>
        <w:t xml:space="preserve">tered into the model as a pair </w:t>
      </w:r>
      <w:r w:rsidR="00ED51ED" w:rsidRPr="004363F1">
        <w:rPr>
          <w:rFonts w:ascii="Times New Roman" w:eastAsiaTheme="minorEastAsia" w:hAnsi="Times New Roman" w:cs="Times New Roman"/>
          <w:sz w:val="20"/>
          <w:szCs w:val="20"/>
        </w:rPr>
        <w:t>because these two variables had a strong negative correlation for each TVBI.</w:t>
      </w:r>
      <w:r w:rsidR="00E954B6" w:rsidRPr="004363F1">
        <w:rPr>
          <w:rFonts w:ascii="Times New Roman" w:eastAsiaTheme="minorEastAsia" w:hAnsi="Times New Roman" w:cs="Times New Roman"/>
          <w:sz w:val="20"/>
          <w:szCs w:val="20"/>
        </w:rPr>
        <w:t xml:space="preserve"> </w:t>
      </w:r>
      <w:r w:rsidR="005717BE" w:rsidRPr="004363F1">
        <w:rPr>
          <w:rFonts w:ascii="Times New Roman" w:eastAsiaTheme="minorEastAsia" w:hAnsi="Times New Roman" w:cs="Times New Roman"/>
          <w:sz w:val="20"/>
          <w:szCs w:val="20"/>
        </w:rPr>
        <w:t xml:space="preserve">Supplemental </w:t>
      </w:r>
      <w:r w:rsidR="001B685D" w:rsidRPr="004363F1">
        <w:rPr>
          <w:rFonts w:ascii="Times New Roman" w:eastAsiaTheme="minorEastAsia" w:hAnsi="Times New Roman" w:cs="Times New Roman"/>
          <w:sz w:val="20"/>
          <w:szCs w:val="20"/>
        </w:rPr>
        <w:t>Table 13</w:t>
      </w:r>
      <w:r w:rsidR="00E954B6" w:rsidRPr="004363F1">
        <w:rPr>
          <w:rFonts w:ascii="Times New Roman" w:eastAsiaTheme="minorEastAsia" w:hAnsi="Times New Roman" w:cs="Times New Roman"/>
          <w:sz w:val="20"/>
          <w:szCs w:val="20"/>
        </w:rPr>
        <w:t xml:space="preserve"> shows that all the variables representing </w:t>
      </w:r>
      <w:r w:rsidR="00ED51ED" w:rsidRPr="004363F1">
        <w:rPr>
          <w:rFonts w:ascii="Times New Roman" w:eastAsiaTheme="minorEastAsia" w:hAnsi="Times New Roman" w:cs="Times New Roman"/>
          <w:sz w:val="20"/>
          <w:szCs w:val="20"/>
        </w:rPr>
        <w:t>these four</w:t>
      </w:r>
      <w:r w:rsidR="00E954B6" w:rsidRPr="004363F1">
        <w:rPr>
          <w:rFonts w:ascii="Times New Roman" w:eastAsiaTheme="minorEastAsia" w:hAnsi="Times New Roman" w:cs="Times New Roman"/>
          <w:sz w:val="20"/>
          <w:szCs w:val="20"/>
        </w:rPr>
        <w:t xml:space="preserve"> TVBIs</w:t>
      </w:r>
      <w:r w:rsidR="00A903DC" w:rsidRPr="004363F1">
        <w:rPr>
          <w:rFonts w:ascii="Times New Roman" w:eastAsiaTheme="minorEastAsia" w:hAnsi="Times New Roman" w:cs="Times New Roman"/>
          <w:sz w:val="20"/>
          <w:szCs w:val="20"/>
        </w:rPr>
        <w:t xml:space="preserve"> had </w:t>
      </w:r>
      <w:r w:rsidR="00E954B6" w:rsidRPr="004363F1">
        <w:rPr>
          <w:rFonts w:ascii="Times New Roman" w:eastAsiaTheme="minorEastAsia" w:hAnsi="Times New Roman" w:cs="Times New Roman"/>
          <w:sz w:val="20"/>
          <w:szCs w:val="20"/>
        </w:rPr>
        <w:t>p-value</w:t>
      </w:r>
      <w:r w:rsidR="00A903DC" w:rsidRPr="004363F1">
        <w:rPr>
          <w:rFonts w:ascii="Times New Roman" w:eastAsiaTheme="minorEastAsia" w:hAnsi="Times New Roman" w:cs="Times New Roman"/>
          <w:sz w:val="20"/>
          <w:szCs w:val="20"/>
        </w:rPr>
        <w:t>s</w:t>
      </w:r>
      <w:r w:rsidR="00E954B6" w:rsidRPr="004363F1">
        <w:rPr>
          <w:rFonts w:ascii="Times New Roman" w:eastAsiaTheme="minorEastAsia" w:hAnsi="Times New Roman" w:cs="Times New Roman"/>
          <w:sz w:val="20"/>
          <w:szCs w:val="20"/>
        </w:rPr>
        <w:t xml:space="preserve"> greater than 0.20 and hence did not have significant effects on the hazard of dying.</w:t>
      </w:r>
      <w:r w:rsidR="005336E7" w:rsidRPr="004363F1">
        <w:rPr>
          <w:rFonts w:ascii="Times New Roman" w:eastAsiaTheme="minorEastAsia" w:hAnsi="Times New Roman" w:cs="Times New Roman"/>
          <w:sz w:val="20"/>
          <w:szCs w:val="20"/>
        </w:rPr>
        <w:t xml:space="preserve"> Thus, </w:t>
      </w:r>
      <w:r w:rsidR="008B7925" w:rsidRPr="004363F1">
        <w:rPr>
          <w:rFonts w:ascii="Times New Roman" w:eastAsiaTheme="minorEastAsia" w:hAnsi="Times New Roman" w:cs="Times New Roman"/>
          <w:sz w:val="20"/>
          <w:szCs w:val="20"/>
        </w:rPr>
        <w:t>addition of more TVBIs to our tool does not increase its predictive power</w:t>
      </w:r>
      <w:r w:rsidR="003E34DE" w:rsidRPr="004363F1">
        <w:rPr>
          <w:rFonts w:ascii="Times New Roman" w:eastAsiaTheme="minorEastAsia" w:hAnsi="Times New Roman" w:cs="Times New Roman"/>
          <w:sz w:val="20"/>
          <w:szCs w:val="20"/>
        </w:rPr>
        <w:t>.</w:t>
      </w:r>
    </w:p>
    <w:p w14:paraId="0441A2A1" w14:textId="77777777" w:rsidR="00E60FD1" w:rsidRPr="004363F1" w:rsidRDefault="00E954B6" w:rsidP="00CC0983">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 </w:t>
      </w:r>
      <w:r w:rsidR="004A6282" w:rsidRPr="004363F1">
        <w:rPr>
          <w:rFonts w:ascii="Times New Roman" w:eastAsiaTheme="minorEastAsia" w:hAnsi="Times New Roman" w:cs="Times New Roman"/>
          <w:sz w:val="20"/>
          <w:szCs w:val="20"/>
        </w:rPr>
        <w:tab/>
        <w:t xml:space="preserve">The assessment of the usefulness of additional contextual variables was conducted by inserting </w:t>
      </w:r>
      <w:r w:rsidR="00F304FF" w:rsidRPr="004363F1">
        <w:rPr>
          <w:rFonts w:ascii="Times New Roman" w:eastAsiaTheme="minorEastAsia" w:hAnsi="Times New Roman" w:cs="Times New Roman"/>
          <w:sz w:val="20"/>
          <w:szCs w:val="20"/>
        </w:rPr>
        <w:t>each variable separately into</w:t>
      </w:r>
      <w:r w:rsidR="004A6282" w:rsidRPr="004363F1">
        <w:rPr>
          <w:rFonts w:ascii="Times New Roman" w:eastAsiaTheme="minorEastAsia" w:hAnsi="Times New Roman" w:cs="Times New Roman"/>
          <w:sz w:val="20"/>
          <w:szCs w:val="20"/>
        </w:rPr>
        <w:t xml:space="preserve"> the CLOGLOG model shown in Table 2. </w:t>
      </w:r>
      <w:r w:rsidR="001B685D" w:rsidRPr="004363F1">
        <w:rPr>
          <w:rFonts w:ascii="Times New Roman" w:eastAsiaTheme="minorEastAsia" w:hAnsi="Times New Roman" w:cs="Times New Roman"/>
          <w:sz w:val="20"/>
          <w:szCs w:val="20"/>
        </w:rPr>
        <w:t>Also f</w:t>
      </w:r>
      <w:r w:rsidR="00E9092A" w:rsidRPr="004363F1">
        <w:rPr>
          <w:rFonts w:ascii="Times New Roman" w:eastAsiaTheme="minorEastAsia" w:hAnsi="Times New Roman" w:cs="Times New Roman"/>
          <w:sz w:val="20"/>
          <w:szCs w:val="20"/>
        </w:rPr>
        <w:t xml:space="preserve">rom </w:t>
      </w:r>
      <w:r w:rsidR="005717BE" w:rsidRPr="004363F1">
        <w:rPr>
          <w:rFonts w:ascii="Times New Roman" w:eastAsiaTheme="minorEastAsia" w:hAnsi="Times New Roman" w:cs="Times New Roman"/>
          <w:sz w:val="20"/>
          <w:szCs w:val="20"/>
        </w:rPr>
        <w:t xml:space="preserve">Supplemental </w:t>
      </w:r>
      <w:r w:rsidR="001B685D" w:rsidRPr="004363F1">
        <w:rPr>
          <w:rFonts w:ascii="Times New Roman" w:eastAsiaTheme="minorEastAsia" w:hAnsi="Times New Roman" w:cs="Times New Roman"/>
          <w:sz w:val="20"/>
          <w:szCs w:val="20"/>
        </w:rPr>
        <w:t>Table 13</w:t>
      </w:r>
      <w:r w:rsidR="00E9092A" w:rsidRPr="004363F1">
        <w:rPr>
          <w:rFonts w:ascii="Times New Roman" w:eastAsiaTheme="minorEastAsia" w:hAnsi="Times New Roman" w:cs="Times New Roman"/>
          <w:sz w:val="20"/>
          <w:szCs w:val="20"/>
        </w:rPr>
        <w:t>, we found that a</w:t>
      </w:r>
      <w:r w:rsidR="004A6282" w:rsidRPr="004363F1">
        <w:rPr>
          <w:rFonts w:ascii="Times New Roman" w:eastAsiaTheme="minorEastAsia" w:hAnsi="Times New Roman" w:cs="Times New Roman"/>
          <w:sz w:val="20"/>
          <w:szCs w:val="20"/>
        </w:rPr>
        <w:t>mong the preconditions, congestive heart failure had a p-value less than 0.05. Despite its small p-value, we did not include it in our model</w:t>
      </w:r>
      <w:r w:rsidR="00AD5E4E" w:rsidRPr="004363F1">
        <w:rPr>
          <w:rFonts w:ascii="Times New Roman" w:eastAsiaTheme="minorEastAsia" w:hAnsi="Times New Roman" w:cs="Times New Roman"/>
          <w:sz w:val="20"/>
          <w:szCs w:val="20"/>
        </w:rPr>
        <w:t xml:space="preserve"> for the following reasons</w:t>
      </w:r>
      <w:r w:rsidR="004A6282" w:rsidRPr="004363F1">
        <w:rPr>
          <w:rFonts w:ascii="Times New Roman" w:eastAsiaTheme="minorEastAsia" w:hAnsi="Times New Roman" w:cs="Times New Roman"/>
          <w:sz w:val="20"/>
          <w:szCs w:val="20"/>
        </w:rPr>
        <w:t>. First, because its predictive power overlapped with that of age, its inclusion inflated the p-value of age from 0.0822 to 0.2604</w:t>
      </w:r>
      <w:r w:rsidR="00E60FD1" w:rsidRPr="004363F1">
        <w:rPr>
          <w:rFonts w:ascii="Times New Roman" w:eastAsiaTheme="minorEastAsia" w:hAnsi="Times New Roman" w:cs="Times New Roman"/>
          <w:sz w:val="20"/>
          <w:szCs w:val="20"/>
        </w:rPr>
        <w:t xml:space="preserve"> so that age would be removed from the model</w:t>
      </w:r>
      <w:r w:rsidR="00A01493" w:rsidRPr="004363F1">
        <w:rPr>
          <w:rFonts w:ascii="Times New Roman" w:eastAsiaTheme="minorEastAsia" w:hAnsi="Times New Roman" w:cs="Times New Roman"/>
          <w:sz w:val="20"/>
          <w:szCs w:val="20"/>
        </w:rPr>
        <w:t xml:space="preserve">. Second, its inclusion had practically no effect on the model’s predictive power, with AUC_P1 decreasing slightly </w:t>
      </w:r>
      <w:r w:rsidR="00041033" w:rsidRPr="004363F1">
        <w:rPr>
          <w:rFonts w:ascii="Times New Roman" w:eastAsiaTheme="minorEastAsia" w:hAnsi="Times New Roman" w:cs="Times New Roman"/>
          <w:sz w:val="20"/>
          <w:szCs w:val="20"/>
        </w:rPr>
        <w:t>from</w:t>
      </w:r>
      <w:r w:rsidR="00DA0B82" w:rsidRPr="004363F1">
        <w:rPr>
          <w:rFonts w:ascii="Times New Roman" w:eastAsiaTheme="minorEastAsia" w:hAnsi="Times New Roman" w:cs="Times New Roman"/>
          <w:sz w:val="20"/>
          <w:szCs w:val="20"/>
        </w:rPr>
        <w:t xml:space="preserve"> 0.</w:t>
      </w:r>
      <w:r w:rsidR="00E60FD1" w:rsidRPr="004363F1">
        <w:rPr>
          <w:rFonts w:ascii="Times New Roman" w:eastAsiaTheme="minorEastAsia" w:hAnsi="Times New Roman" w:cs="Times New Roman"/>
          <w:sz w:val="20"/>
          <w:szCs w:val="20"/>
        </w:rPr>
        <w:t xml:space="preserve">865 to 0.862. It is likely that for a larger sample size, congestive heart failure </w:t>
      </w:r>
      <w:r w:rsidR="00D0490C" w:rsidRPr="004363F1">
        <w:rPr>
          <w:rFonts w:ascii="Times New Roman" w:eastAsiaTheme="minorEastAsia" w:hAnsi="Times New Roman" w:cs="Times New Roman"/>
          <w:sz w:val="20"/>
          <w:szCs w:val="20"/>
        </w:rPr>
        <w:t xml:space="preserve">would have a </w:t>
      </w:r>
      <w:r w:rsidR="00E60FD1" w:rsidRPr="004363F1">
        <w:rPr>
          <w:rFonts w:ascii="Times New Roman" w:eastAsiaTheme="minorEastAsia" w:hAnsi="Times New Roman" w:cs="Times New Roman"/>
          <w:sz w:val="20"/>
          <w:szCs w:val="20"/>
        </w:rPr>
        <w:t xml:space="preserve">significant </w:t>
      </w:r>
      <w:r w:rsidR="00D0490C" w:rsidRPr="004363F1">
        <w:rPr>
          <w:rFonts w:ascii="Times New Roman" w:eastAsiaTheme="minorEastAsia" w:hAnsi="Times New Roman" w:cs="Times New Roman"/>
          <w:sz w:val="20"/>
          <w:szCs w:val="20"/>
        </w:rPr>
        <w:t>effect</w:t>
      </w:r>
      <w:r w:rsidR="00E60FD1" w:rsidRPr="004363F1">
        <w:rPr>
          <w:rFonts w:ascii="Times New Roman" w:eastAsiaTheme="minorEastAsia" w:hAnsi="Times New Roman" w:cs="Times New Roman"/>
          <w:sz w:val="20"/>
          <w:szCs w:val="20"/>
        </w:rPr>
        <w:t xml:space="preserve"> on the hazard of dying</w:t>
      </w:r>
      <w:r w:rsidR="00930F06" w:rsidRPr="004363F1">
        <w:rPr>
          <w:rFonts w:ascii="Times New Roman" w:eastAsiaTheme="minorEastAsia" w:hAnsi="Times New Roman" w:cs="Times New Roman"/>
          <w:sz w:val="20"/>
          <w:szCs w:val="20"/>
        </w:rPr>
        <w:t xml:space="preserve"> in a multivariate context</w:t>
      </w:r>
      <w:r w:rsidR="00E60FD1" w:rsidRPr="004363F1">
        <w:rPr>
          <w:rFonts w:ascii="Times New Roman" w:eastAsiaTheme="minorEastAsia" w:hAnsi="Times New Roman" w:cs="Times New Roman"/>
          <w:sz w:val="20"/>
          <w:szCs w:val="20"/>
        </w:rPr>
        <w:t>.</w:t>
      </w:r>
    </w:p>
    <w:p w14:paraId="6508B947" w14:textId="77777777" w:rsidR="002E7C52" w:rsidRPr="004363F1" w:rsidRDefault="00E60FD1" w:rsidP="00CC0983">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ab/>
        <w:t>The precondition of live</w:t>
      </w:r>
      <w:r w:rsidR="009E32BC" w:rsidRPr="004363F1">
        <w:rPr>
          <w:rFonts w:ascii="Times New Roman" w:eastAsiaTheme="minorEastAsia" w:hAnsi="Times New Roman" w:cs="Times New Roman"/>
          <w:sz w:val="20"/>
          <w:szCs w:val="20"/>
        </w:rPr>
        <w:t>r</w:t>
      </w:r>
      <w:r w:rsidRPr="004363F1">
        <w:rPr>
          <w:rFonts w:ascii="Times New Roman" w:eastAsiaTheme="minorEastAsia" w:hAnsi="Times New Roman" w:cs="Times New Roman"/>
          <w:sz w:val="20"/>
          <w:szCs w:val="20"/>
        </w:rPr>
        <w:t xml:space="preserve"> disease had a p-value somewhat lower than 0.10</w:t>
      </w:r>
      <w:r w:rsidR="005A7E8F" w:rsidRPr="004363F1">
        <w:rPr>
          <w:rFonts w:ascii="Times New Roman" w:eastAsiaTheme="minorEastAsia" w:hAnsi="Times New Roman" w:cs="Times New Roman"/>
          <w:sz w:val="20"/>
          <w:szCs w:val="20"/>
        </w:rPr>
        <w:t xml:space="preserve">, </w:t>
      </w:r>
      <w:r w:rsidR="00F304FF" w:rsidRPr="004363F1">
        <w:rPr>
          <w:rFonts w:ascii="Times New Roman" w:eastAsiaTheme="minorEastAsia" w:hAnsi="Times New Roman" w:cs="Times New Roman"/>
          <w:sz w:val="20"/>
          <w:szCs w:val="20"/>
        </w:rPr>
        <w:t>suggesting t</w:t>
      </w:r>
      <w:r w:rsidR="005A7E8F" w:rsidRPr="004363F1">
        <w:rPr>
          <w:rFonts w:ascii="Times New Roman" w:eastAsiaTheme="minorEastAsia" w:hAnsi="Times New Roman" w:cs="Times New Roman"/>
          <w:sz w:val="20"/>
          <w:szCs w:val="20"/>
        </w:rPr>
        <w:t>hat it might have some effect on the h</w:t>
      </w:r>
      <w:r w:rsidR="00D0490C" w:rsidRPr="004363F1">
        <w:rPr>
          <w:rFonts w:ascii="Times New Roman" w:eastAsiaTheme="minorEastAsia" w:hAnsi="Times New Roman" w:cs="Times New Roman"/>
          <w:sz w:val="20"/>
          <w:szCs w:val="20"/>
        </w:rPr>
        <w:t>azard of dying.  However</w:t>
      </w:r>
      <w:r w:rsidR="005A7E8F" w:rsidRPr="004363F1">
        <w:rPr>
          <w:rFonts w:ascii="Times New Roman" w:eastAsiaTheme="minorEastAsia" w:hAnsi="Times New Roman" w:cs="Times New Roman"/>
          <w:sz w:val="20"/>
          <w:szCs w:val="20"/>
        </w:rPr>
        <w:t xml:space="preserve">, its coefficient was negative. Diabetes and chronic renal insufficiency also had </w:t>
      </w:r>
      <w:r w:rsidR="005A7E8F" w:rsidRPr="004363F1">
        <w:rPr>
          <w:rFonts w:ascii="Times New Roman" w:eastAsiaTheme="minorEastAsia" w:hAnsi="Times New Roman" w:cs="Times New Roman"/>
          <w:i/>
          <w:sz w:val="20"/>
          <w:szCs w:val="20"/>
        </w:rPr>
        <w:t>negative</w:t>
      </w:r>
      <w:r w:rsidR="005A7E8F" w:rsidRPr="004363F1">
        <w:rPr>
          <w:rFonts w:ascii="Times New Roman" w:eastAsiaTheme="minorEastAsia" w:hAnsi="Times New Roman" w:cs="Times New Roman"/>
          <w:sz w:val="20"/>
          <w:szCs w:val="20"/>
        </w:rPr>
        <w:t xml:space="preserve"> but non-significant coefficient.  It is not clear whether these precondition</w:t>
      </w:r>
      <w:r w:rsidR="00E220C4" w:rsidRPr="004363F1">
        <w:rPr>
          <w:rFonts w:ascii="Times New Roman" w:eastAsiaTheme="minorEastAsia" w:hAnsi="Times New Roman" w:cs="Times New Roman"/>
          <w:sz w:val="20"/>
          <w:szCs w:val="20"/>
        </w:rPr>
        <w:t>s</w:t>
      </w:r>
      <w:r w:rsidR="005A7E8F" w:rsidRPr="004363F1">
        <w:rPr>
          <w:rFonts w:ascii="Times New Roman" w:eastAsiaTheme="minorEastAsia" w:hAnsi="Times New Roman" w:cs="Times New Roman"/>
          <w:sz w:val="20"/>
          <w:szCs w:val="20"/>
        </w:rPr>
        <w:t xml:space="preserve"> had spurious life-saving effects, resulting from the medications for their treatments.</w:t>
      </w:r>
      <w:r w:rsidRPr="004363F1">
        <w:rPr>
          <w:rFonts w:ascii="Times New Roman" w:eastAsiaTheme="minorEastAsia" w:hAnsi="Times New Roman" w:cs="Times New Roman"/>
          <w:sz w:val="20"/>
          <w:szCs w:val="20"/>
        </w:rPr>
        <w:t xml:space="preserve"> </w:t>
      </w:r>
      <w:r w:rsidR="002E7C52" w:rsidRPr="004363F1">
        <w:rPr>
          <w:rFonts w:ascii="Times New Roman" w:eastAsiaTheme="minorEastAsia" w:hAnsi="Times New Roman" w:cs="Times New Roman"/>
          <w:sz w:val="20"/>
          <w:szCs w:val="20"/>
        </w:rPr>
        <w:t>Ischemic heart disease, chronic dialysis, and cancer had positive coefficients but their p-values were too large to be considered for the inclusion in the model.</w:t>
      </w:r>
    </w:p>
    <w:p w14:paraId="1AB8BAE0" w14:textId="77777777" w:rsidR="000C63DD" w:rsidRPr="004363F1" w:rsidRDefault="002E7C52" w:rsidP="00CC0983">
      <w:pPr>
        <w:pStyle w:val="yiv0044038843msonormal"/>
        <w:spacing w:before="0" w:beforeAutospacing="0" w:after="0" w:afterAutospacing="0"/>
        <w:jc w:val="both"/>
        <w:rPr>
          <w:sz w:val="20"/>
          <w:szCs w:val="20"/>
        </w:rPr>
      </w:pPr>
      <w:r w:rsidRPr="004363F1">
        <w:rPr>
          <w:rFonts w:eastAsiaTheme="minorEastAsia"/>
          <w:sz w:val="20"/>
          <w:szCs w:val="20"/>
        </w:rPr>
        <w:tab/>
      </w:r>
      <w:r w:rsidR="000C63DD" w:rsidRPr="004363F1">
        <w:rPr>
          <w:sz w:val="20"/>
          <w:szCs w:val="20"/>
        </w:rPr>
        <w:t>With respect to gender, being female appears to be associated with an elevated hazard of dying.  However, its p-value is 0.0782.  So far</w:t>
      </w:r>
      <w:r w:rsidR="008B6A22" w:rsidRPr="004363F1">
        <w:rPr>
          <w:sz w:val="20"/>
          <w:szCs w:val="20"/>
        </w:rPr>
        <w:t>,</w:t>
      </w:r>
      <w:r w:rsidR="000C63DD" w:rsidRPr="004363F1">
        <w:rPr>
          <w:sz w:val="20"/>
          <w:szCs w:val="20"/>
        </w:rPr>
        <w:t xml:space="preserve"> we have not found physiological reasons for female septic patients to have a higher mortality risk than their male counterparts.  We also observed that there were no gender-specific differences in the administration of treatment (e.g. use of mechanical ventilation, vasopressors/inotropes, fluids) or in the length of stay in the ICU.</w:t>
      </w:r>
    </w:p>
    <w:p w14:paraId="3BE5F44C" w14:textId="77777777" w:rsidR="000C63DD" w:rsidRPr="004363F1" w:rsidRDefault="000C63DD" w:rsidP="00CC0983">
      <w:pPr>
        <w:spacing w:after="0" w:line="240" w:lineRule="auto"/>
        <w:jc w:val="both"/>
        <w:rPr>
          <w:rFonts w:ascii="Times New Roman" w:eastAsiaTheme="minorEastAsia" w:hAnsi="Times New Roman" w:cs="Times New Roman"/>
          <w:sz w:val="20"/>
          <w:szCs w:val="20"/>
        </w:rPr>
      </w:pPr>
    </w:p>
    <w:p w14:paraId="7FD9E80A" w14:textId="77777777" w:rsidR="00AE599C" w:rsidRPr="004363F1" w:rsidRDefault="00774B2D" w:rsidP="00CC0983">
      <w:pPr>
        <w:spacing w:after="0" w:line="240" w:lineRule="auto"/>
        <w:jc w:val="both"/>
        <w:rPr>
          <w:rFonts w:ascii="Times New Roman" w:eastAsiaTheme="minorEastAsia" w:hAnsi="Times New Roman" w:cs="Times New Roman"/>
          <w:b/>
          <w:sz w:val="24"/>
          <w:szCs w:val="24"/>
          <w:lang w:val="en-CA" w:eastAsia="ja-JP"/>
        </w:rPr>
      </w:pPr>
      <w:r w:rsidRPr="004363F1">
        <w:rPr>
          <w:rFonts w:ascii="Times New Roman" w:eastAsiaTheme="minorEastAsia" w:hAnsi="Times New Roman" w:cs="Times New Roman"/>
          <w:b/>
          <w:sz w:val="24"/>
          <w:szCs w:val="24"/>
          <w:lang w:val="en-CA" w:eastAsia="ja-JP"/>
        </w:rPr>
        <w:t xml:space="preserve">Supplemental Text </w:t>
      </w:r>
      <w:r w:rsidR="001F5508" w:rsidRPr="004363F1">
        <w:rPr>
          <w:rFonts w:ascii="Times New Roman" w:eastAsiaTheme="minorEastAsia" w:hAnsi="Times New Roman" w:cs="Times New Roman"/>
          <w:b/>
          <w:sz w:val="24"/>
          <w:szCs w:val="24"/>
          <w:lang w:val="en-CA" w:eastAsia="ja-JP"/>
        </w:rPr>
        <w:t>13</w:t>
      </w:r>
      <w:r w:rsidR="00AE599C" w:rsidRPr="004363F1">
        <w:rPr>
          <w:rFonts w:ascii="Times New Roman" w:eastAsiaTheme="minorEastAsia" w:hAnsi="Times New Roman" w:cs="Times New Roman"/>
          <w:b/>
          <w:sz w:val="24"/>
          <w:szCs w:val="24"/>
          <w:lang w:val="en-CA" w:eastAsia="ja-JP"/>
        </w:rPr>
        <w:t xml:space="preserve">: The Addition of the Information on the Sites and Types </w:t>
      </w:r>
      <w:r w:rsidR="00C1606A" w:rsidRPr="004363F1">
        <w:rPr>
          <w:rFonts w:ascii="Times New Roman" w:eastAsiaTheme="minorEastAsia" w:hAnsi="Times New Roman" w:cs="Times New Roman"/>
          <w:b/>
          <w:sz w:val="24"/>
          <w:szCs w:val="24"/>
          <w:lang w:val="en-CA" w:eastAsia="ja-JP"/>
        </w:rPr>
        <w:t>of Positive Cultures Had Little Effect</w:t>
      </w:r>
      <w:r w:rsidR="00AE599C" w:rsidRPr="004363F1">
        <w:rPr>
          <w:rFonts w:ascii="Times New Roman" w:eastAsiaTheme="minorEastAsia" w:hAnsi="Times New Roman" w:cs="Times New Roman"/>
          <w:b/>
          <w:sz w:val="24"/>
          <w:szCs w:val="24"/>
          <w:lang w:val="en-CA" w:eastAsia="ja-JP"/>
        </w:rPr>
        <w:t xml:space="preserve"> on the Predictive Power of the CLOGLOG Model</w:t>
      </w:r>
    </w:p>
    <w:p w14:paraId="65A7BF11" w14:textId="77777777" w:rsidR="006D1264" w:rsidRPr="004363F1" w:rsidRDefault="00376769" w:rsidP="00CC0983">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ab/>
        <w:t>From the raw data of the 356 septic patients who contributed information to the input data matrix of the CLOGLOG model, we found</w:t>
      </w:r>
      <w:r w:rsidR="00A64EC7" w:rsidRPr="004363F1">
        <w:rPr>
          <w:rFonts w:ascii="Times New Roman" w:eastAsiaTheme="minorEastAsia" w:hAnsi="Times New Roman" w:cs="Times New Roman"/>
          <w:sz w:val="20"/>
          <w:szCs w:val="20"/>
        </w:rPr>
        <w:t xml:space="preserve"> that some site</w:t>
      </w:r>
      <w:r w:rsidR="00D975A3" w:rsidRPr="004363F1">
        <w:rPr>
          <w:rFonts w:ascii="Times New Roman" w:eastAsiaTheme="minorEastAsia" w:hAnsi="Times New Roman" w:cs="Times New Roman"/>
          <w:sz w:val="20"/>
          <w:szCs w:val="20"/>
        </w:rPr>
        <w:t>s</w:t>
      </w:r>
      <w:r w:rsidR="00A64EC7" w:rsidRPr="004363F1">
        <w:rPr>
          <w:rFonts w:ascii="Times New Roman" w:eastAsiaTheme="minorEastAsia" w:hAnsi="Times New Roman" w:cs="Times New Roman"/>
          <w:sz w:val="20"/>
          <w:szCs w:val="20"/>
        </w:rPr>
        <w:t xml:space="preserve"> and</w:t>
      </w:r>
      <w:r w:rsidRPr="004363F1">
        <w:rPr>
          <w:rFonts w:ascii="Times New Roman" w:eastAsiaTheme="minorEastAsia" w:hAnsi="Times New Roman" w:cs="Times New Roman"/>
          <w:sz w:val="20"/>
          <w:szCs w:val="20"/>
        </w:rPr>
        <w:t xml:space="preserve"> type</w:t>
      </w:r>
      <w:r w:rsidR="00D975A3" w:rsidRPr="004363F1">
        <w:rPr>
          <w:rFonts w:ascii="Times New Roman" w:eastAsiaTheme="minorEastAsia" w:hAnsi="Times New Roman" w:cs="Times New Roman"/>
          <w:sz w:val="20"/>
          <w:szCs w:val="20"/>
        </w:rPr>
        <w:t>s</w:t>
      </w:r>
      <w:r w:rsidRPr="004363F1">
        <w:rPr>
          <w:rFonts w:ascii="Times New Roman" w:eastAsiaTheme="minorEastAsia" w:hAnsi="Times New Roman" w:cs="Times New Roman"/>
          <w:sz w:val="20"/>
          <w:szCs w:val="20"/>
        </w:rPr>
        <w:t xml:space="preserve"> of positive </w:t>
      </w:r>
      <w:r w:rsidR="00A64EC7" w:rsidRPr="004363F1">
        <w:rPr>
          <w:rFonts w:ascii="Times New Roman" w:eastAsiaTheme="minorEastAsia" w:hAnsi="Times New Roman" w:cs="Times New Roman"/>
          <w:sz w:val="20"/>
          <w:szCs w:val="20"/>
        </w:rPr>
        <w:t>cultures were</w:t>
      </w:r>
      <w:r w:rsidRPr="004363F1">
        <w:rPr>
          <w:rFonts w:ascii="Times New Roman" w:eastAsiaTheme="minorEastAsia" w:hAnsi="Times New Roman" w:cs="Times New Roman"/>
          <w:sz w:val="20"/>
          <w:szCs w:val="20"/>
        </w:rPr>
        <w:t xml:space="preserve"> associated with relatively high crude death rates. F</w:t>
      </w:r>
      <w:r w:rsidR="00A64EC7" w:rsidRPr="004363F1">
        <w:rPr>
          <w:rFonts w:ascii="Times New Roman" w:eastAsiaTheme="minorEastAsia" w:hAnsi="Times New Roman" w:cs="Times New Roman"/>
          <w:sz w:val="20"/>
          <w:szCs w:val="20"/>
        </w:rPr>
        <w:t xml:space="preserve">or example, the 53 patients whose </w:t>
      </w:r>
      <w:r w:rsidR="00A64EC7" w:rsidRPr="004363F1">
        <w:rPr>
          <w:rFonts w:ascii="Times New Roman" w:eastAsiaTheme="minorEastAsia" w:hAnsi="Times New Roman" w:cs="Times New Roman"/>
          <w:i/>
          <w:sz w:val="20"/>
          <w:szCs w:val="20"/>
        </w:rPr>
        <w:t>site</w:t>
      </w:r>
      <w:r w:rsidR="00A64EC7" w:rsidRPr="004363F1">
        <w:rPr>
          <w:rFonts w:ascii="Times New Roman" w:eastAsiaTheme="minorEastAsia" w:hAnsi="Times New Roman" w:cs="Times New Roman"/>
          <w:sz w:val="20"/>
          <w:szCs w:val="20"/>
        </w:rPr>
        <w:t xml:space="preserve"> of positive cultures was </w:t>
      </w:r>
      <w:r w:rsidR="00A64EC7" w:rsidRPr="004363F1">
        <w:rPr>
          <w:rFonts w:ascii="Times New Roman" w:eastAsiaTheme="minorEastAsia" w:hAnsi="Times New Roman" w:cs="Times New Roman"/>
          <w:i/>
          <w:sz w:val="20"/>
          <w:szCs w:val="20"/>
        </w:rPr>
        <w:t>urinary tract</w:t>
      </w:r>
      <w:r w:rsidR="00A64EC7" w:rsidRPr="004363F1">
        <w:rPr>
          <w:rFonts w:ascii="Times New Roman" w:eastAsiaTheme="minorEastAsia" w:hAnsi="Times New Roman" w:cs="Times New Roman"/>
          <w:sz w:val="20"/>
          <w:szCs w:val="20"/>
        </w:rPr>
        <w:t xml:space="preserve"> had a crude death </w:t>
      </w:r>
      <w:r w:rsidR="00A64EC7" w:rsidRPr="004363F1">
        <w:rPr>
          <w:rFonts w:ascii="Times New Roman" w:eastAsiaTheme="minorEastAsia" w:hAnsi="Times New Roman" w:cs="Times New Roman"/>
          <w:sz w:val="20"/>
          <w:szCs w:val="20"/>
        </w:rPr>
        <w:lastRenderedPageBreak/>
        <w:t xml:space="preserve">rate of 34%, and the 72 patients whose </w:t>
      </w:r>
      <w:r w:rsidR="00A64EC7" w:rsidRPr="004363F1">
        <w:rPr>
          <w:rFonts w:ascii="Times New Roman" w:eastAsiaTheme="minorEastAsia" w:hAnsi="Times New Roman" w:cs="Times New Roman"/>
          <w:i/>
          <w:sz w:val="20"/>
          <w:szCs w:val="20"/>
        </w:rPr>
        <w:t>type</w:t>
      </w:r>
      <w:r w:rsidR="00A64EC7" w:rsidRPr="004363F1">
        <w:rPr>
          <w:rFonts w:ascii="Times New Roman" w:eastAsiaTheme="minorEastAsia" w:hAnsi="Times New Roman" w:cs="Times New Roman"/>
          <w:sz w:val="20"/>
          <w:szCs w:val="20"/>
        </w:rPr>
        <w:t xml:space="preserve"> of positive cultures was </w:t>
      </w:r>
      <w:r w:rsidR="00A64EC7" w:rsidRPr="004363F1">
        <w:rPr>
          <w:rFonts w:ascii="Times New Roman" w:eastAsiaTheme="minorEastAsia" w:hAnsi="Times New Roman" w:cs="Times New Roman"/>
          <w:i/>
          <w:sz w:val="20"/>
          <w:szCs w:val="20"/>
        </w:rPr>
        <w:t>mixed</w:t>
      </w:r>
      <w:r w:rsidR="00A64EC7" w:rsidRPr="004363F1">
        <w:rPr>
          <w:rFonts w:ascii="Times New Roman" w:eastAsiaTheme="minorEastAsia" w:hAnsi="Times New Roman" w:cs="Times New Roman"/>
          <w:sz w:val="20"/>
          <w:szCs w:val="20"/>
        </w:rPr>
        <w:t xml:space="preserve"> had a crude death rate of 31%, compared with the overall crude death rate of 24%.</w:t>
      </w:r>
      <w:r w:rsidR="00D3366D" w:rsidRPr="004363F1">
        <w:rPr>
          <w:rFonts w:ascii="Times New Roman" w:eastAsiaTheme="minorEastAsia" w:hAnsi="Times New Roman" w:cs="Times New Roman"/>
          <w:sz w:val="20"/>
          <w:szCs w:val="20"/>
        </w:rPr>
        <w:t xml:space="preserve">  </w:t>
      </w:r>
      <w:r w:rsidR="005E1149" w:rsidRPr="004363F1">
        <w:rPr>
          <w:rFonts w:ascii="Times New Roman" w:eastAsiaTheme="minorEastAsia" w:hAnsi="Times New Roman" w:cs="Times New Roman"/>
          <w:sz w:val="20"/>
          <w:szCs w:val="20"/>
        </w:rPr>
        <w:t xml:space="preserve">To determine if </w:t>
      </w:r>
      <w:r w:rsidR="00411C0C" w:rsidRPr="004363F1">
        <w:rPr>
          <w:rFonts w:ascii="Times New Roman" w:eastAsiaTheme="minorEastAsia" w:hAnsi="Times New Roman" w:cs="Times New Roman"/>
          <w:sz w:val="20"/>
          <w:szCs w:val="20"/>
        </w:rPr>
        <w:t xml:space="preserve">information on the sites and types of positive cultures </w:t>
      </w:r>
      <w:r w:rsidR="005E1149" w:rsidRPr="004363F1">
        <w:rPr>
          <w:rFonts w:ascii="Times New Roman" w:eastAsiaTheme="minorEastAsia" w:hAnsi="Times New Roman" w:cs="Times New Roman"/>
          <w:sz w:val="20"/>
          <w:szCs w:val="20"/>
        </w:rPr>
        <w:t xml:space="preserve">would </w:t>
      </w:r>
      <w:r w:rsidR="00107CB8" w:rsidRPr="004363F1">
        <w:rPr>
          <w:rFonts w:ascii="Times New Roman" w:eastAsiaTheme="minorEastAsia" w:hAnsi="Times New Roman" w:cs="Times New Roman"/>
          <w:sz w:val="20"/>
          <w:szCs w:val="20"/>
        </w:rPr>
        <w:t>enhance</w:t>
      </w:r>
      <w:r w:rsidR="002A31FD" w:rsidRPr="004363F1">
        <w:rPr>
          <w:rFonts w:ascii="Times New Roman" w:eastAsiaTheme="minorEastAsia" w:hAnsi="Times New Roman" w:cs="Times New Roman"/>
          <w:sz w:val="20"/>
          <w:szCs w:val="20"/>
        </w:rPr>
        <w:t xml:space="preserve"> </w:t>
      </w:r>
      <w:r w:rsidR="00411C0C" w:rsidRPr="004363F1">
        <w:rPr>
          <w:rFonts w:ascii="Times New Roman" w:eastAsiaTheme="minorEastAsia" w:hAnsi="Times New Roman" w:cs="Times New Roman"/>
          <w:sz w:val="20"/>
          <w:szCs w:val="20"/>
        </w:rPr>
        <w:t>the predictive power of the CLOGLOG model</w:t>
      </w:r>
      <w:r w:rsidR="005E1149" w:rsidRPr="004363F1">
        <w:rPr>
          <w:rFonts w:ascii="Times New Roman" w:eastAsiaTheme="minorEastAsia" w:hAnsi="Times New Roman" w:cs="Times New Roman"/>
          <w:sz w:val="20"/>
          <w:szCs w:val="20"/>
        </w:rPr>
        <w:t xml:space="preserve">, </w:t>
      </w:r>
      <w:r w:rsidR="00AD5E4E" w:rsidRPr="004363F1">
        <w:rPr>
          <w:rFonts w:ascii="Times New Roman" w:eastAsiaTheme="minorEastAsia" w:hAnsi="Times New Roman" w:cs="Times New Roman"/>
          <w:sz w:val="20"/>
          <w:szCs w:val="20"/>
        </w:rPr>
        <w:t>we represented each site or</w:t>
      </w:r>
      <w:r w:rsidR="00411C0C" w:rsidRPr="004363F1">
        <w:rPr>
          <w:rFonts w:ascii="Times New Roman" w:eastAsiaTheme="minorEastAsia" w:hAnsi="Times New Roman" w:cs="Times New Roman"/>
          <w:sz w:val="20"/>
          <w:szCs w:val="20"/>
        </w:rPr>
        <w:t xml:space="preserve"> type of positive cultures by a dummy variable and added it </w:t>
      </w:r>
      <w:r w:rsidR="00C207E8" w:rsidRPr="004363F1">
        <w:rPr>
          <w:rFonts w:ascii="Times New Roman" w:eastAsiaTheme="minorEastAsia" w:hAnsi="Times New Roman" w:cs="Times New Roman"/>
          <w:sz w:val="20"/>
          <w:szCs w:val="20"/>
        </w:rPr>
        <w:t xml:space="preserve">into </w:t>
      </w:r>
      <w:r w:rsidR="00411C0C" w:rsidRPr="004363F1">
        <w:rPr>
          <w:rFonts w:ascii="Times New Roman" w:eastAsiaTheme="minorEastAsia" w:hAnsi="Times New Roman" w:cs="Times New Roman"/>
          <w:sz w:val="20"/>
          <w:szCs w:val="20"/>
        </w:rPr>
        <w:t xml:space="preserve">the CLOGLOG model reported in </w:t>
      </w:r>
      <w:r w:rsidR="00A32AE0" w:rsidRPr="004363F1">
        <w:rPr>
          <w:rFonts w:ascii="Times New Roman" w:eastAsiaTheme="minorEastAsia" w:hAnsi="Times New Roman" w:cs="Times New Roman"/>
          <w:sz w:val="20"/>
          <w:szCs w:val="20"/>
        </w:rPr>
        <w:t xml:space="preserve">Panel 1 of </w:t>
      </w:r>
      <w:r w:rsidR="006D1264" w:rsidRPr="004363F1">
        <w:rPr>
          <w:rFonts w:ascii="Times New Roman" w:eastAsiaTheme="minorEastAsia" w:hAnsi="Times New Roman" w:cs="Times New Roman"/>
          <w:sz w:val="20"/>
          <w:szCs w:val="20"/>
        </w:rPr>
        <w:t>Table 2 in the paper. I</w:t>
      </w:r>
      <w:r w:rsidR="002A31FD" w:rsidRPr="004363F1">
        <w:rPr>
          <w:rFonts w:ascii="Times New Roman" w:eastAsiaTheme="minorEastAsia" w:hAnsi="Times New Roman" w:cs="Times New Roman"/>
          <w:sz w:val="20"/>
          <w:szCs w:val="20"/>
        </w:rPr>
        <w:t>n terms</w:t>
      </w:r>
      <w:r w:rsidR="006D1264" w:rsidRPr="004363F1">
        <w:rPr>
          <w:rFonts w:ascii="Times New Roman" w:eastAsiaTheme="minorEastAsia" w:hAnsi="Times New Roman" w:cs="Times New Roman"/>
          <w:sz w:val="20"/>
          <w:szCs w:val="20"/>
        </w:rPr>
        <w:t xml:space="preserve"> of the values of the </w:t>
      </w:r>
      <w:r w:rsidR="006D1264" w:rsidRPr="004363F1">
        <w:rPr>
          <w:rFonts w:ascii="Times New Roman" w:eastAsiaTheme="minorEastAsia" w:hAnsi="Times New Roman" w:cs="Times New Roman"/>
          <w:color w:val="000000" w:themeColor="text1"/>
          <w:sz w:val="20"/>
          <w:szCs w:val="20"/>
        </w:rPr>
        <w:t>AUC</w:t>
      </w:r>
      <w:r w:rsidR="006D1264" w:rsidRPr="004363F1">
        <w:rPr>
          <w:rFonts w:ascii="Times New Roman" w:eastAsiaTheme="minorEastAsia" w:hAnsi="Times New Roman" w:cs="Times New Roman"/>
          <w:sz w:val="20"/>
          <w:szCs w:val="20"/>
        </w:rPr>
        <w:t xml:space="preserve"> that was based on the daily probability of dying as the classifier, we found that the addition of each of the dummy variable</w:t>
      </w:r>
      <w:r w:rsidR="007E2F22" w:rsidRPr="004363F1">
        <w:rPr>
          <w:rFonts w:ascii="Times New Roman" w:eastAsiaTheme="minorEastAsia" w:hAnsi="Times New Roman" w:cs="Times New Roman"/>
          <w:sz w:val="20"/>
          <w:szCs w:val="20"/>
        </w:rPr>
        <w:t>s</w:t>
      </w:r>
      <w:r w:rsidR="006D1264" w:rsidRPr="004363F1">
        <w:rPr>
          <w:rFonts w:ascii="Times New Roman" w:eastAsiaTheme="minorEastAsia" w:hAnsi="Times New Roman" w:cs="Times New Roman"/>
          <w:sz w:val="20"/>
          <w:szCs w:val="20"/>
        </w:rPr>
        <w:t xml:space="preserve"> representing the 8 sites and 6 types of positive cultures had little effect on enhancing the model’s predictive power</w:t>
      </w:r>
      <w:r w:rsidR="00F3424E" w:rsidRPr="004363F1">
        <w:rPr>
          <w:rFonts w:ascii="Times New Roman" w:eastAsiaTheme="minorEastAsia" w:hAnsi="Times New Roman" w:cs="Times New Roman"/>
          <w:sz w:val="20"/>
          <w:szCs w:val="20"/>
        </w:rPr>
        <w:t xml:space="preserve"> (</w:t>
      </w:r>
      <w:r w:rsidR="00AD5E4E" w:rsidRPr="004363F1">
        <w:rPr>
          <w:rFonts w:ascii="Times New Roman" w:eastAsiaTheme="minorEastAsia" w:hAnsi="Times New Roman" w:cs="Times New Roman"/>
          <w:sz w:val="20"/>
          <w:szCs w:val="20"/>
        </w:rPr>
        <w:t xml:space="preserve">Panel 1 of </w:t>
      </w:r>
      <w:r w:rsidR="005717BE" w:rsidRPr="004363F1">
        <w:rPr>
          <w:rFonts w:ascii="Times New Roman" w:eastAsiaTheme="minorEastAsia" w:hAnsi="Times New Roman" w:cs="Times New Roman"/>
          <w:sz w:val="20"/>
          <w:szCs w:val="20"/>
        </w:rPr>
        <w:t xml:space="preserve">Supplemental </w:t>
      </w:r>
      <w:r w:rsidR="001B685D" w:rsidRPr="004363F1">
        <w:rPr>
          <w:rFonts w:ascii="Times New Roman" w:eastAsiaTheme="minorEastAsia" w:hAnsi="Times New Roman" w:cs="Times New Roman"/>
          <w:sz w:val="20"/>
          <w:szCs w:val="20"/>
        </w:rPr>
        <w:t>Table 14</w:t>
      </w:r>
      <w:r w:rsidR="00F3424E" w:rsidRPr="004363F1">
        <w:rPr>
          <w:rFonts w:ascii="Times New Roman" w:eastAsiaTheme="minorEastAsia" w:hAnsi="Times New Roman" w:cs="Times New Roman"/>
          <w:sz w:val="20"/>
          <w:szCs w:val="20"/>
        </w:rPr>
        <w:t>)</w:t>
      </w:r>
      <w:r w:rsidR="00A13C10" w:rsidRPr="004363F1">
        <w:rPr>
          <w:rFonts w:ascii="Times New Roman" w:eastAsiaTheme="minorEastAsia" w:hAnsi="Times New Roman" w:cs="Times New Roman"/>
          <w:sz w:val="20"/>
          <w:szCs w:val="20"/>
        </w:rPr>
        <w:t xml:space="preserve">.  </w:t>
      </w:r>
      <w:r w:rsidR="00D3366D" w:rsidRPr="004363F1">
        <w:rPr>
          <w:rFonts w:ascii="Times New Roman" w:eastAsiaTheme="minorEastAsia" w:hAnsi="Times New Roman" w:cs="Times New Roman"/>
          <w:sz w:val="20"/>
          <w:szCs w:val="20"/>
        </w:rPr>
        <w:t xml:space="preserve">Paradoxically, </w:t>
      </w:r>
      <w:r w:rsidR="00F3424E" w:rsidRPr="004363F1">
        <w:rPr>
          <w:rFonts w:ascii="Times New Roman" w:eastAsiaTheme="minorEastAsia" w:hAnsi="Times New Roman" w:cs="Times New Roman"/>
          <w:sz w:val="20"/>
          <w:szCs w:val="20"/>
        </w:rPr>
        <w:t xml:space="preserve">the values of the </w:t>
      </w:r>
      <w:r w:rsidR="00CA35F8" w:rsidRPr="004363F1">
        <w:rPr>
          <w:rFonts w:ascii="Times New Roman" w:eastAsiaTheme="minorEastAsia" w:hAnsi="Times New Roman" w:cs="Times New Roman"/>
          <w:color w:val="000000" w:themeColor="text1"/>
          <w:sz w:val="20"/>
          <w:szCs w:val="20"/>
        </w:rPr>
        <w:t>AUC</w:t>
      </w:r>
      <w:r w:rsidR="00F3424E" w:rsidRPr="004363F1">
        <w:rPr>
          <w:rFonts w:ascii="Times New Roman" w:eastAsiaTheme="minorEastAsia" w:hAnsi="Times New Roman" w:cs="Times New Roman"/>
          <w:sz w:val="20"/>
          <w:szCs w:val="20"/>
        </w:rPr>
        <w:t xml:space="preserve"> </w:t>
      </w:r>
      <w:r w:rsidR="00F3424E" w:rsidRPr="004363F1">
        <w:rPr>
          <w:rFonts w:ascii="Times New Roman" w:eastAsiaTheme="minorEastAsia" w:hAnsi="Times New Roman" w:cs="Times New Roman"/>
          <w:i/>
          <w:sz w:val="20"/>
          <w:szCs w:val="20"/>
        </w:rPr>
        <w:t>decreased</w:t>
      </w:r>
      <w:r w:rsidR="00F3424E" w:rsidRPr="004363F1">
        <w:rPr>
          <w:rFonts w:ascii="Times New Roman" w:eastAsiaTheme="minorEastAsia" w:hAnsi="Times New Roman" w:cs="Times New Roman"/>
          <w:sz w:val="20"/>
          <w:szCs w:val="20"/>
        </w:rPr>
        <w:t xml:space="preserve"> as a cons</w:t>
      </w:r>
      <w:r w:rsidR="00107CB8" w:rsidRPr="004363F1">
        <w:rPr>
          <w:rFonts w:ascii="Times New Roman" w:eastAsiaTheme="minorEastAsia" w:hAnsi="Times New Roman" w:cs="Times New Roman"/>
          <w:sz w:val="20"/>
          <w:szCs w:val="20"/>
        </w:rPr>
        <w:t>equence of adding each of 5 site</w:t>
      </w:r>
      <w:r w:rsidR="00F3424E" w:rsidRPr="004363F1">
        <w:rPr>
          <w:rFonts w:ascii="Times New Roman" w:eastAsiaTheme="minorEastAsia" w:hAnsi="Times New Roman" w:cs="Times New Roman"/>
          <w:sz w:val="20"/>
          <w:szCs w:val="20"/>
        </w:rPr>
        <w:t xml:space="preserve">s of positive cultures (pleural cavity, blood, </w:t>
      </w:r>
      <w:r w:rsidR="00532FEC" w:rsidRPr="004363F1">
        <w:rPr>
          <w:rFonts w:ascii="Times New Roman" w:eastAsiaTheme="minorEastAsia" w:hAnsi="Times New Roman" w:cs="Times New Roman"/>
          <w:sz w:val="20"/>
          <w:szCs w:val="20"/>
        </w:rPr>
        <w:t xml:space="preserve">peritoneal, skin, </w:t>
      </w:r>
      <w:r w:rsidR="00F3424E" w:rsidRPr="004363F1">
        <w:rPr>
          <w:rFonts w:ascii="Times New Roman" w:eastAsiaTheme="minorEastAsia" w:hAnsi="Times New Roman" w:cs="Times New Roman"/>
          <w:sz w:val="20"/>
          <w:szCs w:val="20"/>
        </w:rPr>
        <w:t>and “other”)</w:t>
      </w:r>
      <w:r w:rsidR="00532FEC" w:rsidRPr="004363F1">
        <w:rPr>
          <w:rFonts w:ascii="Times New Roman" w:eastAsiaTheme="minorEastAsia" w:hAnsi="Times New Roman" w:cs="Times New Roman"/>
          <w:sz w:val="20"/>
          <w:szCs w:val="20"/>
        </w:rPr>
        <w:t xml:space="preserve"> into the C</w:t>
      </w:r>
      <w:r w:rsidR="00D3366D" w:rsidRPr="004363F1">
        <w:rPr>
          <w:rFonts w:ascii="Times New Roman" w:eastAsiaTheme="minorEastAsia" w:hAnsi="Times New Roman" w:cs="Times New Roman"/>
          <w:sz w:val="20"/>
          <w:szCs w:val="20"/>
        </w:rPr>
        <w:t xml:space="preserve">LOGLOG model.  </w:t>
      </w:r>
      <w:r w:rsidR="00532FEC" w:rsidRPr="004363F1">
        <w:rPr>
          <w:rFonts w:ascii="Times New Roman" w:eastAsiaTheme="minorEastAsia" w:hAnsi="Times New Roman" w:cs="Times New Roman"/>
          <w:sz w:val="20"/>
          <w:szCs w:val="20"/>
        </w:rPr>
        <w:t>T</w:t>
      </w:r>
      <w:r w:rsidR="00107CB8" w:rsidRPr="004363F1">
        <w:rPr>
          <w:rFonts w:ascii="Times New Roman" w:eastAsiaTheme="minorEastAsia" w:hAnsi="Times New Roman" w:cs="Times New Roman"/>
          <w:sz w:val="20"/>
          <w:szCs w:val="20"/>
        </w:rPr>
        <w:t>his finding reveals</w:t>
      </w:r>
      <w:r w:rsidR="00532FEC" w:rsidRPr="004363F1">
        <w:rPr>
          <w:rFonts w:ascii="Times New Roman" w:eastAsiaTheme="minorEastAsia" w:hAnsi="Times New Roman" w:cs="Times New Roman"/>
          <w:sz w:val="20"/>
          <w:szCs w:val="20"/>
        </w:rPr>
        <w:t xml:space="preserve"> that the intuitively appealing AUC is not a</w:t>
      </w:r>
      <w:r w:rsidR="00AD5E4E" w:rsidRPr="004363F1">
        <w:rPr>
          <w:rFonts w:ascii="Times New Roman" w:eastAsiaTheme="minorEastAsia" w:hAnsi="Times New Roman" w:cs="Times New Roman"/>
          <w:sz w:val="20"/>
          <w:szCs w:val="20"/>
        </w:rPr>
        <w:t xml:space="preserve"> completely </w:t>
      </w:r>
      <w:r w:rsidR="00532FEC" w:rsidRPr="004363F1">
        <w:rPr>
          <w:rFonts w:ascii="Times New Roman" w:eastAsiaTheme="minorEastAsia" w:hAnsi="Times New Roman" w:cs="Times New Roman"/>
          <w:sz w:val="20"/>
          <w:szCs w:val="20"/>
        </w:rPr>
        <w:t>consistent measure of predictive power.</w:t>
      </w:r>
      <w:r w:rsidR="00AD5E4E" w:rsidRPr="004363F1">
        <w:rPr>
          <w:rFonts w:ascii="Times New Roman" w:eastAsiaTheme="minorEastAsia" w:hAnsi="Times New Roman" w:cs="Times New Roman"/>
          <w:sz w:val="20"/>
          <w:szCs w:val="20"/>
        </w:rPr>
        <w:t xml:space="preserve">  Here, the complete consistency of a measure is defined as the property that adding an explanatory variable into the model can never result in a worse value for the measure. </w:t>
      </w:r>
    </w:p>
    <w:p w14:paraId="6F59DDB1" w14:textId="77777777" w:rsidR="0017258C" w:rsidRPr="004363F1" w:rsidRDefault="00107CB8"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A </w:t>
      </w:r>
      <w:r w:rsidR="00AD5E4E" w:rsidRPr="004363F1">
        <w:rPr>
          <w:rFonts w:ascii="Times New Roman" w:eastAsiaTheme="minorEastAsia" w:hAnsi="Times New Roman" w:cs="Times New Roman"/>
          <w:sz w:val="20"/>
          <w:szCs w:val="20"/>
        </w:rPr>
        <w:t xml:space="preserve">completely </w:t>
      </w:r>
      <w:r w:rsidR="00532FEC" w:rsidRPr="004363F1">
        <w:rPr>
          <w:rFonts w:ascii="Times New Roman" w:eastAsiaTheme="minorEastAsia" w:hAnsi="Times New Roman" w:cs="Times New Roman"/>
          <w:sz w:val="20"/>
          <w:szCs w:val="20"/>
        </w:rPr>
        <w:t xml:space="preserve">consistent measure of predictive power for a CLOGLOG or logit model is the </w:t>
      </w:r>
      <w:r w:rsidR="00532FEC" w:rsidRPr="004363F1">
        <w:rPr>
          <w:rFonts w:ascii="Times New Roman" w:eastAsiaTheme="minorEastAsia" w:hAnsi="Times New Roman" w:cs="Times New Roman"/>
          <w:i/>
          <w:sz w:val="20"/>
          <w:szCs w:val="20"/>
        </w:rPr>
        <w:t>Rho-square</w:t>
      </w:r>
      <w:r w:rsidR="00532FEC" w:rsidRPr="004363F1">
        <w:rPr>
          <w:rFonts w:ascii="Times New Roman" w:eastAsiaTheme="minorEastAsia" w:hAnsi="Times New Roman" w:cs="Times New Roman"/>
          <w:sz w:val="20"/>
          <w:szCs w:val="20"/>
        </w:rPr>
        <w:t>, which is defined as 1 – A/B, where A is the maximum log-likelihood of the model in question, and B is the maximum log-likelihood of the null model, which has the intercept as</w:t>
      </w:r>
      <w:r w:rsidR="00C1606A" w:rsidRPr="004363F1">
        <w:rPr>
          <w:rFonts w:ascii="Times New Roman" w:eastAsiaTheme="minorEastAsia" w:hAnsi="Times New Roman" w:cs="Times New Roman"/>
          <w:sz w:val="20"/>
          <w:szCs w:val="20"/>
        </w:rPr>
        <w:t xml:space="preserve"> the only unknown coefficient</w:t>
      </w:r>
      <w:r w:rsidR="00AD5E4E" w:rsidRPr="004363F1">
        <w:rPr>
          <w:rFonts w:ascii="Times New Roman" w:eastAsiaTheme="minorEastAsia" w:hAnsi="Times New Roman" w:cs="Times New Roman"/>
          <w:sz w:val="20"/>
          <w:szCs w:val="20"/>
        </w:rPr>
        <w:t xml:space="preserve"> </w:t>
      </w:r>
      <w:r w:rsidR="003D6343" w:rsidRPr="004363F1">
        <w:rPr>
          <w:rFonts w:ascii="Times New Roman" w:eastAsiaTheme="minorEastAsia" w:hAnsi="Times New Roman" w:cs="Times New Roman"/>
          <w:sz w:val="20"/>
          <w:szCs w:val="20"/>
          <w:vertAlign w:val="superscript"/>
        </w:rPr>
        <w:t>5</w:t>
      </w:r>
      <w:r w:rsidR="00C1606A" w:rsidRPr="004363F1">
        <w:rPr>
          <w:rFonts w:ascii="Times New Roman" w:eastAsiaTheme="minorEastAsia" w:hAnsi="Times New Roman" w:cs="Times New Roman"/>
          <w:sz w:val="20"/>
          <w:szCs w:val="20"/>
        </w:rPr>
        <w:t>. In</w:t>
      </w:r>
      <w:r w:rsidR="00AD5E4E" w:rsidRPr="004363F1">
        <w:rPr>
          <w:rFonts w:ascii="Times New Roman" w:eastAsiaTheme="minorEastAsia" w:hAnsi="Times New Roman" w:cs="Times New Roman"/>
          <w:sz w:val="20"/>
          <w:szCs w:val="20"/>
        </w:rPr>
        <w:t xml:space="preserve"> panel 2 of</w:t>
      </w:r>
      <w:r w:rsidR="0017258C" w:rsidRPr="004363F1">
        <w:rPr>
          <w:rFonts w:ascii="Times New Roman" w:eastAsiaTheme="minorEastAsia" w:hAnsi="Times New Roman" w:cs="Times New Roman"/>
          <w:sz w:val="20"/>
          <w:szCs w:val="20"/>
        </w:rPr>
        <w:t xml:space="preserve"> </w:t>
      </w:r>
      <w:r w:rsidR="00774B2D" w:rsidRPr="004363F1">
        <w:rPr>
          <w:rFonts w:ascii="Times New Roman" w:eastAsiaTheme="minorEastAsia" w:hAnsi="Times New Roman" w:cs="Times New Roman"/>
          <w:sz w:val="20"/>
          <w:szCs w:val="20"/>
        </w:rPr>
        <w:t xml:space="preserve">Supplemental </w:t>
      </w:r>
      <w:r w:rsidR="001B685D" w:rsidRPr="004363F1">
        <w:rPr>
          <w:rFonts w:ascii="Times New Roman" w:eastAsiaTheme="minorEastAsia" w:hAnsi="Times New Roman" w:cs="Times New Roman"/>
          <w:sz w:val="20"/>
          <w:szCs w:val="20"/>
        </w:rPr>
        <w:t>Table 14</w:t>
      </w:r>
      <w:r w:rsidR="00C1606A" w:rsidRPr="004363F1">
        <w:rPr>
          <w:rFonts w:ascii="Times New Roman" w:eastAsiaTheme="minorEastAsia" w:hAnsi="Times New Roman" w:cs="Times New Roman"/>
          <w:sz w:val="20"/>
          <w:szCs w:val="20"/>
        </w:rPr>
        <w:t xml:space="preserve">, we see that the addition of any of the dummy variables </w:t>
      </w:r>
      <w:r w:rsidR="00046526" w:rsidRPr="004363F1">
        <w:rPr>
          <w:rFonts w:ascii="Times New Roman" w:eastAsiaTheme="minorEastAsia" w:hAnsi="Times New Roman" w:cs="Times New Roman"/>
          <w:sz w:val="20"/>
          <w:szCs w:val="20"/>
        </w:rPr>
        <w:t>did not result</w:t>
      </w:r>
      <w:r w:rsidR="00C1606A" w:rsidRPr="004363F1">
        <w:rPr>
          <w:rFonts w:ascii="Times New Roman" w:eastAsiaTheme="minorEastAsia" w:hAnsi="Times New Roman" w:cs="Times New Roman"/>
          <w:sz w:val="20"/>
          <w:szCs w:val="20"/>
        </w:rPr>
        <w:t xml:space="preserve"> in a decrease in the value of Rho-square.</w:t>
      </w:r>
      <w:r w:rsidR="00AD5E4E" w:rsidRPr="004363F1">
        <w:rPr>
          <w:rFonts w:ascii="Times New Roman" w:eastAsiaTheme="minorEastAsia" w:hAnsi="Times New Roman" w:cs="Times New Roman"/>
          <w:sz w:val="20"/>
          <w:szCs w:val="20"/>
        </w:rPr>
        <w:t xml:space="preserve"> This complete</w:t>
      </w:r>
      <w:r w:rsidR="001C3B7F" w:rsidRPr="004363F1">
        <w:rPr>
          <w:rFonts w:ascii="Times New Roman" w:eastAsiaTheme="minorEastAsia" w:hAnsi="Times New Roman" w:cs="Times New Roman"/>
          <w:sz w:val="20"/>
          <w:szCs w:val="20"/>
        </w:rPr>
        <w:t xml:space="preserve"> consistency is the same as the </w:t>
      </w:r>
      <w:r w:rsidR="00AD5E4E" w:rsidRPr="004363F1">
        <w:rPr>
          <w:rFonts w:ascii="Times New Roman" w:eastAsiaTheme="minorEastAsia" w:hAnsi="Times New Roman" w:cs="Times New Roman"/>
          <w:sz w:val="20"/>
          <w:szCs w:val="20"/>
        </w:rPr>
        <w:t>complete</w:t>
      </w:r>
      <w:r w:rsidR="001C3B7F" w:rsidRPr="004363F1">
        <w:rPr>
          <w:rFonts w:ascii="Times New Roman" w:eastAsiaTheme="minorEastAsia" w:hAnsi="Times New Roman" w:cs="Times New Roman"/>
          <w:sz w:val="20"/>
          <w:szCs w:val="20"/>
        </w:rPr>
        <w:t xml:space="preserve"> consistency of the R-square for regression models. An important difference between them is t</w:t>
      </w:r>
      <w:r w:rsidR="00AD5E4E" w:rsidRPr="004363F1">
        <w:rPr>
          <w:rFonts w:ascii="Times New Roman" w:eastAsiaTheme="minorEastAsia" w:hAnsi="Times New Roman" w:cs="Times New Roman"/>
          <w:sz w:val="20"/>
          <w:szCs w:val="20"/>
        </w:rPr>
        <w:t>hat as demonstrated in Panel 2</w:t>
      </w:r>
      <w:r w:rsidR="001C3B7F" w:rsidRPr="004363F1">
        <w:rPr>
          <w:rFonts w:ascii="Times New Roman" w:eastAsiaTheme="minorEastAsia" w:hAnsi="Times New Roman" w:cs="Times New Roman"/>
          <w:sz w:val="20"/>
          <w:szCs w:val="20"/>
        </w:rPr>
        <w:t>, a value of about 0.2 for Rho-square can represent a very high predictive power, whereas such a value</w:t>
      </w:r>
      <w:r w:rsidR="00C1606A" w:rsidRPr="004363F1">
        <w:rPr>
          <w:rFonts w:ascii="Times New Roman" w:eastAsiaTheme="minorEastAsia" w:hAnsi="Times New Roman" w:cs="Times New Roman"/>
          <w:sz w:val="20"/>
          <w:szCs w:val="20"/>
        </w:rPr>
        <w:t xml:space="preserve"> </w:t>
      </w:r>
      <w:r w:rsidR="001C3B7F" w:rsidRPr="004363F1">
        <w:rPr>
          <w:rFonts w:ascii="Times New Roman" w:eastAsiaTheme="minorEastAsia" w:hAnsi="Times New Roman" w:cs="Times New Roman"/>
          <w:sz w:val="20"/>
          <w:szCs w:val="20"/>
        </w:rPr>
        <w:t>for R-square usually indicates a low predictive power.</w:t>
      </w:r>
    </w:p>
    <w:p w14:paraId="659ACC6E" w14:textId="77777777" w:rsidR="00532FEC" w:rsidRPr="004363F1" w:rsidRDefault="0017258C"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To impose a penalty on adding explanatory variables that </w:t>
      </w:r>
      <w:r w:rsidR="00D93597" w:rsidRPr="004363F1">
        <w:rPr>
          <w:rFonts w:ascii="Times New Roman" w:eastAsiaTheme="minorEastAsia" w:hAnsi="Times New Roman" w:cs="Times New Roman"/>
          <w:sz w:val="20"/>
          <w:szCs w:val="20"/>
        </w:rPr>
        <w:t xml:space="preserve">either </w:t>
      </w:r>
      <w:r w:rsidRPr="004363F1">
        <w:rPr>
          <w:rFonts w:ascii="Times New Roman" w:eastAsiaTheme="minorEastAsia" w:hAnsi="Times New Roman" w:cs="Times New Roman"/>
          <w:sz w:val="20"/>
          <w:szCs w:val="20"/>
        </w:rPr>
        <w:t>contain mostly random noises</w:t>
      </w:r>
      <w:r w:rsidR="00D93597" w:rsidRPr="004363F1">
        <w:rPr>
          <w:rFonts w:ascii="Times New Roman" w:eastAsiaTheme="minorEastAsia" w:hAnsi="Times New Roman" w:cs="Times New Roman"/>
          <w:sz w:val="20"/>
          <w:szCs w:val="20"/>
        </w:rPr>
        <w:t xml:space="preserve"> or are </w:t>
      </w:r>
      <w:r w:rsidR="00FF7FAB" w:rsidRPr="004363F1">
        <w:rPr>
          <w:rFonts w:ascii="Times New Roman" w:eastAsiaTheme="minorEastAsia" w:hAnsi="Times New Roman" w:cs="Times New Roman"/>
          <w:sz w:val="20"/>
          <w:szCs w:val="20"/>
        </w:rPr>
        <w:t>high</w:t>
      </w:r>
      <w:r w:rsidR="00D93597" w:rsidRPr="004363F1">
        <w:rPr>
          <w:rFonts w:ascii="Times New Roman" w:eastAsiaTheme="minorEastAsia" w:hAnsi="Times New Roman" w:cs="Times New Roman"/>
          <w:sz w:val="20"/>
          <w:szCs w:val="20"/>
        </w:rPr>
        <w:t>ly redundant</w:t>
      </w:r>
      <w:r w:rsidRPr="004363F1">
        <w:rPr>
          <w:rFonts w:ascii="Times New Roman" w:eastAsiaTheme="minorEastAsia" w:hAnsi="Times New Roman" w:cs="Times New Roman"/>
          <w:sz w:val="20"/>
          <w:szCs w:val="20"/>
        </w:rPr>
        <w:t xml:space="preserve">, the Rho-square is modified into the </w:t>
      </w:r>
      <w:r w:rsidRPr="004363F1">
        <w:rPr>
          <w:rFonts w:ascii="Times New Roman" w:eastAsiaTheme="minorEastAsia" w:hAnsi="Times New Roman" w:cs="Times New Roman"/>
          <w:i/>
          <w:sz w:val="20"/>
          <w:szCs w:val="20"/>
        </w:rPr>
        <w:t xml:space="preserve">Adjusted </w:t>
      </w:r>
      <w:r w:rsidR="009A7E91" w:rsidRPr="004363F1">
        <w:rPr>
          <w:rFonts w:ascii="Times New Roman" w:eastAsiaTheme="minorEastAsia" w:hAnsi="Times New Roman" w:cs="Times New Roman"/>
          <w:i/>
          <w:sz w:val="20"/>
          <w:szCs w:val="20"/>
        </w:rPr>
        <w:t>Rho-square</w:t>
      </w:r>
      <w:r w:rsidR="009A7E91" w:rsidRPr="004363F1">
        <w:rPr>
          <w:rFonts w:ascii="Times New Roman" w:eastAsiaTheme="minorEastAsia" w:hAnsi="Times New Roman" w:cs="Times New Roman"/>
          <w:sz w:val="20"/>
          <w:szCs w:val="20"/>
        </w:rPr>
        <w:t>, which is 1 – (A-k</w:t>
      </w:r>
      <w:r w:rsidR="00EB0608" w:rsidRPr="004363F1">
        <w:rPr>
          <w:rFonts w:ascii="Times New Roman" w:eastAsiaTheme="minorEastAsia" w:hAnsi="Times New Roman" w:cs="Times New Roman"/>
          <w:sz w:val="20"/>
          <w:szCs w:val="20"/>
        </w:rPr>
        <w:t>-1</w:t>
      </w:r>
      <w:r w:rsidR="009A7E91" w:rsidRPr="004363F1">
        <w:rPr>
          <w:rFonts w:ascii="Times New Roman" w:eastAsiaTheme="minorEastAsia" w:hAnsi="Times New Roman" w:cs="Times New Roman"/>
          <w:sz w:val="20"/>
          <w:szCs w:val="20"/>
        </w:rPr>
        <w:t>)/</w:t>
      </w:r>
      <w:r w:rsidR="00EB0608" w:rsidRPr="004363F1">
        <w:rPr>
          <w:rFonts w:ascii="Times New Roman" w:eastAsiaTheme="minorEastAsia" w:hAnsi="Times New Roman" w:cs="Times New Roman"/>
          <w:sz w:val="20"/>
          <w:szCs w:val="20"/>
        </w:rPr>
        <w:t>(</w:t>
      </w:r>
      <w:r w:rsidR="009A7E91" w:rsidRPr="004363F1">
        <w:rPr>
          <w:rFonts w:ascii="Times New Roman" w:eastAsiaTheme="minorEastAsia" w:hAnsi="Times New Roman" w:cs="Times New Roman"/>
          <w:sz w:val="20"/>
          <w:szCs w:val="20"/>
        </w:rPr>
        <w:t>B</w:t>
      </w:r>
      <w:r w:rsidR="00EB0608" w:rsidRPr="004363F1">
        <w:rPr>
          <w:rFonts w:ascii="Times New Roman" w:eastAsiaTheme="minorEastAsia" w:hAnsi="Times New Roman" w:cs="Times New Roman"/>
          <w:sz w:val="20"/>
          <w:szCs w:val="20"/>
        </w:rPr>
        <w:t>-1)</w:t>
      </w:r>
      <w:r w:rsidR="009A7E91" w:rsidRPr="004363F1">
        <w:rPr>
          <w:rFonts w:ascii="Times New Roman" w:eastAsiaTheme="minorEastAsia" w:hAnsi="Times New Roman" w:cs="Times New Roman"/>
          <w:sz w:val="20"/>
          <w:szCs w:val="20"/>
        </w:rPr>
        <w:t>, where k is the number of explanatory variables</w:t>
      </w:r>
      <w:r w:rsidR="00A262A4" w:rsidRPr="004363F1">
        <w:rPr>
          <w:rFonts w:ascii="Times New Roman" w:eastAsiaTheme="minorEastAsia" w:hAnsi="Times New Roman" w:cs="Times New Roman"/>
          <w:sz w:val="20"/>
          <w:szCs w:val="20"/>
        </w:rPr>
        <w:t xml:space="preserve"> </w:t>
      </w:r>
      <w:r w:rsidR="00A262A4" w:rsidRPr="004363F1">
        <w:rPr>
          <w:rFonts w:ascii="Times New Roman" w:eastAsiaTheme="minorEastAsia" w:hAnsi="Times New Roman" w:cs="Times New Roman"/>
          <w:sz w:val="20"/>
          <w:szCs w:val="20"/>
        </w:rPr>
        <w:fldChar w:fldCharType="begin"/>
      </w:r>
      <w:r w:rsidR="00200E17" w:rsidRPr="004363F1">
        <w:rPr>
          <w:rFonts w:ascii="Times New Roman" w:eastAsiaTheme="minorEastAsia" w:hAnsi="Times New Roman" w:cs="Times New Roman"/>
          <w:sz w:val="20"/>
          <w:szCs w:val="20"/>
        </w:rPr>
        <w:instrText xml:space="preserve"> ADDIN REFMGR.CITE &lt;Refman&gt;&lt;Cite&gt;&lt;Author&gt;Ben-Akiva&lt;/Author&gt;&lt;Year&gt;1985&lt;/Year&gt;&lt;RecNum&gt;12083&lt;/RecNum&gt;&lt;IDText&gt;Discrete choice analysis: Theory and application to travel demand.&lt;/IDText&gt;&lt;MDL Ref_Type="Journal"&gt;&lt;Ref_Type&gt;Journal&lt;/Ref_Type&gt;&lt;Ref_ID&gt;12083&lt;/Ref_ID&gt;&lt;Title_Primary&gt;Discrete choice analysis: Theory and application to travel demand.&lt;/Title_Primary&gt;&lt;Authors_Primary&gt;Ben-Akiva,M.&lt;/Authors_Primary&gt;&lt;Authors_Primary&gt;Lerman,S.R.&lt;/Authors_Primary&gt;&lt;Date_Primary&gt;1985&lt;/Date_Primary&gt;&lt;Keywords&gt;analysis&lt;/Keywords&gt;&lt;Reprint&gt;Not in File&lt;/Reprint&gt;&lt;Start_Page&gt;90&lt;/Start_Page&gt;&lt;End_Page&gt;91&lt;/End_Page&gt;&lt;Periodical&gt;Cambridge, MA: The MIT Press&lt;/Periodical&gt;&lt;ZZ_JournalFull&gt;&lt;f name="System"&gt;Cambridge, MA: The MIT Press&lt;/f&gt;&lt;/ZZ_JournalFull&gt;&lt;ZZ_WorkformID&gt;1&lt;/ZZ_WorkformID&gt;&lt;/MDL&gt;&lt;/Cite&gt;&lt;/Refman&gt;</w:instrText>
      </w:r>
      <w:r w:rsidR="00A262A4" w:rsidRPr="004363F1">
        <w:rPr>
          <w:rFonts w:ascii="Times New Roman" w:eastAsiaTheme="minorEastAsia" w:hAnsi="Times New Roman" w:cs="Times New Roman"/>
          <w:sz w:val="20"/>
          <w:szCs w:val="20"/>
        </w:rPr>
        <w:fldChar w:fldCharType="separate"/>
      </w:r>
      <w:r w:rsidR="00A262A4" w:rsidRPr="004363F1">
        <w:rPr>
          <w:rFonts w:ascii="Times New Roman" w:eastAsiaTheme="minorEastAsia" w:hAnsi="Times New Roman" w:cs="Times New Roman"/>
          <w:sz w:val="20"/>
          <w:szCs w:val="20"/>
        </w:rPr>
        <w:t>(4)</w:t>
      </w:r>
      <w:r w:rsidR="00A262A4" w:rsidRPr="004363F1">
        <w:rPr>
          <w:rFonts w:ascii="Times New Roman" w:eastAsiaTheme="minorEastAsia" w:hAnsi="Times New Roman" w:cs="Times New Roman"/>
          <w:sz w:val="20"/>
          <w:szCs w:val="20"/>
        </w:rPr>
        <w:fldChar w:fldCharType="end"/>
      </w:r>
      <w:r w:rsidR="002277C3" w:rsidRPr="004363F1">
        <w:rPr>
          <w:rFonts w:ascii="Times New Roman" w:eastAsiaTheme="minorEastAsia" w:hAnsi="Times New Roman" w:cs="Times New Roman"/>
          <w:sz w:val="20"/>
          <w:szCs w:val="20"/>
        </w:rPr>
        <w:t>.</w:t>
      </w:r>
      <w:r w:rsidR="00C1606A" w:rsidRPr="004363F1">
        <w:rPr>
          <w:rFonts w:ascii="Times New Roman" w:eastAsiaTheme="minorEastAsia" w:hAnsi="Times New Roman" w:cs="Times New Roman"/>
          <w:sz w:val="20"/>
          <w:szCs w:val="20"/>
        </w:rPr>
        <w:t xml:space="preserve"> </w:t>
      </w:r>
      <w:r w:rsidR="009A7E91" w:rsidRPr="004363F1">
        <w:rPr>
          <w:rFonts w:ascii="Times New Roman" w:eastAsiaTheme="minorEastAsia" w:hAnsi="Times New Roman" w:cs="Times New Roman"/>
          <w:sz w:val="20"/>
          <w:szCs w:val="20"/>
        </w:rPr>
        <w:t xml:space="preserve">This is analogous to the Adjusted R-square for </w:t>
      </w:r>
      <w:r w:rsidR="003774AE" w:rsidRPr="004363F1">
        <w:rPr>
          <w:rFonts w:ascii="Times New Roman" w:eastAsiaTheme="minorEastAsia" w:hAnsi="Times New Roman" w:cs="Times New Roman"/>
          <w:sz w:val="20"/>
          <w:szCs w:val="20"/>
        </w:rPr>
        <w:t xml:space="preserve">keeping </w:t>
      </w:r>
      <w:r w:rsidR="009A7E91" w:rsidRPr="004363F1">
        <w:rPr>
          <w:rFonts w:ascii="Times New Roman" w:eastAsiaTheme="minorEastAsia" w:hAnsi="Times New Roman" w:cs="Times New Roman"/>
          <w:sz w:val="20"/>
          <w:szCs w:val="20"/>
        </w:rPr>
        <w:t>regression models</w:t>
      </w:r>
      <w:r w:rsidR="003774AE" w:rsidRPr="004363F1">
        <w:rPr>
          <w:rFonts w:ascii="Times New Roman" w:eastAsiaTheme="minorEastAsia" w:hAnsi="Times New Roman" w:cs="Times New Roman"/>
          <w:sz w:val="20"/>
          <w:szCs w:val="20"/>
        </w:rPr>
        <w:t xml:space="preserve"> parsimonious</w:t>
      </w:r>
      <w:r w:rsidR="009A7E91" w:rsidRPr="004363F1">
        <w:rPr>
          <w:rFonts w:ascii="Times New Roman" w:eastAsiaTheme="minorEastAsia" w:hAnsi="Times New Roman" w:cs="Times New Roman"/>
          <w:sz w:val="20"/>
          <w:szCs w:val="20"/>
        </w:rPr>
        <w:t>. We see from</w:t>
      </w:r>
      <w:r w:rsidR="00AD5E4E" w:rsidRPr="004363F1">
        <w:rPr>
          <w:rFonts w:ascii="Times New Roman" w:eastAsiaTheme="minorEastAsia" w:hAnsi="Times New Roman" w:cs="Times New Roman"/>
          <w:sz w:val="20"/>
          <w:szCs w:val="20"/>
        </w:rPr>
        <w:t xml:space="preserve"> Panel 3 </w:t>
      </w:r>
      <w:r w:rsidR="0076181B" w:rsidRPr="004363F1">
        <w:rPr>
          <w:rFonts w:ascii="Times New Roman" w:eastAsiaTheme="minorEastAsia" w:hAnsi="Times New Roman" w:cs="Times New Roman"/>
          <w:sz w:val="20"/>
          <w:szCs w:val="20"/>
        </w:rPr>
        <w:t xml:space="preserve">of </w:t>
      </w:r>
      <w:r w:rsidR="00774B2D" w:rsidRPr="004363F1">
        <w:rPr>
          <w:rFonts w:ascii="Times New Roman" w:eastAsiaTheme="minorEastAsia" w:hAnsi="Times New Roman" w:cs="Times New Roman"/>
          <w:sz w:val="20"/>
          <w:szCs w:val="20"/>
        </w:rPr>
        <w:t xml:space="preserve">Supplemental </w:t>
      </w:r>
      <w:r w:rsidR="001B685D" w:rsidRPr="004363F1">
        <w:rPr>
          <w:rFonts w:ascii="Times New Roman" w:eastAsiaTheme="minorEastAsia" w:hAnsi="Times New Roman" w:cs="Times New Roman"/>
          <w:sz w:val="20"/>
          <w:szCs w:val="20"/>
        </w:rPr>
        <w:t>Table 14</w:t>
      </w:r>
      <w:r w:rsidR="009A7E91" w:rsidRPr="004363F1">
        <w:rPr>
          <w:rFonts w:ascii="Times New Roman" w:eastAsiaTheme="minorEastAsia" w:hAnsi="Times New Roman" w:cs="Times New Roman"/>
          <w:sz w:val="20"/>
          <w:szCs w:val="20"/>
        </w:rPr>
        <w:t xml:space="preserve"> that</w:t>
      </w:r>
      <w:r w:rsidR="00C81839" w:rsidRPr="004363F1">
        <w:rPr>
          <w:rFonts w:ascii="Times New Roman" w:eastAsiaTheme="minorEastAsia" w:hAnsi="Times New Roman" w:cs="Times New Roman"/>
          <w:sz w:val="20"/>
          <w:szCs w:val="20"/>
        </w:rPr>
        <w:t xml:space="preserve"> </w:t>
      </w:r>
      <w:r w:rsidR="009A7E91" w:rsidRPr="004363F1">
        <w:rPr>
          <w:rFonts w:ascii="Times New Roman" w:eastAsiaTheme="minorEastAsia" w:hAnsi="Times New Roman" w:cs="Times New Roman"/>
          <w:sz w:val="20"/>
          <w:szCs w:val="20"/>
        </w:rPr>
        <w:t xml:space="preserve">most of the sites and types of positive cultures </w:t>
      </w:r>
      <w:r w:rsidR="00C81839" w:rsidRPr="004363F1">
        <w:rPr>
          <w:rFonts w:ascii="Times New Roman" w:eastAsiaTheme="minorEastAsia" w:hAnsi="Times New Roman" w:cs="Times New Roman"/>
          <w:sz w:val="20"/>
          <w:szCs w:val="20"/>
        </w:rPr>
        <w:t xml:space="preserve">contributed negatively to the Adjusted Rho-square and hence </w:t>
      </w:r>
      <w:r w:rsidR="009A7E91" w:rsidRPr="004363F1">
        <w:rPr>
          <w:rFonts w:ascii="Times New Roman" w:eastAsiaTheme="minorEastAsia" w:hAnsi="Times New Roman" w:cs="Times New Roman"/>
          <w:sz w:val="20"/>
          <w:szCs w:val="20"/>
        </w:rPr>
        <w:t>should not be added to the CLOGLOG model.</w:t>
      </w:r>
    </w:p>
    <w:p w14:paraId="7EA17EFC" w14:textId="77777777" w:rsidR="00BA62FE" w:rsidRPr="004363F1" w:rsidRDefault="00BA62FE" w:rsidP="00CC0983">
      <w:pPr>
        <w:spacing w:after="0" w:line="240" w:lineRule="auto"/>
        <w:ind w:firstLine="720"/>
        <w:jc w:val="both"/>
        <w:rPr>
          <w:rFonts w:ascii="Times New Roman" w:hAnsi="Times New Roman" w:cs="Times New Roman"/>
          <w:sz w:val="20"/>
          <w:szCs w:val="20"/>
          <w:shd w:val="clear" w:color="auto" w:fill="FFFFFF"/>
        </w:rPr>
      </w:pPr>
    </w:p>
    <w:p w14:paraId="14918063" w14:textId="77777777" w:rsidR="00E810CC" w:rsidRPr="004363F1" w:rsidRDefault="00774B2D" w:rsidP="00CC0983">
      <w:pPr>
        <w:spacing w:after="0" w:line="240" w:lineRule="auto"/>
        <w:jc w:val="both"/>
        <w:rPr>
          <w:rFonts w:ascii="Times New Roman" w:hAnsi="Times New Roman" w:cs="Times New Roman"/>
          <w:sz w:val="24"/>
          <w:szCs w:val="24"/>
          <w:shd w:val="clear" w:color="auto" w:fill="FFFFFF"/>
        </w:rPr>
      </w:pPr>
      <w:r w:rsidRPr="004363F1">
        <w:rPr>
          <w:rFonts w:ascii="Times New Roman" w:eastAsiaTheme="minorEastAsia" w:hAnsi="Times New Roman" w:cs="Times New Roman"/>
          <w:b/>
          <w:sz w:val="24"/>
          <w:szCs w:val="24"/>
          <w:lang w:val="en-CA" w:eastAsia="ja-JP"/>
        </w:rPr>
        <w:t xml:space="preserve">Supplemental Text </w:t>
      </w:r>
      <w:r w:rsidR="007A4BFF" w:rsidRPr="004363F1">
        <w:rPr>
          <w:rFonts w:ascii="Times New Roman" w:eastAsiaTheme="minorEastAsia" w:hAnsi="Times New Roman" w:cs="Times New Roman"/>
          <w:b/>
          <w:sz w:val="24"/>
          <w:szCs w:val="24"/>
          <w:lang w:val="en-CA" w:eastAsia="ja-JP"/>
        </w:rPr>
        <w:t>14</w:t>
      </w:r>
      <w:r w:rsidR="00E810CC" w:rsidRPr="004363F1">
        <w:rPr>
          <w:rFonts w:ascii="Times New Roman" w:eastAsiaTheme="minorEastAsia" w:hAnsi="Times New Roman" w:cs="Times New Roman"/>
          <w:b/>
          <w:sz w:val="24"/>
          <w:szCs w:val="24"/>
          <w:lang w:val="en-CA" w:eastAsia="ja-JP"/>
        </w:rPr>
        <w:t xml:space="preserve">: </w:t>
      </w:r>
      <w:r w:rsidR="007A4BFF" w:rsidRPr="004363F1">
        <w:rPr>
          <w:rFonts w:ascii="Times New Roman" w:eastAsiaTheme="minorEastAsia" w:hAnsi="Times New Roman" w:cs="Times New Roman"/>
          <w:b/>
          <w:sz w:val="24"/>
          <w:szCs w:val="24"/>
          <w:lang w:val="en-CA" w:eastAsia="ja-JP"/>
        </w:rPr>
        <w:t>Comparison of the CLOGLOG Model with Two Versions of the Cox Model</w:t>
      </w:r>
    </w:p>
    <w:p w14:paraId="2CF70CBD" w14:textId="77777777" w:rsidR="00A75464" w:rsidRPr="004363F1" w:rsidRDefault="001C66A3" w:rsidP="00CC0983">
      <w:pPr>
        <w:spacing w:after="0"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In our notation, the </w:t>
      </w:r>
      <w:r w:rsidRPr="004363F1">
        <w:rPr>
          <w:rFonts w:ascii="Times New Roman" w:eastAsiaTheme="minorEastAsia" w:hAnsi="Times New Roman" w:cs="Times New Roman"/>
          <w:i/>
          <w:sz w:val="20"/>
          <w:szCs w:val="20"/>
        </w:rPr>
        <w:t>Cox proportional hazards (PH) model</w:t>
      </w:r>
      <w:r w:rsidRPr="004363F1">
        <w:rPr>
          <w:rFonts w:ascii="Times New Roman" w:eastAsiaTheme="minorEastAsia" w:hAnsi="Times New Roman" w:cs="Times New Roman"/>
          <w:sz w:val="20"/>
          <w:szCs w:val="20"/>
        </w:rPr>
        <w:t xml:space="preserve"> </w:t>
      </w:r>
      <w:r w:rsidR="005F058C" w:rsidRPr="004363F1">
        <w:rPr>
          <w:rFonts w:ascii="Times New Roman" w:eastAsiaTheme="minorEastAsia" w:hAnsi="Times New Roman" w:cs="Times New Roman"/>
          <w:sz w:val="20"/>
          <w:szCs w:val="20"/>
        </w:rPr>
        <w:t xml:space="preserve">for the </w:t>
      </w:r>
      <w:proofErr w:type="spellStart"/>
      <w:r w:rsidR="005F058C" w:rsidRPr="004363F1">
        <w:rPr>
          <w:rFonts w:ascii="Times New Roman" w:eastAsiaTheme="minorEastAsia" w:hAnsi="Times New Roman" w:cs="Times New Roman"/>
          <w:sz w:val="20"/>
          <w:szCs w:val="20"/>
        </w:rPr>
        <w:t>ith</w:t>
      </w:r>
      <w:proofErr w:type="spellEnd"/>
      <w:r w:rsidR="005F058C" w:rsidRPr="004363F1">
        <w:rPr>
          <w:rFonts w:ascii="Times New Roman" w:eastAsiaTheme="minorEastAsia" w:hAnsi="Times New Roman" w:cs="Times New Roman"/>
          <w:sz w:val="20"/>
          <w:szCs w:val="20"/>
        </w:rPr>
        <w:t xml:space="preserve"> patient </w:t>
      </w:r>
      <w:r w:rsidR="00323B99" w:rsidRPr="004363F1">
        <w:rPr>
          <w:rFonts w:ascii="Times New Roman" w:eastAsiaTheme="minorEastAsia" w:hAnsi="Times New Roman" w:cs="Times New Roman"/>
          <w:sz w:val="20"/>
          <w:szCs w:val="20"/>
        </w:rPr>
        <w:t>accounts</w:t>
      </w:r>
      <w:r w:rsidRPr="004363F1">
        <w:rPr>
          <w:rFonts w:ascii="Times New Roman" w:eastAsiaTheme="minorEastAsia" w:hAnsi="Times New Roman" w:cs="Times New Roman"/>
          <w:sz w:val="20"/>
          <w:szCs w:val="20"/>
        </w:rPr>
        <w:t xml:space="preserve"> </w:t>
      </w:r>
      <w:r w:rsidR="00323B99" w:rsidRPr="004363F1">
        <w:rPr>
          <w:rFonts w:ascii="Times New Roman" w:eastAsiaTheme="minorEastAsia" w:hAnsi="Times New Roman" w:cs="Times New Roman"/>
          <w:sz w:val="20"/>
          <w:szCs w:val="20"/>
        </w:rPr>
        <w:t xml:space="preserve">for the hazard of dying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it</m:t>
            </m:r>
          </m:sub>
        </m:sSub>
      </m:oMath>
      <w:r w:rsidR="00323B99" w:rsidRPr="004363F1">
        <w:rPr>
          <w:rFonts w:ascii="Times New Roman" w:eastAsiaTheme="minorEastAsia" w:hAnsi="Times New Roman" w:cs="Times New Roman"/>
          <w:sz w:val="20"/>
          <w:szCs w:val="20"/>
        </w:rPr>
        <w:t xml:space="preserve"> </w:t>
      </w:r>
      <w:r w:rsidRPr="004363F1">
        <w:rPr>
          <w:rFonts w:ascii="Times New Roman" w:eastAsiaTheme="minorEastAsia" w:hAnsi="Times New Roman" w:cs="Times New Roman"/>
          <w:sz w:val="20"/>
          <w:szCs w:val="20"/>
        </w:rPr>
        <w:t>in the following form:</w:t>
      </w:r>
    </w:p>
    <w:p w14:paraId="1CB08009" w14:textId="77777777" w:rsidR="005F058C" w:rsidRPr="004363F1" w:rsidRDefault="00E40366" w:rsidP="00CC0983">
      <w:pPr>
        <w:spacing w:line="240" w:lineRule="auto"/>
        <w:jc w:val="both"/>
        <w:rPr>
          <w:rFonts w:ascii="Times New Roman" w:eastAsiaTheme="minorEastAsia" w:hAnsi="Times New Roman" w:cs="Times New Roman"/>
          <w:sz w:val="20"/>
          <w:szCs w:val="20"/>
        </w:rPr>
      </w:pPr>
      <m:oMathPara>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p>
                <m:sSupPr>
                  <m:ctrlPr>
                    <w:rPr>
                      <w:rFonts w:ascii="Cambria Math" w:hAnsi="Cambria Math"/>
                      <w:i/>
                      <w:sz w:val="20"/>
                      <w:szCs w:val="20"/>
                    </w:rPr>
                  </m:ctrlPr>
                </m:sSupPr>
                <m:e>
                  <m:r>
                    <m:rPr>
                      <m:sty m:val="bi"/>
                    </m:rPr>
                    <w:rPr>
                      <w:rFonts w:ascii="Cambria Math" w:hAnsi="Cambria Math"/>
                      <w:sz w:val="20"/>
                      <w:szCs w:val="20"/>
                    </w:rPr>
                    <m:t>β</m:t>
                  </m:r>
                </m:e>
                <m:sup>
                  <m:r>
                    <w:rPr>
                      <w:rFonts w:ascii="Cambria Math" w:hAnsi="Cambria Math"/>
                      <w:sz w:val="20"/>
                      <w:szCs w:val="20"/>
                    </w:rPr>
                    <m:t>'</m:t>
                  </m:r>
                </m:sup>
              </m:sSup>
              <m:sSub>
                <m:sSubPr>
                  <m:ctrlPr>
                    <w:rPr>
                      <w:rFonts w:ascii="Cambria Math" w:hAnsi="Cambria Math"/>
                      <w:i/>
                      <w:sz w:val="20"/>
                      <w:szCs w:val="20"/>
                    </w:rPr>
                  </m:ctrlPr>
                </m:sSubPr>
                <m:e>
                  <m:r>
                    <m:rPr>
                      <m:sty m:val="bi"/>
                    </m:rPr>
                    <w:rPr>
                      <w:rFonts w:ascii="Cambria Math" w:hAnsi="Cambria Math"/>
                      <w:sz w:val="20"/>
                      <w:szCs w:val="20"/>
                    </w:rPr>
                    <m:t>X</m:t>
                  </m:r>
                </m:e>
                <m:sub>
                  <m:r>
                    <w:rPr>
                      <w:rFonts w:ascii="Cambria Math" w:hAnsi="Cambria Math"/>
                      <w:sz w:val="20"/>
                      <w:szCs w:val="20"/>
                    </w:rPr>
                    <m:t>i</m:t>
                  </m:r>
                </m:sub>
              </m:sSub>
            </m:sup>
          </m:sSup>
          <m:r>
            <w:rPr>
              <w:rFonts w:ascii="Cambria Math" w:hAnsi="Cambria Math"/>
              <w:sz w:val="20"/>
              <w:szCs w:val="20"/>
            </w:rPr>
            <m:t xml:space="preserve">            for i=1,2,…n    and    t=1, 2, ….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 xml:space="preserve">                                                     (6)  </m:t>
          </m:r>
        </m:oMath>
      </m:oMathPara>
    </w:p>
    <w:p w14:paraId="3A2C96C9" w14:textId="77777777" w:rsidR="00F305AB" w:rsidRPr="004363F1" w:rsidRDefault="001C66A3" w:rsidP="00CC0983">
      <w:pPr>
        <w:spacing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where </w:t>
      </w:r>
      <m:oMath>
        <m:r>
          <w:rPr>
            <w:rFonts w:ascii="Cambria Math" w:eastAsiaTheme="minorEastAsia" w:hAnsi="Cambria Math" w:cs="Times New Roman"/>
            <w:sz w:val="20"/>
            <w:szCs w:val="20"/>
          </w:rPr>
          <m:t>f(t)</m:t>
        </m:r>
      </m:oMath>
      <w:r w:rsidRPr="004363F1">
        <w:rPr>
          <w:rFonts w:ascii="Times New Roman" w:eastAsiaTheme="minorEastAsia" w:hAnsi="Times New Roman" w:cs="Times New Roman"/>
          <w:sz w:val="20"/>
          <w:szCs w:val="20"/>
        </w:rPr>
        <w:t xml:space="preserve"> </w:t>
      </w:r>
      <w:r w:rsidR="005F058C" w:rsidRPr="004363F1">
        <w:rPr>
          <w:rFonts w:ascii="Times New Roman" w:eastAsiaTheme="minorEastAsia" w:hAnsi="Times New Roman" w:cs="Times New Roman"/>
          <w:sz w:val="20"/>
          <w:szCs w:val="20"/>
        </w:rPr>
        <w:t xml:space="preserve">is a function of duration (t) but does not vary with patients, and </w:t>
      </w:r>
      <m:oMath>
        <m:sSub>
          <m:sSubPr>
            <m:ctrlPr>
              <w:rPr>
                <w:rFonts w:ascii="Cambria Math" w:hAnsi="Cambria Math"/>
                <w:i/>
                <w:sz w:val="20"/>
                <w:szCs w:val="20"/>
              </w:rPr>
            </m:ctrlPr>
          </m:sSubPr>
          <m:e>
            <m:r>
              <m:rPr>
                <m:sty m:val="bi"/>
              </m:rPr>
              <w:rPr>
                <w:rFonts w:ascii="Cambria Math" w:hAnsi="Cambria Math"/>
                <w:sz w:val="20"/>
                <w:szCs w:val="20"/>
              </w:rPr>
              <m:t>X</m:t>
            </m:r>
          </m:e>
          <m:sub>
            <m:r>
              <w:rPr>
                <w:rFonts w:ascii="Cambria Math" w:hAnsi="Cambria Math"/>
                <w:sz w:val="20"/>
                <w:szCs w:val="20"/>
              </w:rPr>
              <m:t>i</m:t>
            </m:r>
          </m:sub>
        </m:sSub>
      </m:oMath>
      <w:r w:rsidR="005F058C" w:rsidRPr="004363F1">
        <w:rPr>
          <w:rFonts w:ascii="Times New Roman" w:eastAsiaTheme="minorEastAsia" w:hAnsi="Times New Roman" w:cs="Times New Roman"/>
          <w:sz w:val="20"/>
          <w:szCs w:val="20"/>
        </w:rPr>
        <w:t xml:space="preserve"> is a column vector containing </w:t>
      </w:r>
      <w:r w:rsidR="005F058C" w:rsidRPr="004363F1">
        <w:rPr>
          <w:rFonts w:ascii="Times New Roman" w:eastAsiaTheme="minorEastAsia" w:hAnsi="Times New Roman" w:cs="Times New Roman"/>
          <w:i/>
          <w:sz w:val="20"/>
          <w:szCs w:val="20"/>
        </w:rPr>
        <w:t>time-invariant</w:t>
      </w:r>
      <w:r w:rsidR="00D84B64" w:rsidRPr="004363F1">
        <w:rPr>
          <w:rFonts w:ascii="Times New Roman" w:eastAsiaTheme="minorEastAsia" w:hAnsi="Times New Roman" w:cs="Times New Roman"/>
          <w:sz w:val="20"/>
          <w:szCs w:val="20"/>
        </w:rPr>
        <w:t xml:space="preserve"> explanatory variables relevant to</w:t>
      </w:r>
      <w:r w:rsidR="005F058C" w:rsidRPr="004363F1">
        <w:rPr>
          <w:rFonts w:ascii="Times New Roman" w:eastAsiaTheme="minorEastAsia" w:hAnsi="Times New Roman" w:cs="Times New Roman"/>
          <w:sz w:val="20"/>
          <w:szCs w:val="20"/>
        </w:rPr>
        <w:t xml:space="preserve"> patient i. The unknown coefficients are estimated by maximizing the </w:t>
      </w:r>
      <w:r w:rsidR="005F058C" w:rsidRPr="004363F1">
        <w:rPr>
          <w:rFonts w:ascii="Times New Roman" w:eastAsiaTheme="minorEastAsia" w:hAnsi="Times New Roman" w:cs="Times New Roman"/>
          <w:i/>
          <w:sz w:val="20"/>
          <w:szCs w:val="20"/>
        </w:rPr>
        <w:t>partial likelihood</w:t>
      </w:r>
      <w:r w:rsidR="005F058C" w:rsidRPr="004363F1">
        <w:rPr>
          <w:rFonts w:ascii="Times New Roman" w:eastAsiaTheme="minorEastAsia" w:hAnsi="Times New Roman" w:cs="Times New Roman"/>
          <w:sz w:val="20"/>
          <w:szCs w:val="20"/>
        </w:rPr>
        <w:t xml:space="preserve">, which </w:t>
      </w:r>
      <w:r w:rsidR="005A59A8" w:rsidRPr="004363F1">
        <w:rPr>
          <w:rFonts w:ascii="Times New Roman" w:eastAsiaTheme="minorEastAsia" w:hAnsi="Times New Roman" w:cs="Times New Roman"/>
          <w:sz w:val="20"/>
          <w:szCs w:val="20"/>
        </w:rPr>
        <w:t xml:space="preserve">is a product of </w:t>
      </w:r>
      <w:r w:rsidR="005A59A8" w:rsidRPr="004363F1">
        <w:rPr>
          <w:rFonts w:ascii="Times New Roman" w:eastAsiaTheme="minorEastAsia" w:hAnsi="Times New Roman" w:cs="Times New Roman"/>
          <w:i/>
          <w:sz w:val="20"/>
          <w:szCs w:val="20"/>
        </w:rPr>
        <w:t>hazard ratios</w:t>
      </w:r>
      <w:r w:rsidR="005A59A8" w:rsidRPr="004363F1">
        <w:rPr>
          <w:rFonts w:ascii="Times New Roman" w:eastAsiaTheme="minorEastAsia" w:hAnsi="Times New Roman" w:cs="Times New Roman"/>
          <w:sz w:val="20"/>
          <w:szCs w:val="20"/>
        </w:rPr>
        <w:t xml:space="preserve">, each of which is the hazard of a non-survivor divided by the sum of the hazards of a </w:t>
      </w:r>
      <w:r w:rsidR="00C50C30" w:rsidRPr="004363F1">
        <w:rPr>
          <w:rFonts w:ascii="Times New Roman" w:eastAsiaTheme="minorEastAsia" w:hAnsi="Times New Roman" w:cs="Times New Roman"/>
          <w:sz w:val="20"/>
          <w:szCs w:val="20"/>
        </w:rPr>
        <w:t>set of all patients who were</w:t>
      </w:r>
      <w:r w:rsidR="005A59A8" w:rsidRPr="004363F1">
        <w:rPr>
          <w:rFonts w:ascii="Times New Roman" w:eastAsiaTheme="minorEastAsia" w:hAnsi="Times New Roman" w:cs="Times New Roman"/>
          <w:sz w:val="20"/>
          <w:szCs w:val="20"/>
        </w:rPr>
        <w:t xml:space="preserve"> </w:t>
      </w:r>
      <w:r w:rsidR="00C50C30" w:rsidRPr="004363F1">
        <w:rPr>
          <w:rFonts w:ascii="Times New Roman" w:eastAsiaTheme="minorEastAsia" w:hAnsi="Times New Roman" w:cs="Times New Roman"/>
          <w:sz w:val="20"/>
          <w:szCs w:val="20"/>
        </w:rPr>
        <w:t>exposed to the mortality risk</w:t>
      </w:r>
      <w:r w:rsidR="005A59A8" w:rsidRPr="004363F1">
        <w:rPr>
          <w:rFonts w:ascii="Times New Roman" w:eastAsiaTheme="minorEastAsia" w:hAnsi="Times New Roman" w:cs="Times New Roman"/>
          <w:sz w:val="20"/>
          <w:szCs w:val="20"/>
        </w:rPr>
        <w:t xml:space="preserve"> on the day the non-survivor died. </w:t>
      </w:r>
      <w:r w:rsidR="00D84B64" w:rsidRPr="004363F1">
        <w:rPr>
          <w:rFonts w:ascii="Times New Roman" w:eastAsiaTheme="minorEastAsia" w:hAnsi="Times New Roman" w:cs="Times New Roman"/>
          <w:sz w:val="20"/>
          <w:szCs w:val="20"/>
        </w:rPr>
        <w:t>With the likelihood being a product of hazard rations, the estimation method</w:t>
      </w:r>
      <w:r w:rsidR="00323B99" w:rsidRPr="004363F1">
        <w:rPr>
          <w:rFonts w:ascii="Times New Roman" w:eastAsiaTheme="minorEastAsia" w:hAnsi="Times New Roman" w:cs="Times New Roman"/>
          <w:sz w:val="20"/>
          <w:szCs w:val="20"/>
        </w:rPr>
        <w:t xml:space="preserve"> wipes out (cancels out)</w:t>
      </w:r>
      <w:r w:rsidR="005A59A8" w:rsidRPr="004363F1">
        <w:rPr>
          <w:rFonts w:ascii="Times New Roman" w:eastAsiaTheme="minorEastAsia" w:hAnsi="Times New Roman" w:cs="Times New Roman"/>
          <w:sz w:val="20"/>
          <w:szCs w:val="20"/>
        </w:rPr>
        <w:t xml:space="preserve"> </w:t>
      </w:r>
      <w:r w:rsidR="00970772" w:rsidRPr="004363F1">
        <w:rPr>
          <w:rFonts w:ascii="Times New Roman" w:eastAsiaTheme="minorEastAsia" w:hAnsi="Times New Roman" w:cs="Times New Roman"/>
          <w:sz w:val="20"/>
          <w:szCs w:val="20"/>
        </w:rPr>
        <w:t>the</w:t>
      </w:r>
      <w:r w:rsidR="005A59A8" w:rsidRPr="004363F1">
        <w:rPr>
          <w:rFonts w:ascii="Times New Roman" w:eastAsiaTheme="minorEastAsia" w:hAnsi="Times New Roman" w:cs="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t</m:t>
            </m:r>
          </m:e>
        </m:d>
      </m:oMath>
      <w:r w:rsidR="005A59A8" w:rsidRPr="004363F1">
        <w:rPr>
          <w:rFonts w:ascii="Times New Roman" w:eastAsiaTheme="minorEastAsia" w:hAnsi="Times New Roman" w:cs="Times New Roman"/>
          <w:sz w:val="20"/>
          <w:szCs w:val="20"/>
        </w:rPr>
        <w:t xml:space="preserve"> </w:t>
      </w:r>
      <w:r w:rsidR="00323B99" w:rsidRPr="004363F1">
        <w:rPr>
          <w:rFonts w:ascii="Times New Roman" w:eastAsiaTheme="minorEastAsia" w:hAnsi="Times New Roman" w:cs="Times New Roman"/>
          <w:sz w:val="20"/>
          <w:szCs w:val="20"/>
        </w:rPr>
        <w:t>part of the hazard</w:t>
      </w:r>
      <w:r w:rsidR="00970772" w:rsidRPr="004363F1">
        <w:rPr>
          <w:rFonts w:ascii="Times New Roman" w:eastAsiaTheme="minorEastAsia" w:hAnsi="Times New Roman" w:cs="Times New Roman"/>
          <w:sz w:val="20"/>
          <w:szCs w:val="20"/>
        </w:rPr>
        <w:t xml:space="preserve"> </w:t>
      </w:r>
      <w:r w:rsidR="00F17053" w:rsidRPr="004363F1">
        <w:rPr>
          <w:rFonts w:ascii="Times New Roman" w:eastAsiaTheme="minorEastAsia" w:hAnsi="Times New Roman" w:cs="Times New Roman"/>
          <w:sz w:val="20"/>
          <w:szCs w:val="20"/>
        </w:rPr>
        <w:t xml:space="preserve">function </w:t>
      </w:r>
      <w:r w:rsidR="00970772" w:rsidRPr="004363F1">
        <w:rPr>
          <w:rFonts w:ascii="Times New Roman" w:eastAsiaTheme="minorEastAsia" w:hAnsi="Times New Roman" w:cs="Times New Roman"/>
          <w:sz w:val="20"/>
          <w:szCs w:val="20"/>
        </w:rPr>
        <w:t>from consideration.</w:t>
      </w:r>
      <w:r w:rsidR="00EA114F" w:rsidRPr="004363F1">
        <w:rPr>
          <w:rFonts w:ascii="Times New Roman" w:eastAsiaTheme="minorEastAsia" w:hAnsi="Times New Roman" w:cs="Times New Roman"/>
          <w:sz w:val="20"/>
          <w:szCs w:val="20"/>
        </w:rPr>
        <w:t xml:space="preserve"> </w:t>
      </w:r>
      <w:r w:rsidR="00F17053" w:rsidRPr="004363F1">
        <w:rPr>
          <w:rFonts w:ascii="Times New Roman" w:eastAsiaTheme="minorEastAsia" w:hAnsi="Times New Roman" w:cs="Times New Roman"/>
          <w:sz w:val="20"/>
          <w:szCs w:val="20"/>
        </w:rPr>
        <w:t xml:space="preserve"> </w:t>
      </w:r>
      <w:r w:rsidR="00EA114F" w:rsidRPr="004363F1">
        <w:rPr>
          <w:rFonts w:ascii="Times New Roman" w:eastAsiaTheme="minorEastAsia" w:hAnsi="Times New Roman" w:cs="Times New Roman"/>
          <w:sz w:val="20"/>
          <w:szCs w:val="20"/>
        </w:rPr>
        <w:t>If several patients died on the same day, the specification of the partial likelihood be</w:t>
      </w:r>
      <w:r w:rsidR="00C50C30" w:rsidRPr="004363F1">
        <w:rPr>
          <w:rFonts w:ascii="Times New Roman" w:eastAsiaTheme="minorEastAsia" w:hAnsi="Times New Roman" w:cs="Times New Roman"/>
          <w:sz w:val="20"/>
          <w:szCs w:val="20"/>
        </w:rPr>
        <w:t xml:space="preserve">comes a challenge, because </w:t>
      </w:r>
      <w:r w:rsidR="00A76EAF" w:rsidRPr="004363F1">
        <w:rPr>
          <w:rFonts w:ascii="Times New Roman" w:eastAsiaTheme="minorEastAsia" w:hAnsi="Times New Roman" w:cs="Times New Roman"/>
          <w:sz w:val="20"/>
          <w:szCs w:val="20"/>
        </w:rPr>
        <w:t xml:space="preserve">it is difficult to guess who among these patients should be included in the denominator. Based on different assumptions, several methods have been proposed to deal with these ties. </w:t>
      </w:r>
      <w:r w:rsidR="00F17053" w:rsidRPr="004363F1">
        <w:rPr>
          <w:rFonts w:ascii="Times New Roman" w:eastAsiaTheme="minorEastAsia" w:hAnsi="Times New Roman" w:cs="Times New Roman"/>
          <w:sz w:val="20"/>
          <w:szCs w:val="20"/>
        </w:rPr>
        <w:t xml:space="preserve">Irrespective of how the technical difficulty is dealt with, the estimation method estimates </w:t>
      </w:r>
      <w:r w:rsidR="00970772" w:rsidRPr="004363F1">
        <w:rPr>
          <w:rFonts w:ascii="Times New Roman" w:eastAsiaTheme="minorEastAsia" w:hAnsi="Times New Roman" w:cs="Times New Roman"/>
          <w:sz w:val="20"/>
          <w:szCs w:val="20"/>
        </w:rPr>
        <w:t xml:space="preserve">only the coefficients in </w:t>
      </w:r>
      <m:oMath>
        <m:sSup>
          <m:sSupPr>
            <m:ctrlPr>
              <w:rPr>
                <w:rFonts w:ascii="Cambria Math" w:hAnsi="Cambria Math"/>
                <w:i/>
                <w:sz w:val="20"/>
                <w:szCs w:val="20"/>
              </w:rPr>
            </m:ctrlPr>
          </m:sSupPr>
          <m:e>
            <m:r>
              <m:rPr>
                <m:sty m:val="bi"/>
              </m:rPr>
              <w:rPr>
                <w:rFonts w:ascii="Cambria Math" w:hAnsi="Cambria Math"/>
                <w:sz w:val="20"/>
                <w:szCs w:val="20"/>
              </w:rPr>
              <m:t>β</m:t>
            </m:r>
          </m:e>
          <m:sup>
            <m:r>
              <w:rPr>
                <w:rFonts w:ascii="Cambria Math" w:hAnsi="Cambria Math"/>
                <w:sz w:val="20"/>
                <w:szCs w:val="20"/>
              </w:rPr>
              <m:t>'</m:t>
            </m:r>
          </m:sup>
        </m:sSup>
      </m:oMath>
      <w:r w:rsidR="00F17053" w:rsidRPr="004363F1">
        <w:rPr>
          <w:rFonts w:ascii="Times New Roman" w:eastAsiaTheme="minorEastAsia" w:hAnsi="Times New Roman" w:cs="Times New Roman"/>
          <w:sz w:val="20"/>
          <w:szCs w:val="20"/>
        </w:rPr>
        <w:t>, so that there is insufficient</w:t>
      </w:r>
      <w:r w:rsidR="00970772" w:rsidRPr="004363F1">
        <w:rPr>
          <w:rFonts w:ascii="Times New Roman" w:eastAsiaTheme="minorEastAsia" w:hAnsi="Times New Roman" w:cs="Times New Roman"/>
          <w:sz w:val="20"/>
          <w:szCs w:val="20"/>
        </w:rPr>
        <w:t xml:space="preserve"> information to compute the pr</w:t>
      </w:r>
      <w:r w:rsidR="00F17053" w:rsidRPr="004363F1">
        <w:rPr>
          <w:rFonts w:ascii="Times New Roman" w:eastAsiaTheme="minorEastAsia" w:hAnsi="Times New Roman" w:cs="Times New Roman"/>
          <w:sz w:val="20"/>
          <w:szCs w:val="20"/>
        </w:rPr>
        <w:t>edicted hazard and hence any</w:t>
      </w:r>
      <w:r w:rsidR="00970772" w:rsidRPr="004363F1">
        <w:rPr>
          <w:rFonts w:ascii="Times New Roman" w:eastAsiaTheme="minorEastAsia" w:hAnsi="Times New Roman" w:cs="Times New Roman"/>
          <w:sz w:val="20"/>
          <w:szCs w:val="20"/>
        </w:rPr>
        <w:t xml:space="preserve"> probability of dying. </w:t>
      </w:r>
      <w:r w:rsidR="002146FC" w:rsidRPr="004363F1">
        <w:rPr>
          <w:rFonts w:ascii="Times New Roman" w:eastAsiaTheme="minorEastAsia" w:hAnsi="Times New Roman" w:cs="Times New Roman"/>
          <w:sz w:val="20"/>
          <w:szCs w:val="20"/>
        </w:rPr>
        <w:tab/>
        <w:t xml:space="preserve">To apply the Cox PH model to our data, we let the explanatory variables in </w:t>
      </w:r>
      <m:oMath>
        <m:sSub>
          <m:sSubPr>
            <m:ctrlPr>
              <w:rPr>
                <w:rFonts w:ascii="Cambria Math" w:hAnsi="Cambria Math"/>
                <w:i/>
                <w:sz w:val="20"/>
                <w:szCs w:val="20"/>
              </w:rPr>
            </m:ctrlPr>
          </m:sSubPr>
          <m:e>
            <m:r>
              <m:rPr>
                <m:sty m:val="bi"/>
              </m:rPr>
              <w:rPr>
                <w:rFonts w:ascii="Cambria Math" w:hAnsi="Cambria Math"/>
                <w:sz w:val="20"/>
                <w:szCs w:val="20"/>
              </w:rPr>
              <m:t>X</m:t>
            </m:r>
          </m:e>
          <m:sub>
            <m:r>
              <w:rPr>
                <w:rFonts w:ascii="Cambria Math" w:hAnsi="Cambria Math"/>
                <w:sz w:val="20"/>
                <w:szCs w:val="20"/>
              </w:rPr>
              <m:t>i</m:t>
            </m:r>
          </m:sub>
        </m:sSub>
      </m:oMath>
      <w:r w:rsidR="002146FC" w:rsidRPr="004363F1">
        <w:rPr>
          <w:rFonts w:ascii="Times New Roman" w:eastAsiaTheme="minorEastAsia" w:hAnsi="Times New Roman" w:cs="Times New Roman"/>
          <w:sz w:val="20"/>
          <w:szCs w:val="20"/>
        </w:rPr>
        <w:t>be the day 1 variables of the 6 TVBIs as well as age and the two preconditions.</w:t>
      </w:r>
      <w:r w:rsidR="00761A2E" w:rsidRPr="004363F1">
        <w:rPr>
          <w:rFonts w:ascii="Times New Roman" w:eastAsiaTheme="minorEastAsia" w:hAnsi="Times New Roman" w:cs="Times New Roman"/>
          <w:sz w:val="20"/>
          <w:szCs w:val="20"/>
        </w:rPr>
        <w:t xml:space="preserve"> The</w:t>
      </w:r>
      <w:r w:rsidR="002146FC" w:rsidRPr="004363F1">
        <w:rPr>
          <w:rFonts w:ascii="Times New Roman" w:eastAsiaTheme="minorEastAsia" w:hAnsi="Times New Roman" w:cs="Times New Roman"/>
          <w:sz w:val="20"/>
          <w:szCs w:val="20"/>
        </w:rPr>
        <w:t xml:space="preserve"> input data matrix</w:t>
      </w:r>
      <w:r w:rsidR="00761A2E" w:rsidRPr="004363F1">
        <w:rPr>
          <w:rFonts w:ascii="Times New Roman" w:eastAsiaTheme="minorEastAsia" w:hAnsi="Times New Roman" w:cs="Times New Roman"/>
          <w:sz w:val="20"/>
          <w:szCs w:val="20"/>
        </w:rPr>
        <w:t xml:space="preserve"> contains exactly one record per patient</w:t>
      </w:r>
      <w:r w:rsidR="002146FC" w:rsidRPr="004363F1">
        <w:rPr>
          <w:rFonts w:ascii="Times New Roman" w:eastAsiaTheme="minorEastAsia" w:hAnsi="Times New Roman" w:cs="Times New Roman"/>
          <w:sz w:val="20"/>
          <w:szCs w:val="20"/>
        </w:rPr>
        <w:t xml:space="preserve">, </w:t>
      </w:r>
      <w:r w:rsidR="00761A2E" w:rsidRPr="004363F1">
        <w:rPr>
          <w:rFonts w:ascii="Times New Roman" w:eastAsiaTheme="minorEastAsia" w:hAnsi="Times New Roman" w:cs="Times New Roman"/>
          <w:sz w:val="20"/>
          <w:szCs w:val="20"/>
        </w:rPr>
        <w:t>which is the record on the patient’s LAST day.</w:t>
      </w:r>
      <w:r w:rsidR="002146FC" w:rsidRPr="004363F1">
        <w:rPr>
          <w:rFonts w:ascii="Times New Roman" w:eastAsiaTheme="minorEastAsia" w:hAnsi="Times New Roman" w:cs="Times New Roman"/>
          <w:sz w:val="20"/>
          <w:szCs w:val="20"/>
        </w:rPr>
        <w:t xml:space="preserve"> The estimation </w:t>
      </w:r>
      <w:r w:rsidR="00761A2E" w:rsidRPr="004363F1">
        <w:rPr>
          <w:rFonts w:ascii="Times New Roman" w:eastAsiaTheme="minorEastAsia" w:hAnsi="Times New Roman" w:cs="Times New Roman"/>
          <w:sz w:val="20"/>
          <w:szCs w:val="20"/>
        </w:rPr>
        <w:t>was carried out by the PHREG procedure of SAS (version 9.4)</w:t>
      </w:r>
      <w:r w:rsidR="00A76EAF" w:rsidRPr="004363F1">
        <w:rPr>
          <w:rFonts w:ascii="Times New Roman" w:eastAsiaTheme="minorEastAsia" w:hAnsi="Times New Roman" w:cs="Times New Roman"/>
          <w:sz w:val="20"/>
          <w:szCs w:val="20"/>
        </w:rPr>
        <w:t>, with the option of TIES=EXACT</w:t>
      </w:r>
      <w:r w:rsidR="00A262A4" w:rsidRPr="004363F1">
        <w:rPr>
          <w:rFonts w:ascii="Times New Roman" w:eastAsiaTheme="minorEastAsia" w:hAnsi="Times New Roman" w:cs="Times New Roman"/>
          <w:sz w:val="20"/>
          <w:szCs w:val="20"/>
        </w:rPr>
        <w:t xml:space="preserve"> </w:t>
      </w:r>
      <w:r w:rsidR="00A262A4" w:rsidRPr="004363F1">
        <w:rPr>
          <w:rFonts w:ascii="Times New Roman" w:eastAsiaTheme="minorEastAsia" w:hAnsi="Times New Roman" w:cs="Times New Roman"/>
          <w:sz w:val="20"/>
          <w:szCs w:val="20"/>
        </w:rPr>
        <w:fldChar w:fldCharType="begin"/>
      </w:r>
      <w:r w:rsidR="00200E17" w:rsidRPr="004363F1">
        <w:rPr>
          <w:rFonts w:ascii="Times New Roman" w:eastAsiaTheme="minorEastAsia" w:hAnsi="Times New Roman" w:cs="Times New Roman"/>
          <w:sz w:val="20"/>
          <w:szCs w:val="20"/>
        </w:rPr>
        <w:instrText xml:space="preserve"> ADDIN REFMGR.CITE &lt;Refman&gt;&lt;Cite&gt;&lt;Author&gt;Allison&lt;/Author&gt;&lt;Year&gt;2010&lt;/Year&gt;&lt;RecNum&gt;12080&lt;/RecNum&gt;&lt;IDText&gt;Survival Analysis Using SAS: A Practical Guide, Second Edition.&lt;/IDText&gt;&lt;MDL Ref_Type="Journal"&gt;&lt;Ref_Type&gt;Journal&lt;/Ref_Type&gt;&lt;Ref_ID&gt;12080&lt;/Ref_ID&gt;&lt;Title_Primary&gt;&lt;f name="Times New Roman"&gt;&lt;i&gt;Survival Analysis Using SAS: A Practical Guide,&lt;/i&gt;&lt;/f&gt;&lt;f name="Times New Roman"&gt; &lt;/f&gt;&lt;f name="Times New Roman"&gt;&lt;i&gt;Second Edition&lt;/i&gt;&lt;/f&gt;&lt;f name="Times New Roman"&gt;.&lt;/f&gt;&lt;/Title_Primary&gt;&lt;Authors_Primary&gt;Allison,P.D&lt;/Authors_Primary&gt;&lt;Date_Primary&gt;2010&lt;/Date_Primary&gt;&lt;Keywords&gt;Survival&lt;/Keywords&gt;&lt;Keywords&gt;Survival Analysis&lt;/Keywords&gt;&lt;Keywords&gt;analysis&lt;/Keywords&gt;&lt;Reprint&gt;Not in File&lt;/Reprint&gt;&lt;Start_Page&gt;158&lt;/Start_Page&gt;&lt;End_Page&gt;172&lt;/End_Page&gt;&lt;Periodical&gt;SAS Institute Inc.&lt;/Periodical&gt;&lt;ZZ_JournalStdAbbrev&gt;&lt;f name="System"&gt;SAS Institute Inc.&lt;/f&gt;&lt;/ZZ_JournalStdAbbrev&gt;&lt;ZZ_WorkformID&gt;1&lt;/ZZ_WorkformID&gt;&lt;/MDL&gt;&lt;/Cite&gt;&lt;/Refman&gt;</w:instrText>
      </w:r>
      <w:r w:rsidR="00A262A4" w:rsidRPr="004363F1">
        <w:rPr>
          <w:rFonts w:ascii="Times New Roman" w:eastAsiaTheme="minorEastAsia" w:hAnsi="Times New Roman" w:cs="Times New Roman"/>
          <w:sz w:val="20"/>
          <w:szCs w:val="20"/>
        </w:rPr>
        <w:fldChar w:fldCharType="separate"/>
      </w:r>
      <w:r w:rsidR="00A262A4" w:rsidRPr="004363F1">
        <w:rPr>
          <w:rFonts w:ascii="Times New Roman" w:eastAsiaTheme="minorEastAsia" w:hAnsi="Times New Roman" w:cs="Times New Roman"/>
          <w:sz w:val="20"/>
          <w:szCs w:val="20"/>
        </w:rPr>
        <w:t>(2)</w:t>
      </w:r>
      <w:r w:rsidR="00A262A4" w:rsidRPr="004363F1">
        <w:rPr>
          <w:rFonts w:ascii="Times New Roman" w:eastAsiaTheme="minorEastAsia" w:hAnsi="Times New Roman" w:cs="Times New Roman"/>
          <w:sz w:val="20"/>
          <w:szCs w:val="20"/>
        </w:rPr>
        <w:fldChar w:fldCharType="end"/>
      </w:r>
      <w:r w:rsidR="00761A2E" w:rsidRPr="004363F1">
        <w:rPr>
          <w:rFonts w:ascii="Times New Roman" w:eastAsiaTheme="minorEastAsia" w:hAnsi="Times New Roman" w:cs="Times New Roman"/>
          <w:sz w:val="20"/>
          <w:szCs w:val="20"/>
        </w:rPr>
        <w:t xml:space="preserve">. The estimated coefficients are shown in Panel 2 of Supplemental </w:t>
      </w:r>
      <w:r w:rsidR="001B685D" w:rsidRPr="004363F1">
        <w:rPr>
          <w:rFonts w:ascii="Times New Roman" w:eastAsiaTheme="minorEastAsia" w:hAnsi="Times New Roman" w:cs="Times New Roman"/>
          <w:sz w:val="20"/>
          <w:szCs w:val="20"/>
        </w:rPr>
        <w:t>Table 15</w:t>
      </w:r>
      <w:r w:rsidR="0056652F" w:rsidRPr="004363F1">
        <w:rPr>
          <w:rFonts w:ascii="Times New Roman" w:eastAsiaTheme="minorEastAsia" w:hAnsi="Times New Roman" w:cs="Times New Roman"/>
          <w:sz w:val="20"/>
          <w:szCs w:val="20"/>
        </w:rPr>
        <w:t xml:space="preserve"> for comparison with those of the CLOGLOG model (Panel 1).</w:t>
      </w:r>
      <w:r w:rsidR="00192CA0" w:rsidRPr="004363F1">
        <w:rPr>
          <w:rFonts w:ascii="Times New Roman" w:eastAsiaTheme="minorEastAsia" w:hAnsi="Times New Roman" w:cs="Times New Roman"/>
          <w:sz w:val="20"/>
          <w:szCs w:val="20"/>
        </w:rPr>
        <w:t xml:space="preserve"> The estimated coefficients of the day 1 variables of GCS and lactate as well as the associated p-values turned out to be highly misleading. </w:t>
      </w:r>
      <w:r w:rsidR="00761A2E" w:rsidRPr="004363F1">
        <w:rPr>
          <w:rFonts w:ascii="Times New Roman" w:eastAsiaTheme="minorEastAsia" w:hAnsi="Times New Roman" w:cs="Times New Roman"/>
          <w:sz w:val="20"/>
          <w:szCs w:val="20"/>
        </w:rPr>
        <w:t xml:space="preserve"> </w:t>
      </w:r>
      <w:r w:rsidR="002146FC" w:rsidRPr="004363F1">
        <w:rPr>
          <w:rFonts w:ascii="Times New Roman" w:eastAsiaTheme="minorEastAsia" w:hAnsi="Times New Roman" w:cs="Times New Roman"/>
          <w:sz w:val="20"/>
          <w:szCs w:val="20"/>
        </w:rPr>
        <w:t xml:space="preserve">  </w:t>
      </w:r>
      <w:r w:rsidR="0012376F" w:rsidRPr="004363F1">
        <w:rPr>
          <w:rFonts w:ascii="Times New Roman" w:eastAsiaTheme="minorEastAsia" w:hAnsi="Times New Roman" w:cs="Times New Roman"/>
          <w:sz w:val="20"/>
          <w:szCs w:val="20"/>
        </w:rPr>
        <w:tab/>
        <w:t xml:space="preserve">Without an estimated intercept, it is impossible to compute the predicted hazard and hence P28 </w:t>
      </w:r>
      <w:r w:rsidR="00F17053" w:rsidRPr="004363F1">
        <w:rPr>
          <w:rFonts w:ascii="Times New Roman" w:eastAsiaTheme="minorEastAsia" w:hAnsi="Times New Roman" w:cs="Times New Roman"/>
          <w:sz w:val="20"/>
          <w:szCs w:val="20"/>
        </w:rPr>
        <w:t xml:space="preserve">for each patient to conduct </w:t>
      </w:r>
      <w:r w:rsidR="0012376F" w:rsidRPr="004363F1">
        <w:rPr>
          <w:rFonts w:ascii="Times New Roman" w:eastAsiaTheme="minorEastAsia" w:hAnsi="Times New Roman" w:cs="Times New Roman"/>
          <w:sz w:val="20"/>
          <w:szCs w:val="20"/>
        </w:rPr>
        <w:t xml:space="preserve">ROC analysis. By using the linear-in-coefficient expression </w:t>
      </w:r>
      <m:oMath>
        <m:sSup>
          <m:sSupPr>
            <m:ctrlPr>
              <w:rPr>
                <w:rFonts w:ascii="Cambria Math" w:hAnsi="Cambria Math"/>
                <w:i/>
                <w:sz w:val="20"/>
                <w:szCs w:val="20"/>
              </w:rPr>
            </m:ctrlPr>
          </m:sSupPr>
          <m:e>
            <m:r>
              <m:rPr>
                <m:sty m:val="bi"/>
              </m:rPr>
              <w:rPr>
                <w:rFonts w:ascii="Cambria Math" w:hAnsi="Cambria Math"/>
                <w:sz w:val="20"/>
                <w:szCs w:val="20"/>
              </w:rPr>
              <m:t>β</m:t>
            </m:r>
          </m:e>
          <m:sup>
            <m:r>
              <w:rPr>
                <w:rFonts w:ascii="Cambria Math" w:hAnsi="Cambria Math"/>
                <w:sz w:val="20"/>
                <w:szCs w:val="20"/>
              </w:rPr>
              <m:t>'</m:t>
            </m:r>
          </m:sup>
        </m:sSup>
        <m:sSub>
          <m:sSubPr>
            <m:ctrlPr>
              <w:rPr>
                <w:rFonts w:ascii="Cambria Math" w:hAnsi="Cambria Math"/>
                <w:i/>
                <w:sz w:val="20"/>
                <w:szCs w:val="20"/>
              </w:rPr>
            </m:ctrlPr>
          </m:sSubPr>
          <m:e>
            <m:r>
              <m:rPr>
                <m:sty m:val="bi"/>
              </m:rPr>
              <w:rPr>
                <w:rFonts w:ascii="Cambria Math" w:hAnsi="Cambria Math"/>
                <w:sz w:val="20"/>
                <w:szCs w:val="20"/>
              </w:rPr>
              <m:t>X</m:t>
            </m:r>
          </m:e>
          <m:sub>
            <m:r>
              <w:rPr>
                <w:rFonts w:ascii="Cambria Math" w:hAnsi="Cambria Math"/>
                <w:sz w:val="20"/>
                <w:szCs w:val="20"/>
              </w:rPr>
              <m:t>i</m:t>
            </m:r>
          </m:sub>
        </m:sSub>
      </m:oMath>
      <w:r w:rsidR="0012376F" w:rsidRPr="004363F1">
        <w:rPr>
          <w:rFonts w:ascii="Times New Roman" w:eastAsiaTheme="minorEastAsia" w:hAnsi="Times New Roman" w:cs="Times New Roman"/>
          <w:sz w:val="20"/>
          <w:szCs w:val="20"/>
        </w:rPr>
        <w:t xml:space="preserve"> as the classifier to perform to ROC analysis, we found that the Cox PH model achieved a modest AUC</w:t>
      </w:r>
      <w:r w:rsidR="006B25F9" w:rsidRPr="004363F1">
        <w:rPr>
          <w:rFonts w:ascii="Times New Roman" w:eastAsiaTheme="minorEastAsia" w:hAnsi="Times New Roman" w:cs="Times New Roman"/>
          <w:sz w:val="20"/>
          <w:szCs w:val="20"/>
        </w:rPr>
        <w:t>_P28</w:t>
      </w:r>
      <w:r w:rsidR="0012376F" w:rsidRPr="004363F1">
        <w:rPr>
          <w:rFonts w:ascii="Times New Roman" w:eastAsiaTheme="minorEastAsia" w:hAnsi="Times New Roman" w:cs="Times New Roman"/>
          <w:sz w:val="20"/>
          <w:szCs w:val="20"/>
        </w:rPr>
        <w:t xml:space="preserve"> of 0.766 (0.708 - 0.825)</w:t>
      </w:r>
      <w:r w:rsidR="00EE68F5" w:rsidRPr="004363F1">
        <w:rPr>
          <w:rFonts w:ascii="Times New Roman" w:eastAsiaTheme="minorEastAsia" w:hAnsi="Times New Roman" w:cs="Times New Roman"/>
          <w:sz w:val="20"/>
          <w:szCs w:val="20"/>
        </w:rPr>
        <w:t xml:space="preserve"> in predicting a single mortality outcome for each of the 356 patients in 28 days</w:t>
      </w:r>
      <w:r w:rsidR="0012376F" w:rsidRPr="004363F1">
        <w:rPr>
          <w:rFonts w:ascii="Times New Roman" w:eastAsiaTheme="minorEastAsia" w:hAnsi="Times New Roman" w:cs="Times New Roman"/>
          <w:sz w:val="20"/>
          <w:szCs w:val="20"/>
        </w:rPr>
        <w:t>.</w:t>
      </w:r>
      <w:r w:rsidR="009E262F" w:rsidRPr="004363F1">
        <w:rPr>
          <w:rFonts w:ascii="Times New Roman" w:eastAsiaTheme="minorEastAsia" w:hAnsi="Times New Roman" w:cs="Times New Roman"/>
          <w:sz w:val="20"/>
          <w:szCs w:val="20"/>
        </w:rPr>
        <w:t xml:space="preserve"> Clearly, it is a poor choice for our empirical problem.</w:t>
      </w:r>
    </w:p>
    <w:p w14:paraId="5BA17BBA" w14:textId="77777777" w:rsidR="005F058C" w:rsidRPr="004363F1" w:rsidRDefault="009E262F" w:rsidP="00CC0983">
      <w:pPr>
        <w:spacing w:line="240" w:lineRule="auto"/>
        <w:ind w:firstLine="720"/>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 xml:space="preserve">We then modified the Cox PH model into the following </w:t>
      </w:r>
      <w:r w:rsidR="00CF6BA4" w:rsidRPr="004363F1">
        <w:rPr>
          <w:rFonts w:ascii="Times New Roman" w:eastAsiaTheme="minorEastAsia" w:hAnsi="Times New Roman" w:cs="Times New Roman"/>
          <w:i/>
          <w:sz w:val="20"/>
          <w:szCs w:val="20"/>
        </w:rPr>
        <w:t>Cox time-varying (TV) model</w:t>
      </w:r>
      <w:r w:rsidRPr="004363F1">
        <w:rPr>
          <w:rFonts w:ascii="Times New Roman" w:eastAsiaTheme="minorEastAsia" w:hAnsi="Times New Roman" w:cs="Times New Roman"/>
          <w:sz w:val="20"/>
          <w:szCs w:val="20"/>
        </w:rPr>
        <w:t>:</w:t>
      </w:r>
    </w:p>
    <w:p w14:paraId="5D147F30" w14:textId="77777777" w:rsidR="009E262F" w:rsidRPr="004363F1" w:rsidRDefault="00E40366" w:rsidP="00CC0983">
      <w:pPr>
        <w:spacing w:line="240" w:lineRule="auto"/>
        <w:jc w:val="both"/>
        <w:rPr>
          <w:rFonts w:ascii="Times New Roman" w:eastAsiaTheme="minorEastAsia" w:hAnsi="Times New Roman" w:cs="Times New Roman"/>
          <w:sz w:val="20"/>
          <w:szCs w:val="20"/>
        </w:rPr>
      </w:pPr>
      <m:oMathPara>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p>
                <m:sSupPr>
                  <m:ctrlPr>
                    <w:rPr>
                      <w:rFonts w:ascii="Cambria Math" w:hAnsi="Cambria Math"/>
                      <w:i/>
                      <w:sz w:val="20"/>
                      <w:szCs w:val="20"/>
                    </w:rPr>
                  </m:ctrlPr>
                </m:sSupPr>
                <m:e>
                  <m:r>
                    <m:rPr>
                      <m:sty m:val="bi"/>
                    </m:rPr>
                    <w:rPr>
                      <w:rFonts w:ascii="Cambria Math" w:hAnsi="Cambria Math"/>
                      <w:sz w:val="20"/>
                      <w:szCs w:val="20"/>
                    </w:rPr>
                    <m:t>β</m:t>
                  </m:r>
                </m:e>
                <m:sup>
                  <m:r>
                    <w:rPr>
                      <w:rFonts w:ascii="Cambria Math" w:hAnsi="Cambria Math"/>
                      <w:sz w:val="20"/>
                      <w:szCs w:val="20"/>
                    </w:rPr>
                    <m:t>'</m:t>
                  </m:r>
                </m:sup>
              </m:sSup>
              <m:sSub>
                <m:sSubPr>
                  <m:ctrlPr>
                    <w:rPr>
                      <w:rFonts w:ascii="Cambria Math" w:hAnsi="Cambria Math"/>
                      <w:i/>
                      <w:sz w:val="20"/>
                      <w:szCs w:val="20"/>
                    </w:rPr>
                  </m:ctrlPr>
                </m:sSubPr>
                <m:e>
                  <m:r>
                    <m:rPr>
                      <m:sty m:val="bi"/>
                    </m:rPr>
                    <w:rPr>
                      <w:rFonts w:ascii="Cambria Math" w:hAnsi="Cambria Math"/>
                      <w:sz w:val="20"/>
                      <w:szCs w:val="20"/>
                    </w:rPr>
                    <m:t>X</m:t>
                  </m:r>
                </m:e>
                <m:sub>
                  <m:r>
                    <w:rPr>
                      <w:rFonts w:ascii="Cambria Math" w:hAnsi="Cambria Math"/>
                      <w:sz w:val="20"/>
                      <w:szCs w:val="20"/>
                    </w:rPr>
                    <m:t>it</m:t>
                  </m:r>
                </m:sub>
              </m:sSub>
            </m:sup>
          </m:sSup>
          <m:r>
            <w:rPr>
              <w:rFonts w:ascii="Cambria Math" w:hAnsi="Cambria Math"/>
              <w:sz w:val="20"/>
              <w:szCs w:val="20"/>
            </w:rPr>
            <m:t xml:space="preserve">            for i=1,2,…n    and    t=1, 2, ….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 xml:space="preserve">                                                     (7)  </m:t>
          </m:r>
        </m:oMath>
      </m:oMathPara>
    </w:p>
    <w:p w14:paraId="76602E80" w14:textId="77777777" w:rsidR="00200E17" w:rsidRPr="004363F1" w:rsidRDefault="009E262F" w:rsidP="00200E17">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where</w:t>
      </w:r>
      <w:r w:rsidR="008E0BA9" w:rsidRPr="004363F1">
        <w:rPr>
          <w:rFonts w:ascii="Times New Roman" w:eastAsiaTheme="minorEastAsia" w:hAnsi="Times New Roman" w:cs="Times New Roman"/>
          <w:sz w:val="20"/>
          <w:szCs w:val="20"/>
        </w:rPr>
        <w:t xml:space="preserve"> </w:t>
      </w:r>
      <m:oMath>
        <m:sSub>
          <m:sSubPr>
            <m:ctrlPr>
              <w:rPr>
                <w:rFonts w:ascii="Cambria Math" w:hAnsi="Cambria Math"/>
                <w:i/>
                <w:sz w:val="20"/>
                <w:szCs w:val="20"/>
              </w:rPr>
            </m:ctrlPr>
          </m:sSubPr>
          <m:e>
            <m:r>
              <m:rPr>
                <m:sty m:val="bi"/>
              </m:rPr>
              <w:rPr>
                <w:rFonts w:ascii="Cambria Math" w:hAnsi="Cambria Math"/>
                <w:sz w:val="20"/>
                <w:szCs w:val="20"/>
              </w:rPr>
              <m:t>X</m:t>
            </m:r>
          </m:e>
          <m:sub>
            <m:r>
              <w:rPr>
                <w:rFonts w:ascii="Cambria Math" w:hAnsi="Cambria Math"/>
                <w:sz w:val="20"/>
                <w:szCs w:val="20"/>
              </w:rPr>
              <m:t>it</m:t>
            </m:r>
          </m:sub>
        </m:sSub>
      </m:oMath>
      <w:r w:rsidR="008E0BA9" w:rsidRPr="004363F1">
        <w:rPr>
          <w:rFonts w:ascii="Times New Roman" w:eastAsiaTheme="minorEastAsia" w:hAnsi="Times New Roman" w:cs="Times New Roman"/>
          <w:sz w:val="20"/>
          <w:szCs w:val="20"/>
        </w:rPr>
        <w:t xml:space="preserve"> </w:t>
      </w:r>
      <w:proofErr w:type="gramStart"/>
      <w:r w:rsidR="00CF6BA4" w:rsidRPr="004363F1">
        <w:rPr>
          <w:rFonts w:ascii="Times New Roman" w:eastAsiaTheme="minorEastAsia" w:hAnsi="Times New Roman" w:cs="Times New Roman"/>
          <w:sz w:val="20"/>
          <w:szCs w:val="20"/>
        </w:rPr>
        <w:t>is allowed to</w:t>
      </w:r>
      <w:proofErr w:type="gramEnd"/>
      <w:r w:rsidR="00CF6BA4" w:rsidRPr="004363F1">
        <w:rPr>
          <w:rFonts w:ascii="Times New Roman" w:eastAsiaTheme="minorEastAsia" w:hAnsi="Times New Roman" w:cs="Times New Roman"/>
          <w:sz w:val="20"/>
          <w:szCs w:val="20"/>
        </w:rPr>
        <w:t xml:space="preserve"> have the flexibility of including both time-invariant and time-varying variables</w:t>
      </w:r>
      <w:r w:rsidR="008E0BA9" w:rsidRPr="004363F1">
        <w:rPr>
          <w:rFonts w:ascii="Times New Roman" w:eastAsiaTheme="minorEastAsia" w:hAnsi="Times New Roman" w:cs="Times New Roman"/>
          <w:sz w:val="20"/>
          <w:szCs w:val="20"/>
        </w:rPr>
        <w:t>. The maximum partial li</w:t>
      </w:r>
      <w:r w:rsidR="00D84B64" w:rsidRPr="004363F1">
        <w:rPr>
          <w:rFonts w:ascii="Times New Roman" w:eastAsiaTheme="minorEastAsia" w:hAnsi="Times New Roman" w:cs="Times New Roman"/>
          <w:sz w:val="20"/>
          <w:szCs w:val="20"/>
        </w:rPr>
        <w:t xml:space="preserve">kelihood estimation method </w:t>
      </w:r>
      <w:r w:rsidR="008E0BA9" w:rsidRPr="004363F1">
        <w:rPr>
          <w:rFonts w:ascii="Times New Roman" w:eastAsiaTheme="minorEastAsia" w:hAnsi="Times New Roman" w:cs="Times New Roman"/>
          <w:sz w:val="20"/>
          <w:szCs w:val="20"/>
        </w:rPr>
        <w:t>continue</w:t>
      </w:r>
      <w:r w:rsidR="00D84B64" w:rsidRPr="004363F1">
        <w:rPr>
          <w:rFonts w:ascii="Times New Roman" w:eastAsiaTheme="minorEastAsia" w:hAnsi="Times New Roman" w:cs="Times New Roman"/>
          <w:sz w:val="20"/>
          <w:szCs w:val="20"/>
        </w:rPr>
        <w:t>d</w:t>
      </w:r>
      <w:r w:rsidR="008E0BA9" w:rsidRPr="004363F1">
        <w:rPr>
          <w:rFonts w:ascii="Times New Roman" w:eastAsiaTheme="minorEastAsia" w:hAnsi="Times New Roman" w:cs="Times New Roman"/>
          <w:sz w:val="20"/>
          <w:szCs w:val="20"/>
        </w:rPr>
        <w:t xml:space="preserve"> to wipe out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t</m:t>
            </m:r>
          </m:e>
        </m:d>
      </m:oMath>
      <w:r w:rsidR="00D84B64" w:rsidRPr="004363F1">
        <w:rPr>
          <w:rFonts w:ascii="Times New Roman" w:eastAsiaTheme="minorEastAsia" w:hAnsi="Times New Roman" w:cs="Times New Roman"/>
          <w:sz w:val="20"/>
          <w:szCs w:val="20"/>
        </w:rPr>
        <w:t xml:space="preserve"> </w:t>
      </w:r>
      <w:r w:rsidR="008E0BA9" w:rsidRPr="004363F1">
        <w:rPr>
          <w:rFonts w:ascii="Times New Roman" w:eastAsiaTheme="minorEastAsia" w:hAnsi="Times New Roman" w:cs="Times New Roman"/>
          <w:sz w:val="20"/>
          <w:szCs w:val="20"/>
        </w:rPr>
        <w:t xml:space="preserve">from consideration. </w:t>
      </w:r>
      <w:r w:rsidR="005B3542" w:rsidRPr="004363F1">
        <w:rPr>
          <w:rFonts w:ascii="Times New Roman" w:eastAsiaTheme="minorEastAsia" w:hAnsi="Times New Roman" w:cs="Times New Roman"/>
          <w:sz w:val="20"/>
          <w:szCs w:val="20"/>
        </w:rPr>
        <w:t xml:space="preserve">In applying this model, we let the variables in </w:t>
      </w:r>
      <m:oMath>
        <m:sSub>
          <m:sSubPr>
            <m:ctrlPr>
              <w:rPr>
                <w:rFonts w:ascii="Cambria Math" w:hAnsi="Cambria Math"/>
                <w:i/>
                <w:sz w:val="20"/>
                <w:szCs w:val="20"/>
              </w:rPr>
            </m:ctrlPr>
          </m:sSubPr>
          <m:e>
            <m:r>
              <m:rPr>
                <m:sty m:val="bi"/>
              </m:rPr>
              <w:rPr>
                <w:rFonts w:ascii="Cambria Math" w:hAnsi="Cambria Math"/>
                <w:sz w:val="20"/>
                <w:szCs w:val="20"/>
              </w:rPr>
              <m:t>X</m:t>
            </m:r>
          </m:e>
          <m:sub>
            <m:r>
              <w:rPr>
                <w:rFonts w:ascii="Cambria Math" w:hAnsi="Cambria Math"/>
                <w:sz w:val="20"/>
                <w:szCs w:val="20"/>
              </w:rPr>
              <m:t>it</m:t>
            </m:r>
          </m:sub>
        </m:sSub>
      </m:oMath>
      <w:r w:rsidR="0092244C" w:rsidRPr="004363F1">
        <w:rPr>
          <w:rFonts w:ascii="Times New Roman" w:eastAsiaTheme="minorEastAsia" w:hAnsi="Times New Roman" w:cs="Times New Roman"/>
          <w:sz w:val="20"/>
          <w:szCs w:val="20"/>
        </w:rPr>
        <w:t xml:space="preserve"> include</w:t>
      </w:r>
      <w:r w:rsidR="005B3542" w:rsidRPr="004363F1">
        <w:rPr>
          <w:rFonts w:ascii="Times New Roman" w:eastAsiaTheme="minorEastAsia" w:hAnsi="Times New Roman" w:cs="Times New Roman"/>
          <w:sz w:val="20"/>
          <w:szCs w:val="20"/>
        </w:rPr>
        <w:t xml:space="preserve"> the day 1 and change variables of the TVBIs as well as age and the two preconditions.  Letting each patient be represented by one and only one record in the input data file, and using the PHREG procedure</w:t>
      </w:r>
      <w:r w:rsidR="006E517F" w:rsidRPr="004363F1">
        <w:rPr>
          <w:rFonts w:ascii="Times New Roman" w:eastAsiaTheme="minorEastAsia" w:hAnsi="Times New Roman" w:cs="Times New Roman"/>
          <w:sz w:val="20"/>
          <w:szCs w:val="20"/>
        </w:rPr>
        <w:t xml:space="preserve">, we obtained the estimated coefficients of this model and show them </w:t>
      </w:r>
      <w:r w:rsidR="008E0BA9" w:rsidRPr="004363F1">
        <w:rPr>
          <w:rFonts w:ascii="Times New Roman" w:eastAsiaTheme="minorEastAsia" w:hAnsi="Times New Roman" w:cs="Times New Roman"/>
          <w:sz w:val="20"/>
          <w:szCs w:val="20"/>
        </w:rPr>
        <w:t xml:space="preserve">in </w:t>
      </w:r>
      <w:r w:rsidR="0070504B" w:rsidRPr="004363F1">
        <w:rPr>
          <w:rFonts w:ascii="Times New Roman" w:eastAsiaTheme="minorEastAsia" w:hAnsi="Times New Roman" w:cs="Times New Roman"/>
          <w:sz w:val="20"/>
          <w:szCs w:val="20"/>
        </w:rPr>
        <w:t xml:space="preserve">Panel 3 of Supplemental </w:t>
      </w:r>
      <w:r w:rsidR="001B685D" w:rsidRPr="004363F1">
        <w:rPr>
          <w:rFonts w:ascii="Times New Roman" w:eastAsiaTheme="minorEastAsia" w:hAnsi="Times New Roman" w:cs="Times New Roman"/>
          <w:sz w:val="20"/>
          <w:szCs w:val="20"/>
        </w:rPr>
        <w:t>Table 15</w:t>
      </w:r>
      <w:r w:rsidR="008E0BA9" w:rsidRPr="004363F1">
        <w:rPr>
          <w:rFonts w:ascii="Times New Roman" w:eastAsiaTheme="minorEastAsia" w:hAnsi="Times New Roman" w:cs="Times New Roman"/>
          <w:sz w:val="20"/>
          <w:szCs w:val="20"/>
        </w:rPr>
        <w:t xml:space="preserve">. </w:t>
      </w:r>
      <w:r w:rsidR="00183B3D" w:rsidRPr="004363F1">
        <w:rPr>
          <w:rFonts w:ascii="Times New Roman" w:eastAsiaTheme="minorEastAsia" w:hAnsi="Times New Roman" w:cs="Times New Roman"/>
          <w:sz w:val="20"/>
          <w:szCs w:val="20"/>
        </w:rPr>
        <w:t>Comparing with the CLOGLOG model, the magnitudes of most coefficients were underestimated, although the AUC</w:t>
      </w:r>
      <w:r w:rsidR="006B25F9" w:rsidRPr="004363F1">
        <w:rPr>
          <w:rFonts w:ascii="Times New Roman" w:eastAsiaTheme="minorEastAsia" w:hAnsi="Times New Roman" w:cs="Times New Roman"/>
          <w:sz w:val="20"/>
          <w:szCs w:val="20"/>
        </w:rPr>
        <w:t>_P28</w:t>
      </w:r>
      <w:r w:rsidR="00183B3D" w:rsidRPr="004363F1">
        <w:rPr>
          <w:rFonts w:ascii="Times New Roman" w:eastAsiaTheme="minorEastAsia" w:hAnsi="Times New Roman" w:cs="Times New Roman"/>
          <w:sz w:val="20"/>
          <w:szCs w:val="20"/>
        </w:rPr>
        <w:t xml:space="preserve"> of 0.916 (0.878 - 0.954) was slightly higher.</w:t>
      </w:r>
    </w:p>
    <w:p w14:paraId="62E4CB13" w14:textId="77777777" w:rsidR="009E262F" w:rsidRPr="004363F1" w:rsidRDefault="00183B3D" w:rsidP="00200E17">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ab/>
      </w:r>
      <w:r w:rsidR="0092244C" w:rsidRPr="004363F1">
        <w:rPr>
          <w:rFonts w:ascii="Times New Roman" w:eastAsiaTheme="minorEastAsia" w:hAnsi="Times New Roman" w:cs="Times New Roman"/>
          <w:sz w:val="20"/>
          <w:szCs w:val="20"/>
        </w:rPr>
        <w:t>For gaining longitudinal insights, we found</w:t>
      </w:r>
      <w:r w:rsidRPr="004363F1">
        <w:rPr>
          <w:rFonts w:ascii="Times New Roman" w:eastAsiaTheme="minorEastAsia" w:hAnsi="Times New Roman" w:cs="Times New Roman"/>
          <w:sz w:val="20"/>
          <w:szCs w:val="20"/>
        </w:rPr>
        <w:t xml:space="preserve"> the CLOGLOG </w:t>
      </w:r>
      <w:r w:rsidR="007D5CD3" w:rsidRPr="004363F1">
        <w:rPr>
          <w:rFonts w:ascii="Times New Roman" w:eastAsiaTheme="minorEastAsia" w:hAnsi="Times New Roman" w:cs="Times New Roman"/>
          <w:sz w:val="20"/>
          <w:szCs w:val="20"/>
        </w:rPr>
        <w:t xml:space="preserve">model </w:t>
      </w:r>
      <w:r w:rsidR="0092244C" w:rsidRPr="004363F1">
        <w:rPr>
          <w:rFonts w:ascii="Times New Roman" w:eastAsiaTheme="minorEastAsia" w:hAnsi="Times New Roman" w:cs="Times New Roman"/>
          <w:sz w:val="20"/>
          <w:szCs w:val="20"/>
        </w:rPr>
        <w:t>to be preferable to these two versions</w:t>
      </w:r>
      <w:r w:rsidR="007D5CD3" w:rsidRPr="004363F1">
        <w:rPr>
          <w:rFonts w:ascii="Times New Roman" w:eastAsiaTheme="minorEastAsia" w:hAnsi="Times New Roman" w:cs="Times New Roman"/>
          <w:sz w:val="20"/>
          <w:szCs w:val="20"/>
        </w:rPr>
        <w:t xml:space="preserve"> of the</w:t>
      </w:r>
      <w:r w:rsidRPr="004363F1">
        <w:rPr>
          <w:rFonts w:ascii="Times New Roman" w:eastAsiaTheme="minorEastAsia" w:hAnsi="Times New Roman" w:cs="Times New Roman"/>
          <w:sz w:val="20"/>
          <w:szCs w:val="20"/>
        </w:rPr>
        <w:t xml:space="preserve"> Cox mo</w:t>
      </w:r>
      <w:r w:rsidR="004710B0" w:rsidRPr="004363F1">
        <w:rPr>
          <w:rFonts w:ascii="Times New Roman" w:eastAsiaTheme="minorEastAsia" w:hAnsi="Times New Roman" w:cs="Times New Roman"/>
          <w:sz w:val="20"/>
          <w:szCs w:val="20"/>
        </w:rPr>
        <w:t>del for the following reason</w:t>
      </w:r>
      <w:r w:rsidRPr="004363F1">
        <w:rPr>
          <w:rFonts w:ascii="Times New Roman" w:eastAsiaTheme="minorEastAsia" w:hAnsi="Times New Roman" w:cs="Times New Roman"/>
          <w:sz w:val="20"/>
          <w:szCs w:val="20"/>
        </w:rPr>
        <w:t>.</w:t>
      </w:r>
      <w:r w:rsidR="004710B0" w:rsidRPr="004363F1">
        <w:rPr>
          <w:rFonts w:ascii="Times New Roman" w:eastAsiaTheme="minorEastAsia" w:hAnsi="Times New Roman" w:cs="Times New Roman"/>
          <w:sz w:val="20"/>
          <w:szCs w:val="20"/>
        </w:rPr>
        <w:t xml:space="preserve"> T</w:t>
      </w:r>
      <w:r w:rsidRPr="004363F1">
        <w:rPr>
          <w:rFonts w:ascii="Times New Roman" w:eastAsiaTheme="minorEastAsia" w:hAnsi="Times New Roman" w:cs="Times New Roman"/>
          <w:sz w:val="20"/>
          <w:szCs w:val="20"/>
        </w:rPr>
        <w:t xml:space="preserve">he former can be used easily to generate of </w:t>
      </w:r>
      <w:r w:rsidR="0092244C" w:rsidRPr="004363F1">
        <w:rPr>
          <w:rFonts w:ascii="Times New Roman" w:eastAsiaTheme="minorEastAsia" w:hAnsi="Times New Roman" w:cs="Times New Roman"/>
          <w:sz w:val="20"/>
          <w:szCs w:val="20"/>
        </w:rPr>
        <w:t xml:space="preserve">the </w:t>
      </w:r>
      <w:r w:rsidRPr="004363F1">
        <w:rPr>
          <w:rFonts w:ascii="Times New Roman" w:eastAsiaTheme="minorEastAsia" w:hAnsi="Times New Roman" w:cs="Times New Roman"/>
          <w:sz w:val="20"/>
          <w:szCs w:val="20"/>
        </w:rPr>
        <w:t xml:space="preserve">predicted </w:t>
      </w:r>
      <w:r w:rsidR="004710B0" w:rsidRPr="004363F1">
        <w:rPr>
          <w:rFonts w:ascii="Times New Roman" w:eastAsiaTheme="minorEastAsia" w:hAnsi="Times New Roman" w:cs="Times New Roman"/>
          <w:sz w:val="20"/>
          <w:szCs w:val="20"/>
        </w:rPr>
        <w:t xml:space="preserve">hazard for any patient on any day, whereas the latter cannot. The predicted hazards can be easily transformed into easily interpretable probabilities on multiple days so that clinicians can obtain concrete longitudinal images of the mortality risks of individual patients that can change markedly within a few days. </w:t>
      </w:r>
      <w:r w:rsidR="005D0481" w:rsidRPr="004363F1">
        <w:rPr>
          <w:rFonts w:ascii="Times New Roman" w:eastAsiaTheme="minorEastAsia" w:hAnsi="Times New Roman" w:cs="Times New Roman"/>
          <w:sz w:val="20"/>
          <w:szCs w:val="20"/>
        </w:rPr>
        <w:t>Also, t</w:t>
      </w:r>
      <w:r w:rsidR="007D5CD3" w:rsidRPr="004363F1">
        <w:rPr>
          <w:rFonts w:ascii="Times New Roman" w:eastAsiaTheme="minorEastAsia" w:hAnsi="Times New Roman" w:cs="Times New Roman"/>
          <w:sz w:val="20"/>
          <w:szCs w:val="20"/>
        </w:rPr>
        <w:t xml:space="preserve">he </w:t>
      </w:r>
      <w:r w:rsidR="00534FC3" w:rsidRPr="004363F1">
        <w:rPr>
          <w:rFonts w:ascii="Times New Roman" w:eastAsiaTheme="minorEastAsia" w:hAnsi="Times New Roman" w:cs="Times New Roman"/>
          <w:sz w:val="20"/>
          <w:szCs w:val="20"/>
        </w:rPr>
        <w:t xml:space="preserve">practical </w:t>
      </w:r>
      <w:r w:rsidR="007D5CD3" w:rsidRPr="004363F1">
        <w:rPr>
          <w:rFonts w:ascii="Times New Roman" w:eastAsiaTheme="minorEastAsia" w:hAnsi="Times New Roman" w:cs="Times New Roman"/>
          <w:sz w:val="20"/>
          <w:szCs w:val="20"/>
        </w:rPr>
        <w:t xml:space="preserve">usefulness of hazard ratios </w:t>
      </w:r>
      <w:r w:rsidR="00534FC3" w:rsidRPr="004363F1">
        <w:rPr>
          <w:rFonts w:ascii="Times New Roman" w:eastAsiaTheme="minorEastAsia" w:hAnsi="Times New Roman" w:cs="Times New Roman"/>
          <w:sz w:val="20"/>
          <w:szCs w:val="20"/>
        </w:rPr>
        <w:t>as measures of the strengths of effects depends on the magnitude of the reference hazard.</w:t>
      </w:r>
      <w:r w:rsidR="007D5CD3" w:rsidRPr="004363F1">
        <w:rPr>
          <w:rFonts w:ascii="Times New Roman" w:eastAsiaTheme="minorEastAsia" w:hAnsi="Times New Roman" w:cs="Times New Roman"/>
          <w:sz w:val="20"/>
          <w:szCs w:val="20"/>
        </w:rPr>
        <w:t xml:space="preserve"> </w:t>
      </w:r>
      <w:r w:rsidR="004710B0" w:rsidRPr="004363F1">
        <w:rPr>
          <w:rFonts w:ascii="Times New Roman" w:eastAsiaTheme="minorEastAsia" w:hAnsi="Times New Roman" w:cs="Times New Roman"/>
          <w:sz w:val="20"/>
          <w:szCs w:val="20"/>
        </w:rPr>
        <w:t xml:space="preserve"> </w:t>
      </w:r>
      <w:r w:rsidRPr="004363F1">
        <w:rPr>
          <w:rFonts w:ascii="Times New Roman" w:eastAsiaTheme="minorEastAsia" w:hAnsi="Times New Roman" w:cs="Times New Roman"/>
          <w:sz w:val="20"/>
          <w:szCs w:val="20"/>
        </w:rPr>
        <w:t xml:space="preserve">  </w:t>
      </w:r>
      <w:r w:rsidR="009E262F" w:rsidRPr="004363F1">
        <w:rPr>
          <w:rFonts w:ascii="Times New Roman" w:eastAsiaTheme="minorEastAsia" w:hAnsi="Times New Roman" w:cs="Times New Roman"/>
          <w:sz w:val="20"/>
          <w:szCs w:val="20"/>
        </w:rPr>
        <w:t xml:space="preserve">  </w:t>
      </w:r>
    </w:p>
    <w:p w14:paraId="7E4F8B5D" w14:textId="77777777" w:rsidR="006E517F" w:rsidRPr="004363F1" w:rsidRDefault="006E517F" w:rsidP="00CC0983">
      <w:pPr>
        <w:spacing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ab/>
        <w:t>Finally, we show that the Cox TV model can be made into the CLOGLOG m</w:t>
      </w:r>
      <w:r w:rsidR="000038AD" w:rsidRPr="004363F1">
        <w:rPr>
          <w:rFonts w:ascii="Times New Roman" w:eastAsiaTheme="minorEastAsia" w:hAnsi="Times New Roman" w:cs="Times New Roman"/>
          <w:sz w:val="20"/>
          <w:szCs w:val="20"/>
        </w:rPr>
        <w:t>odel by making the following three</w:t>
      </w:r>
      <w:r w:rsidRPr="004363F1">
        <w:rPr>
          <w:rFonts w:ascii="Times New Roman" w:eastAsiaTheme="minorEastAsia" w:hAnsi="Times New Roman" w:cs="Times New Roman"/>
          <w:sz w:val="20"/>
          <w:szCs w:val="20"/>
        </w:rPr>
        <w:t xml:space="preserve"> changes. First, we make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t</m:t>
            </m:r>
          </m:e>
        </m:d>
      </m:oMath>
      <w:r w:rsidR="00DE1DAD" w:rsidRPr="004363F1">
        <w:rPr>
          <w:rFonts w:ascii="Times New Roman" w:eastAsiaTheme="minorEastAsia" w:hAnsi="Times New Roman" w:cs="Times New Roman"/>
          <w:sz w:val="20"/>
          <w:szCs w:val="20"/>
        </w:rPr>
        <w:t xml:space="preserve"> </w:t>
      </w:r>
      <w:r w:rsidRPr="004363F1">
        <w:rPr>
          <w:rFonts w:ascii="Times New Roman" w:eastAsiaTheme="minorEastAsia" w:hAnsi="Times New Roman" w:cs="Times New Roman"/>
          <w:sz w:val="20"/>
          <w:szCs w:val="20"/>
        </w:rPr>
        <w:t xml:space="preserve">an explicit function </w:t>
      </w:r>
      <w:r w:rsidR="000038AD" w:rsidRPr="004363F1">
        <w:rPr>
          <w:rFonts w:ascii="Times New Roman" w:eastAsiaTheme="minorEastAsia" w:hAnsi="Times New Roman" w:cs="Times New Roman"/>
          <w:sz w:val="20"/>
          <w:szCs w:val="20"/>
        </w:rPr>
        <w:t xml:space="preserve">of duration </w:t>
      </w:r>
      <w:r w:rsidRPr="004363F1">
        <w:rPr>
          <w:rFonts w:ascii="Times New Roman" w:eastAsiaTheme="minorEastAsia" w:hAnsi="Times New Roman" w:cs="Times New Roman"/>
          <w:sz w:val="20"/>
          <w:szCs w:val="20"/>
        </w:rPr>
        <w:t xml:space="preserve">in the following </w:t>
      </w:r>
      <w:r w:rsidR="000038AD" w:rsidRPr="004363F1">
        <w:rPr>
          <w:rFonts w:ascii="Times New Roman" w:eastAsiaTheme="minorEastAsia" w:hAnsi="Times New Roman" w:cs="Times New Roman"/>
          <w:sz w:val="20"/>
          <w:szCs w:val="20"/>
        </w:rPr>
        <w:t xml:space="preserve">flexible </w:t>
      </w:r>
      <w:r w:rsidRPr="004363F1">
        <w:rPr>
          <w:rFonts w:ascii="Times New Roman" w:eastAsiaTheme="minorEastAsia" w:hAnsi="Times New Roman" w:cs="Times New Roman"/>
          <w:sz w:val="20"/>
          <w:szCs w:val="20"/>
        </w:rPr>
        <w:t>form:</w:t>
      </w:r>
    </w:p>
    <w:p w14:paraId="4CA26B77" w14:textId="77777777" w:rsidR="000038AD" w:rsidRPr="004363F1" w:rsidRDefault="000038AD" w:rsidP="00200E17">
      <w:pPr>
        <w:spacing w:after="0" w:line="240" w:lineRule="auto"/>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f</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2</m:t>
            </m:r>
          </m:sub>
        </m:sSub>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log</m:t>
            </m:r>
          </m:fName>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e>
        </m:func>
        <m:r>
          <w:rPr>
            <w:rFonts w:ascii="Cambria Math" w:eastAsiaTheme="minorEastAsia" w:hAnsi="Cambria Math" w:cs="Times New Roman"/>
            <w:sz w:val="20"/>
            <w:szCs w:val="20"/>
          </w:rPr>
          <m:t xml:space="preserve">                                                                                                                                                      (8)</m:t>
        </m:r>
      </m:oMath>
      <w:r w:rsidR="006E517F" w:rsidRPr="004363F1">
        <w:rPr>
          <w:rFonts w:ascii="Times New Roman" w:eastAsiaTheme="minorEastAsia" w:hAnsi="Times New Roman" w:cs="Times New Roman"/>
          <w:sz w:val="20"/>
          <w:szCs w:val="20"/>
        </w:rPr>
        <w:t xml:space="preserve"> </w:t>
      </w:r>
    </w:p>
    <w:p w14:paraId="0E0197AA" w14:textId="77777777" w:rsidR="00200E17" w:rsidRPr="004363F1" w:rsidRDefault="00DC3A5D" w:rsidP="00200E17">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w</w:t>
      </w:r>
      <w:r w:rsidR="000038AD" w:rsidRPr="004363F1">
        <w:rPr>
          <w:rFonts w:ascii="Times New Roman" w:eastAsiaTheme="minorEastAsia" w:hAnsi="Times New Roman" w:cs="Times New Roman"/>
          <w:sz w:val="20"/>
          <w:szCs w:val="20"/>
        </w:rPr>
        <w:t xml:space="preserve">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1</m:t>
            </m:r>
          </m:sub>
        </m:sSub>
      </m:oMath>
      <w:r w:rsidR="000038AD" w:rsidRPr="004363F1">
        <w:rPr>
          <w:rFonts w:ascii="Times New Roman" w:eastAsiaTheme="minorEastAsia" w:hAnsi="Times New Roman" w:cs="Times New Roman"/>
          <w:sz w:val="20"/>
          <w:szCs w:val="20"/>
        </w:rPr>
        <w:t xml:space="preserve">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2</m:t>
            </m:r>
          </m:sub>
        </m:sSub>
      </m:oMath>
      <w:r w:rsidR="000038AD" w:rsidRPr="004363F1">
        <w:rPr>
          <w:rFonts w:ascii="Times New Roman" w:eastAsiaTheme="minorEastAsia" w:hAnsi="Times New Roman" w:cs="Times New Roman"/>
          <w:sz w:val="20"/>
          <w:szCs w:val="20"/>
        </w:rPr>
        <w:t>are unknown coefficients to be estimated. S</w:t>
      </w:r>
      <w:r w:rsidR="005F3A2A" w:rsidRPr="004363F1">
        <w:rPr>
          <w:rFonts w:ascii="Times New Roman" w:eastAsiaTheme="minorEastAsia" w:hAnsi="Times New Roman" w:cs="Times New Roman"/>
          <w:sz w:val="20"/>
          <w:szCs w:val="20"/>
        </w:rPr>
        <w:t>econd, we replace</w:t>
      </w:r>
      <w:r w:rsidR="000038AD" w:rsidRPr="004363F1">
        <w:rPr>
          <w:rFonts w:ascii="Times New Roman" w:eastAsiaTheme="minorEastAsia" w:hAnsi="Times New Roman" w:cs="Times New Roman"/>
          <w:sz w:val="20"/>
          <w:szCs w:val="20"/>
        </w:rPr>
        <w:t xml:space="preserve"> the maximum partial likelihood method by the maximum likelihood method for estimation. Third, </w:t>
      </w:r>
      <w:r w:rsidR="00E331E6" w:rsidRPr="004363F1">
        <w:rPr>
          <w:rFonts w:ascii="Times New Roman" w:eastAsiaTheme="minorEastAsia" w:hAnsi="Times New Roman" w:cs="Times New Roman"/>
          <w:sz w:val="20"/>
          <w:szCs w:val="20"/>
        </w:rPr>
        <w:t>we expand the input data matrix to include all person-day records.</w:t>
      </w:r>
      <w:r w:rsidR="000038AD" w:rsidRPr="004363F1">
        <w:rPr>
          <w:rFonts w:ascii="Times New Roman" w:eastAsiaTheme="minorEastAsia" w:hAnsi="Times New Roman" w:cs="Times New Roman"/>
          <w:sz w:val="20"/>
          <w:szCs w:val="20"/>
        </w:rPr>
        <w:t xml:space="preserve"> </w:t>
      </w:r>
      <w:r w:rsidR="006E517F" w:rsidRPr="004363F1">
        <w:rPr>
          <w:rFonts w:ascii="Times New Roman" w:eastAsiaTheme="minorEastAsia" w:hAnsi="Times New Roman" w:cs="Times New Roman"/>
          <w:sz w:val="20"/>
          <w:szCs w:val="20"/>
        </w:rPr>
        <w:t xml:space="preserve"> </w:t>
      </w:r>
    </w:p>
    <w:p w14:paraId="6E2409A8" w14:textId="77777777" w:rsidR="005F058C" w:rsidRPr="004363F1" w:rsidRDefault="00200E17" w:rsidP="00200E17">
      <w:pPr>
        <w:spacing w:after="0" w:line="240" w:lineRule="auto"/>
        <w:jc w:val="both"/>
        <w:rPr>
          <w:rFonts w:ascii="Times New Roman" w:eastAsiaTheme="minorEastAsia" w:hAnsi="Times New Roman" w:cs="Times New Roman"/>
          <w:sz w:val="20"/>
          <w:szCs w:val="20"/>
        </w:rPr>
      </w:pPr>
      <w:r w:rsidRPr="004363F1">
        <w:rPr>
          <w:rFonts w:ascii="Times New Roman" w:eastAsiaTheme="minorEastAsia" w:hAnsi="Times New Roman" w:cs="Times New Roman"/>
          <w:sz w:val="20"/>
          <w:szCs w:val="20"/>
        </w:rPr>
        <w:tab/>
      </w:r>
      <w:r w:rsidR="00E331E6" w:rsidRPr="004363F1">
        <w:rPr>
          <w:rFonts w:ascii="Times New Roman" w:eastAsiaTheme="minorEastAsia" w:hAnsi="Times New Roman" w:cs="Times New Roman"/>
          <w:sz w:val="20"/>
          <w:szCs w:val="20"/>
        </w:rPr>
        <w:t>B</w:t>
      </w:r>
      <w:r w:rsidR="00F1111A" w:rsidRPr="004363F1">
        <w:rPr>
          <w:rFonts w:ascii="Times New Roman" w:eastAsiaTheme="minorEastAsia" w:hAnsi="Times New Roman" w:cs="Times New Roman"/>
          <w:sz w:val="20"/>
          <w:szCs w:val="20"/>
        </w:rPr>
        <w:t>y letting</w:t>
      </w:r>
      <w:r w:rsidR="00E331E6" w:rsidRPr="004363F1">
        <w:rPr>
          <w:rFonts w:ascii="Times New Roman" w:eastAsiaTheme="minorEastAsia" w:hAnsi="Times New Roman" w:cs="Times New Roman"/>
          <w:sz w:val="20"/>
          <w:szCs w:val="20"/>
        </w:rPr>
        <w:t xml:space="preserve"> </w:t>
      </w:r>
      <w:r w:rsidR="00F1111A" w:rsidRPr="004363F1">
        <w:rPr>
          <w:rFonts w:ascii="Times New Roman" w:eastAsiaTheme="minorEastAsia" w:hAnsi="Times New Roman" w:cs="Times New Roman"/>
          <w:sz w:val="20"/>
          <w:szCs w:val="20"/>
        </w:rPr>
        <w:t>t and log(t) be part of</w:t>
      </w:r>
      <w:r w:rsidR="00E331E6" w:rsidRPr="004363F1">
        <w:rPr>
          <w:rFonts w:ascii="Times New Roman" w:eastAsiaTheme="minorEastAsia" w:hAnsi="Times New Roman" w:cs="Times New Roman"/>
          <w:sz w:val="20"/>
          <w:szCs w:val="20"/>
        </w:rPr>
        <w:t xml:space="preserve"> </w:t>
      </w:r>
      <m:oMath>
        <m:sSub>
          <m:sSubPr>
            <m:ctrlPr>
              <w:rPr>
                <w:rFonts w:ascii="Cambria Math" w:hAnsi="Cambria Math"/>
                <w:i/>
                <w:sz w:val="20"/>
                <w:szCs w:val="20"/>
              </w:rPr>
            </m:ctrlPr>
          </m:sSubPr>
          <m:e>
            <m:r>
              <m:rPr>
                <m:sty m:val="bi"/>
              </m:rPr>
              <w:rPr>
                <w:rFonts w:ascii="Cambria Math" w:hAnsi="Cambria Math"/>
                <w:sz w:val="20"/>
                <w:szCs w:val="20"/>
              </w:rPr>
              <m:t>X</m:t>
            </m:r>
          </m:e>
          <m:sub>
            <m:r>
              <w:rPr>
                <w:rFonts w:ascii="Cambria Math" w:hAnsi="Cambria Math"/>
                <w:sz w:val="20"/>
                <w:szCs w:val="20"/>
              </w:rPr>
              <m:t>it</m:t>
            </m:r>
          </m:sub>
        </m:sSub>
      </m:oMath>
      <w:r w:rsidR="00F1111A" w:rsidRPr="004363F1">
        <w:rPr>
          <w:rFonts w:ascii="Times New Roman" w:eastAsiaTheme="minorEastAsia" w:hAnsi="Times New Roman" w:cs="Times New Roman"/>
          <w:sz w:val="20"/>
          <w:szCs w:val="20"/>
        </w:rPr>
        <w:t>and letting</w:t>
      </w:r>
      <w:r w:rsidR="00E331E6" w:rsidRPr="004363F1">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1</m:t>
            </m:r>
          </m:sub>
        </m:sSub>
      </m:oMath>
      <w:r w:rsidR="00E331E6" w:rsidRPr="004363F1">
        <w:rPr>
          <w:rFonts w:ascii="Times New Roman" w:eastAsiaTheme="minorEastAsia" w:hAnsi="Times New Roman" w:cs="Times New Roman"/>
          <w:sz w:val="20"/>
          <w:szCs w:val="20"/>
        </w:rPr>
        <w:t xml:space="preserve">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2</m:t>
            </m:r>
          </m:sub>
        </m:sSub>
      </m:oMath>
      <w:r w:rsidR="00F1111A" w:rsidRPr="004363F1">
        <w:rPr>
          <w:rFonts w:ascii="Times New Roman" w:eastAsiaTheme="minorEastAsia" w:hAnsi="Times New Roman" w:cs="Times New Roman"/>
          <w:sz w:val="20"/>
          <w:szCs w:val="20"/>
        </w:rPr>
        <w:t>be part of</w:t>
      </w:r>
      <w:r w:rsidR="00E331E6" w:rsidRPr="004363F1">
        <w:rPr>
          <w:rFonts w:ascii="Times New Roman" w:eastAsiaTheme="minorEastAsia" w:hAnsi="Times New Roman" w:cs="Times New Roman"/>
          <w:sz w:val="20"/>
          <w:szCs w:val="20"/>
        </w:rPr>
        <w:t xml:space="preserve"> </w:t>
      </w:r>
      <m:oMath>
        <m:sSup>
          <m:sSupPr>
            <m:ctrlPr>
              <w:rPr>
                <w:rFonts w:ascii="Cambria Math" w:hAnsi="Cambria Math"/>
                <w:i/>
                <w:sz w:val="20"/>
                <w:szCs w:val="20"/>
              </w:rPr>
            </m:ctrlPr>
          </m:sSupPr>
          <m:e>
            <m:r>
              <m:rPr>
                <m:sty m:val="bi"/>
              </m:rPr>
              <w:rPr>
                <w:rFonts w:ascii="Cambria Math" w:hAnsi="Cambria Math"/>
                <w:sz w:val="20"/>
                <w:szCs w:val="20"/>
              </w:rPr>
              <m:t>β</m:t>
            </m:r>
          </m:e>
          <m:sup>
            <m:r>
              <w:rPr>
                <w:rFonts w:ascii="Cambria Math" w:hAnsi="Cambria Math"/>
                <w:sz w:val="20"/>
                <w:szCs w:val="20"/>
              </w:rPr>
              <m:t>'</m:t>
            </m:r>
          </m:sup>
        </m:sSup>
      </m:oMath>
      <w:r w:rsidR="00F1111A" w:rsidRPr="004363F1">
        <w:rPr>
          <w:rFonts w:ascii="Times New Roman" w:eastAsiaTheme="minorEastAsia" w:hAnsi="Times New Roman" w:cs="Times New Roman"/>
          <w:sz w:val="20"/>
          <w:szCs w:val="20"/>
        </w:rPr>
        <w:t xml:space="preserve">, </w:t>
      </w:r>
      <w:r w:rsidR="00E331E6" w:rsidRPr="004363F1">
        <w:rPr>
          <w:rFonts w:ascii="Times New Roman" w:eastAsiaTheme="minorEastAsia" w:hAnsi="Times New Roman" w:cs="Times New Roman"/>
          <w:sz w:val="20"/>
          <w:szCs w:val="20"/>
        </w:rPr>
        <w:t xml:space="preserve"> </w:t>
      </w:r>
      <w:r w:rsidR="00F1111A" w:rsidRPr="004363F1">
        <w:rPr>
          <w:rFonts w:ascii="Times New Roman" w:eastAsiaTheme="minorEastAsia" w:hAnsi="Times New Roman" w:cs="Times New Roman"/>
          <w:sz w:val="20"/>
          <w:szCs w:val="20"/>
        </w:rPr>
        <w:t>Eq. (</w:t>
      </w:r>
      <w:r w:rsidR="00083068" w:rsidRPr="004363F1">
        <w:rPr>
          <w:rFonts w:ascii="Times New Roman" w:eastAsiaTheme="minorEastAsia" w:hAnsi="Times New Roman" w:cs="Times New Roman"/>
          <w:sz w:val="20"/>
          <w:szCs w:val="20"/>
        </w:rPr>
        <w:t>7</w:t>
      </w:r>
      <w:r w:rsidR="00F1111A" w:rsidRPr="004363F1">
        <w:rPr>
          <w:rFonts w:ascii="Times New Roman" w:eastAsiaTheme="minorEastAsia" w:hAnsi="Times New Roman" w:cs="Times New Roman"/>
          <w:sz w:val="20"/>
          <w:szCs w:val="20"/>
        </w:rPr>
        <w:t>) becomes identical to Eq. (</w:t>
      </w:r>
      <w:r w:rsidR="00083068" w:rsidRPr="004363F1">
        <w:rPr>
          <w:rFonts w:ascii="Times New Roman" w:eastAsiaTheme="minorEastAsia" w:hAnsi="Times New Roman" w:cs="Times New Roman"/>
          <w:sz w:val="20"/>
          <w:szCs w:val="20"/>
        </w:rPr>
        <w:t>1</w:t>
      </w:r>
      <w:r w:rsidR="00F1111A" w:rsidRPr="004363F1">
        <w:rPr>
          <w:rFonts w:ascii="Times New Roman" w:eastAsiaTheme="minorEastAsia" w:hAnsi="Times New Roman" w:cs="Times New Roman"/>
          <w:sz w:val="20"/>
          <w:szCs w:val="20"/>
        </w:rPr>
        <w:t>). In other words, the Cox TV model becomes mathematically identical to the CLOGLOG model. The replacement of the estimation method and the expansion of the input data matrix allow the estimation of the full set of unknown coefficients and the generation of the predic</w:t>
      </w:r>
      <w:r w:rsidR="005D0481" w:rsidRPr="004363F1">
        <w:rPr>
          <w:rFonts w:ascii="Times New Roman" w:eastAsiaTheme="minorEastAsia" w:hAnsi="Times New Roman" w:cs="Times New Roman"/>
          <w:sz w:val="20"/>
          <w:szCs w:val="20"/>
        </w:rPr>
        <w:t>ted hazards for all patients on</w:t>
      </w:r>
      <w:r w:rsidR="00F1111A" w:rsidRPr="004363F1">
        <w:rPr>
          <w:rFonts w:ascii="Times New Roman" w:eastAsiaTheme="minorEastAsia" w:hAnsi="Times New Roman" w:cs="Times New Roman"/>
          <w:sz w:val="20"/>
          <w:szCs w:val="20"/>
        </w:rPr>
        <w:t xml:space="preserve"> all days.</w:t>
      </w:r>
      <w:r w:rsidR="00E331E6" w:rsidRPr="004363F1">
        <w:rPr>
          <w:rFonts w:ascii="Times New Roman" w:eastAsiaTheme="minorEastAsia" w:hAnsi="Times New Roman" w:cs="Times New Roman"/>
          <w:sz w:val="20"/>
          <w:szCs w:val="20"/>
        </w:rPr>
        <w:t xml:space="preserve"> </w:t>
      </w:r>
      <w:r w:rsidR="000233D1" w:rsidRPr="004363F1">
        <w:rPr>
          <w:rFonts w:ascii="Times New Roman" w:eastAsiaTheme="minorEastAsia" w:hAnsi="Times New Roman" w:cs="Times New Roman"/>
          <w:sz w:val="20"/>
          <w:szCs w:val="20"/>
        </w:rPr>
        <w:t>Remember that keeping t and log(</w:t>
      </w:r>
      <w:proofErr w:type="gramStart"/>
      <w:r w:rsidR="000233D1" w:rsidRPr="004363F1">
        <w:rPr>
          <w:rFonts w:ascii="Times New Roman" w:eastAsiaTheme="minorEastAsia" w:hAnsi="Times New Roman" w:cs="Times New Roman"/>
          <w:sz w:val="20"/>
          <w:szCs w:val="20"/>
        </w:rPr>
        <w:t xml:space="preserve">t) </w:t>
      </w:r>
      <w:r w:rsidR="00E331E6" w:rsidRPr="004363F1">
        <w:rPr>
          <w:rFonts w:ascii="Times New Roman" w:eastAsiaTheme="minorEastAsia" w:hAnsi="Times New Roman" w:cs="Times New Roman"/>
          <w:sz w:val="20"/>
          <w:szCs w:val="20"/>
        </w:rPr>
        <w:t xml:space="preserve"> </w:t>
      </w:r>
      <w:r w:rsidR="000233D1" w:rsidRPr="004363F1">
        <w:rPr>
          <w:rFonts w:ascii="Times New Roman" w:eastAsiaTheme="minorEastAsia" w:hAnsi="Times New Roman" w:cs="Times New Roman"/>
          <w:sz w:val="20"/>
          <w:szCs w:val="20"/>
        </w:rPr>
        <w:t>in</w:t>
      </w:r>
      <w:proofErr w:type="gramEnd"/>
      <w:r w:rsidR="000233D1" w:rsidRPr="004363F1">
        <w:rPr>
          <w:rFonts w:ascii="Times New Roman" w:eastAsiaTheme="minorEastAsia" w:hAnsi="Times New Roman" w:cs="Times New Roman"/>
          <w:sz w:val="20"/>
          <w:szCs w:val="20"/>
        </w:rPr>
        <w:t xml:space="preserve"> the CLOGLOG model helped resolve an inconsistency problem resulting from </w:t>
      </w:r>
      <w:r w:rsidR="00083068" w:rsidRPr="004363F1">
        <w:rPr>
          <w:rFonts w:ascii="Times New Roman" w:eastAsiaTheme="minorEastAsia" w:hAnsi="Times New Roman" w:cs="Times New Roman"/>
          <w:sz w:val="20"/>
          <w:szCs w:val="20"/>
        </w:rPr>
        <w:t>a</w:t>
      </w:r>
      <w:r w:rsidR="003136AA" w:rsidRPr="004363F1">
        <w:rPr>
          <w:rFonts w:ascii="Times New Roman" w:eastAsiaTheme="minorEastAsia" w:hAnsi="Times New Roman" w:cs="Times New Roman"/>
          <w:sz w:val="20"/>
          <w:szCs w:val="20"/>
        </w:rPr>
        <w:t xml:space="preserve"> </w:t>
      </w:r>
      <w:r w:rsidR="000233D1" w:rsidRPr="004363F1">
        <w:rPr>
          <w:rFonts w:ascii="Times New Roman" w:eastAsiaTheme="minorEastAsia" w:hAnsi="Times New Roman" w:cs="Times New Roman"/>
          <w:sz w:val="20"/>
          <w:szCs w:val="20"/>
        </w:rPr>
        <w:t>selection bias in the data (Supplemental Text 4).</w:t>
      </w:r>
      <w:r w:rsidR="00E331E6" w:rsidRPr="004363F1">
        <w:rPr>
          <w:rFonts w:ascii="Times New Roman" w:eastAsiaTheme="minorEastAsia" w:hAnsi="Times New Roman" w:cs="Times New Roman"/>
          <w:sz w:val="20"/>
          <w:szCs w:val="20"/>
        </w:rPr>
        <w:t xml:space="preserve"> </w:t>
      </w:r>
      <w:r w:rsidR="009E4670" w:rsidRPr="004363F1">
        <w:rPr>
          <w:rFonts w:ascii="Times New Roman" w:eastAsiaTheme="minorEastAsia" w:hAnsi="Times New Roman" w:cs="Times New Roman"/>
          <w:sz w:val="20"/>
          <w:szCs w:val="20"/>
        </w:rPr>
        <w:t xml:space="preserve">In sum, </w:t>
      </w:r>
      <w:r w:rsidR="009E4670" w:rsidRPr="004363F1">
        <w:rPr>
          <w:rFonts w:ascii="Times New Roman" w:eastAsiaTheme="minorEastAsia" w:hAnsi="Times New Roman" w:cs="Times New Roman"/>
          <w:i/>
          <w:sz w:val="20"/>
          <w:szCs w:val="20"/>
        </w:rPr>
        <w:t>the CLOGLOG model is</w:t>
      </w:r>
      <w:r w:rsidR="009E4670" w:rsidRPr="004363F1">
        <w:rPr>
          <w:rFonts w:ascii="Times New Roman" w:eastAsiaTheme="minorEastAsia" w:hAnsi="Times New Roman" w:cs="Times New Roman"/>
          <w:sz w:val="20"/>
          <w:szCs w:val="20"/>
        </w:rPr>
        <w:t xml:space="preserve"> </w:t>
      </w:r>
      <w:r w:rsidR="009E4670" w:rsidRPr="004363F1">
        <w:rPr>
          <w:rFonts w:ascii="Times New Roman" w:eastAsiaTheme="minorEastAsia" w:hAnsi="Times New Roman" w:cs="Times New Roman"/>
          <w:i/>
          <w:sz w:val="20"/>
          <w:szCs w:val="20"/>
        </w:rPr>
        <w:t>a versatile version of the Cox model for achieving longitudinal insights</w:t>
      </w:r>
      <w:r w:rsidR="009E4670" w:rsidRPr="004363F1">
        <w:rPr>
          <w:rFonts w:ascii="Times New Roman" w:eastAsiaTheme="minorEastAsia" w:hAnsi="Times New Roman" w:cs="Times New Roman"/>
          <w:sz w:val="20"/>
          <w:szCs w:val="20"/>
        </w:rPr>
        <w:t>.</w:t>
      </w:r>
    </w:p>
    <w:p w14:paraId="77935502" w14:textId="77777777" w:rsidR="00200E17" w:rsidRPr="004363F1" w:rsidRDefault="00200E17" w:rsidP="00200E17">
      <w:pPr>
        <w:spacing w:after="0" w:line="240" w:lineRule="auto"/>
        <w:jc w:val="both"/>
        <w:rPr>
          <w:rFonts w:ascii="Times New Roman" w:eastAsiaTheme="minorEastAsia" w:hAnsi="Times New Roman" w:cs="Times New Roman"/>
          <w:b/>
          <w:color w:val="FF0000"/>
          <w:sz w:val="24"/>
          <w:szCs w:val="24"/>
          <w:lang w:val="en-CA" w:eastAsia="ja-JP"/>
        </w:rPr>
      </w:pPr>
    </w:p>
    <w:p w14:paraId="6A312BFA" w14:textId="77777777" w:rsidR="00A40888" w:rsidRPr="00554619" w:rsidRDefault="00A40888" w:rsidP="00A40888">
      <w:pPr>
        <w:spacing w:after="0" w:line="240" w:lineRule="auto"/>
        <w:jc w:val="both"/>
        <w:rPr>
          <w:rFonts w:ascii="Times New Roman" w:hAnsi="Times New Roman" w:cs="Times New Roman"/>
          <w:color w:val="000000" w:themeColor="text1"/>
          <w:sz w:val="24"/>
          <w:szCs w:val="24"/>
          <w:shd w:val="clear" w:color="auto" w:fill="FFFFFF"/>
        </w:rPr>
      </w:pPr>
      <w:r w:rsidRPr="00554619">
        <w:rPr>
          <w:rFonts w:ascii="Times New Roman" w:eastAsiaTheme="minorEastAsia" w:hAnsi="Times New Roman" w:cs="Times New Roman"/>
          <w:b/>
          <w:color w:val="000000" w:themeColor="text1"/>
          <w:sz w:val="24"/>
          <w:szCs w:val="24"/>
          <w:lang w:val="en-CA" w:eastAsia="ja-JP"/>
        </w:rPr>
        <w:t>Supplemental T</w:t>
      </w:r>
      <w:r w:rsidR="008375B9" w:rsidRPr="00554619">
        <w:rPr>
          <w:rFonts w:ascii="Times New Roman" w:eastAsiaTheme="minorEastAsia" w:hAnsi="Times New Roman" w:cs="Times New Roman"/>
          <w:b/>
          <w:color w:val="000000" w:themeColor="text1"/>
          <w:sz w:val="24"/>
          <w:szCs w:val="24"/>
          <w:lang w:val="en-CA" w:eastAsia="ja-JP"/>
        </w:rPr>
        <w:t xml:space="preserve">ext 15: Obtaining </w:t>
      </w:r>
      <w:r w:rsidRPr="00554619">
        <w:rPr>
          <w:rFonts w:ascii="Times New Roman" w:eastAsiaTheme="minorEastAsia" w:hAnsi="Times New Roman" w:cs="Times New Roman"/>
          <w:b/>
          <w:color w:val="000000" w:themeColor="text1"/>
          <w:sz w:val="24"/>
          <w:szCs w:val="24"/>
          <w:lang w:val="en-CA" w:eastAsia="ja-JP"/>
        </w:rPr>
        <w:t>Similar</w:t>
      </w:r>
      <w:r w:rsidR="008375B9" w:rsidRPr="00554619">
        <w:rPr>
          <w:rFonts w:ascii="Times New Roman" w:eastAsiaTheme="minorEastAsia" w:hAnsi="Times New Roman" w:cs="Times New Roman"/>
          <w:b/>
          <w:color w:val="000000" w:themeColor="text1"/>
          <w:sz w:val="24"/>
          <w:szCs w:val="24"/>
          <w:lang w:val="en-CA" w:eastAsia="ja-JP"/>
        </w:rPr>
        <w:t xml:space="preserve"> Longitudinal</w:t>
      </w:r>
      <w:r w:rsidR="004775DC" w:rsidRPr="00554619">
        <w:rPr>
          <w:rFonts w:ascii="Times New Roman" w:eastAsiaTheme="minorEastAsia" w:hAnsi="Times New Roman" w:cs="Times New Roman"/>
          <w:b/>
          <w:color w:val="000000" w:themeColor="text1"/>
          <w:sz w:val="24"/>
          <w:szCs w:val="24"/>
          <w:lang w:val="en-CA" w:eastAsia="ja-JP"/>
        </w:rPr>
        <w:t xml:space="preserve"> Insights from a</w:t>
      </w:r>
      <w:r w:rsidRPr="00554619">
        <w:rPr>
          <w:rFonts w:ascii="Times New Roman" w:eastAsiaTheme="minorEastAsia" w:hAnsi="Times New Roman" w:cs="Times New Roman"/>
          <w:b/>
          <w:color w:val="000000" w:themeColor="text1"/>
          <w:sz w:val="24"/>
          <w:szCs w:val="24"/>
          <w:lang w:val="en-CA" w:eastAsia="ja-JP"/>
        </w:rPr>
        <w:t xml:space="preserve"> Longitudinal Logit Model</w:t>
      </w:r>
      <w:r w:rsidR="004775DC" w:rsidRPr="00554619">
        <w:rPr>
          <w:rFonts w:ascii="Times New Roman" w:eastAsiaTheme="minorEastAsia" w:hAnsi="Times New Roman" w:cs="Times New Roman"/>
          <w:b/>
          <w:color w:val="000000" w:themeColor="text1"/>
          <w:sz w:val="24"/>
          <w:szCs w:val="24"/>
          <w:lang w:val="en-CA" w:eastAsia="ja-JP"/>
        </w:rPr>
        <w:t xml:space="preserve"> or a Longitudinal </w:t>
      </w:r>
      <w:proofErr w:type="spellStart"/>
      <w:r w:rsidR="004775DC" w:rsidRPr="00554619">
        <w:rPr>
          <w:rFonts w:ascii="Times New Roman" w:eastAsiaTheme="minorEastAsia" w:hAnsi="Times New Roman" w:cs="Times New Roman"/>
          <w:b/>
          <w:color w:val="000000" w:themeColor="text1"/>
          <w:sz w:val="24"/>
          <w:szCs w:val="24"/>
          <w:lang w:val="en-CA" w:eastAsia="ja-JP"/>
        </w:rPr>
        <w:t>Probit</w:t>
      </w:r>
      <w:proofErr w:type="spellEnd"/>
      <w:r w:rsidR="004775DC" w:rsidRPr="00554619">
        <w:rPr>
          <w:rFonts w:ascii="Times New Roman" w:eastAsiaTheme="minorEastAsia" w:hAnsi="Times New Roman" w:cs="Times New Roman"/>
          <w:b/>
          <w:color w:val="000000" w:themeColor="text1"/>
          <w:sz w:val="24"/>
          <w:szCs w:val="24"/>
          <w:lang w:val="en-CA" w:eastAsia="ja-JP"/>
        </w:rPr>
        <w:t xml:space="preserve"> Model </w:t>
      </w:r>
    </w:p>
    <w:p w14:paraId="7B711891" w14:textId="77777777" w:rsidR="00B74B8C" w:rsidRPr="00554619" w:rsidRDefault="00B74B8C" w:rsidP="00A40888">
      <w:pPr>
        <w:spacing w:after="0" w:line="240" w:lineRule="auto"/>
        <w:ind w:firstLine="720"/>
        <w:jc w:val="both"/>
        <w:rPr>
          <w:rFonts w:ascii="Times New Roman" w:eastAsiaTheme="minorEastAsia" w:hAnsi="Times New Roman" w:cs="Times New Roman"/>
          <w:sz w:val="20"/>
          <w:szCs w:val="20"/>
          <w:lang w:val="en-CA" w:eastAsia="ja-JP"/>
        </w:rPr>
      </w:pPr>
      <w:r w:rsidRPr="00554619">
        <w:rPr>
          <w:rFonts w:ascii="Times New Roman" w:eastAsiaTheme="minorEastAsia" w:hAnsi="Times New Roman" w:cs="Times New Roman"/>
          <w:sz w:val="20"/>
          <w:szCs w:val="20"/>
          <w:lang w:val="en-CA" w:eastAsia="ja-JP"/>
        </w:rPr>
        <w:t>For researchers who are more comfortable with using logit models, we demonstrate here that similar longitudinal insig</w:t>
      </w:r>
      <w:r w:rsidR="00425400" w:rsidRPr="00554619">
        <w:rPr>
          <w:rFonts w:ascii="Times New Roman" w:eastAsiaTheme="minorEastAsia" w:hAnsi="Times New Roman" w:cs="Times New Roman"/>
          <w:sz w:val="20"/>
          <w:szCs w:val="20"/>
          <w:lang w:val="en-CA" w:eastAsia="ja-JP"/>
        </w:rPr>
        <w:t>hts can be obtained by using a logit model of the following form:</w:t>
      </w:r>
    </w:p>
    <w:p w14:paraId="3CC87174" w14:textId="77777777" w:rsidR="00425400" w:rsidRPr="00554619" w:rsidRDefault="00E40366" w:rsidP="00425400">
      <w:pPr>
        <w:spacing w:after="0" w:line="240" w:lineRule="auto"/>
        <w:jc w:val="both"/>
        <w:rPr>
          <w:rFonts w:ascii="Times New Roman" w:eastAsiaTheme="minorEastAsia" w:hAnsi="Times New Roman" w:cs="Times New Roman"/>
          <w:color w:val="000000" w:themeColor="text1"/>
          <w:sz w:val="20"/>
          <w:szCs w:val="20"/>
          <w:lang w:val="en-CA" w:eastAsia="ja-JP"/>
        </w:rPr>
      </w:pPr>
      <m:oMathPara>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it</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hAnsi="Cambria Math" w:cs="Times New Roman"/>
                              <w:color w:val="000000" w:themeColor="text1"/>
                              <w:sz w:val="20"/>
                              <w:szCs w:val="20"/>
                            </w:rPr>
                            <m:t>0</m:t>
                          </m:r>
                        </m:sub>
                      </m:sSub>
                      <m: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r>
                            <m:rPr>
                              <m:sty m:val="bi"/>
                            </m:rPr>
                            <w:rPr>
                              <w:rFonts w:ascii="Cambria Math" w:hAnsi="Cambria Math" w:cs="Times New Roman"/>
                              <w:color w:val="000000" w:themeColor="text1"/>
                              <w:sz w:val="20"/>
                              <w:szCs w:val="20"/>
                            </w:rPr>
                            <m:t>β</m:t>
                          </m:r>
                        </m:e>
                        <m:sup>
                          <m:r>
                            <w:rPr>
                              <w:rFonts w:ascii="Cambria Math" w:hAnsi="Cambria Math" w:cs="Times New Roman"/>
                              <w:color w:val="000000" w:themeColor="text1"/>
                              <w:sz w:val="20"/>
                              <w:szCs w:val="20"/>
                            </w:rPr>
                            <m:t>'</m:t>
                          </m:r>
                        </m:sup>
                      </m:sSup>
                      <m:sSub>
                        <m:sSubPr>
                          <m:ctrlPr>
                            <w:rPr>
                              <w:rFonts w:ascii="Cambria Math" w:hAnsi="Cambria Math" w:cs="Times New Roman"/>
                              <w:i/>
                              <w:color w:val="000000" w:themeColor="text1"/>
                              <w:sz w:val="20"/>
                              <w:szCs w:val="20"/>
                            </w:rPr>
                          </m:ctrlPr>
                        </m:sSubPr>
                        <m:e>
                          <m:r>
                            <m:rPr>
                              <m:sty m:val="bi"/>
                            </m:rP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it</m:t>
                          </m:r>
                        </m:sub>
                      </m:sSub>
                    </m:sup>
                  </m:sSup>
                </m:sup>
              </m:sSup>
            </m:num>
            <m:den>
              <m:r>
                <w:rPr>
                  <w:rFonts w:ascii="Cambria Math" w:hAnsi="Cambria Math" w:cs="Times New Roman"/>
                  <w:color w:val="000000" w:themeColor="text1"/>
                  <w:sz w:val="20"/>
                  <w:szCs w:val="20"/>
                </w:rPr>
                <m:t>1+</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hAnsi="Cambria Math" w:cs="Times New Roman"/>
                              <w:color w:val="000000" w:themeColor="text1"/>
                              <w:sz w:val="20"/>
                              <w:szCs w:val="20"/>
                            </w:rPr>
                            <m:t>0</m:t>
                          </m:r>
                        </m:sub>
                      </m:sSub>
                      <m: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r>
                            <m:rPr>
                              <m:sty m:val="bi"/>
                            </m:rPr>
                            <w:rPr>
                              <w:rFonts w:ascii="Cambria Math" w:hAnsi="Cambria Math" w:cs="Times New Roman"/>
                              <w:color w:val="000000" w:themeColor="text1"/>
                              <w:sz w:val="20"/>
                              <w:szCs w:val="20"/>
                            </w:rPr>
                            <m:t>β</m:t>
                          </m:r>
                        </m:e>
                        <m:sup>
                          <m:r>
                            <w:rPr>
                              <w:rFonts w:ascii="Cambria Math" w:hAnsi="Cambria Math" w:cs="Times New Roman"/>
                              <w:color w:val="000000" w:themeColor="text1"/>
                              <w:sz w:val="20"/>
                              <w:szCs w:val="20"/>
                            </w:rPr>
                            <m:t>'</m:t>
                          </m:r>
                        </m:sup>
                      </m:sSup>
                      <m:sSub>
                        <m:sSubPr>
                          <m:ctrlPr>
                            <w:rPr>
                              <w:rFonts w:ascii="Cambria Math" w:hAnsi="Cambria Math" w:cs="Times New Roman"/>
                              <w:i/>
                              <w:color w:val="000000" w:themeColor="text1"/>
                              <w:sz w:val="20"/>
                              <w:szCs w:val="20"/>
                            </w:rPr>
                          </m:ctrlPr>
                        </m:sSubPr>
                        <m:e>
                          <m:r>
                            <m:rPr>
                              <m:sty m:val="bi"/>
                            </m:rP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it</m:t>
                          </m:r>
                        </m:sub>
                      </m:sSub>
                    </m:sup>
                  </m:sSup>
                </m:sup>
              </m:sSup>
            </m:den>
          </m:f>
          <m:r>
            <w:rPr>
              <w:rFonts w:ascii="Cambria Math" w:hAnsi="Cambria Math" w:cs="Times New Roman"/>
              <w:color w:val="000000" w:themeColor="text1"/>
              <w:sz w:val="20"/>
              <w:szCs w:val="20"/>
            </w:rPr>
            <m:t xml:space="preserve">                             </m:t>
          </m:r>
          <m:r>
            <w:rPr>
              <w:rFonts w:ascii="Cambria Math" w:hAnsi="Cambria Math"/>
              <w:sz w:val="20"/>
              <w:szCs w:val="20"/>
            </w:rPr>
            <m:t xml:space="preserve">for i=1,2,…n    and    t=1, 2, ….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 xml:space="preserve"> </m:t>
          </m:r>
          <m:r>
            <w:rPr>
              <w:rFonts w:ascii="Cambria Math" w:hAnsi="Cambria Math" w:cs="Times New Roman"/>
              <w:color w:val="000000" w:themeColor="text1"/>
              <w:sz w:val="20"/>
              <w:szCs w:val="20"/>
            </w:rPr>
            <m:t xml:space="preserve">                                                </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9</m:t>
              </m:r>
            </m:e>
          </m:d>
        </m:oMath>
      </m:oMathPara>
    </w:p>
    <w:p w14:paraId="70B555DD" w14:textId="77777777" w:rsidR="00425400" w:rsidRPr="00554619" w:rsidRDefault="00425400" w:rsidP="00425400">
      <w:pPr>
        <w:spacing w:after="0" w:line="240" w:lineRule="auto"/>
        <w:jc w:val="both"/>
        <w:rPr>
          <w:rFonts w:ascii="Times New Roman" w:eastAsiaTheme="minorEastAsia" w:hAnsi="Times New Roman" w:cs="Times New Roman"/>
          <w:color w:val="000000" w:themeColor="text1"/>
          <w:sz w:val="20"/>
          <w:szCs w:val="20"/>
          <w:lang w:val="en-CA" w:eastAsia="ja-JP"/>
        </w:rPr>
      </w:pPr>
      <w:r w:rsidRPr="00554619">
        <w:rPr>
          <w:rFonts w:ascii="Times New Roman" w:eastAsiaTheme="minorEastAsia" w:hAnsi="Times New Roman" w:cs="Times New Roman"/>
          <w:color w:val="000000" w:themeColor="text1"/>
          <w:sz w:val="20"/>
          <w:szCs w:val="20"/>
          <w:lang w:val="en-CA" w:eastAsia="ja-JP"/>
        </w:rPr>
        <w:t xml:space="preserve">where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it</m:t>
            </m:r>
          </m:sub>
        </m:sSub>
      </m:oMath>
      <w:r w:rsidRPr="00554619">
        <w:rPr>
          <w:rFonts w:ascii="Times New Roman" w:eastAsiaTheme="minorEastAsia" w:hAnsi="Times New Roman" w:cs="Times New Roman"/>
          <w:color w:val="000000" w:themeColor="text1"/>
          <w:sz w:val="20"/>
          <w:szCs w:val="20"/>
          <w:lang w:val="en-CA" w:eastAsia="ja-JP"/>
        </w:rPr>
        <w:t xml:space="preserve"> is the ith patient’s probability of dying on day t, conditional on surviving to the beginning of day t;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oMath>
      <w:r w:rsidR="00B30943" w:rsidRPr="00554619">
        <w:rPr>
          <w:rFonts w:ascii="Times New Roman" w:hAnsi="Times New Roman"/>
          <w:sz w:val="20"/>
          <w:szCs w:val="20"/>
        </w:rPr>
        <w:t xml:space="preserve"> is an unknown intercept; </w:t>
      </w:r>
      <m:oMath>
        <m:sSup>
          <m:sSupPr>
            <m:ctrlPr>
              <w:rPr>
                <w:rFonts w:ascii="Cambria Math" w:hAnsi="Cambria Math"/>
                <w:i/>
                <w:sz w:val="20"/>
                <w:szCs w:val="20"/>
              </w:rPr>
            </m:ctrlPr>
          </m:sSupPr>
          <m:e>
            <m:r>
              <m:rPr>
                <m:sty m:val="bi"/>
              </m:rPr>
              <w:rPr>
                <w:rFonts w:ascii="Cambria Math" w:hAnsi="Cambria Math"/>
                <w:sz w:val="20"/>
                <w:szCs w:val="20"/>
              </w:rPr>
              <m:t>β</m:t>
            </m:r>
          </m:e>
          <m:sup>
            <m:r>
              <w:rPr>
                <w:rFonts w:ascii="Cambria Math" w:hAnsi="Cambria Math"/>
                <w:sz w:val="20"/>
                <w:szCs w:val="20"/>
              </w:rPr>
              <m:t>'</m:t>
            </m:r>
          </m:sup>
        </m:sSup>
      </m:oMath>
      <w:r w:rsidR="00B30943" w:rsidRPr="00554619">
        <w:rPr>
          <w:rFonts w:ascii="Times New Roman" w:hAnsi="Times New Roman"/>
          <w:sz w:val="20"/>
          <w:szCs w:val="20"/>
        </w:rPr>
        <w:t xml:space="preserve"> is a row vector of unknown coefficients; </w:t>
      </w:r>
      <m:oMath>
        <m:sSub>
          <m:sSubPr>
            <m:ctrlPr>
              <w:rPr>
                <w:rFonts w:ascii="Cambria Math" w:hAnsi="Cambria Math"/>
                <w:i/>
                <w:sz w:val="20"/>
                <w:szCs w:val="20"/>
              </w:rPr>
            </m:ctrlPr>
          </m:sSubPr>
          <m:e>
            <m:r>
              <m:rPr>
                <m:sty m:val="bi"/>
              </m:rPr>
              <w:rPr>
                <w:rFonts w:ascii="Cambria Math" w:hAnsi="Cambria Math"/>
                <w:sz w:val="20"/>
                <w:szCs w:val="20"/>
              </w:rPr>
              <m:t>X</m:t>
            </m:r>
          </m:e>
          <m:sub>
            <m:r>
              <w:rPr>
                <w:rFonts w:ascii="Cambria Math" w:hAnsi="Cambria Math"/>
                <w:sz w:val="20"/>
                <w:szCs w:val="20"/>
              </w:rPr>
              <m:t>it</m:t>
            </m:r>
          </m:sub>
        </m:sSub>
      </m:oMath>
      <w:r w:rsidR="00B30943" w:rsidRPr="00554619">
        <w:rPr>
          <w:rFonts w:ascii="Times New Roman" w:hAnsi="Times New Roman"/>
          <w:sz w:val="20"/>
          <w:szCs w:val="20"/>
        </w:rPr>
        <w:t xml:space="preserve">is a column vector of the explanatory variables that reflect the relevant information on the ith patient up to day t; n is the number of patients in the sample; and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 xml:space="preserve"> </m:t>
        </m:r>
      </m:oMath>
      <w:r w:rsidR="00B30943" w:rsidRPr="00554619">
        <w:rPr>
          <w:rFonts w:ascii="Times New Roman" w:hAnsi="Times New Roman"/>
          <w:sz w:val="20"/>
          <w:szCs w:val="20"/>
        </w:rPr>
        <w:t xml:space="preserve">is the day when the </w:t>
      </w:r>
      <w:proofErr w:type="spellStart"/>
      <w:r w:rsidR="00B30943" w:rsidRPr="00554619">
        <w:rPr>
          <w:rFonts w:ascii="Times New Roman" w:hAnsi="Times New Roman"/>
          <w:sz w:val="20"/>
          <w:szCs w:val="20"/>
        </w:rPr>
        <w:t>ith</w:t>
      </w:r>
      <w:proofErr w:type="spellEnd"/>
      <w:r w:rsidR="00B30943" w:rsidRPr="00554619">
        <w:rPr>
          <w:rFonts w:ascii="Times New Roman" w:hAnsi="Times New Roman"/>
          <w:sz w:val="20"/>
          <w:szCs w:val="20"/>
        </w:rPr>
        <w:t xml:space="preserve"> patient died in ICU/hospital, was discharged, or was censored (day 28)</w:t>
      </w:r>
      <w:r w:rsidRPr="00554619">
        <w:rPr>
          <w:rFonts w:ascii="Times New Roman" w:eastAsiaTheme="minorEastAsia" w:hAnsi="Times New Roman" w:cs="Times New Roman"/>
          <w:color w:val="000000" w:themeColor="text1"/>
          <w:sz w:val="20"/>
          <w:szCs w:val="20"/>
          <w:lang w:val="en-CA" w:eastAsia="ja-JP"/>
        </w:rPr>
        <w:t>. Due to its usefulness</w:t>
      </w:r>
      <w:r w:rsidR="00FB1E63" w:rsidRPr="00554619">
        <w:rPr>
          <w:rFonts w:ascii="Times New Roman" w:eastAsiaTheme="minorEastAsia" w:hAnsi="Times New Roman" w:cs="Times New Roman"/>
          <w:color w:val="000000" w:themeColor="text1"/>
          <w:sz w:val="20"/>
          <w:szCs w:val="20"/>
          <w:lang w:val="en-CA" w:eastAsia="ja-JP"/>
        </w:rPr>
        <w:t xml:space="preserve"> for gaining longitudinal insights</w:t>
      </w:r>
      <w:r w:rsidRPr="00554619">
        <w:rPr>
          <w:rFonts w:ascii="Times New Roman" w:eastAsiaTheme="minorEastAsia" w:hAnsi="Times New Roman" w:cs="Times New Roman"/>
          <w:color w:val="000000" w:themeColor="text1"/>
          <w:sz w:val="20"/>
          <w:szCs w:val="20"/>
          <w:lang w:val="en-CA" w:eastAsia="ja-JP"/>
        </w:rPr>
        <w:t xml:space="preserve">, we offer the name </w:t>
      </w:r>
      <w:r w:rsidRPr="00554619">
        <w:rPr>
          <w:rFonts w:ascii="Times New Roman" w:eastAsiaTheme="minorEastAsia" w:hAnsi="Times New Roman" w:cs="Times New Roman"/>
          <w:i/>
          <w:color w:val="000000" w:themeColor="text1"/>
          <w:sz w:val="20"/>
          <w:szCs w:val="20"/>
          <w:lang w:val="en-CA" w:eastAsia="ja-JP"/>
        </w:rPr>
        <w:t>Longitudinal Logit Model</w:t>
      </w:r>
      <w:r w:rsidR="00FB1E63" w:rsidRPr="00554619">
        <w:rPr>
          <w:rFonts w:ascii="Times New Roman" w:eastAsiaTheme="minorEastAsia" w:hAnsi="Times New Roman" w:cs="Times New Roman"/>
          <w:color w:val="000000" w:themeColor="text1"/>
          <w:sz w:val="20"/>
          <w:szCs w:val="20"/>
          <w:lang w:val="en-CA" w:eastAsia="ja-JP"/>
        </w:rPr>
        <w:t xml:space="preserve"> (L-Logit Model, for short)</w:t>
      </w:r>
      <w:r w:rsidRPr="00554619">
        <w:rPr>
          <w:rFonts w:ascii="Times New Roman" w:eastAsiaTheme="minorEastAsia" w:hAnsi="Times New Roman" w:cs="Times New Roman"/>
          <w:color w:val="000000" w:themeColor="text1"/>
          <w:sz w:val="20"/>
          <w:szCs w:val="20"/>
          <w:lang w:val="en-CA" w:eastAsia="ja-JP"/>
        </w:rPr>
        <w:t>.</w:t>
      </w:r>
      <w:r w:rsidR="00FB1E63" w:rsidRPr="00554619">
        <w:rPr>
          <w:rFonts w:ascii="Times New Roman" w:eastAsiaTheme="minorEastAsia" w:hAnsi="Times New Roman" w:cs="Times New Roman"/>
          <w:color w:val="000000" w:themeColor="text1"/>
          <w:sz w:val="20"/>
          <w:szCs w:val="20"/>
          <w:lang w:val="en-CA" w:eastAsia="ja-JP"/>
        </w:rPr>
        <w:t xml:space="preserve"> The unknown coefficients</w:t>
      </w:r>
      <w:r w:rsidR="008F4564" w:rsidRPr="00554619">
        <w:rPr>
          <w:rFonts w:ascii="Times New Roman" w:eastAsiaTheme="minorEastAsia" w:hAnsi="Times New Roman" w:cs="Times New Roman"/>
          <w:color w:val="000000" w:themeColor="text1"/>
          <w:sz w:val="20"/>
          <w:szCs w:val="20"/>
          <w:lang w:val="en-CA" w:eastAsia="ja-JP"/>
        </w:rPr>
        <w:t xml:space="preserve"> are</w:t>
      </w:r>
      <w:r w:rsidR="00FB1E63" w:rsidRPr="00554619">
        <w:rPr>
          <w:rFonts w:ascii="Times New Roman" w:eastAsiaTheme="minorEastAsia" w:hAnsi="Times New Roman" w:cs="Times New Roman"/>
          <w:color w:val="000000" w:themeColor="text1"/>
          <w:sz w:val="20"/>
          <w:szCs w:val="20"/>
          <w:lang w:val="en-CA" w:eastAsia="ja-JP"/>
        </w:rPr>
        <w:t xml:space="preserve"> estimated by maximizing the log-likelihood function shown in Eq. (3).</w:t>
      </w:r>
      <w:r w:rsidR="001606BD" w:rsidRPr="00554619">
        <w:rPr>
          <w:rFonts w:ascii="Times New Roman" w:eastAsiaTheme="minorEastAsia" w:hAnsi="Times New Roman" w:cs="Times New Roman"/>
          <w:color w:val="000000" w:themeColor="text1"/>
          <w:sz w:val="20"/>
          <w:szCs w:val="20"/>
          <w:lang w:val="en-CA" w:eastAsia="ja-JP"/>
        </w:rPr>
        <w:t xml:space="preserve"> The input data matrix</w:t>
      </w:r>
      <w:r w:rsidR="008F4564" w:rsidRPr="00554619">
        <w:rPr>
          <w:rFonts w:ascii="Times New Roman" w:eastAsiaTheme="minorEastAsia" w:hAnsi="Times New Roman" w:cs="Times New Roman"/>
          <w:color w:val="000000" w:themeColor="text1"/>
          <w:sz w:val="20"/>
          <w:szCs w:val="20"/>
          <w:lang w:val="en-CA" w:eastAsia="ja-JP"/>
        </w:rPr>
        <w:t xml:space="preserve"> is identical to that of the corresponding CLOGLOG model.</w:t>
      </w:r>
      <w:r w:rsidR="00FB1E63" w:rsidRPr="00554619">
        <w:rPr>
          <w:rFonts w:ascii="Times New Roman" w:eastAsiaTheme="minorEastAsia" w:hAnsi="Times New Roman" w:cs="Times New Roman"/>
          <w:color w:val="000000" w:themeColor="text1"/>
          <w:sz w:val="20"/>
          <w:szCs w:val="20"/>
          <w:lang w:val="en-CA" w:eastAsia="ja-JP"/>
        </w:rPr>
        <w:t xml:space="preserve"> </w:t>
      </w:r>
      <w:r w:rsidRPr="00554619">
        <w:rPr>
          <w:rFonts w:ascii="Times New Roman" w:eastAsiaTheme="minorEastAsia" w:hAnsi="Times New Roman" w:cs="Times New Roman"/>
          <w:color w:val="000000" w:themeColor="text1"/>
          <w:sz w:val="20"/>
          <w:szCs w:val="20"/>
          <w:lang w:val="en-CA" w:eastAsia="ja-JP"/>
        </w:rPr>
        <w:t xml:space="preserve"> </w:t>
      </w:r>
    </w:p>
    <w:p w14:paraId="77AC009C" w14:textId="77777777" w:rsidR="007D35F0" w:rsidRPr="00554619" w:rsidRDefault="008F4564" w:rsidP="00A40888">
      <w:pPr>
        <w:spacing w:after="0" w:line="240" w:lineRule="auto"/>
        <w:ind w:firstLine="720"/>
        <w:jc w:val="both"/>
        <w:rPr>
          <w:rFonts w:ascii="Times New Roman" w:eastAsiaTheme="minorEastAsia" w:hAnsi="Times New Roman" w:cs="Times New Roman"/>
          <w:color w:val="000000" w:themeColor="text1"/>
          <w:sz w:val="20"/>
          <w:szCs w:val="20"/>
        </w:rPr>
      </w:pPr>
      <w:r w:rsidRPr="00554619">
        <w:rPr>
          <w:rFonts w:ascii="Times New Roman" w:hAnsi="Times New Roman" w:cs="Times New Roman"/>
          <w:color w:val="000000" w:themeColor="text1"/>
          <w:sz w:val="20"/>
          <w:szCs w:val="20"/>
          <w:shd w:val="clear" w:color="auto" w:fill="FFFFFF"/>
        </w:rPr>
        <w:t xml:space="preserve">Using the SAS logistic procedure with </w:t>
      </w:r>
      <w:r w:rsidRPr="00554619">
        <w:rPr>
          <w:rFonts w:ascii="Times New Roman" w:eastAsiaTheme="minorEastAsia" w:hAnsi="Times New Roman" w:cs="Times New Roman"/>
          <w:color w:val="000000" w:themeColor="text1"/>
          <w:sz w:val="20"/>
          <w:szCs w:val="20"/>
        </w:rPr>
        <w:t>“LINK=LOGIT”, w</w:t>
      </w:r>
      <w:r w:rsidR="007D35F0" w:rsidRPr="00554619">
        <w:rPr>
          <w:rFonts w:ascii="Times New Roman" w:eastAsiaTheme="minorEastAsia" w:hAnsi="Times New Roman" w:cs="Times New Roman"/>
          <w:color w:val="000000" w:themeColor="text1"/>
          <w:sz w:val="20"/>
          <w:szCs w:val="20"/>
        </w:rPr>
        <w:t>e obtained the estimated coefficients</w:t>
      </w:r>
      <w:r w:rsidRPr="00554619">
        <w:rPr>
          <w:rFonts w:ascii="Times New Roman" w:eastAsiaTheme="minorEastAsia" w:hAnsi="Times New Roman" w:cs="Times New Roman"/>
          <w:color w:val="000000" w:themeColor="text1"/>
          <w:sz w:val="20"/>
          <w:szCs w:val="20"/>
        </w:rPr>
        <w:t xml:space="preserve"> shown in </w:t>
      </w:r>
      <w:r w:rsidR="007D35F0" w:rsidRPr="00554619">
        <w:rPr>
          <w:rFonts w:ascii="Times New Roman" w:eastAsiaTheme="minorEastAsia" w:hAnsi="Times New Roman" w:cs="Times New Roman"/>
          <w:color w:val="000000" w:themeColor="text1"/>
          <w:sz w:val="20"/>
          <w:szCs w:val="20"/>
        </w:rPr>
        <w:t>Supplemental Table 16. With AUC_P28=</w:t>
      </w:r>
      <w:r w:rsidR="007D35F0" w:rsidRPr="00554619">
        <w:rPr>
          <w:color w:val="000000" w:themeColor="text1"/>
          <w:sz w:val="20"/>
          <w:szCs w:val="20"/>
        </w:rPr>
        <w:t xml:space="preserve"> </w:t>
      </w:r>
      <w:r w:rsidR="007D35F0" w:rsidRPr="00554619">
        <w:rPr>
          <w:rFonts w:ascii="Times New Roman" w:eastAsiaTheme="minorEastAsia" w:hAnsi="Times New Roman" w:cs="Times New Roman"/>
          <w:color w:val="000000" w:themeColor="text1"/>
          <w:sz w:val="20"/>
          <w:szCs w:val="20"/>
        </w:rPr>
        <w:t>0.904 (95% CI, 0.865 - 0.942), this model’s predictive power was about the same as that of the corresponding CLOGLOG model.</w:t>
      </w:r>
    </w:p>
    <w:p w14:paraId="1CA04E4B" w14:textId="77777777" w:rsidR="00A40888" w:rsidRPr="00554619" w:rsidRDefault="00A40888" w:rsidP="003E123E">
      <w:pPr>
        <w:spacing w:after="0" w:line="240" w:lineRule="auto"/>
        <w:ind w:firstLine="720"/>
        <w:jc w:val="both"/>
        <w:rPr>
          <w:rFonts w:ascii="Times New Roman" w:hAnsi="Times New Roman" w:cs="Times New Roman"/>
          <w:color w:val="000000" w:themeColor="text1"/>
          <w:sz w:val="20"/>
          <w:szCs w:val="20"/>
          <w:shd w:val="clear" w:color="auto" w:fill="FFFFFF"/>
        </w:rPr>
      </w:pPr>
      <w:r w:rsidRPr="00554619">
        <w:rPr>
          <w:rFonts w:ascii="Times New Roman" w:hAnsi="Times New Roman" w:cs="Times New Roman"/>
          <w:color w:val="000000" w:themeColor="text1"/>
          <w:sz w:val="20"/>
          <w:szCs w:val="20"/>
          <w:shd w:val="clear" w:color="auto" w:fill="FFFFFF"/>
        </w:rPr>
        <w:t>To demonstra</w:t>
      </w:r>
      <w:r w:rsidR="007D35F0" w:rsidRPr="00554619">
        <w:rPr>
          <w:rFonts w:ascii="Times New Roman" w:hAnsi="Times New Roman" w:cs="Times New Roman"/>
          <w:color w:val="000000" w:themeColor="text1"/>
          <w:sz w:val="20"/>
          <w:szCs w:val="20"/>
          <w:shd w:val="clear" w:color="auto" w:fill="FFFFFF"/>
        </w:rPr>
        <w:t>te that the L-Logit</w:t>
      </w:r>
      <w:r w:rsidRPr="00554619">
        <w:rPr>
          <w:rFonts w:ascii="Times New Roman" w:hAnsi="Times New Roman" w:cs="Times New Roman"/>
          <w:color w:val="000000" w:themeColor="text1"/>
          <w:sz w:val="20"/>
          <w:szCs w:val="20"/>
          <w:shd w:val="clear" w:color="auto" w:fill="FFFFFF"/>
        </w:rPr>
        <w:t xml:space="preserve"> model could be used to reveal similar insights as those obtained via th</w:t>
      </w:r>
      <w:r w:rsidR="007D35F0" w:rsidRPr="00554619">
        <w:rPr>
          <w:rFonts w:ascii="Times New Roman" w:hAnsi="Times New Roman" w:cs="Times New Roman"/>
          <w:color w:val="000000" w:themeColor="text1"/>
          <w:sz w:val="20"/>
          <w:szCs w:val="20"/>
          <w:shd w:val="clear" w:color="auto" w:fill="FFFFFF"/>
        </w:rPr>
        <w:t>e CLOGLOG model,</w:t>
      </w:r>
      <w:r w:rsidRPr="00554619">
        <w:rPr>
          <w:rFonts w:ascii="Times New Roman" w:hAnsi="Times New Roman" w:cs="Times New Roman"/>
          <w:color w:val="000000" w:themeColor="text1"/>
          <w:sz w:val="20"/>
          <w:szCs w:val="20"/>
          <w:shd w:val="clear" w:color="auto" w:fill="FFFFFF"/>
        </w:rPr>
        <w:t xml:space="preserve"> we use</w:t>
      </w:r>
      <w:r w:rsidR="003E123E" w:rsidRPr="00554619">
        <w:rPr>
          <w:rFonts w:ascii="Times New Roman" w:hAnsi="Times New Roman" w:cs="Times New Roman"/>
          <w:color w:val="000000" w:themeColor="text1"/>
          <w:sz w:val="20"/>
          <w:szCs w:val="20"/>
          <w:shd w:val="clear" w:color="auto" w:fill="FFFFFF"/>
        </w:rPr>
        <w:t>d</w:t>
      </w:r>
      <w:r w:rsidRPr="00554619">
        <w:rPr>
          <w:rFonts w:ascii="Times New Roman" w:hAnsi="Times New Roman" w:cs="Times New Roman"/>
          <w:color w:val="000000" w:themeColor="text1"/>
          <w:sz w:val="20"/>
          <w:szCs w:val="20"/>
          <w:shd w:val="clear" w:color="auto" w:fill="FFFFFF"/>
        </w:rPr>
        <w:t xml:space="preserve"> it to create the mortality risk profile of Patient A who</w:t>
      </w:r>
      <w:r w:rsidR="007D35F0" w:rsidRPr="00554619">
        <w:rPr>
          <w:rFonts w:ascii="Times New Roman" w:hAnsi="Times New Roman" w:cs="Times New Roman"/>
          <w:color w:val="000000" w:themeColor="text1"/>
          <w:sz w:val="20"/>
          <w:szCs w:val="20"/>
          <w:shd w:val="clear" w:color="auto" w:fill="FFFFFF"/>
        </w:rPr>
        <w:t xml:space="preserve"> was used for demonstration in    Supplemental </w:t>
      </w:r>
      <w:r w:rsidR="003E123E" w:rsidRPr="00554619">
        <w:rPr>
          <w:rFonts w:ascii="Times New Roman" w:hAnsi="Times New Roman" w:cs="Times New Roman"/>
          <w:color w:val="000000" w:themeColor="text1"/>
          <w:sz w:val="20"/>
          <w:szCs w:val="20"/>
          <w:shd w:val="clear" w:color="auto" w:fill="FFFFFF"/>
        </w:rPr>
        <w:t xml:space="preserve">Text 9. </w:t>
      </w:r>
      <w:r w:rsidRPr="00554619">
        <w:rPr>
          <w:rFonts w:ascii="Times New Roman" w:hAnsi="Times New Roman" w:cs="Times New Roman"/>
          <w:color w:val="000000" w:themeColor="text1"/>
          <w:sz w:val="20"/>
          <w:szCs w:val="20"/>
          <w:shd w:val="clear" w:color="auto" w:fill="FFFFFF"/>
        </w:rPr>
        <w:t xml:space="preserve">Analogous to the predicted log of hazard in the CLOGLOG model, the predicted </w:t>
      </w:r>
    </w:p>
    <w:p w14:paraId="4CE86332" w14:textId="77777777" w:rsidR="00A40888" w:rsidRPr="00554619" w:rsidRDefault="00A40888" w:rsidP="00A40888">
      <w:pPr>
        <w:spacing w:after="0" w:line="240" w:lineRule="auto"/>
        <w:jc w:val="both"/>
        <w:rPr>
          <w:rFonts w:ascii="Times New Roman" w:hAnsi="Times New Roman" w:cs="Times New Roman"/>
          <w:color w:val="000000" w:themeColor="text1"/>
          <w:sz w:val="20"/>
          <w:szCs w:val="20"/>
          <w:shd w:val="clear" w:color="auto" w:fill="FFFFFF"/>
        </w:rPr>
      </w:pPr>
      <w:r w:rsidRPr="00554619">
        <w:rPr>
          <w:rFonts w:ascii="Times New Roman" w:hAnsi="Times New Roman" w:cs="Times New Roman"/>
          <w:color w:val="000000" w:themeColor="text1"/>
          <w:sz w:val="20"/>
          <w:szCs w:val="20"/>
          <w:shd w:val="clear" w:color="auto" w:fill="FFFFFF"/>
        </w:rPr>
        <w:t>logit in the L-Logit model can be decomposed into additive terms in the following way:</w:t>
      </w:r>
    </w:p>
    <w:p w14:paraId="0A3247BD" w14:textId="77777777" w:rsidR="00A40888" w:rsidRPr="00554619" w:rsidRDefault="00E40366" w:rsidP="00A40888">
      <w:pPr>
        <w:spacing w:after="0" w:line="240" w:lineRule="auto"/>
        <w:jc w:val="both"/>
        <w:rPr>
          <w:rFonts w:ascii="Times New Roman" w:eastAsiaTheme="minorEastAsia"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G</m:t>
                </m:r>
              </m:e>
            </m:acc>
          </m:e>
          <m:sub>
            <m:r>
              <w:rPr>
                <w:rFonts w:ascii="Cambria Math" w:hAnsi="Cambria Math" w:cs="Times New Roman"/>
                <w:color w:val="000000" w:themeColor="text1"/>
                <w:sz w:val="20"/>
                <w:szCs w:val="20"/>
              </w:rPr>
              <m:t>it</m:t>
            </m:r>
          </m:sub>
        </m:sSub>
        <m:r>
          <w:rPr>
            <w:rFonts w:ascii="Cambria Math" w:hAnsi="Cambria Math" w:cs="Times New Roman"/>
            <w:color w:val="000000" w:themeColor="text1"/>
            <w:sz w:val="20"/>
            <w:szCs w:val="20"/>
          </w:rPr>
          <m:t>=log(</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P</m:t>
                </m:r>
              </m:e>
            </m:acc>
          </m:e>
          <m:sub>
            <m:r>
              <w:rPr>
                <w:rFonts w:ascii="Cambria Math" w:hAnsi="Cambria Math" w:cs="Times New Roman"/>
                <w:color w:val="000000" w:themeColor="text1"/>
                <w:sz w:val="20"/>
                <w:szCs w:val="20"/>
              </w:rPr>
              <m:t>it</m:t>
            </m:r>
          </m:sub>
        </m:sSub>
        <m:r>
          <w:rPr>
            <w:rFonts w:ascii="Cambria Math" w:hAnsi="Cambria Math" w:cs="Times New Roman"/>
            <w:color w:val="000000" w:themeColor="text1"/>
            <w:sz w:val="20"/>
            <w:szCs w:val="20"/>
          </w:rPr>
          <m:t>/(1-</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P</m:t>
                </m:r>
              </m:e>
            </m:acc>
          </m:e>
          <m:sub>
            <m:r>
              <w:rPr>
                <w:rFonts w:ascii="Cambria Math" w:hAnsi="Cambria Math" w:cs="Times New Roman"/>
                <w:color w:val="000000" w:themeColor="text1"/>
                <w:sz w:val="20"/>
                <w:szCs w:val="20"/>
              </w:rPr>
              <m:t>it</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β</m:t>
                </m:r>
              </m:e>
            </m:acc>
          </m:e>
          <m:sub>
            <m:r>
              <w:rPr>
                <w:rFonts w:ascii="Cambria Math" w:hAnsi="Cambria Math" w:cs="Times New Roman"/>
                <w:color w:val="000000" w:themeColor="text1"/>
                <w:sz w:val="20"/>
                <w:szCs w:val="20"/>
              </w:rPr>
              <m:t>0</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β</m:t>
                </m:r>
              </m:e>
            </m:acc>
          </m:e>
          <m:sub>
            <m:r>
              <w:rPr>
                <w:rFonts w:ascii="Cambria Math" w:hAnsi="Cambria Math" w:cs="Times New Roman"/>
                <w:color w:val="000000" w:themeColor="text1"/>
                <w:sz w:val="20"/>
                <w:szCs w:val="20"/>
              </w:rPr>
              <m:t>1</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i1t</m:t>
            </m:r>
          </m:sub>
        </m:sSub>
        <m:r>
          <w:rPr>
            <w:rFonts w:ascii="Cambria Math" w:eastAsiaTheme="minorEastAsia"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β</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i2t</m:t>
            </m:r>
          </m:sub>
        </m:sSub>
        <m:r>
          <w:rPr>
            <w:rFonts w:ascii="Cambria Math" w:eastAsiaTheme="minorEastAsia"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β</m:t>
                </m:r>
              </m:e>
            </m:acc>
          </m:e>
          <m:sub>
            <m:r>
              <w:rPr>
                <w:rFonts w:ascii="Cambria Math" w:hAnsi="Cambria Math" w:cs="Times New Roman"/>
                <w:color w:val="000000" w:themeColor="text1"/>
                <w:sz w:val="20"/>
                <w:szCs w:val="20"/>
              </w:rPr>
              <m:t>k</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ikt</m:t>
            </m:r>
          </m:sub>
        </m:sSub>
        <m:r>
          <w:rPr>
            <w:rFonts w:ascii="Cambria Math" w:hAnsi="Cambria Math" w:cs="Times New Roman"/>
            <w:color w:val="000000" w:themeColor="text1"/>
            <w:sz w:val="20"/>
            <w:szCs w:val="20"/>
          </w:rPr>
          <m:t xml:space="preserve">+…                                                               </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10</m:t>
            </m:r>
          </m:e>
        </m:d>
      </m:oMath>
      <w:r w:rsidR="00A40888" w:rsidRPr="00554619">
        <w:rPr>
          <w:rFonts w:ascii="Times New Roman" w:eastAsiaTheme="minorEastAsia" w:hAnsi="Times New Roman" w:cs="Times New Roman"/>
          <w:color w:val="000000" w:themeColor="text1"/>
          <w:sz w:val="20"/>
          <w:szCs w:val="20"/>
        </w:rPr>
        <w:t xml:space="preserve"> where </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G</m:t>
                </m:r>
              </m:e>
            </m:acc>
          </m:e>
          <m:sub>
            <m:r>
              <w:rPr>
                <w:rFonts w:ascii="Cambria Math" w:hAnsi="Cambria Math" w:cs="Times New Roman"/>
                <w:color w:val="000000" w:themeColor="text1"/>
                <w:sz w:val="20"/>
                <w:szCs w:val="20"/>
              </w:rPr>
              <m:t>it</m:t>
            </m:r>
          </m:sub>
        </m:sSub>
      </m:oMath>
      <w:r w:rsidR="00A40888" w:rsidRPr="00554619">
        <w:rPr>
          <w:rFonts w:ascii="Times New Roman" w:eastAsiaTheme="minorEastAsia" w:hAnsi="Times New Roman" w:cs="Times New Roman"/>
          <w:color w:val="000000" w:themeColor="text1"/>
          <w:sz w:val="20"/>
          <w:szCs w:val="20"/>
        </w:rPr>
        <w:t xml:space="preserve"> is the ith patient’s </w:t>
      </w:r>
      <w:r w:rsidR="00A40888" w:rsidRPr="00554619">
        <w:rPr>
          <w:rFonts w:ascii="Times New Roman" w:eastAsiaTheme="minorEastAsia" w:hAnsi="Times New Roman" w:cs="Times New Roman"/>
          <w:i/>
          <w:color w:val="000000" w:themeColor="text1"/>
          <w:sz w:val="20"/>
          <w:szCs w:val="20"/>
        </w:rPr>
        <w:t>predicted logit of dying</w:t>
      </w:r>
      <w:r w:rsidR="00A40888" w:rsidRPr="00554619">
        <w:rPr>
          <w:rFonts w:ascii="Times New Roman" w:eastAsiaTheme="minorEastAsia" w:hAnsi="Times New Roman" w:cs="Times New Roman"/>
          <w:color w:val="000000" w:themeColor="text1"/>
          <w:sz w:val="20"/>
          <w:szCs w:val="20"/>
        </w:rPr>
        <w:t xml:space="preserve"> on day t, </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P</m:t>
                </m:r>
              </m:e>
            </m:acc>
          </m:e>
          <m:sub>
            <m:r>
              <w:rPr>
                <w:rFonts w:ascii="Cambria Math" w:hAnsi="Cambria Math" w:cs="Times New Roman"/>
                <w:color w:val="000000" w:themeColor="text1"/>
                <w:sz w:val="20"/>
                <w:szCs w:val="20"/>
              </w:rPr>
              <m:t>it</m:t>
            </m:r>
          </m:sub>
        </m:sSub>
      </m:oMath>
      <w:r w:rsidR="00A40888" w:rsidRPr="00554619">
        <w:rPr>
          <w:rFonts w:ascii="Times New Roman" w:eastAsiaTheme="minorEastAsia" w:hAnsi="Times New Roman" w:cs="Times New Roman"/>
          <w:color w:val="000000" w:themeColor="text1"/>
          <w:sz w:val="20"/>
          <w:szCs w:val="20"/>
        </w:rPr>
        <w:t xml:space="preserve">is the ith patient’s </w:t>
      </w:r>
      <w:r w:rsidR="00A40888" w:rsidRPr="00554619">
        <w:rPr>
          <w:rFonts w:ascii="Times New Roman" w:eastAsiaTheme="minorEastAsia" w:hAnsi="Times New Roman" w:cs="Times New Roman"/>
          <w:i/>
          <w:color w:val="000000" w:themeColor="text1"/>
          <w:sz w:val="20"/>
          <w:szCs w:val="20"/>
        </w:rPr>
        <w:t>predicted probability of dying</w:t>
      </w:r>
      <w:r w:rsidR="00A40888" w:rsidRPr="00554619">
        <w:rPr>
          <w:rFonts w:ascii="Times New Roman" w:eastAsiaTheme="minorEastAsia" w:hAnsi="Times New Roman" w:cs="Times New Roman"/>
          <w:color w:val="000000" w:themeColor="text1"/>
          <w:sz w:val="20"/>
          <w:szCs w:val="20"/>
        </w:rPr>
        <w:t xml:space="preserve"> on day t, and  </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β</m:t>
                </m:r>
              </m:e>
            </m:acc>
          </m:e>
          <m:sub>
            <m:r>
              <w:rPr>
                <w:rFonts w:ascii="Cambria Math" w:hAnsi="Cambria Math" w:cs="Times New Roman"/>
                <w:color w:val="000000" w:themeColor="text1"/>
                <w:sz w:val="20"/>
                <w:szCs w:val="20"/>
              </w:rPr>
              <m:t>k</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ikt</m:t>
            </m:r>
          </m:sub>
        </m:sSub>
      </m:oMath>
      <w:r w:rsidR="00A40888" w:rsidRPr="00554619">
        <w:rPr>
          <w:rFonts w:ascii="Times New Roman" w:eastAsiaTheme="minorEastAsia" w:hAnsi="Times New Roman" w:cs="Times New Roman"/>
          <w:color w:val="000000" w:themeColor="text1"/>
          <w:sz w:val="20"/>
          <w:szCs w:val="20"/>
        </w:rPr>
        <w:t xml:space="preserve"> is the additive contribution of the kth explanatory variable to the predicted logit.</w:t>
      </w:r>
    </w:p>
    <w:p w14:paraId="45F6D794" w14:textId="77777777" w:rsidR="00A40888" w:rsidRPr="00554619" w:rsidRDefault="00A40888" w:rsidP="0084225E">
      <w:pPr>
        <w:spacing w:after="0" w:line="240" w:lineRule="auto"/>
        <w:ind w:firstLine="720"/>
        <w:jc w:val="both"/>
        <w:rPr>
          <w:rFonts w:ascii="Times New Roman" w:eastAsiaTheme="minorEastAsia" w:hAnsi="Times New Roman" w:cs="Times New Roman"/>
          <w:color w:val="000000" w:themeColor="text1"/>
          <w:sz w:val="20"/>
          <w:szCs w:val="20"/>
        </w:rPr>
      </w:pPr>
      <w:r w:rsidRPr="00554619">
        <w:rPr>
          <w:rFonts w:ascii="Times New Roman" w:eastAsiaTheme="minorEastAsia" w:hAnsi="Times New Roman" w:cs="Times New Roman"/>
          <w:color w:val="000000" w:themeColor="text1"/>
          <w:sz w:val="20"/>
          <w:szCs w:val="20"/>
        </w:rPr>
        <w:lastRenderedPageBreak/>
        <w:t>With the estimated coefficients (</w:t>
      </w:r>
      <w:r w:rsidR="003E123E" w:rsidRPr="00554619">
        <w:rPr>
          <w:rFonts w:ascii="Times New Roman" w:eastAsiaTheme="minorEastAsia" w:hAnsi="Times New Roman" w:cs="Times New Roman"/>
          <w:color w:val="000000" w:themeColor="text1"/>
          <w:sz w:val="20"/>
          <w:szCs w:val="20"/>
        </w:rPr>
        <w:t>in the first numeric column of Supplemental Table 16), we</w:t>
      </w:r>
      <w:r w:rsidRPr="00554619">
        <w:rPr>
          <w:rFonts w:ascii="Times New Roman" w:eastAsiaTheme="minorEastAsia" w:hAnsi="Times New Roman" w:cs="Times New Roman"/>
          <w:color w:val="000000" w:themeColor="text1"/>
          <w:sz w:val="20"/>
          <w:szCs w:val="20"/>
        </w:rPr>
        <w:t xml:space="preserve"> computed the additive contributions to the predicted logits of (1) Patient A and (2) the benchmark (in the 3</w:t>
      </w:r>
      <w:r w:rsidRPr="00554619">
        <w:rPr>
          <w:rFonts w:ascii="Times New Roman" w:eastAsiaTheme="minorEastAsia" w:hAnsi="Times New Roman" w:cs="Times New Roman"/>
          <w:color w:val="000000" w:themeColor="text1"/>
          <w:sz w:val="20"/>
          <w:szCs w:val="20"/>
          <w:vertAlign w:val="superscript"/>
        </w:rPr>
        <w:t>rd</w:t>
      </w:r>
      <w:r w:rsidRPr="00554619">
        <w:rPr>
          <w:rFonts w:ascii="Times New Roman" w:eastAsiaTheme="minorEastAsia" w:hAnsi="Times New Roman" w:cs="Times New Roman"/>
          <w:color w:val="000000" w:themeColor="text1"/>
          <w:sz w:val="20"/>
          <w:szCs w:val="20"/>
        </w:rPr>
        <w:t xml:space="preserve"> and 5</w:t>
      </w:r>
      <w:r w:rsidRPr="00554619">
        <w:rPr>
          <w:rFonts w:ascii="Times New Roman" w:eastAsiaTheme="minorEastAsia" w:hAnsi="Times New Roman" w:cs="Times New Roman"/>
          <w:color w:val="000000" w:themeColor="text1"/>
          <w:sz w:val="20"/>
          <w:szCs w:val="20"/>
          <w:vertAlign w:val="superscript"/>
        </w:rPr>
        <w:t>th</w:t>
      </w:r>
      <w:r w:rsidR="0084225E" w:rsidRPr="00554619">
        <w:rPr>
          <w:rFonts w:ascii="Times New Roman" w:eastAsiaTheme="minorEastAsia" w:hAnsi="Times New Roman" w:cs="Times New Roman"/>
          <w:color w:val="000000" w:themeColor="text1"/>
          <w:sz w:val="20"/>
          <w:szCs w:val="20"/>
        </w:rPr>
        <w:t xml:space="preserve"> columns of Supplemental </w:t>
      </w:r>
      <w:r w:rsidRPr="00554619">
        <w:rPr>
          <w:rFonts w:ascii="Times New Roman" w:eastAsiaTheme="minorEastAsia" w:hAnsi="Times New Roman" w:cs="Times New Roman"/>
          <w:color w:val="000000" w:themeColor="text1"/>
          <w:sz w:val="20"/>
          <w:szCs w:val="20"/>
        </w:rPr>
        <w:t>Table 16).  The values of the difference in the contributions to the predicted logits between (1) and (2) were then c</w:t>
      </w:r>
      <w:r w:rsidR="0084225E" w:rsidRPr="00554619">
        <w:rPr>
          <w:rFonts w:ascii="Times New Roman" w:eastAsiaTheme="minorEastAsia" w:hAnsi="Times New Roman" w:cs="Times New Roman"/>
          <w:color w:val="000000" w:themeColor="text1"/>
          <w:sz w:val="20"/>
          <w:szCs w:val="20"/>
        </w:rPr>
        <w:t xml:space="preserve">omputed (in the last column of Supplemental </w:t>
      </w:r>
      <w:r w:rsidRPr="00554619">
        <w:rPr>
          <w:rFonts w:ascii="Times New Roman" w:eastAsiaTheme="minorEastAsia" w:hAnsi="Times New Roman" w:cs="Times New Roman"/>
          <w:color w:val="000000" w:themeColor="text1"/>
          <w:sz w:val="20"/>
          <w:szCs w:val="20"/>
        </w:rPr>
        <w:t xml:space="preserve">Table 16). These values are interpreted as the </w:t>
      </w:r>
      <w:r w:rsidRPr="00554619">
        <w:rPr>
          <w:rFonts w:ascii="Times New Roman" w:eastAsiaTheme="minorEastAsia" w:hAnsi="Times New Roman" w:cs="Times New Roman"/>
          <w:i/>
          <w:color w:val="000000" w:themeColor="text1"/>
          <w:sz w:val="20"/>
          <w:szCs w:val="20"/>
        </w:rPr>
        <w:t>predictive powers</w:t>
      </w:r>
      <w:r w:rsidRPr="00554619">
        <w:rPr>
          <w:rFonts w:ascii="Times New Roman" w:eastAsiaTheme="minorEastAsia" w:hAnsi="Times New Roman" w:cs="Times New Roman"/>
          <w:color w:val="000000" w:themeColor="text1"/>
          <w:sz w:val="20"/>
          <w:szCs w:val="20"/>
        </w:rPr>
        <w:t xml:space="preserve"> of the explanatory variables in accounting for the patient’s mortality risk relative to the benchmark that represented the mean of the best decile of the survivors.  The predictive powers attributable to the day 1 and change variables of each of the 6 TVBIs were plotted in Panel 1 of </w:t>
      </w:r>
      <w:r w:rsidR="0084225E" w:rsidRPr="00554619">
        <w:rPr>
          <w:rFonts w:ascii="Times New Roman" w:eastAsiaTheme="minorEastAsia" w:hAnsi="Times New Roman" w:cs="Times New Roman"/>
          <w:color w:val="000000" w:themeColor="text1"/>
          <w:sz w:val="20"/>
          <w:szCs w:val="20"/>
        </w:rPr>
        <w:t>Supplemental Figure 5</w:t>
      </w:r>
      <w:r w:rsidRPr="00554619">
        <w:rPr>
          <w:rFonts w:ascii="Times New Roman" w:eastAsiaTheme="minorEastAsia" w:hAnsi="Times New Roman" w:cs="Times New Roman"/>
          <w:color w:val="000000" w:themeColor="text1"/>
          <w:sz w:val="20"/>
          <w:szCs w:val="20"/>
        </w:rPr>
        <w:t xml:space="preserve">. The combined predictive power of the day 1 and change variables of each TVBI was then plotted in Panel 2 of </w:t>
      </w:r>
      <w:r w:rsidR="0084225E" w:rsidRPr="00554619">
        <w:rPr>
          <w:rFonts w:ascii="Times New Roman" w:eastAsiaTheme="minorEastAsia" w:hAnsi="Times New Roman" w:cs="Times New Roman"/>
          <w:color w:val="000000" w:themeColor="text1"/>
          <w:sz w:val="20"/>
          <w:szCs w:val="20"/>
        </w:rPr>
        <w:t>Supplemental Figure 5</w:t>
      </w:r>
      <w:r w:rsidRPr="00554619">
        <w:rPr>
          <w:rFonts w:ascii="Times New Roman" w:eastAsiaTheme="minorEastAsia" w:hAnsi="Times New Roman" w:cs="Times New Roman"/>
          <w:color w:val="000000" w:themeColor="text1"/>
          <w:sz w:val="20"/>
          <w:szCs w:val="20"/>
        </w:rPr>
        <w:t xml:space="preserve">. We then translated predictive powers (the differences in logit) to the corresponding </w:t>
      </w:r>
      <w:r w:rsidRPr="00554619">
        <w:rPr>
          <w:rFonts w:ascii="Times New Roman" w:eastAsiaTheme="minorEastAsia" w:hAnsi="Times New Roman" w:cs="Times New Roman"/>
          <w:i/>
          <w:color w:val="000000" w:themeColor="text1"/>
          <w:sz w:val="20"/>
          <w:szCs w:val="20"/>
        </w:rPr>
        <w:t>odds ratios</w:t>
      </w:r>
      <w:r w:rsidRPr="00554619">
        <w:rPr>
          <w:rFonts w:ascii="Times New Roman" w:eastAsiaTheme="minorEastAsia" w:hAnsi="Times New Roman" w:cs="Times New Roman"/>
          <w:color w:val="000000" w:themeColor="text1"/>
          <w:sz w:val="20"/>
          <w:szCs w:val="20"/>
        </w:rPr>
        <w:t xml:space="preserve"> by exponentiation and then plotted the values of (odds ra</w:t>
      </w:r>
      <w:r w:rsidR="0084225E" w:rsidRPr="00554619">
        <w:rPr>
          <w:rFonts w:ascii="Times New Roman" w:eastAsiaTheme="minorEastAsia" w:hAnsi="Times New Roman" w:cs="Times New Roman"/>
          <w:color w:val="000000" w:themeColor="text1"/>
          <w:sz w:val="20"/>
          <w:szCs w:val="20"/>
        </w:rPr>
        <w:t>tio – 1) in Panel 3 of Supplemental Figure 5</w:t>
      </w:r>
      <w:r w:rsidRPr="00554619">
        <w:rPr>
          <w:rFonts w:ascii="Times New Roman" w:eastAsiaTheme="minorEastAsia" w:hAnsi="Times New Roman" w:cs="Times New Roman"/>
          <w:color w:val="000000" w:themeColor="text1"/>
          <w:sz w:val="20"/>
          <w:szCs w:val="20"/>
        </w:rPr>
        <w:t>.</w:t>
      </w:r>
    </w:p>
    <w:p w14:paraId="29B93244" w14:textId="77777777" w:rsidR="00A04B76" w:rsidRPr="00554619" w:rsidRDefault="00A40888" w:rsidP="00A40888">
      <w:pPr>
        <w:spacing w:after="0" w:line="240" w:lineRule="auto"/>
        <w:ind w:firstLine="720"/>
        <w:jc w:val="both"/>
        <w:rPr>
          <w:rFonts w:ascii="Times New Roman" w:eastAsiaTheme="minorEastAsia" w:hAnsi="Times New Roman" w:cs="Times New Roman"/>
          <w:color w:val="000000" w:themeColor="text1"/>
          <w:sz w:val="20"/>
          <w:szCs w:val="20"/>
        </w:rPr>
      </w:pPr>
      <w:r w:rsidRPr="00554619">
        <w:rPr>
          <w:rFonts w:ascii="Times New Roman" w:eastAsiaTheme="minorEastAsia" w:hAnsi="Times New Roman" w:cs="Times New Roman"/>
          <w:color w:val="000000" w:themeColor="text1"/>
          <w:sz w:val="20"/>
          <w:szCs w:val="20"/>
        </w:rPr>
        <w:t xml:space="preserve">It should not be surprising that the patterns </w:t>
      </w:r>
      <w:r w:rsidR="0084225E" w:rsidRPr="00554619">
        <w:rPr>
          <w:rFonts w:ascii="Times New Roman" w:eastAsiaTheme="minorEastAsia" w:hAnsi="Times New Roman" w:cs="Times New Roman"/>
          <w:color w:val="000000" w:themeColor="text1"/>
          <w:sz w:val="20"/>
          <w:szCs w:val="20"/>
        </w:rPr>
        <w:t>of the bars in the 3 panels of Supplemental Figure 5</w:t>
      </w:r>
      <w:r w:rsidRPr="00554619">
        <w:rPr>
          <w:rFonts w:ascii="Times New Roman" w:eastAsiaTheme="minorEastAsia" w:hAnsi="Times New Roman" w:cs="Times New Roman"/>
          <w:color w:val="000000" w:themeColor="text1"/>
          <w:sz w:val="20"/>
          <w:szCs w:val="20"/>
        </w:rPr>
        <w:t xml:space="preserve"> are v</w:t>
      </w:r>
      <w:r w:rsidR="0084225E" w:rsidRPr="00554619">
        <w:rPr>
          <w:rFonts w:ascii="Times New Roman" w:eastAsiaTheme="minorEastAsia" w:hAnsi="Times New Roman" w:cs="Times New Roman"/>
          <w:color w:val="000000" w:themeColor="text1"/>
          <w:sz w:val="20"/>
          <w:szCs w:val="20"/>
        </w:rPr>
        <w:t>ery similar to those in Figure 3</w:t>
      </w:r>
      <w:r w:rsidRPr="00554619">
        <w:rPr>
          <w:rFonts w:ascii="Times New Roman" w:eastAsiaTheme="minorEastAsia" w:hAnsi="Times New Roman" w:cs="Times New Roman"/>
          <w:color w:val="000000" w:themeColor="text1"/>
          <w:sz w:val="20"/>
          <w:szCs w:val="20"/>
        </w:rPr>
        <w:t xml:space="preserve"> in the paper, because </w:t>
      </w:r>
      <w:r w:rsidRPr="00554619">
        <w:rPr>
          <w:rFonts w:ascii="Times New Roman" w:eastAsiaTheme="minorEastAsia" w:hAnsi="Times New Roman" w:cs="Times New Roman"/>
          <w:i/>
          <w:color w:val="000000" w:themeColor="text1"/>
          <w:sz w:val="20"/>
          <w:szCs w:val="20"/>
        </w:rPr>
        <w:t>logit</w:t>
      </w:r>
      <w:r w:rsidRPr="00554619">
        <w:rPr>
          <w:rFonts w:ascii="Times New Roman" w:eastAsiaTheme="minorEastAsia" w:hAnsi="Times New Roman" w:cs="Times New Roman"/>
          <w:color w:val="000000" w:themeColor="text1"/>
          <w:sz w:val="20"/>
          <w:szCs w:val="20"/>
        </w:rPr>
        <w:t xml:space="preserve"> and </w:t>
      </w:r>
      <w:r w:rsidRPr="00554619">
        <w:rPr>
          <w:rFonts w:ascii="Times New Roman" w:eastAsiaTheme="minorEastAsia" w:hAnsi="Times New Roman" w:cs="Times New Roman"/>
          <w:i/>
          <w:color w:val="000000" w:themeColor="text1"/>
          <w:sz w:val="20"/>
          <w:szCs w:val="20"/>
        </w:rPr>
        <w:t>odds ratio</w:t>
      </w:r>
      <w:r w:rsidRPr="00554619">
        <w:rPr>
          <w:rFonts w:ascii="Times New Roman" w:eastAsiaTheme="minorEastAsia" w:hAnsi="Times New Roman" w:cs="Times New Roman"/>
          <w:color w:val="000000" w:themeColor="text1"/>
          <w:sz w:val="20"/>
          <w:szCs w:val="20"/>
        </w:rPr>
        <w:t xml:space="preserve"> in the L-Logit model are analogous to </w:t>
      </w:r>
      <w:r w:rsidRPr="00554619">
        <w:rPr>
          <w:rFonts w:ascii="Times New Roman" w:eastAsiaTheme="minorEastAsia" w:hAnsi="Times New Roman" w:cs="Times New Roman"/>
          <w:i/>
          <w:color w:val="000000" w:themeColor="text1"/>
          <w:sz w:val="20"/>
          <w:szCs w:val="20"/>
        </w:rPr>
        <w:t>log of hazard</w:t>
      </w:r>
      <w:r w:rsidRPr="00554619">
        <w:rPr>
          <w:rFonts w:ascii="Times New Roman" w:eastAsiaTheme="minorEastAsia" w:hAnsi="Times New Roman" w:cs="Times New Roman"/>
          <w:color w:val="000000" w:themeColor="text1"/>
          <w:sz w:val="20"/>
          <w:szCs w:val="20"/>
        </w:rPr>
        <w:t xml:space="preserve"> and </w:t>
      </w:r>
      <w:r w:rsidRPr="00554619">
        <w:rPr>
          <w:rFonts w:ascii="Times New Roman" w:eastAsiaTheme="minorEastAsia" w:hAnsi="Times New Roman" w:cs="Times New Roman"/>
          <w:i/>
          <w:color w:val="000000" w:themeColor="text1"/>
          <w:sz w:val="20"/>
          <w:szCs w:val="20"/>
        </w:rPr>
        <w:t>hazard ratio</w:t>
      </w:r>
      <w:r w:rsidRPr="00554619">
        <w:rPr>
          <w:rFonts w:ascii="Times New Roman" w:eastAsiaTheme="minorEastAsia" w:hAnsi="Times New Roman" w:cs="Times New Roman"/>
          <w:color w:val="000000" w:themeColor="text1"/>
          <w:sz w:val="20"/>
          <w:szCs w:val="20"/>
        </w:rPr>
        <w:t xml:space="preserve"> in the CLOGLOG model.  We expect that by realizing that the L-Logit model is actually analogous to the CLOGLOG model, many users </w:t>
      </w:r>
      <w:r w:rsidR="00844F1E" w:rsidRPr="00554619">
        <w:rPr>
          <w:rFonts w:ascii="Times New Roman" w:eastAsiaTheme="minorEastAsia" w:hAnsi="Times New Roman" w:cs="Times New Roman"/>
          <w:color w:val="000000" w:themeColor="text1"/>
          <w:sz w:val="20"/>
          <w:szCs w:val="20"/>
        </w:rPr>
        <w:t>who are experienced in</w:t>
      </w:r>
      <w:r w:rsidR="00373F9A" w:rsidRPr="00554619">
        <w:rPr>
          <w:rFonts w:ascii="Times New Roman" w:eastAsiaTheme="minorEastAsia" w:hAnsi="Times New Roman" w:cs="Times New Roman"/>
          <w:color w:val="000000" w:themeColor="text1"/>
          <w:sz w:val="20"/>
          <w:szCs w:val="20"/>
        </w:rPr>
        <w:t xml:space="preserve"> using logit</w:t>
      </w:r>
      <w:r w:rsidRPr="00554619">
        <w:rPr>
          <w:rFonts w:ascii="Times New Roman" w:eastAsiaTheme="minorEastAsia" w:hAnsi="Times New Roman" w:cs="Times New Roman"/>
          <w:color w:val="000000" w:themeColor="text1"/>
          <w:sz w:val="20"/>
          <w:szCs w:val="20"/>
        </w:rPr>
        <w:t xml:space="preserve"> model</w:t>
      </w:r>
      <w:r w:rsidR="00373F9A" w:rsidRPr="00554619">
        <w:rPr>
          <w:rFonts w:ascii="Times New Roman" w:eastAsiaTheme="minorEastAsia" w:hAnsi="Times New Roman" w:cs="Times New Roman"/>
          <w:color w:val="000000" w:themeColor="text1"/>
          <w:sz w:val="20"/>
          <w:szCs w:val="20"/>
        </w:rPr>
        <w:t>s</w:t>
      </w:r>
      <w:r w:rsidRPr="00554619">
        <w:rPr>
          <w:rFonts w:ascii="Times New Roman" w:eastAsiaTheme="minorEastAsia" w:hAnsi="Times New Roman" w:cs="Times New Roman"/>
          <w:color w:val="000000" w:themeColor="text1"/>
          <w:sz w:val="20"/>
          <w:szCs w:val="20"/>
        </w:rPr>
        <w:t xml:space="preserve"> would </w:t>
      </w:r>
      <w:r w:rsidR="00373F9A" w:rsidRPr="00554619">
        <w:rPr>
          <w:rFonts w:ascii="Times New Roman" w:eastAsiaTheme="minorEastAsia" w:hAnsi="Times New Roman" w:cs="Times New Roman"/>
          <w:color w:val="000000" w:themeColor="text1"/>
          <w:sz w:val="20"/>
          <w:szCs w:val="20"/>
        </w:rPr>
        <w:t xml:space="preserve">adopt the </w:t>
      </w:r>
      <w:r w:rsidRPr="00554619">
        <w:rPr>
          <w:rFonts w:ascii="Times New Roman" w:eastAsiaTheme="minorEastAsia" w:hAnsi="Times New Roman" w:cs="Times New Roman"/>
          <w:color w:val="000000" w:themeColor="text1"/>
          <w:sz w:val="20"/>
          <w:szCs w:val="20"/>
        </w:rPr>
        <w:t>L-Logit model.</w:t>
      </w:r>
    </w:p>
    <w:p w14:paraId="40CA2AF4" w14:textId="77777777" w:rsidR="00A04B76" w:rsidRPr="00554619" w:rsidRDefault="008A25CA" w:rsidP="00A40888">
      <w:pPr>
        <w:spacing w:after="0" w:line="240" w:lineRule="auto"/>
        <w:ind w:firstLine="720"/>
        <w:jc w:val="both"/>
        <w:rPr>
          <w:rFonts w:ascii="Times New Roman" w:eastAsiaTheme="minorEastAsia" w:hAnsi="Times New Roman" w:cs="Times New Roman"/>
          <w:color w:val="000000" w:themeColor="text1"/>
          <w:sz w:val="20"/>
          <w:szCs w:val="20"/>
        </w:rPr>
      </w:pPr>
      <w:r w:rsidRPr="00554619">
        <w:rPr>
          <w:rFonts w:ascii="Times New Roman" w:eastAsiaTheme="minorEastAsia" w:hAnsi="Times New Roman" w:cs="Times New Roman"/>
          <w:color w:val="000000" w:themeColor="text1"/>
          <w:sz w:val="20"/>
          <w:szCs w:val="20"/>
        </w:rPr>
        <w:t xml:space="preserve">This demonstration helps </w:t>
      </w:r>
      <w:r w:rsidR="00A04B76" w:rsidRPr="00554619">
        <w:rPr>
          <w:rFonts w:ascii="Times New Roman" w:eastAsiaTheme="minorEastAsia" w:hAnsi="Times New Roman" w:cs="Times New Roman"/>
          <w:color w:val="000000" w:themeColor="text1"/>
          <w:sz w:val="20"/>
          <w:szCs w:val="20"/>
        </w:rPr>
        <w:t>reveal better that the n</w:t>
      </w:r>
      <w:r w:rsidR="004743B3" w:rsidRPr="00554619">
        <w:rPr>
          <w:rFonts w:ascii="Times New Roman" w:eastAsiaTheme="minorEastAsia" w:hAnsi="Times New Roman" w:cs="Times New Roman"/>
          <w:color w:val="000000" w:themeColor="text1"/>
          <w:sz w:val="20"/>
          <w:szCs w:val="20"/>
        </w:rPr>
        <w:t>ovelty of our methodology lies i</w:t>
      </w:r>
      <w:r w:rsidR="00A04B76" w:rsidRPr="00554619">
        <w:rPr>
          <w:rFonts w:ascii="Times New Roman" w:eastAsiaTheme="minorEastAsia" w:hAnsi="Times New Roman" w:cs="Times New Roman"/>
          <w:color w:val="000000" w:themeColor="text1"/>
          <w:sz w:val="20"/>
          <w:szCs w:val="20"/>
        </w:rPr>
        <w:t xml:space="preserve">n the </w:t>
      </w:r>
      <w:r w:rsidR="00A04B76" w:rsidRPr="00554619">
        <w:rPr>
          <w:rFonts w:ascii="Times New Roman" w:eastAsiaTheme="minorEastAsia" w:hAnsi="Times New Roman" w:cs="Times New Roman"/>
          <w:i/>
          <w:color w:val="000000" w:themeColor="text1"/>
          <w:sz w:val="20"/>
          <w:szCs w:val="20"/>
        </w:rPr>
        <w:t>combination</w:t>
      </w:r>
      <w:r w:rsidR="00A04B76" w:rsidRPr="00554619">
        <w:rPr>
          <w:rFonts w:ascii="Times New Roman" w:eastAsiaTheme="minorEastAsia" w:hAnsi="Times New Roman" w:cs="Times New Roman"/>
          <w:color w:val="000000" w:themeColor="text1"/>
          <w:sz w:val="20"/>
          <w:szCs w:val="20"/>
        </w:rPr>
        <w:t xml:space="preserve"> of the following features.</w:t>
      </w:r>
      <w:r w:rsidR="00373F9A" w:rsidRPr="00554619">
        <w:rPr>
          <w:rFonts w:ascii="Times New Roman" w:eastAsiaTheme="minorEastAsia" w:hAnsi="Times New Roman" w:cs="Times New Roman"/>
          <w:color w:val="000000" w:themeColor="text1"/>
          <w:sz w:val="20"/>
          <w:szCs w:val="20"/>
        </w:rPr>
        <w:t xml:space="preserve"> </w:t>
      </w:r>
      <w:r w:rsidR="00A04B76" w:rsidRPr="00554619">
        <w:rPr>
          <w:rFonts w:ascii="Times New Roman" w:eastAsiaTheme="minorEastAsia" w:hAnsi="Times New Roman" w:cs="Times New Roman"/>
          <w:color w:val="000000" w:themeColor="text1"/>
          <w:sz w:val="20"/>
          <w:szCs w:val="20"/>
        </w:rPr>
        <w:t>First, the creation of the input data matrix with detailed longitudinal depth. Second, the formulation of a lon</w:t>
      </w:r>
      <w:r w:rsidRPr="00554619">
        <w:rPr>
          <w:rFonts w:ascii="Times New Roman" w:eastAsiaTheme="minorEastAsia" w:hAnsi="Times New Roman" w:cs="Times New Roman"/>
          <w:color w:val="000000" w:themeColor="text1"/>
          <w:sz w:val="20"/>
          <w:szCs w:val="20"/>
        </w:rPr>
        <w:t>gitudinal model in which each TV</w:t>
      </w:r>
      <w:r w:rsidR="00A04B76" w:rsidRPr="00554619">
        <w:rPr>
          <w:rFonts w:ascii="Times New Roman" w:eastAsiaTheme="minorEastAsia" w:hAnsi="Times New Roman" w:cs="Times New Roman"/>
          <w:color w:val="000000" w:themeColor="text1"/>
          <w:sz w:val="20"/>
          <w:szCs w:val="20"/>
        </w:rPr>
        <w:t xml:space="preserve">BI is represented by a </w:t>
      </w:r>
      <w:r w:rsidR="00A04B76" w:rsidRPr="00554619">
        <w:rPr>
          <w:rFonts w:ascii="Times New Roman" w:eastAsiaTheme="minorEastAsia" w:hAnsi="Times New Roman" w:cs="Times New Roman"/>
          <w:i/>
          <w:color w:val="000000" w:themeColor="text1"/>
          <w:sz w:val="20"/>
          <w:szCs w:val="20"/>
        </w:rPr>
        <w:t>day 1 variable</w:t>
      </w:r>
      <w:r w:rsidR="00A04B76" w:rsidRPr="00554619">
        <w:rPr>
          <w:rFonts w:ascii="Times New Roman" w:eastAsiaTheme="minorEastAsia" w:hAnsi="Times New Roman" w:cs="Times New Roman"/>
          <w:color w:val="000000" w:themeColor="text1"/>
          <w:sz w:val="20"/>
          <w:szCs w:val="20"/>
        </w:rPr>
        <w:t xml:space="preserve"> and a </w:t>
      </w:r>
      <w:r w:rsidR="00A04B76" w:rsidRPr="00554619">
        <w:rPr>
          <w:rFonts w:ascii="Times New Roman" w:eastAsiaTheme="minorEastAsia" w:hAnsi="Times New Roman" w:cs="Times New Roman"/>
          <w:i/>
          <w:color w:val="000000" w:themeColor="text1"/>
          <w:sz w:val="20"/>
          <w:szCs w:val="20"/>
        </w:rPr>
        <w:t>change variable</w:t>
      </w:r>
      <w:r w:rsidR="00A04B76" w:rsidRPr="00554619">
        <w:rPr>
          <w:rFonts w:ascii="Times New Roman" w:eastAsiaTheme="minorEastAsia" w:hAnsi="Times New Roman" w:cs="Times New Roman"/>
          <w:color w:val="000000" w:themeColor="text1"/>
          <w:sz w:val="20"/>
          <w:szCs w:val="20"/>
        </w:rPr>
        <w:t>.</w:t>
      </w:r>
      <w:r w:rsidR="008F72D7" w:rsidRPr="00554619">
        <w:rPr>
          <w:rFonts w:ascii="Times New Roman" w:eastAsiaTheme="minorEastAsia" w:hAnsi="Times New Roman" w:cs="Times New Roman"/>
          <w:color w:val="000000" w:themeColor="text1"/>
          <w:sz w:val="20"/>
          <w:szCs w:val="20"/>
        </w:rPr>
        <w:t xml:space="preserve"> The use of the</w:t>
      </w:r>
      <w:r w:rsidR="00185730" w:rsidRPr="00554619">
        <w:rPr>
          <w:rFonts w:ascii="Times New Roman" w:eastAsiaTheme="minorEastAsia" w:hAnsi="Times New Roman" w:cs="Times New Roman"/>
          <w:color w:val="000000" w:themeColor="text1"/>
          <w:sz w:val="20"/>
          <w:szCs w:val="20"/>
        </w:rPr>
        <w:t>se two variables helped reveal a</w:t>
      </w:r>
      <w:r w:rsidR="008F72D7" w:rsidRPr="00554619">
        <w:rPr>
          <w:rFonts w:ascii="Times New Roman" w:eastAsiaTheme="minorEastAsia" w:hAnsi="Times New Roman" w:cs="Times New Roman"/>
          <w:color w:val="000000" w:themeColor="text1"/>
          <w:sz w:val="20"/>
          <w:szCs w:val="20"/>
        </w:rPr>
        <w:t xml:space="preserve"> serious blind spot of previous predictive attempts that </w:t>
      </w:r>
      <w:r w:rsidR="00185730" w:rsidRPr="00554619">
        <w:rPr>
          <w:rFonts w:ascii="Times New Roman" w:eastAsiaTheme="minorEastAsia" w:hAnsi="Times New Roman" w:cs="Times New Roman"/>
          <w:color w:val="000000" w:themeColor="text1"/>
          <w:sz w:val="20"/>
          <w:szCs w:val="20"/>
        </w:rPr>
        <w:t>ignored the possibility of marke</w:t>
      </w:r>
      <w:r w:rsidR="00A90236" w:rsidRPr="00554619">
        <w:rPr>
          <w:rFonts w:ascii="Times New Roman" w:eastAsiaTheme="minorEastAsia" w:hAnsi="Times New Roman" w:cs="Times New Roman"/>
          <w:color w:val="000000" w:themeColor="text1"/>
          <w:sz w:val="20"/>
          <w:szCs w:val="20"/>
        </w:rPr>
        <w:t>d a</w:t>
      </w:r>
      <w:r w:rsidR="00CD6F38" w:rsidRPr="00554619">
        <w:rPr>
          <w:rFonts w:ascii="Times New Roman" w:eastAsiaTheme="minorEastAsia" w:hAnsi="Times New Roman" w:cs="Times New Roman"/>
          <w:color w:val="000000" w:themeColor="text1"/>
          <w:sz w:val="20"/>
          <w:szCs w:val="20"/>
        </w:rPr>
        <w:t xml:space="preserve">nd rapid improvements among </w:t>
      </w:r>
      <w:r w:rsidR="00A90236" w:rsidRPr="00554619">
        <w:rPr>
          <w:rFonts w:ascii="Times New Roman" w:eastAsiaTheme="minorEastAsia" w:hAnsi="Times New Roman" w:cs="Times New Roman"/>
          <w:color w:val="000000" w:themeColor="text1"/>
          <w:sz w:val="20"/>
          <w:szCs w:val="20"/>
        </w:rPr>
        <w:t>sicker patients</w:t>
      </w:r>
      <w:r w:rsidR="008F72D7" w:rsidRPr="00554619">
        <w:rPr>
          <w:rFonts w:ascii="Times New Roman" w:eastAsiaTheme="minorEastAsia" w:hAnsi="Times New Roman" w:cs="Times New Roman"/>
          <w:color w:val="000000" w:themeColor="text1"/>
          <w:sz w:val="20"/>
          <w:szCs w:val="20"/>
        </w:rPr>
        <w:t xml:space="preserve">. </w:t>
      </w:r>
      <w:r w:rsidR="00A90236" w:rsidRPr="00554619">
        <w:rPr>
          <w:rFonts w:ascii="Times New Roman" w:eastAsiaTheme="minorEastAsia" w:hAnsi="Times New Roman" w:cs="Times New Roman"/>
          <w:color w:val="000000" w:themeColor="text1"/>
          <w:sz w:val="20"/>
          <w:szCs w:val="20"/>
        </w:rPr>
        <w:t>Third, the use of a flexible time function that helped prevent the balance of various selection biases from distorting the coefficients of the day 1 and change variables. Fourth</w:t>
      </w:r>
      <w:r w:rsidR="00221E35" w:rsidRPr="00554619">
        <w:rPr>
          <w:rFonts w:ascii="Times New Roman" w:eastAsiaTheme="minorEastAsia" w:hAnsi="Times New Roman" w:cs="Times New Roman"/>
          <w:color w:val="000000" w:themeColor="text1"/>
          <w:sz w:val="20"/>
          <w:szCs w:val="20"/>
        </w:rPr>
        <w:t>, the decomposition of the overall predictive power into the additive terms of the linear-in</w:t>
      </w:r>
      <w:r w:rsidR="008F72D7" w:rsidRPr="00554619">
        <w:rPr>
          <w:rFonts w:ascii="Times New Roman" w:eastAsiaTheme="minorEastAsia" w:hAnsi="Times New Roman" w:cs="Times New Roman"/>
          <w:color w:val="000000" w:themeColor="text1"/>
          <w:sz w:val="20"/>
          <w:szCs w:val="20"/>
        </w:rPr>
        <w:t>-coefficients</w:t>
      </w:r>
      <w:r w:rsidR="00844F1E" w:rsidRPr="00554619">
        <w:rPr>
          <w:rFonts w:ascii="Times New Roman" w:eastAsiaTheme="minorEastAsia" w:hAnsi="Times New Roman" w:cs="Times New Roman"/>
          <w:color w:val="000000" w:themeColor="text1"/>
          <w:sz w:val="20"/>
          <w:szCs w:val="20"/>
        </w:rPr>
        <w:t xml:space="preserve"> expression in the model</w:t>
      </w:r>
      <w:r w:rsidR="00CD6F38" w:rsidRPr="00554619">
        <w:rPr>
          <w:rFonts w:ascii="Times New Roman" w:eastAsiaTheme="minorEastAsia" w:hAnsi="Times New Roman" w:cs="Times New Roman"/>
          <w:color w:val="000000" w:themeColor="text1"/>
          <w:sz w:val="20"/>
          <w:szCs w:val="20"/>
        </w:rPr>
        <w:t xml:space="preserve"> so that the importance of different explanatory variables can be compared</w:t>
      </w:r>
      <w:r w:rsidR="00844F1E" w:rsidRPr="00554619">
        <w:rPr>
          <w:rFonts w:ascii="Times New Roman" w:eastAsiaTheme="minorEastAsia" w:hAnsi="Times New Roman" w:cs="Times New Roman"/>
          <w:color w:val="000000" w:themeColor="text1"/>
          <w:sz w:val="20"/>
          <w:szCs w:val="20"/>
        </w:rPr>
        <w:t>.</w:t>
      </w:r>
      <w:r w:rsidR="00A90236" w:rsidRPr="00554619">
        <w:rPr>
          <w:rFonts w:ascii="Times New Roman" w:eastAsiaTheme="minorEastAsia" w:hAnsi="Times New Roman" w:cs="Times New Roman"/>
          <w:color w:val="000000" w:themeColor="text1"/>
          <w:sz w:val="20"/>
          <w:szCs w:val="20"/>
        </w:rPr>
        <w:t xml:space="preserve"> Fifth</w:t>
      </w:r>
      <w:r w:rsidR="00221E35" w:rsidRPr="00554619">
        <w:rPr>
          <w:rFonts w:ascii="Times New Roman" w:eastAsiaTheme="minorEastAsia" w:hAnsi="Times New Roman" w:cs="Times New Roman"/>
          <w:color w:val="000000" w:themeColor="text1"/>
          <w:sz w:val="20"/>
          <w:szCs w:val="20"/>
        </w:rPr>
        <w:t>, the use of the 10% of the survivors with the lowest predicted risk</w:t>
      </w:r>
      <w:r w:rsidR="00844F1E" w:rsidRPr="00554619">
        <w:rPr>
          <w:rFonts w:ascii="Times New Roman" w:eastAsiaTheme="minorEastAsia" w:hAnsi="Times New Roman" w:cs="Times New Roman"/>
          <w:color w:val="000000" w:themeColor="text1"/>
          <w:sz w:val="20"/>
          <w:szCs w:val="20"/>
        </w:rPr>
        <w:t>s</w:t>
      </w:r>
      <w:r w:rsidR="00221E35" w:rsidRPr="00554619">
        <w:rPr>
          <w:rFonts w:ascii="Times New Roman" w:eastAsiaTheme="minorEastAsia" w:hAnsi="Times New Roman" w:cs="Times New Roman"/>
          <w:color w:val="000000" w:themeColor="text1"/>
          <w:sz w:val="20"/>
          <w:szCs w:val="20"/>
        </w:rPr>
        <w:t xml:space="preserve"> of dying as the </w:t>
      </w:r>
      <w:r w:rsidR="00221E35" w:rsidRPr="00554619">
        <w:rPr>
          <w:rFonts w:ascii="Times New Roman" w:eastAsiaTheme="minorEastAsia" w:hAnsi="Times New Roman" w:cs="Times New Roman"/>
          <w:i/>
          <w:color w:val="000000" w:themeColor="text1"/>
          <w:sz w:val="20"/>
          <w:szCs w:val="20"/>
        </w:rPr>
        <w:t>benchmark</w:t>
      </w:r>
      <w:r w:rsidR="00221E35" w:rsidRPr="00554619">
        <w:rPr>
          <w:rFonts w:ascii="Times New Roman" w:eastAsiaTheme="minorEastAsia" w:hAnsi="Times New Roman" w:cs="Times New Roman"/>
          <w:color w:val="000000" w:themeColor="text1"/>
          <w:sz w:val="20"/>
          <w:szCs w:val="20"/>
        </w:rPr>
        <w:t xml:space="preserve"> for constructing a </w:t>
      </w:r>
      <w:r w:rsidR="00221E35" w:rsidRPr="00554619">
        <w:rPr>
          <w:rFonts w:ascii="Times New Roman" w:eastAsiaTheme="minorEastAsia" w:hAnsi="Times New Roman" w:cs="Times New Roman"/>
          <w:i/>
          <w:color w:val="000000" w:themeColor="text1"/>
          <w:sz w:val="20"/>
          <w:szCs w:val="20"/>
        </w:rPr>
        <w:t>mortality risk profile</w:t>
      </w:r>
      <w:r w:rsidR="00221E35" w:rsidRPr="00554619">
        <w:rPr>
          <w:rFonts w:ascii="Times New Roman" w:eastAsiaTheme="minorEastAsia" w:hAnsi="Times New Roman" w:cs="Times New Roman"/>
          <w:color w:val="000000" w:themeColor="text1"/>
          <w:sz w:val="20"/>
          <w:szCs w:val="20"/>
        </w:rPr>
        <w:t xml:space="preserve"> for each patient in question. </w:t>
      </w:r>
    </w:p>
    <w:p w14:paraId="26DE9AB9" w14:textId="77777777" w:rsidR="00A40888" w:rsidRPr="00FE2774" w:rsidRDefault="00373F9A" w:rsidP="00A40888">
      <w:pPr>
        <w:spacing w:after="0" w:line="240" w:lineRule="auto"/>
        <w:ind w:firstLine="720"/>
        <w:jc w:val="both"/>
        <w:rPr>
          <w:rFonts w:ascii="Times New Roman" w:eastAsiaTheme="minorEastAsia" w:hAnsi="Times New Roman" w:cs="Times New Roman"/>
          <w:color w:val="000000" w:themeColor="text1"/>
          <w:sz w:val="20"/>
          <w:szCs w:val="20"/>
        </w:rPr>
      </w:pPr>
      <w:r w:rsidRPr="00554619">
        <w:rPr>
          <w:rFonts w:ascii="Times New Roman" w:eastAsiaTheme="minorEastAsia" w:hAnsi="Times New Roman" w:cs="Times New Roman"/>
          <w:color w:val="000000" w:themeColor="text1"/>
          <w:sz w:val="20"/>
          <w:szCs w:val="20"/>
        </w:rPr>
        <w:t xml:space="preserve">Finally, by realizing that </w:t>
      </w:r>
      <w:proofErr w:type="spellStart"/>
      <w:r w:rsidR="003010B6" w:rsidRPr="00554619">
        <w:rPr>
          <w:rFonts w:ascii="Times New Roman" w:eastAsiaTheme="minorEastAsia" w:hAnsi="Times New Roman" w:cs="Times New Roman"/>
          <w:i/>
          <w:color w:val="000000" w:themeColor="text1"/>
          <w:sz w:val="20"/>
          <w:szCs w:val="20"/>
        </w:rPr>
        <w:t>probit</w:t>
      </w:r>
      <w:proofErr w:type="spellEnd"/>
      <w:r w:rsidRPr="00554619">
        <w:rPr>
          <w:rFonts w:ascii="Times New Roman" w:eastAsiaTheme="minorEastAsia" w:hAnsi="Times New Roman" w:cs="Times New Roman"/>
          <w:color w:val="000000" w:themeColor="text1"/>
          <w:sz w:val="20"/>
          <w:szCs w:val="20"/>
        </w:rPr>
        <w:t xml:space="preserve"> </w:t>
      </w:r>
      <w:r w:rsidR="003010B6" w:rsidRPr="00554619">
        <w:rPr>
          <w:rFonts w:ascii="Times New Roman" w:eastAsiaTheme="minorEastAsia" w:hAnsi="Times New Roman" w:cs="Times New Roman"/>
          <w:color w:val="000000" w:themeColor="text1"/>
          <w:sz w:val="20"/>
          <w:szCs w:val="20"/>
        </w:rPr>
        <w:t xml:space="preserve">and </w:t>
      </w:r>
      <w:r w:rsidR="003010B6" w:rsidRPr="00554619">
        <w:rPr>
          <w:rFonts w:ascii="Times New Roman" w:eastAsiaTheme="minorEastAsia" w:hAnsi="Times New Roman" w:cs="Times New Roman"/>
          <w:i/>
          <w:color w:val="000000" w:themeColor="text1"/>
          <w:sz w:val="20"/>
          <w:szCs w:val="20"/>
        </w:rPr>
        <w:t>risk ratio</w:t>
      </w:r>
      <w:r w:rsidR="003010B6" w:rsidRPr="00554619">
        <w:rPr>
          <w:rFonts w:ascii="Times New Roman" w:eastAsiaTheme="minorEastAsia" w:hAnsi="Times New Roman" w:cs="Times New Roman"/>
          <w:color w:val="000000" w:themeColor="text1"/>
          <w:sz w:val="20"/>
          <w:szCs w:val="20"/>
        </w:rPr>
        <w:t xml:space="preserve"> (i.e. ratio of two </w:t>
      </w:r>
      <w:r w:rsidR="00185730" w:rsidRPr="00554619">
        <w:rPr>
          <w:rFonts w:ascii="Times New Roman" w:eastAsiaTheme="minorEastAsia" w:hAnsi="Times New Roman" w:cs="Times New Roman"/>
          <w:color w:val="000000" w:themeColor="text1"/>
          <w:sz w:val="20"/>
          <w:szCs w:val="20"/>
        </w:rPr>
        <w:t xml:space="preserve">predicted </w:t>
      </w:r>
      <w:r w:rsidR="003010B6" w:rsidRPr="00554619">
        <w:rPr>
          <w:rFonts w:ascii="Times New Roman" w:eastAsiaTheme="minorEastAsia" w:hAnsi="Times New Roman" w:cs="Times New Roman"/>
          <w:color w:val="000000" w:themeColor="text1"/>
          <w:sz w:val="20"/>
          <w:szCs w:val="20"/>
        </w:rPr>
        <w:t xml:space="preserve">probabilities) </w:t>
      </w:r>
      <w:r w:rsidRPr="00554619">
        <w:rPr>
          <w:rFonts w:ascii="Times New Roman" w:eastAsiaTheme="minorEastAsia" w:hAnsi="Times New Roman" w:cs="Times New Roman"/>
          <w:color w:val="000000" w:themeColor="text1"/>
          <w:sz w:val="20"/>
          <w:szCs w:val="20"/>
        </w:rPr>
        <w:t xml:space="preserve">in </w:t>
      </w:r>
      <w:r w:rsidR="003010B6" w:rsidRPr="00554619">
        <w:rPr>
          <w:rFonts w:ascii="Times New Roman" w:eastAsiaTheme="minorEastAsia" w:hAnsi="Times New Roman" w:cs="Times New Roman"/>
          <w:color w:val="000000" w:themeColor="text1"/>
          <w:sz w:val="20"/>
          <w:szCs w:val="20"/>
        </w:rPr>
        <w:t xml:space="preserve">a </w:t>
      </w:r>
      <w:proofErr w:type="spellStart"/>
      <w:r w:rsidR="003010B6" w:rsidRPr="00554619">
        <w:rPr>
          <w:rFonts w:ascii="Times New Roman" w:eastAsiaTheme="minorEastAsia" w:hAnsi="Times New Roman" w:cs="Times New Roman"/>
          <w:color w:val="000000" w:themeColor="text1"/>
          <w:sz w:val="20"/>
          <w:szCs w:val="20"/>
        </w:rPr>
        <w:t>probit</w:t>
      </w:r>
      <w:proofErr w:type="spellEnd"/>
      <w:r w:rsidR="003010B6" w:rsidRPr="00554619">
        <w:rPr>
          <w:rFonts w:ascii="Times New Roman" w:eastAsiaTheme="minorEastAsia" w:hAnsi="Times New Roman" w:cs="Times New Roman"/>
          <w:color w:val="000000" w:themeColor="text1"/>
          <w:sz w:val="20"/>
          <w:szCs w:val="20"/>
        </w:rPr>
        <w:t xml:space="preserve"> model</w:t>
      </w:r>
      <w:r w:rsidRPr="00554619">
        <w:rPr>
          <w:rFonts w:ascii="Times New Roman" w:eastAsiaTheme="minorEastAsia" w:hAnsi="Times New Roman" w:cs="Times New Roman"/>
          <w:color w:val="000000" w:themeColor="text1"/>
          <w:sz w:val="20"/>
          <w:szCs w:val="20"/>
        </w:rPr>
        <w:t xml:space="preserve"> are analogous to </w:t>
      </w:r>
      <w:r w:rsidR="003010B6" w:rsidRPr="00554619">
        <w:rPr>
          <w:rFonts w:ascii="Times New Roman" w:eastAsiaTheme="minorEastAsia" w:hAnsi="Times New Roman" w:cs="Times New Roman"/>
          <w:i/>
          <w:color w:val="000000" w:themeColor="text1"/>
          <w:sz w:val="20"/>
          <w:szCs w:val="20"/>
        </w:rPr>
        <w:t>logit</w:t>
      </w:r>
      <w:r w:rsidRPr="00554619">
        <w:rPr>
          <w:rFonts w:ascii="Times New Roman" w:eastAsiaTheme="minorEastAsia" w:hAnsi="Times New Roman" w:cs="Times New Roman"/>
          <w:color w:val="000000" w:themeColor="text1"/>
          <w:sz w:val="20"/>
          <w:szCs w:val="20"/>
        </w:rPr>
        <w:t xml:space="preserve"> </w:t>
      </w:r>
      <w:r w:rsidR="003010B6" w:rsidRPr="00554619">
        <w:rPr>
          <w:rFonts w:ascii="Times New Roman" w:eastAsiaTheme="minorEastAsia" w:hAnsi="Times New Roman" w:cs="Times New Roman"/>
          <w:color w:val="000000" w:themeColor="text1"/>
          <w:sz w:val="20"/>
          <w:szCs w:val="20"/>
        </w:rPr>
        <w:t xml:space="preserve">and </w:t>
      </w:r>
      <w:r w:rsidR="003010B6" w:rsidRPr="00554619">
        <w:rPr>
          <w:rFonts w:ascii="Times New Roman" w:eastAsiaTheme="minorEastAsia" w:hAnsi="Times New Roman" w:cs="Times New Roman"/>
          <w:i/>
          <w:color w:val="000000" w:themeColor="text1"/>
          <w:sz w:val="20"/>
          <w:szCs w:val="20"/>
        </w:rPr>
        <w:t>odds ratio</w:t>
      </w:r>
      <w:r w:rsidR="003010B6" w:rsidRPr="00554619">
        <w:rPr>
          <w:rFonts w:ascii="Times New Roman" w:eastAsiaTheme="minorEastAsia" w:hAnsi="Times New Roman" w:cs="Times New Roman"/>
          <w:color w:val="000000" w:themeColor="text1"/>
          <w:sz w:val="20"/>
          <w:szCs w:val="20"/>
        </w:rPr>
        <w:t xml:space="preserve"> </w:t>
      </w:r>
      <w:r w:rsidRPr="00554619">
        <w:rPr>
          <w:rFonts w:ascii="Times New Roman" w:eastAsiaTheme="minorEastAsia" w:hAnsi="Times New Roman" w:cs="Times New Roman"/>
          <w:color w:val="000000" w:themeColor="text1"/>
          <w:sz w:val="20"/>
          <w:szCs w:val="20"/>
        </w:rPr>
        <w:t>in</w:t>
      </w:r>
      <w:r w:rsidR="003010B6" w:rsidRPr="00554619">
        <w:rPr>
          <w:rFonts w:ascii="Times New Roman" w:eastAsiaTheme="minorEastAsia" w:hAnsi="Times New Roman" w:cs="Times New Roman"/>
          <w:color w:val="000000" w:themeColor="text1"/>
          <w:sz w:val="20"/>
          <w:szCs w:val="20"/>
        </w:rPr>
        <w:t xml:space="preserve"> a logit model</w:t>
      </w:r>
      <w:r w:rsidRPr="00554619">
        <w:rPr>
          <w:rFonts w:ascii="Times New Roman" w:eastAsiaTheme="minorEastAsia" w:hAnsi="Times New Roman" w:cs="Times New Roman"/>
          <w:color w:val="000000" w:themeColor="text1"/>
          <w:sz w:val="20"/>
          <w:szCs w:val="20"/>
        </w:rPr>
        <w:t xml:space="preserve">, researchers who are experienced in using </w:t>
      </w:r>
      <w:proofErr w:type="spellStart"/>
      <w:r w:rsidRPr="00554619">
        <w:rPr>
          <w:rFonts w:ascii="Times New Roman" w:eastAsiaTheme="minorEastAsia" w:hAnsi="Times New Roman" w:cs="Times New Roman"/>
          <w:color w:val="000000" w:themeColor="text1"/>
          <w:sz w:val="20"/>
          <w:szCs w:val="20"/>
        </w:rPr>
        <w:t>probit</w:t>
      </w:r>
      <w:proofErr w:type="spellEnd"/>
      <w:r w:rsidR="00C90617" w:rsidRPr="00554619">
        <w:rPr>
          <w:rFonts w:ascii="Times New Roman" w:eastAsiaTheme="minorEastAsia" w:hAnsi="Times New Roman" w:cs="Times New Roman"/>
          <w:color w:val="000000" w:themeColor="text1"/>
          <w:sz w:val="20"/>
          <w:szCs w:val="20"/>
        </w:rPr>
        <w:t xml:space="preserve"> models could use our demonstration</w:t>
      </w:r>
      <w:r w:rsidRPr="00554619">
        <w:rPr>
          <w:rFonts w:ascii="Times New Roman" w:eastAsiaTheme="minorEastAsia" w:hAnsi="Times New Roman" w:cs="Times New Roman"/>
          <w:color w:val="000000" w:themeColor="text1"/>
          <w:sz w:val="20"/>
          <w:szCs w:val="20"/>
        </w:rPr>
        <w:t xml:space="preserve"> </w:t>
      </w:r>
      <w:r w:rsidR="00C90617" w:rsidRPr="00554619">
        <w:rPr>
          <w:rFonts w:ascii="Times New Roman" w:eastAsiaTheme="minorEastAsia" w:hAnsi="Times New Roman" w:cs="Times New Roman"/>
          <w:color w:val="000000" w:themeColor="text1"/>
          <w:sz w:val="20"/>
          <w:szCs w:val="20"/>
        </w:rPr>
        <w:t xml:space="preserve">to formulate a </w:t>
      </w:r>
      <w:r w:rsidR="00C90617" w:rsidRPr="00554619">
        <w:rPr>
          <w:rFonts w:ascii="Times New Roman" w:eastAsiaTheme="minorEastAsia" w:hAnsi="Times New Roman" w:cs="Times New Roman"/>
          <w:i/>
          <w:color w:val="000000" w:themeColor="text1"/>
          <w:sz w:val="20"/>
          <w:szCs w:val="20"/>
        </w:rPr>
        <w:t xml:space="preserve">longitudinal </w:t>
      </w:r>
      <w:proofErr w:type="spellStart"/>
      <w:r w:rsidR="00C90617" w:rsidRPr="00554619">
        <w:rPr>
          <w:rFonts w:ascii="Times New Roman" w:eastAsiaTheme="minorEastAsia" w:hAnsi="Times New Roman" w:cs="Times New Roman"/>
          <w:i/>
          <w:color w:val="000000" w:themeColor="text1"/>
          <w:sz w:val="20"/>
          <w:szCs w:val="20"/>
        </w:rPr>
        <w:t>probit</w:t>
      </w:r>
      <w:proofErr w:type="spellEnd"/>
      <w:r w:rsidR="00C90617" w:rsidRPr="00554619">
        <w:rPr>
          <w:rFonts w:ascii="Times New Roman" w:eastAsiaTheme="minorEastAsia" w:hAnsi="Times New Roman" w:cs="Times New Roman"/>
          <w:i/>
          <w:color w:val="000000" w:themeColor="text1"/>
          <w:sz w:val="20"/>
          <w:szCs w:val="20"/>
        </w:rPr>
        <w:t xml:space="preserve"> model</w:t>
      </w:r>
      <w:r w:rsidR="00C90617" w:rsidRPr="00554619">
        <w:rPr>
          <w:rFonts w:ascii="Times New Roman" w:eastAsiaTheme="minorEastAsia" w:hAnsi="Times New Roman" w:cs="Times New Roman"/>
          <w:color w:val="000000" w:themeColor="text1"/>
          <w:sz w:val="20"/>
          <w:szCs w:val="20"/>
        </w:rPr>
        <w:t xml:space="preserve"> for gaining similar longitudinal insights.</w:t>
      </w:r>
      <w:r w:rsidRPr="00554619">
        <w:rPr>
          <w:rFonts w:ascii="Times New Roman" w:eastAsiaTheme="minorEastAsia" w:hAnsi="Times New Roman" w:cs="Times New Roman"/>
          <w:color w:val="000000" w:themeColor="text1"/>
          <w:sz w:val="20"/>
          <w:szCs w:val="20"/>
        </w:rPr>
        <w:t xml:space="preserve"> </w:t>
      </w:r>
    </w:p>
    <w:p w14:paraId="44E27B01" w14:textId="77777777" w:rsidR="006D64FC" w:rsidRPr="00200E17" w:rsidRDefault="00B07152" w:rsidP="00200E17">
      <w:pPr>
        <w:spacing w:after="0" w:line="240" w:lineRule="auto"/>
        <w:ind w:firstLine="720"/>
        <w:jc w:val="both"/>
        <w:rPr>
          <w:rFonts w:ascii="Times New Roman" w:eastAsiaTheme="minorEastAsia" w:hAnsi="Times New Roman" w:cs="Times New Roman"/>
          <w:sz w:val="20"/>
          <w:szCs w:val="20"/>
        </w:rPr>
      </w:pPr>
      <w:r w:rsidRPr="00200E17">
        <w:rPr>
          <w:rFonts w:ascii="Times New Roman" w:eastAsiaTheme="minorEastAsia" w:hAnsi="Times New Roman" w:cs="Times New Roman"/>
          <w:sz w:val="20"/>
          <w:szCs w:val="20"/>
        </w:rPr>
        <w:t xml:space="preserve"> </w:t>
      </w:r>
      <w:r w:rsidR="00F06016" w:rsidRPr="00200E17">
        <w:rPr>
          <w:rFonts w:ascii="Times New Roman" w:eastAsiaTheme="minorEastAsia" w:hAnsi="Times New Roman" w:cs="Times New Roman"/>
          <w:sz w:val="20"/>
          <w:szCs w:val="20"/>
        </w:rPr>
        <w:t xml:space="preserve"> </w:t>
      </w:r>
      <w:r w:rsidR="006D64FC" w:rsidRPr="00200E17">
        <w:rPr>
          <w:rFonts w:ascii="Times New Roman" w:eastAsiaTheme="minorEastAsia" w:hAnsi="Times New Roman" w:cs="Times New Roman"/>
          <w:sz w:val="20"/>
          <w:szCs w:val="20"/>
        </w:rPr>
        <w:t xml:space="preserve"> </w:t>
      </w:r>
    </w:p>
    <w:p w14:paraId="3F95C05C" w14:textId="77777777" w:rsidR="00F305AB" w:rsidRDefault="00F305AB" w:rsidP="009004F5">
      <w:pPr>
        <w:spacing w:line="240" w:lineRule="auto"/>
        <w:rPr>
          <w:rFonts w:ascii="Times New Roman" w:eastAsiaTheme="minorEastAsia" w:hAnsi="Times New Roman" w:cs="Times New Roman"/>
          <w:color w:val="000000" w:themeColor="text1"/>
          <w:sz w:val="20"/>
          <w:szCs w:val="20"/>
        </w:rPr>
      </w:pPr>
    </w:p>
    <w:p w14:paraId="6F0171F2" w14:textId="77777777" w:rsidR="008E05FA" w:rsidRDefault="00200E17" w:rsidP="00200E17">
      <w:pPr>
        <w:jc w:val="center"/>
        <w:rPr>
          <w:rFonts w:ascii="Times New Roman" w:eastAsiaTheme="minorEastAsia" w:hAnsi="Times New Roman" w:cs="Times New Roman"/>
          <w:b/>
          <w:sz w:val="20"/>
          <w:szCs w:val="20"/>
          <w:lang w:val="en-CA" w:eastAsia="ja-JP"/>
        </w:rPr>
      </w:pPr>
      <w:r>
        <w:rPr>
          <w:rFonts w:ascii="Times New Roman" w:eastAsiaTheme="minorEastAsia" w:hAnsi="Times New Roman" w:cs="Times New Roman"/>
          <w:b/>
          <w:sz w:val="20"/>
          <w:szCs w:val="20"/>
          <w:lang w:val="en-CA" w:eastAsia="ja-JP"/>
        </w:rPr>
        <w:br/>
      </w:r>
    </w:p>
    <w:p w14:paraId="257D39AA" w14:textId="77777777" w:rsidR="003761EC" w:rsidRDefault="00200E17" w:rsidP="00200E17">
      <w:pPr>
        <w:jc w:val="center"/>
        <w:rPr>
          <w:rFonts w:ascii="Times New Roman" w:eastAsiaTheme="minorEastAsia" w:hAnsi="Times New Roman" w:cs="Times New Roman"/>
          <w:b/>
          <w:sz w:val="20"/>
          <w:szCs w:val="20"/>
          <w:lang w:val="en-CA" w:eastAsia="ja-JP"/>
        </w:rPr>
      </w:pPr>
      <w:r>
        <w:rPr>
          <w:rFonts w:ascii="Times New Roman" w:eastAsiaTheme="minorEastAsia" w:hAnsi="Times New Roman" w:cs="Times New Roman"/>
          <w:b/>
          <w:sz w:val="20"/>
          <w:szCs w:val="20"/>
          <w:lang w:val="en-CA" w:eastAsia="ja-JP"/>
        </w:rPr>
        <w:br/>
      </w:r>
    </w:p>
    <w:p w14:paraId="501A0633" w14:textId="77777777" w:rsidR="003761EC" w:rsidRDefault="003761EC">
      <w:pPr>
        <w:rPr>
          <w:rFonts w:ascii="Times New Roman" w:eastAsiaTheme="minorEastAsia" w:hAnsi="Times New Roman" w:cs="Times New Roman"/>
          <w:b/>
          <w:sz w:val="20"/>
          <w:szCs w:val="20"/>
          <w:lang w:val="en-CA" w:eastAsia="ja-JP"/>
        </w:rPr>
      </w:pPr>
      <w:r>
        <w:rPr>
          <w:rFonts w:ascii="Times New Roman" w:eastAsiaTheme="minorEastAsia" w:hAnsi="Times New Roman" w:cs="Times New Roman"/>
          <w:b/>
          <w:sz w:val="20"/>
          <w:szCs w:val="20"/>
          <w:lang w:val="en-CA" w:eastAsia="ja-JP"/>
        </w:rPr>
        <w:br w:type="page"/>
      </w:r>
    </w:p>
    <w:p w14:paraId="116CAB65" w14:textId="77777777" w:rsidR="00AA0E81" w:rsidRPr="00200E17" w:rsidRDefault="00BC2E2D" w:rsidP="00200E17">
      <w:pPr>
        <w:jc w:val="center"/>
        <w:rPr>
          <w:rFonts w:ascii="Times New Roman" w:eastAsiaTheme="minorEastAsia" w:hAnsi="Times New Roman" w:cs="Times New Roman"/>
          <w:b/>
          <w:sz w:val="20"/>
          <w:szCs w:val="20"/>
          <w:lang w:val="en-CA" w:eastAsia="ja-JP"/>
        </w:rPr>
      </w:pPr>
      <w:r w:rsidRPr="0005558A">
        <w:rPr>
          <w:rFonts w:ascii="Times New Roman" w:eastAsiaTheme="minorEastAsia" w:hAnsi="Times New Roman" w:cs="Times New Roman"/>
          <w:b/>
          <w:sz w:val="20"/>
          <w:szCs w:val="20"/>
          <w:lang w:val="en-CA" w:eastAsia="ja-JP"/>
        </w:rPr>
        <w:lastRenderedPageBreak/>
        <w:t>SUP</w:t>
      </w:r>
      <w:r w:rsidR="0018579F" w:rsidRPr="0005558A">
        <w:rPr>
          <w:rFonts w:ascii="Times New Roman" w:eastAsiaTheme="minorEastAsia" w:hAnsi="Times New Roman" w:cs="Times New Roman"/>
          <w:b/>
          <w:sz w:val="20"/>
          <w:szCs w:val="20"/>
          <w:lang w:val="en-CA" w:eastAsia="ja-JP"/>
        </w:rPr>
        <w:t>PLEME</w:t>
      </w:r>
      <w:r w:rsidR="005E1149" w:rsidRPr="0005558A">
        <w:rPr>
          <w:rFonts w:ascii="Times New Roman" w:eastAsiaTheme="minorEastAsia" w:hAnsi="Times New Roman" w:cs="Times New Roman"/>
          <w:b/>
          <w:sz w:val="20"/>
          <w:szCs w:val="20"/>
          <w:lang w:val="en-CA" w:eastAsia="ja-JP"/>
        </w:rPr>
        <w:t>N</w:t>
      </w:r>
      <w:r w:rsidR="00575EB7" w:rsidRPr="0005558A">
        <w:rPr>
          <w:rFonts w:ascii="Times New Roman" w:eastAsiaTheme="minorEastAsia" w:hAnsi="Times New Roman" w:cs="Times New Roman"/>
          <w:b/>
          <w:sz w:val="20"/>
          <w:szCs w:val="20"/>
          <w:lang w:val="en-CA" w:eastAsia="ja-JP"/>
        </w:rPr>
        <w:t>TAL</w:t>
      </w:r>
      <w:r w:rsidR="0018579F" w:rsidRPr="0005558A">
        <w:rPr>
          <w:rFonts w:ascii="Times New Roman" w:eastAsiaTheme="minorEastAsia" w:hAnsi="Times New Roman" w:cs="Times New Roman"/>
          <w:b/>
          <w:sz w:val="20"/>
          <w:szCs w:val="20"/>
          <w:lang w:val="en-CA" w:eastAsia="ja-JP"/>
        </w:rPr>
        <w:t xml:space="preserve"> </w:t>
      </w:r>
      <w:r w:rsidR="00D0017C" w:rsidRPr="0005558A">
        <w:rPr>
          <w:rFonts w:ascii="Times New Roman" w:eastAsiaTheme="minorEastAsia" w:hAnsi="Times New Roman" w:cs="Times New Roman"/>
          <w:b/>
          <w:sz w:val="20"/>
          <w:szCs w:val="20"/>
          <w:lang w:val="en-CA" w:eastAsia="ja-JP"/>
        </w:rPr>
        <w:t>TABLES</w:t>
      </w:r>
    </w:p>
    <w:p w14:paraId="10F80581" w14:textId="77777777" w:rsidR="00137CF5" w:rsidRPr="0005558A" w:rsidRDefault="00774B2D" w:rsidP="00137CF5">
      <w:pPr>
        <w:spacing w:after="0" w:line="480" w:lineRule="auto"/>
        <w:jc w:val="both"/>
        <w:rPr>
          <w:rFonts w:ascii="Times New Roman" w:hAnsi="Times New Roman" w:cs="Times New Roman"/>
          <w:sz w:val="20"/>
          <w:szCs w:val="20"/>
        </w:rPr>
      </w:pPr>
      <w:r w:rsidRPr="0005558A">
        <w:rPr>
          <w:rFonts w:ascii="Times New Roman" w:hAnsi="Times New Roman" w:cs="Times New Roman"/>
          <w:b/>
          <w:sz w:val="20"/>
          <w:szCs w:val="20"/>
        </w:rPr>
        <w:t xml:space="preserve">Supplemental Table </w:t>
      </w:r>
      <w:r w:rsidR="00137CF5" w:rsidRPr="0005558A">
        <w:rPr>
          <w:rFonts w:ascii="Times New Roman" w:hAnsi="Times New Roman" w:cs="Times New Roman"/>
          <w:b/>
          <w:sz w:val="20"/>
          <w:szCs w:val="20"/>
        </w:rPr>
        <w:t xml:space="preserve">1.  </w:t>
      </w:r>
      <w:r w:rsidR="00E2758B" w:rsidRPr="0005558A">
        <w:rPr>
          <w:rFonts w:ascii="Times New Roman" w:hAnsi="Times New Roman" w:cs="Times New Roman"/>
          <w:sz w:val="20"/>
          <w:szCs w:val="20"/>
        </w:rPr>
        <w:t xml:space="preserve">Summary of septic patient recruitment from 9 participating </w:t>
      </w:r>
      <w:proofErr w:type="spellStart"/>
      <w:r w:rsidR="00E2758B" w:rsidRPr="0005558A">
        <w:rPr>
          <w:rFonts w:ascii="Times New Roman" w:hAnsi="Times New Roman" w:cs="Times New Roman"/>
          <w:sz w:val="20"/>
          <w:szCs w:val="20"/>
        </w:rPr>
        <w:t>c</w:t>
      </w:r>
      <w:r w:rsidR="009E38E4" w:rsidRPr="0005558A">
        <w:rPr>
          <w:rFonts w:ascii="Times New Roman" w:hAnsi="Times New Roman" w:cs="Times New Roman"/>
          <w:sz w:val="20"/>
          <w:szCs w:val="20"/>
        </w:rPr>
        <w:t>entres</w:t>
      </w:r>
      <w:proofErr w:type="spellEnd"/>
    </w:p>
    <w:tbl>
      <w:tblPr>
        <w:tblStyle w:val="TableGrid"/>
        <w:tblW w:w="0" w:type="auto"/>
        <w:tblLook w:val="04A0" w:firstRow="1" w:lastRow="0" w:firstColumn="1" w:lastColumn="0" w:noHBand="0" w:noVBand="1"/>
      </w:tblPr>
      <w:tblGrid>
        <w:gridCol w:w="4608"/>
        <w:gridCol w:w="1225"/>
        <w:gridCol w:w="1912"/>
        <w:gridCol w:w="1831"/>
      </w:tblGrid>
      <w:tr w:rsidR="00137CF5" w:rsidRPr="0005558A" w14:paraId="60447B6A" w14:textId="77777777" w:rsidTr="005B2CE2">
        <w:tc>
          <w:tcPr>
            <w:tcW w:w="4608" w:type="dxa"/>
          </w:tcPr>
          <w:p w14:paraId="15F7E81A" w14:textId="77777777" w:rsidR="00137CF5" w:rsidRPr="0005558A" w:rsidRDefault="00137CF5" w:rsidP="005B2CE2">
            <w:pPr>
              <w:jc w:val="both"/>
              <w:rPr>
                <w:rFonts w:ascii="Times New Roman" w:hAnsi="Times New Roman" w:cs="Times New Roman"/>
                <w:b/>
                <w:sz w:val="20"/>
                <w:szCs w:val="20"/>
              </w:rPr>
            </w:pPr>
            <w:r w:rsidRPr="0005558A">
              <w:rPr>
                <w:rFonts w:ascii="Times New Roman" w:hAnsi="Times New Roman" w:cs="Times New Roman"/>
                <w:b/>
                <w:sz w:val="20"/>
                <w:szCs w:val="20"/>
              </w:rPr>
              <w:t>Academic ICU</w:t>
            </w:r>
          </w:p>
        </w:tc>
        <w:tc>
          <w:tcPr>
            <w:tcW w:w="1225" w:type="dxa"/>
          </w:tcPr>
          <w:p w14:paraId="628FF6CC" w14:textId="77777777" w:rsidR="00137CF5" w:rsidRPr="0005558A" w:rsidRDefault="00137CF5" w:rsidP="005B2CE2">
            <w:pPr>
              <w:jc w:val="center"/>
              <w:rPr>
                <w:rFonts w:ascii="Times New Roman" w:hAnsi="Times New Roman" w:cs="Times New Roman"/>
                <w:b/>
                <w:sz w:val="20"/>
                <w:szCs w:val="20"/>
              </w:rPr>
            </w:pPr>
            <w:r w:rsidRPr="0005558A">
              <w:rPr>
                <w:rFonts w:ascii="Times New Roman" w:hAnsi="Times New Roman" w:cs="Times New Roman"/>
                <w:b/>
                <w:sz w:val="20"/>
                <w:szCs w:val="20"/>
              </w:rPr>
              <w:t>Survivors</w:t>
            </w:r>
          </w:p>
        </w:tc>
        <w:tc>
          <w:tcPr>
            <w:tcW w:w="1912" w:type="dxa"/>
          </w:tcPr>
          <w:p w14:paraId="47FBE9A5" w14:textId="77777777" w:rsidR="00137CF5" w:rsidRPr="0005558A" w:rsidRDefault="00137CF5" w:rsidP="005B2CE2">
            <w:pPr>
              <w:jc w:val="center"/>
              <w:rPr>
                <w:rFonts w:ascii="Times New Roman" w:hAnsi="Times New Roman" w:cs="Times New Roman"/>
                <w:b/>
                <w:sz w:val="20"/>
                <w:szCs w:val="20"/>
              </w:rPr>
            </w:pPr>
            <w:r w:rsidRPr="0005558A">
              <w:rPr>
                <w:rFonts w:ascii="Times New Roman" w:hAnsi="Times New Roman" w:cs="Times New Roman"/>
                <w:b/>
                <w:sz w:val="20"/>
                <w:szCs w:val="20"/>
              </w:rPr>
              <w:t>Non-survivors</w:t>
            </w:r>
          </w:p>
        </w:tc>
        <w:tc>
          <w:tcPr>
            <w:tcW w:w="1831" w:type="dxa"/>
          </w:tcPr>
          <w:p w14:paraId="263F2A3F" w14:textId="77777777" w:rsidR="00137CF5" w:rsidRPr="0005558A" w:rsidRDefault="00137CF5" w:rsidP="005B2CE2">
            <w:pPr>
              <w:jc w:val="center"/>
              <w:rPr>
                <w:rFonts w:ascii="Times New Roman" w:hAnsi="Times New Roman" w:cs="Times New Roman"/>
                <w:b/>
                <w:sz w:val="20"/>
                <w:szCs w:val="20"/>
              </w:rPr>
            </w:pPr>
            <w:r w:rsidRPr="0005558A">
              <w:rPr>
                <w:rFonts w:ascii="Times New Roman" w:hAnsi="Times New Roman" w:cs="Times New Roman"/>
                <w:b/>
                <w:sz w:val="20"/>
                <w:szCs w:val="20"/>
              </w:rPr>
              <w:t>Mortality rate</w:t>
            </w:r>
          </w:p>
        </w:tc>
      </w:tr>
      <w:tr w:rsidR="00137CF5" w:rsidRPr="0005558A" w14:paraId="605075D0" w14:textId="77777777" w:rsidTr="005B2CE2">
        <w:tc>
          <w:tcPr>
            <w:tcW w:w="4608" w:type="dxa"/>
          </w:tcPr>
          <w:p w14:paraId="3E3F8B1E" w14:textId="77777777" w:rsidR="00137CF5" w:rsidRPr="0005558A" w:rsidRDefault="00137CF5" w:rsidP="005B2CE2">
            <w:pPr>
              <w:jc w:val="both"/>
              <w:rPr>
                <w:rFonts w:ascii="Times New Roman" w:hAnsi="Times New Roman" w:cs="Times New Roman"/>
                <w:sz w:val="20"/>
                <w:szCs w:val="20"/>
              </w:rPr>
            </w:pPr>
            <w:r w:rsidRPr="0005558A">
              <w:rPr>
                <w:rFonts w:ascii="Times New Roman" w:hAnsi="Times New Roman" w:cs="Times New Roman"/>
                <w:sz w:val="20"/>
                <w:szCs w:val="20"/>
              </w:rPr>
              <w:t>Hamilton General Hospital, Hamilton, ON</w:t>
            </w:r>
          </w:p>
        </w:tc>
        <w:tc>
          <w:tcPr>
            <w:tcW w:w="1225" w:type="dxa"/>
          </w:tcPr>
          <w:p w14:paraId="26C8D02C"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81</w:t>
            </w:r>
          </w:p>
        </w:tc>
        <w:tc>
          <w:tcPr>
            <w:tcW w:w="1912" w:type="dxa"/>
          </w:tcPr>
          <w:p w14:paraId="00E6EC66"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24</w:t>
            </w:r>
          </w:p>
        </w:tc>
        <w:tc>
          <w:tcPr>
            <w:tcW w:w="1831" w:type="dxa"/>
          </w:tcPr>
          <w:p w14:paraId="3607B250"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22.8%</w:t>
            </w:r>
          </w:p>
        </w:tc>
      </w:tr>
      <w:tr w:rsidR="00137CF5" w:rsidRPr="0005558A" w14:paraId="0590F82B" w14:textId="77777777" w:rsidTr="005B2CE2">
        <w:tc>
          <w:tcPr>
            <w:tcW w:w="4608" w:type="dxa"/>
          </w:tcPr>
          <w:p w14:paraId="09C48E33" w14:textId="77777777" w:rsidR="00137CF5" w:rsidRPr="0005558A" w:rsidRDefault="00137CF5" w:rsidP="005B2CE2">
            <w:pPr>
              <w:jc w:val="both"/>
              <w:rPr>
                <w:rFonts w:ascii="Times New Roman" w:hAnsi="Times New Roman" w:cs="Times New Roman"/>
                <w:sz w:val="20"/>
                <w:szCs w:val="20"/>
              </w:rPr>
            </w:pPr>
            <w:r w:rsidRPr="0005558A">
              <w:rPr>
                <w:rFonts w:ascii="Times New Roman" w:hAnsi="Times New Roman" w:cs="Times New Roman"/>
                <w:sz w:val="20"/>
                <w:szCs w:val="20"/>
              </w:rPr>
              <w:t>St. Joseph’s Healthcare, Hamilton, ON</w:t>
            </w:r>
          </w:p>
        </w:tc>
        <w:tc>
          <w:tcPr>
            <w:tcW w:w="1225" w:type="dxa"/>
          </w:tcPr>
          <w:p w14:paraId="548FE1A4"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52</w:t>
            </w:r>
          </w:p>
        </w:tc>
        <w:tc>
          <w:tcPr>
            <w:tcW w:w="1912" w:type="dxa"/>
          </w:tcPr>
          <w:p w14:paraId="2ED02360"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18</w:t>
            </w:r>
          </w:p>
        </w:tc>
        <w:tc>
          <w:tcPr>
            <w:tcW w:w="1831" w:type="dxa"/>
          </w:tcPr>
          <w:p w14:paraId="01E9E8B4"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25.7%</w:t>
            </w:r>
          </w:p>
        </w:tc>
      </w:tr>
      <w:tr w:rsidR="00137CF5" w:rsidRPr="0005558A" w14:paraId="68BC9FDF" w14:textId="77777777" w:rsidTr="005B2CE2">
        <w:tc>
          <w:tcPr>
            <w:tcW w:w="4608" w:type="dxa"/>
          </w:tcPr>
          <w:p w14:paraId="258D34A2" w14:textId="77777777" w:rsidR="00137CF5" w:rsidRPr="0005558A" w:rsidRDefault="00137CF5" w:rsidP="005B2CE2">
            <w:pPr>
              <w:jc w:val="both"/>
              <w:rPr>
                <w:rFonts w:ascii="Times New Roman" w:hAnsi="Times New Roman" w:cs="Times New Roman"/>
                <w:sz w:val="20"/>
                <w:szCs w:val="20"/>
              </w:rPr>
            </w:pPr>
            <w:r w:rsidRPr="0005558A">
              <w:rPr>
                <w:rFonts w:ascii="Times New Roman" w:hAnsi="Times New Roman" w:cs="Times New Roman"/>
                <w:sz w:val="20"/>
                <w:szCs w:val="20"/>
              </w:rPr>
              <w:t>St. Michael’s Hospital, Toronto, ON</w:t>
            </w:r>
          </w:p>
        </w:tc>
        <w:tc>
          <w:tcPr>
            <w:tcW w:w="1225" w:type="dxa"/>
          </w:tcPr>
          <w:p w14:paraId="3528FF5D"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49</w:t>
            </w:r>
          </w:p>
        </w:tc>
        <w:tc>
          <w:tcPr>
            <w:tcW w:w="1912" w:type="dxa"/>
          </w:tcPr>
          <w:p w14:paraId="00D9592F"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14</w:t>
            </w:r>
          </w:p>
        </w:tc>
        <w:tc>
          <w:tcPr>
            <w:tcW w:w="1831" w:type="dxa"/>
          </w:tcPr>
          <w:p w14:paraId="2D3F195C"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22.2%</w:t>
            </w:r>
          </w:p>
        </w:tc>
      </w:tr>
      <w:tr w:rsidR="00137CF5" w:rsidRPr="0005558A" w14:paraId="175E8FDF" w14:textId="77777777" w:rsidTr="005B2CE2">
        <w:tc>
          <w:tcPr>
            <w:tcW w:w="4608" w:type="dxa"/>
          </w:tcPr>
          <w:p w14:paraId="274E199C" w14:textId="77777777" w:rsidR="00137CF5" w:rsidRPr="0005558A" w:rsidRDefault="00137CF5" w:rsidP="005B2CE2">
            <w:pPr>
              <w:jc w:val="both"/>
              <w:rPr>
                <w:rFonts w:ascii="Times New Roman" w:hAnsi="Times New Roman" w:cs="Times New Roman"/>
                <w:sz w:val="20"/>
                <w:szCs w:val="20"/>
              </w:rPr>
            </w:pPr>
            <w:r w:rsidRPr="0005558A">
              <w:rPr>
                <w:rFonts w:ascii="Times New Roman" w:hAnsi="Times New Roman" w:cs="Times New Roman"/>
                <w:sz w:val="20"/>
                <w:szCs w:val="20"/>
              </w:rPr>
              <w:t>Ottawa Civic Hospital, Ottawa, ON</w:t>
            </w:r>
          </w:p>
        </w:tc>
        <w:tc>
          <w:tcPr>
            <w:tcW w:w="1225" w:type="dxa"/>
          </w:tcPr>
          <w:p w14:paraId="7A394937"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15</w:t>
            </w:r>
          </w:p>
        </w:tc>
        <w:tc>
          <w:tcPr>
            <w:tcW w:w="1912" w:type="dxa"/>
          </w:tcPr>
          <w:p w14:paraId="02BAB121"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8</w:t>
            </w:r>
          </w:p>
        </w:tc>
        <w:tc>
          <w:tcPr>
            <w:tcW w:w="1831" w:type="dxa"/>
          </w:tcPr>
          <w:p w14:paraId="4F29F310"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34.8%</w:t>
            </w:r>
          </w:p>
        </w:tc>
      </w:tr>
      <w:tr w:rsidR="00137CF5" w:rsidRPr="0005558A" w14:paraId="1347AD63" w14:textId="77777777" w:rsidTr="005B2CE2">
        <w:tc>
          <w:tcPr>
            <w:tcW w:w="4608" w:type="dxa"/>
          </w:tcPr>
          <w:p w14:paraId="21C22D70" w14:textId="77777777" w:rsidR="00137CF5" w:rsidRPr="0005558A" w:rsidRDefault="00137CF5" w:rsidP="005B2CE2">
            <w:pPr>
              <w:jc w:val="both"/>
              <w:rPr>
                <w:rFonts w:ascii="Times New Roman" w:hAnsi="Times New Roman" w:cs="Times New Roman"/>
                <w:sz w:val="20"/>
                <w:szCs w:val="20"/>
              </w:rPr>
            </w:pPr>
            <w:r w:rsidRPr="0005558A">
              <w:rPr>
                <w:rFonts w:ascii="Times New Roman" w:hAnsi="Times New Roman" w:cs="Times New Roman"/>
                <w:sz w:val="20"/>
                <w:szCs w:val="20"/>
              </w:rPr>
              <w:t>Ottawa General Hospital, Ottawa, ON</w:t>
            </w:r>
          </w:p>
        </w:tc>
        <w:tc>
          <w:tcPr>
            <w:tcW w:w="1225" w:type="dxa"/>
          </w:tcPr>
          <w:p w14:paraId="3155E9D8"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42</w:t>
            </w:r>
          </w:p>
        </w:tc>
        <w:tc>
          <w:tcPr>
            <w:tcW w:w="1912" w:type="dxa"/>
          </w:tcPr>
          <w:p w14:paraId="47F8DA3C"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18</w:t>
            </w:r>
          </w:p>
        </w:tc>
        <w:tc>
          <w:tcPr>
            <w:tcW w:w="1831" w:type="dxa"/>
          </w:tcPr>
          <w:p w14:paraId="30D916AD"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30.0%</w:t>
            </w:r>
          </w:p>
        </w:tc>
      </w:tr>
      <w:tr w:rsidR="00137CF5" w:rsidRPr="0005558A" w14:paraId="56A3040A" w14:textId="77777777" w:rsidTr="005B2CE2">
        <w:tc>
          <w:tcPr>
            <w:tcW w:w="4608" w:type="dxa"/>
          </w:tcPr>
          <w:p w14:paraId="3FD36DD4" w14:textId="77777777" w:rsidR="00137CF5" w:rsidRPr="0005558A" w:rsidRDefault="00137CF5" w:rsidP="005B2CE2">
            <w:pPr>
              <w:jc w:val="both"/>
              <w:rPr>
                <w:rFonts w:ascii="Times New Roman" w:hAnsi="Times New Roman" w:cs="Times New Roman"/>
                <w:sz w:val="20"/>
                <w:szCs w:val="20"/>
              </w:rPr>
            </w:pPr>
            <w:r w:rsidRPr="0005558A">
              <w:rPr>
                <w:rFonts w:ascii="Times New Roman" w:hAnsi="Times New Roman" w:cs="Times New Roman"/>
                <w:sz w:val="20"/>
                <w:szCs w:val="20"/>
              </w:rPr>
              <w:t>Laval Hospital, Quebec City, QC</w:t>
            </w:r>
          </w:p>
        </w:tc>
        <w:tc>
          <w:tcPr>
            <w:tcW w:w="1225" w:type="dxa"/>
          </w:tcPr>
          <w:p w14:paraId="2D294711"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8</w:t>
            </w:r>
          </w:p>
        </w:tc>
        <w:tc>
          <w:tcPr>
            <w:tcW w:w="1912" w:type="dxa"/>
          </w:tcPr>
          <w:p w14:paraId="239823FB"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4</w:t>
            </w:r>
          </w:p>
        </w:tc>
        <w:tc>
          <w:tcPr>
            <w:tcW w:w="1831" w:type="dxa"/>
          </w:tcPr>
          <w:p w14:paraId="1EA90EA1"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33.3%</w:t>
            </w:r>
          </w:p>
        </w:tc>
      </w:tr>
      <w:tr w:rsidR="00137CF5" w:rsidRPr="0005558A" w14:paraId="5DE4E61D" w14:textId="77777777" w:rsidTr="005B2CE2">
        <w:tc>
          <w:tcPr>
            <w:tcW w:w="4608" w:type="dxa"/>
          </w:tcPr>
          <w:p w14:paraId="46DECD66" w14:textId="77777777" w:rsidR="00137CF5" w:rsidRPr="0005558A" w:rsidRDefault="00137CF5" w:rsidP="005B2CE2">
            <w:pPr>
              <w:jc w:val="both"/>
              <w:rPr>
                <w:rFonts w:ascii="Times New Roman" w:hAnsi="Times New Roman" w:cs="Times New Roman"/>
                <w:sz w:val="20"/>
                <w:szCs w:val="20"/>
              </w:rPr>
            </w:pPr>
            <w:r w:rsidRPr="0005558A">
              <w:rPr>
                <w:rFonts w:ascii="Times New Roman" w:hAnsi="Times New Roman" w:cs="Times New Roman"/>
                <w:sz w:val="20"/>
                <w:szCs w:val="20"/>
              </w:rPr>
              <w:t>St. Paul’s Hospital, Vancouver, BC</w:t>
            </w:r>
          </w:p>
        </w:tc>
        <w:tc>
          <w:tcPr>
            <w:tcW w:w="1225" w:type="dxa"/>
          </w:tcPr>
          <w:p w14:paraId="6C7A8CC1"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35</w:t>
            </w:r>
          </w:p>
        </w:tc>
        <w:tc>
          <w:tcPr>
            <w:tcW w:w="1912" w:type="dxa"/>
          </w:tcPr>
          <w:p w14:paraId="3476CBFD"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4</w:t>
            </w:r>
          </w:p>
        </w:tc>
        <w:tc>
          <w:tcPr>
            <w:tcW w:w="1831" w:type="dxa"/>
          </w:tcPr>
          <w:p w14:paraId="4C7C76C3"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10.3%</w:t>
            </w:r>
          </w:p>
        </w:tc>
      </w:tr>
      <w:tr w:rsidR="00137CF5" w:rsidRPr="0005558A" w14:paraId="4EFFB448" w14:textId="77777777" w:rsidTr="005B2CE2">
        <w:tc>
          <w:tcPr>
            <w:tcW w:w="4608" w:type="dxa"/>
          </w:tcPr>
          <w:p w14:paraId="315CC71E" w14:textId="77777777" w:rsidR="00137CF5" w:rsidRPr="0005558A" w:rsidRDefault="00137CF5" w:rsidP="005B2CE2">
            <w:pPr>
              <w:jc w:val="both"/>
              <w:rPr>
                <w:rFonts w:ascii="Times New Roman" w:hAnsi="Times New Roman" w:cs="Times New Roman"/>
                <w:sz w:val="20"/>
                <w:szCs w:val="20"/>
              </w:rPr>
            </w:pPr>
            <w:r w:rsidRPr="0005558A">
              <w:rPr>
                <w:rFonts w:ascii="Times New Roman" w:hAnsi="Times New Roman" w:cs="Times New Roman"/>
                <w:sz w:val="20"/>
                <w:szCs w:val="20"/>
              </w:rPr>
              <w:t>Calgary Foothills Hospital, Calgary, AB</w:t>
            </w:r>
          </w:p>
        </w:tc>
        <w:tc>
          <w:tcPr>
            <w:tcW w:w="1225" w:type="dxa"/>
          </w:tcPr>
          <w:p w14:paraId="4F4FA8E8"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10</w:t>
            </w:r>
          </w:p>
        </w:tc>
        <w:tc>
          <w:tcPr>
            <w:tcW w:w="1912" w:type="dxa"/>
          </w:tcPr>
          <w:p w14:paraId="3E0FB269"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5</w:t>
            </w:r>
          </w:p>
        </w:tc>
        <w:tc>
          <w:tcPr>
            <w:tcW w:w="1831" w:type="dxa"/>
          </w:tcPr>
          <w:p w14:paraId="7B3C2FB9"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33.3%</w:t>
            </w:r>
          </w:p>
        </w:tc>
      </w:tr>
      <w:tr w:rsidR="00137CF5" w:rsidRPr="0005558A" w14:paraId="68A7FDB4" w14:textId="77777777" w:rsidTr="005B2CE2">
        <w:tc>
          <w:tcPr>
            <w:tcW w:w="4608" w:type="dxa"/>
          </w:tcPr>
          <w:p w14:paraId="42B41389" w14:textId="77777777" w:rsidR="00137CF5" w:rsidRPr="0005558A" w:rsidRDefault="00137CF5" w:rsidP="005B2CE2">
            <w:pPr>
              <w:jc w:val="both"/>
              <w:rPr>
                <w:rFonts w:ascii="Times New Roman" w:hAnsi="Times New Roman" w:cs="Times New Roman"/>
                <w:sz w:val="20"/>
                <w:szCs w:val="20"/>
              </w:rPr>
            </w:pPr>
            <w:r w:rsidRPr="0005558A">
              <w:rPr>
                <w:rFonts w:ascii="Times New Roman" w:hAnsi="Times New Roman" w:cs="Times New Roman"/>
                <w:sz w:val="20"/>
                <w:szCs w:val="20"/>
              </w:rPr>
              <w:t>London Health Sciences Centre, London, ON</w:t>
            </w:r>
          </w:p>
        </w:tc>
        <w:tc>
          <w:tcPr>
            <w:tcW w:w="1225" w:type="dxa"/>
          </w:tcPr>
          <w:p w14:paraId="115E3F65"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4</w:t>
            </w:r>
          </w:p>
        </w:tc>
        <w:tc>
          <w:tcPr>
            <w:tcW w:w="1912" w:type="dxa"/>
          </w:tcPr>
          <w:p w14:paraId="67B2CA40"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1</w:t>
            </w:r>
          </w:p>
        </w:tc>
        <w:tc>
          <w:tcPr>
            <w:tcW w:w="1831" w:type="dxa"/>
          </w:tcPr>
          <w:p w14:paraId="5105DACE" w14:textId="77777777" w:rsidR="00137CF5" w:rsidRPr="0005558A" w:rsidRDefault="00137CF5" w:rsidP="005B2CE2">
            <w:pPr>
              <w:jc w:val="center"/>
              <w:rPr>
                <w:rFonts w:ascii="Times New Roman" w:hAnsi="Times New Roman" w:cs="Times New Roman"/>
                <w:sz w:val="20"/>
                <w:szCs w:val="20"/>
              </w:rPr>
            </w:pPr>
            <w:r w:rsidRPr="0005558A">
              <w:rPr>
                <w:rFonts w:ascii="Times New Roman" w:hAnsi="Times New Roman" w:cs="Times New Roman"/>
                <w:sz w:val="20"/>
                <w:szCs w:val="20"/>
              </w:rPr>
              <w:t>20.0%</w:t>
            </w:r>
          </w:p>
        </w:tc>
      </w:tr>
    </w:tbl>
    <w:p w14:paraId="0FBCDFAD" w14:textId="77777777" w:rsidR="0005558A" w:rsidRPr="0005558A" w:rsidRDefault="0005558A" w:rsidP="00137CF5">
      <w:pPr>
        <w:spacing w:after="0" w:line="480" w:lineRule="auto"/>
        <w:jc w:val="both"/>
        <w:rPr>
          <w:rFonts w:ascii="Times New Roman" w:hAnsi="Times New Roman" w:cs="Times New Roman"/>
          <w:sz w:val="20"/>
          <w:szCs w:val="20"/>
        </w:rPr>
      </w:pPr>
    </w:p>
    <w:p w14:paraId="5BDD97EF" w14:textId="77777777" w:rsidR="0005558A" w:rsidRDefault="0005558A">
      <w:pPr>
        <w:rPr>
          <w:rFonts w:ascii="Times New Roman" w:hAnsi="Times New Roman" w:cs="Times New Roman"/>
          <w:sz w:val="24"/>
          <w:szCs w:val="24"/>
        </w:rPr>
      </w:pPr>
      <w:r>
        <w:rPr>
          <w:rFonts w:ascii="Times New Roman" w:hAnsi="Times New Roman" w:cs="Times New Roman"/>
          <w:sz w:val="24"/>
          <w:szCs w:val="24"/>
        </w:rPr>
        <w:br w:type="page"/>
      </w:r>
    </w:p>
    <w:p w14:paraId="5F1A8C7B" w14:textId="77777777" w:rsidR="00137CF5" w:rsidRPr="00463891" w:rsidRDefault="00137CF5" w:rsidP="00137CF5">
      <w:pPr>
        <w:spacing w:after="0" w:line="480" w:lineRule="auto"/>
        <w:jc w:val="both"/>
        <w:rPr>
          <w:rFonts w:ascii="Times New Roman" w:hAnsi="Times New Roman" w:cs="Times New Roman"/>
          <w:sz w:val="24"/>
          <w:szCs w:val="24"/>
        </w:rPr>
      </w:pPr>
    </w:p>
    <w:p w14:paraId="188C30AA" w14:textId="77777777" w:rsidR="00041E48" w:rsidRDefault="003225BF" w:rsidP="00645026">
      <w:pPr>
        <w:spacing w:after="0" w:line="480" w:lineRule="auto"/>
        <w:rPr>
          <w:rFonts w:ascii="Times New Roman" w:eastAsiaTheme="minorEastAsia" w:hAnsi="Times New Roman" w:cs="Times New Roman"/>
          <w:b/>
          <w:sz w:val="24"/>
          <w:szCs w:val="24"/>
          <w:lang w:val="en-CA" w:eastAsia="ja-JP"/>
        </w:rPr>
      </w:pPr>
      <w:r w:rsidRPr="003225BF">
        <w:rPr>
          <w:noProof/>
        </w:rPr>
        <w:drawing>
          <wp:inline distT="0" distB="0" distL="0" distR="0" wp14:anchorId="2A90D7F5" wp14:editId="11B9948B">
            <wp:extent cx="5943600" cy="48600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860069"/>
                    </a:xfrm>
                    <a:prstGeom prst="rect">
                      <a:avLst/>
                    </a:prstGeom>
                    <a:noFill/>
                    <a:ln>
                      <a:noFill/>
                    </a:ln>
                  </pic:spPr>
                </pic:pic>
              </a:graphicData>
            </a:graphic>
          </wp:inline>
        </w:drawing>
      </w:r>
    </w:p>
    <w:p w14:paraId="5533A566" w14:textId="77777777" w:rsidR="00A34EF9" w:rsidRDefault="00A34EF9">
      <w:pPr>
        <w:rPr>
          <w:noProof/>
        </w:rPr>
      </w:pPr>
      <w:r>
        <w:rPr>
          <w:noProof/>
        </w:rPr>
        <w:br w:type="page"/>
      </w:r>
    </w:p>
    <w:p w14:paraId="395D2A5F" w14:textId="77777777" w:rsidR="00013E48" w:rsidRDefault="00A34EF9" w:rsidP="00645026">
      <w:pPr>
        <w:spacing w:after="0" w:line="480" w:lineRule="auto"/>
        <w:rPr>
          <w:rFonts w:ascii="Times New Roman" w:eastAsiaTheme="minorEastAsia" w:hAnsi="Times New Roman" w:cs="Times New Roman"/>
          <w:b/>
          <w:sz w:val="24"/>
          <w:szCs w:val="24"/>
          <w:lang w:val="en-CA" w:eastAsia="ja-JP"/>
        </w:rPr>
      </w:pPr>
      <w:r w:rsidRPr="00A34EF9">
        <w:rPr>
          <w:noProof/>
        </w:rPr>
        <w:lastRenderedPageBreak/>
        <w:drawing>
          <wp:inline distT="0" distB="0" distL="0" distR="0" wp14:anchorId="1784575D" wp14:editId="4B184D79">
            <wp:extent cx="5943600" cy="540788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07880"/>
                    </a:xfrm>
                    <a:prstGeom prst="rect">
                      <a:avLst/>
                    </a:prstGeom>
                    <a:noFill/>
                    <a:ln>
                      <a:noFill/>
                    </a:ln>
                  </pic:spPr>
                </pic:pic>
              </a:graphicData>
            </a:graphic>
          </wp:inline>
        </w:drawing>
      </w:r>
    </w:p>
    <w:p w14:paraId="462F6311" w14:textId="77777777" w:rsidR="005B2CE2" w:rsidRDefault="005B2CE2">
      <w:pPr>
        <w:rPr>
          <w:rFonts w:ascii="Times New Roman" w:eastAsiaTheme="minorEastAsia" w:hAnsi="Times New Roman" w:cs="Times New Roman"/>
          <w:b/>
          <w:sz w:val="24"/>
          <w:szCs w:val="24"/>
          <w:lang w:val="en-CA" w:eastAsia="ja-JP"/>
        </w:rPr>
      </w:pPr>
      <w:r>
        <w:rPr>
          <w:rFonts w:ascii="Times New Roman" w:eastAsiaTheme="minorEastAsia" w:hAnsi="Times New Roman" w:cs="Times New Roman"/>
          <w:b/>
          <w:sz w:val="24"/>
          <w:szCs w:val="24"/>
          <w:lang w:val="en-CA" w:eastAsia="ja-JP"/>
        </w:rPr>
        <w:br w:type="page"/>
      </w:r>
    </w:p>
    <w:p w14:paraId="22F853E0" w14:textId="77777777" w:rsidR="00327FC2" w:rsidRDefault="001D1504" w:rsidP="00645026">
      <w:pPr>
        <w:spacing w:after="0" w:line="480" w:lineRule="auto"/>
        <w:rPr>
          <w:rFonts w:ascii="Times New Roman" w:eastAsiaTheme="minorEastAsia" w:hAnsi="Times New Roman" w:cs="Times New Roman"/>
          <w:b/>
          <w:sz w:val="24"/>
          <w:szCs w:val="24"/>
          <w:lang w:val="en-CA" w:eastAsia="ja-JP"/>
        </w:rPr>
      </w:pPr>
      <w:r w:rsidRPr="001D1504">
        <w:rPr>
          <w:noProof/>
        </w:rPr>
        <w:lastRenderedPageBreak/>
        <w:drawing>
          <wp:inline distT="0" distB="0" distL="0" distR="0" wp14:anchorId="7E60E7C1" wp14:editId="66A7DE48">
            <wp:extent cx="5943600" cy="49630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963094"/>
                    </a:xfrm>
                    <a:prstGeom prst="rect">
                      <a:avLst/>
                    </a:prstGeom>
                    <a:noFill/>
                    <a:ln>
                      <a:noFill/>
                    </a:ln>
                  </pic:spPr>
                </pic:pic>
              </a:graphicData>
            </a:graphic>
          </wp:inline>
        </w:drawing>
      </w:r>
    </w:p>
    <w:p w14:paraId="2BB683E7" w14:textId="77777777" w:rsidR="00512872" w:rsidRDefault="00512872">
      <w:pPr>
        <w:rPr>
          <w:rFonts w:ascii="Times New Roman" w:eastAsiaTheme="minorEastAsia" w:hAnsi="Times New Roman" w:cs="Times New Roman"/>
          <w:b/>
          <w:sz w:val="24"/>
          <w:szCs w:val="24"/>
          <w:lang w:val="en-CA" w:eastAsia="ja-JP"/>
        </w:rPr>
      </w:pPr>
      <w:r>
        <w:rPr>
          <w:rFonts w:ascii="Times New Roman" w:eastAsiaTheme="minorEastAsia" w:hAnsi="Times New Roman" w:cs="Times New Roman"/>
          <w:b/>
          <w:sz w:val="24"/>
          <w:szCs w:val="24"/>
          <w:lang w:val="en-CA" w:eastAsia="ja-JP"/>
        </w:rPr>
        <w:br w:type="page"/>
      </w:r>
    </w:p>
    <w:p w14:paraId="13EF125B" w14:textId="77777777" w:rsidR="000D0CD2" w:rsidRDefault="009E38E4">
      <w:r w:rsidRPr="009E38E4">
        <w:lastRenderedPageBreak/>
        <w:t xml:space="preserve"> </w:t>
      </w:r>
      <w:r w:rsidR="00EC6E94" w:rsidRPr="00EC6E94">
        <w:rPr>
          <w:noProof/>
        </w:rPr>
        <w:drawing>
          <wp:inline distT="0" distB="0" distL="0" distR="0" wp14:anchorId="51076412" wp14:editId="2396E04E">
            <wp:extent cx="5943600" cy="5249457"/>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49457"/>
                    </a:xfrm>
                    <a:prstGeom prst="rect">
                      <a:avLst/>
                    </a:prstGeom>
                    <a:noFill/>
                    <a:ln>
                      <a:noFill/>
                    </a:ln>
                  </pic:spPr>
                </pic:pic>
              </a:graphicData>
            </a:graphic>
          </wp:inline>
        </w:drawing>
      </w:r>
    </w:p>
    <w:p w14:paraId="559FF3F1" w14:textId="77777777" w:rsidR="00C63326" w:rsidRDefault="00C63326">
      <w:pPr>
        <w:rPr>
          <w:rFonts w:ascii="Times New Roman" w:eastAsiaTheme="minorEastAsia" w:hAnsi="Times New Roman" w:cs="Times New Roman"/>
          <w:b/>
          <w:sz w:val="24"/>
          <w:szCs w:val="24"/>
          <w:lang w:val="en-CA" w:eastAsia="ja-JP"/>
        </w:rPr>
      </w:pPr>
      <w:r>
        <w:rPr>
          <w:rFonts w:ascii="Times New Roman" w:eastAsiaTheme="minorEastAsia" w:hAnsi="Times New Roman" w:cs="Times New Roman"/>
          <w:b/>
          <w:sz w:val="24"/>
          <w:szCs w:val="24"/>
          <w:lang w:val="en-CA" w:eastAsia="ja-JP"/>
        </w:rPr>
        <w:br w:type="page"/>
      </w:r>
    </w:p>
    <w:p w14:paraId="745E37F1" w14:textId="77777777" w:rsidR="00C63326" w:rsidRDefault="00C63326">
      <w:pPr>
        <w:rPr>
          <w:rFonts w:ascii="Times New Roman" w:eastAsiaTheme="minorEastAsia" w:hAnsi="Times New Roman" w:cs="Times New Roman"/>
          <w:b/>
          <w:sz w:val="24"/>
          <w:szCs w:val="24"/>
          <w:lang w:val="en-CA" w:eastAsia="ja-JP"/>
        </w:rPr>
      </w:pPr>
    </w:p>
    <w:p w14:paraId="5D951F1F" w14:textId="77777777" w:rsidR="00C63326" w:rsidRDefault="00907A27">
      <w:pPr>
        <w:rPr>
          <w:rFonts w:ascii="Times New Roman" w:eastAsiaTheme="minorEastAsia" w:hAnsi="Times New Roman" w:cs="Times New Roman"/>
          <w:b/>
          <w:sz w:val="24"/>
          <w:szCs w:val="24"/>
          <w:lang w:val="en-CA" w:eastAsia="ja-JP"/>
        </w:rPr>
      </w:pPr>
      <w:r w:rsidRPr="00907A27">
        <w:rPr>
          <w:noProof/>
        </w:rPr>
        <w:drawing>
          <wp:inline distT="0" distB="0" distL="0" distR="0" wp14:anchorId="6E27DB09" wp14:editId="0A0AEC26">
            <wp:extent cx="5295900" cy="48133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4813300"/>
                    </a:xfrm>
                    <a:prstGeom prst="rect">
                      <a:avLst/>
                    </a:prstGeom>
                    <a:noFill/>
                    <a:ln>
                      <a:noFill/>
                    </a:ln>
                  </pic:spPr>
                </pic:pic>
              </a:graphicData>
            </a:graphic>
          </wp:inline>
        </w:drawing>
      </w:r>
    </w:p>
    <w:p w14:paraId="3CD7CACB" w14:textId="77777777" w:rsidR="00512872" w:rsidRDefault="00512872">
      <w:pPr>
        <w:rPr>
          <w:rFonts w:ascii="Times New Roman" w:eastAsiaTheme="minorEastAsia" w:hAnsi="Times New Roman" w:cs="Times New Roman"/>
          <w:b/>
          <w:sz w:val="24"/>
          <w:szCs w:val="24"/>
          <w:lang w:val="en-CA" w:eastAsia="ja-JP"/>
        </w:rPr>
      </w:pPr>
      <w:r>
        <w:rPr>
          <w:rFonts w:ascii="Times New Roman" w:eastAsiaTheme="minorEastAsia" w:hAnsi="Times New Roman" w:cs="Times New Roman"/>
          <w:b/>
          <w:sz w:val="24"/>
          <w:szCs w:val="24"/>
          <w:lang w:val="en-CA" w:eastAsia="ja-JP"/>
        </w:rPr>
        <w:br w:type="page"/>
      </w:r>
    </w:p>
    <w:p w14:paraId="3D8BA21E" w14:textId="77777777" w:rsidR="00327FC2" w:rsidRDefault="00327FC2">
      <w:pPr>
        <w:rPr>
          <w:rFonts w:ascii="Times New Roman" w:eastAsiaTheme="minorEastAsia" w:hAnsi="Times New Roman" w:cs="Times New Roman"/>
          <w:b/>
          <w:sz w:val="24"/>
          <w:szCs w:val="24"/>
          <w:lang w:val="en-CA" w:eastAsia="ja-JP"/>
        </w:rPr>
      </w:pPr>
    </w:p>
    <w:p w14:paraId="30D7209B" w14:textId="77777777" w:rsidR="00F8603F" w:rsidRDefault="00907A27">
      <w:pPr>
        <w:rPr>
          <w:rFonts w:ascii="Times New Roman" w:eastAsiaTheme="minorEastAsia" w:hAnsi="Times New Roman" w:cs="Times New Roman"/>
          <w:b/>
          <w:sz w:val="24"/>
          <w:szCs w:val="24"/>
          <w:lang w:val="en-CA" w:eastAsia="ja-JP"/>
        </w:rPr>
      </w:pPr>
      <w:r w:rsidRPr="00907A27">
        <w:rPr>
          <w:noProof/>
        </w:rPr>
        <w:drawing>
          <wp:inline distT="0" distB="0" distL="0" distR="0" wp14:anchorId="6012154A" wp14:editId="30C7AD85">
            <wp:extent cx="5943600" cy="46928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92826"/>
                    </a:xfrm>
                    <a:prstGeom prst="rect">
                      <a:avLst/>
                    </a:prstGeom>
                    <a:noFill/>
                    <a:ln>
                      <a:noFill/>
                    </a:ln>
                  </pic:spPr>
                </pic:pic>
              </a:graphicData>
            </a:graphic>
          </wp:inline>
        </w:drawing>
      </w:r>
      <w:r w:rsidR="00A34533">
        <w:rPr>
          <w:rFonts w:ascii="Times New Roman" w:eastAsiaTheme="minorEastAsia" w:hAnsi="Times New Roman" w:cs="Times New Roman"/>
          <w:b/>
          <w:sz w:val="24"/>
          <w:szCs w:val="24"/>
          <w:lang w:val="en-CA" w:eastAsia="ja-JP"/>
        </w:rPr>
        <w:br w:type="page"/>
      </w:r>
    </w:p>
    <w:p w14:paraId="480AADA1" w14:textId="77777777" w:rsidR="00DB30EF" w:rsidRDefault="00907A27">
      <w:pPr>
        <w:rPr>
          <w:rFonts w:ascii="Times New Roman" w:eastAsiaTheme="minorEastAsia" w:hAnsi="Times New Roman" w:cs="Times New Roman"/>
          <w:b/>
          <w:sz w:val="24"/>
          <w:szCs w:val="24"/>
          <w:lang w:val="en-CA" w:eastAsia="ja-JP"/>
        </w:rPr>
      </w:pPr>
      <w:r w:rsidRPr="00907A27">
        <w:rPr>
          <w:noProof/>
        </w:rPr>
        <w:lastRenderedPageBreak/>
        <w:drawing>
          <wp:inline distT="0" distB="0" distL="0" distR="0" wp14:anchorId="7758A7E5" wp14:editId="1F2E0191">
            <wp:extent cx="5295900" cy="48133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4813300"/>
                    </a:xfrm>
                    <a:prstGeom prst="rect">
                      <a:avLst/>
                    </a:prstGeom>
                    <a:noFill/>
                    <a:ln>
                      <a:noFill/>
                    </a:ln>
                  </pic:spPr>
                </pic:pic>
              </a:graphicData>
            </a:graphic>
          </wp:inline>
        </w:drawing>
      </w:r>
    </w:p>
    <w:p w14:paraId="5CB3D2BA" w14:textId="77777777" w:rsidR="00DB30EF" w:rsidRDefault="00DB30EF">
      <w:pPr>
        <w:rPr>
          <w:rFonts w:ascii="Times New Roman" w:eastAsiaTheme="minorEastAsia" w:hAnsi="Times New Roman" w:cs="Times New Roman"/>
          <w:b/>
          <w:sz w:val="24"/>
          <w:szCs w:val="24"/>
          <w:lang w:val="en-CA" w:eastAsia="ja-JP"/>
        </w:rPr>
      </w:pPr>
      <w:r>
        <w:rPr>
          <w:rFonts w:ascii="Times New Roman" w:eastAsiaTheme="minorEastAsia" w:hAnsi="Times New Roman" w:cs="Times New Roman"/>
          <w:b/>
          <w:sz w:val="24"/>
          <w:szCs w:val="24"/>
          <w:lang w:val="en-CA" w:eastAsia="ja-JP"/>
        </w:rPr>
        <w:br w:type="page"/>
      </w:r>
    </w:p>
    <w:p w14:paraId="79A81038" w14:textId="77777777" w:rsidR="0062613A" w:rsidRPr="00180BFF" w:rsidRDefault="00907A27">
      <w:r w:rsidRPr="00907A27">
        <w:rPr>
          <w:noProof/>
        </w:rPr>
        <w:lastRenderedPageBreak/>
        <w:drawing>
          <wp:inline distT="0" distB="0" distL="0" distR="0" wp14:anchorId="42FED771" wp14:editId="459BD3A1">
            <wp:extent cx="5943600" cy="4697674"/>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697674"/>
                    </a:xfrm>
                    <a:prstGeom prst="rect">
                      <a:avLst/>
                    </a:prstGeom>
                    <a:noFill/>
                    <a:ln>
                      <a:noFill/>
                    </a:ln>
                  </pic:spPr>
                </pic:pic>
              </a:graphicData>
            </a:graphic>
          </wp:inline>
        </w:drawing>
      </w:r>
      <w:r w:rsidR="00F8603F">
        <w:rPr>
          <w:rFonts w:ascii="Times New Roman" w:eastAsiaTheme="minorEastAsia" w:hAnsi="Times New Roman" w:cs="Times New Roman"/>
          <w:b/>
          <w:sz w:val="24"/>
          <w:szCs w:val="24"/>
          <w:lang w:val="en-CA" w:eastAsia="ja-JP"/>
        </w:rPr>
        <w:br w:type="page"/>
      </w:r>
    </w:p>
    <w:p w14:paraId="3F832EB4" w14:textId="77777777" w:rsidR="008B3B7F" w:rsidRDefault="008B3B7F">
      <w:r w:rsidRPr="008B3B7F">
        <w:rPr>
          <w:noProof/>
        </w:rPr>
        <w:lastRenderedPageBreak/>
        <w:drawing>
          <wp:inline distT="0" distB="0" distL="0" distR="0" wp14:anchorId="0612AF91" wp14:editId="15E60C9E">
            <wp:extent cx="5943600" cy="586223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862230"/>
                    </a:xfrm>
                    <a:prstGeom prst="rect">
                      <a:avLst/>
                    </a:prstGeom>
                    <a:noFill/>
                    <a:ln>
                      <a:noFill/>
                    </a:ln>
                  </pic:spPr>
                </pic:pic>
              </a:graphicData>
            </a:graphic>
          </wp:inline>
        </w:drawing>
      </w:r>
    </w:p>
    <w:p w14:paraId="26A37AB2" w14:textId="77777777" w:rsidR="00C22E83" w:rsidRDefault="00C22E83">
      <w:r>
        <w:br w:type="page"/>
      </w:r>
    </w:p>
    <w:p w14:paraId="68A6C731" w14:textId="77777777" w:rsidR="002754A4" w:rsidRDefault="005D48D3">
      <w:r w:rsidRPr="005D48D3">
        <w:rPr>
          <w:noProof/>
        </w:rPr>
        <w:lastRenderedPageBreak/>
        <w:drawing>
          <wp:inline distT="0" distB="0" distL="0" distR="0" wp14:anchorId="357ED30E" wp14:editId="5D7388C4">
            <wp:extent cx="5640705" cy="34410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0705" cy="3441065"/>
                    </a:xfrm>
                    <a:prstGeom prst="rect">
                      <a:avLst/>
                    </a:prstGeom>
                    <a:noFill/>
                    <a:ln>
                      <a:noFill/>
                    </a:ln>
                  </pic:spPr>
                </pic:pic>
              </a:graphicData>
            </a:graphic>
          </wp:inline>
        </w:drawing>
      </w:r>
    </w:p>
    <w:p w14:paraId="61349C68" w14:textId="77777777" w:rsidR="009375DE" w:rsidRDefault="009375DE"/>
    <w:p w14:paraId="3A613A6B" w14:textId="77777777" w:rsidR="009375DE" w:rsidRPr="009375DE" w:rsidRDefault="009375DE">
      <w:pPr>
        <w:rPr>
          <w:color w:val="FF0000"/>
        </w:rPr>
      </w:pPr>
    </w:p>
    <w:p w14:paraId="3F0ADF48" w14:textId="77777777" w:rsidR="00613E76" w:rsidRDefault="00613E76">
      <w:r>
        <w:br w:type="page"/>
      </w:r>
    </w:p>
    <w:p w14:paraId="1F24A0C7" w14:textId="77777777" w:rsidR="002754A4" w:rsidRDefault="00391FF6">
      <w:r w:rsidRPr="00391FF6">
        <w:rPr>
          <w:noProof/>
        </w:rPr>
        <w:lastRenderedPageBreak/>
        <w:drawing>
          <wp:inline distT="0" distB="0" distL="0" distR="0" wp14:anchorId="3452A863" wp14:editId="6212A7FE">
            <wp:extent cx="5943600" cy="37752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775215"/>
                    </a:xfrm>
                    <a:prstGeom prst="rect">
                      <a:avLst/>
                    </a:prstGeom>
                    <a:noFill/>
                    <a:ln>
                      <a:noFill/>
                    </a:ln>
                  </pic:spPr>
                </pic:pic>
              </a:graphicData>
            </a:graphic>
          </wp:inline>
        </w:drawing>
      </w:r>
    </w:p>
    <w:p w14:paraId="5B38C10B" w14:textId="77777777" w:rsidR="004D0B3A" w:rsidRDefault="004D0B3A">
      <w:pPr>
        <w:rPr>
          <w:rFonts w:ascii="Times New Roman" w:eastAsiaTheme="minorEastAsia" w:hAnsi="Times New Roman" w:cs="Times New Roman"/>
          <w:b/>
          <w:sz w:val="24"/>
          <w:szCs w:val="24"/>
          <w:lang w:val="en-CA" w:eastAsia="ja-JP"/>
        </w:rPr>
      </w:pPr>
      <w:r>
        <w:rPr>
          <w:rFonts w:ascii="Times New Roman" w:eastAsiaTheme="minorEastAsia" w:hAnsi="Times New Roman" w:cs="Times New Roman"/>
          <w:b/>
          <w:sz w:val="24"/>
          <w:szCs w:val="24"/>
          <w:lang w:val="en-CA" w:eastAsia="ja-JP"/>
        </w:rPr>
        <w:br w:type="page"/>
      </w:r>
    </w:p>
    <w:p w14:paraId="2B52992A" w14:textId="77777777" w:rsidR="004D0B3A" w:rsidRDefault="00950488">
      <w:pPr>
        <w:rPr>
          <w:rFonts w:ascii="Times New Roman" w:eastAsiaTheme="minorEastAsia" w:hAnsi="Times New Roman" w:cs="Times New Roman"/>
          <w:b/>
          <w:sz w:val="24"/>
          <w:szCs w:val="24"/>
          <w:lang w:val="en-CA" w:eastAsia="ja-JP"/>
        </w:rPr>
      </w:pPr>
      <w:r w:rsidRPr="00950488">
        <w:rPr>
          <w:noProof/>
        </w:rPr>
        <w:lastRenderedPageBreak/>
        <w:drawing>
          <wp:inline distT="0" distB="0" distL="0" distR="0" wp14:anchorId="00C3A6CD" wp14:editId="6CE2ACAF">
            <wp:extent cx="5907405" cy="5389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7405" cy="5389880"/>
                    </a:xfrm>
                    <a:prstGeom prst="rect">
                      <a:avLst/>
                    </a:prstGeom>
                    <a:noFill/>
                    <a:ln>
                      <a:noFill/>
                    </a:ln>
                  </pic:spPr>
                </pic:pic>
              </a:graphicData>
            </a:graphic>
          </wp:inline>
        </w:drawing>
      </w:r>
    </w:p>
    <w:p w14:paraId="1ACAB5C1" w14:textId="77777777" w:rsidR="004D0B3A" w:rsidRDefault="004D0B3A">
      <w:pPr>
        <w:rPr>
          <w:rFonts w:ascii="Times New Roman" w:eastAsiaTheme="minorEastAsia" w:hAnsi="Times New Roman" w:cs="Times New Roman"/>
          <w:b/>
          <w:sz w:val="24"/>
          <w:szCs w:val="24"/>
          <w:lang w:val="en-CA" w:eastAsia="ja-JP"/>
        </w:rPr>
      </w:pPr>
      <w:r>
        <w:rPr>
          <w:rFonts w:ascii="Times New Roman" w:eastAsiaTheme="minorEastAsia" w:hAnsi="Times New Roman" w:cs="Times New Roman"/>
          <w:b/>
          <w:sz w:val="24"/>
          <w:szCs w:val="24"/>
          <w:lang w:val="en-CA" w:eastAsia="ja-JP"/>
        </w:rPr>
        <w:br w:type="page"/>
      </w:r>
    </w:p>
    <w:p w14:paraId="6DAB6A41" w14:textId="77777777" w:rsidR="00396069" w:rsidRDefault="00391FF6">
      <w:pPr>
        <w:rPr>
          <w:rFonts w:ascii="Times New Roman" w:eastAsiaTheme="minorEastAsia" w:hAnsi="Times New Roman" w:cs="Times New Roman"/>
          <w:b/>
          <w:sz w:val="24"/>
          <w:szCs w:val="24"/>
          <w:lang w:val="en-CA" w:eastAsia="ja-JP"/>
        </w:rPr>
      </w:pPr>
      <w:r w:rsidRPr="00391FF6">
        <w:rPr>
          <w:noProof/>
        </w:rPr>
        <w:lastRenderedPageBreak/>
        <w:drawing>
          <wp:inline distT="0" distB="0" distL="0" distR="0" wp14:anchorId="4F07A7D7" wp14:editId="73BEC8A1">
            <wp:extent cx="5943600" cy="4450522"/>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50522"/>
                    </a:xfrm>
                    <a:prstGeom prst="rect">
                      <a:avLst/>
                    </a:prstGeom>
                    <a:noFill/>
                    <a:ln>
                      <a:noFill/>
                    </a:ln>
                  </pic:spPr>
                </pic:pic>
              </a:graphicData>
            </a:graphic>
          </wp:inline>
        </w:drawing>
      </w:r>
    </w:p>
    <w:p w14:paraId="641821D8" w14:textId="77777777" w:rsidR="00336E25" w:rsidRDefault="00336E25">
      <w:pPr>
        <w:rPr>
          <w:rFonts w:ascii="Times New Roman" w:eastAsiaTheme="minorEastAsia" w:hAnsi="Times New Roman" w:cs="Times New Roman"/>
          <w:b/>
          <w:sz w:val="24"/>
          <w:szCs w:val="24"/>
          <w:lang w:val="en-CA" w:eastAsia="ja-JP"/>
        </w:rPr>
      </w:pPr>
      <w:r>
        <w:rPr>
          <w:rFonts w:ascii="Times New Roman" w:eastAsiaTheme="minorEastAsia" w:hAnsi="Times New Roman" w:cs="Times New Roman"/>
          <w:b/>
          <w:sz w:val="24"/>
          <w:szCs w:val="24"/>
          <w:lang w:val="en-CA" w:eastAsia="ja-JP"/>
        </w:rPr>
        <w:br w:type="page"/>
      </w:r>
    </w:p>
    <w:p w14:paraId="0CD73A68" w14:textId="77777777" w:rsidR="00396069" w:rsidRDefault="00C756A9">
      <w:pPr>
        <w:rPr>
          <w:rFonts w:ascii="Times New Roman" w:eastAsiaTheme="minorEastAsia" w:hAnsi="Times New Roman" w:cs="Times New Roman"/>
          <w:b/>
          <w:sz w:val="24"/>
          <w:szCs w:val="24"/>
          <w:lang w:val="en-CA" w:eastAsia="ja-JP"/>
        </w:rPr>
      </w:pPr>
      <w:r w:rsidRPr="00C756A9">
        <w:rPr>
          <w:noProof/>
        </w:rPr>
        <w:lastRenderedPageBreak/>
        <w:drawing>
          <wp:inline distT="0" distB="0" distL="0" distR="0" wp14:anchorId="7923CD68" wp14:editId="6D8C17F9">
            <wp:extent cx="6437190" cy="640842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7190" cy="6408420"/>
                    </a:xfrm>
                    <a:prstGeom prst="rect">
                      <a:avLst/>
                    </a:prstGeom>
                    <a:noFill/>
                    <a:ln>
                      <a:noFill/>
                    </a:ln>
                  </pic:spPr>
                </pic:pic>
              </a:graphicData>
            </a:graphic>
          </wp:inline>
        </w:drawing>
      </w:r>
      <w:r w:rsidRPr="00C756A9">
        <w:t xml:space="preserve"> </w:t>
      </w:r>
      <w:r w:rsidR="00396069">
        <w:rPr>
          <w:rFonts w:ascii="Times New Roman" w:eastAsiaTheme="minorEastAsia" w:hAnsi="Times New Roman" w:cs="Times New Roman"/>
          <w:b/>
          <w:sz w:val="24"/>
          <w:szCs w:val="24"/>
          <w:lang w:val="en-CA" w:eastAsia="ja-JP"/>
        </w:rPr>
        <w:br w:type="page"/>
      </w:r>
    </w:p>
    <w:p w14:paraId="37E86094" w14:textId="77777777" w:rsidR="009E2043" w:rsidRDefault="00DB20BD">
      <w:pPr>
        <w:rPr>
          <w:rFonts w:ascii="Times New Roman" w:eastAsiaTheme="minorEastAsia" w:hAnsi="Times New Roman" w:cs="Times New Roman"/>
          <w:b/>
          <w:sz w:val="24"/>
          <w:szCs w:val="24"/>
          <w:lang w:val="en-CA" w:eastAsia="ja-JP"/>
        </w:rPr>
      </w:pPr>
      <w:r w:rsidRPr="00DB20BD">
        <w:rPr>
          <w:noProof/>
        </w:rPr>
        <w:lastRenderedPageBreak/>
        <w:drawing>
          <wp:inline distT="0" distB="0" distL="0" distR="0" wp14:anchorId="32809BC7" wp14:editId="0AE4DF90">
            <wp:extent cx="5943600" cy="4699591"/>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699591"/>
                    </a:xfrm>
                    <a:prstGeom prst="rect">
                      <a:avLst/>
                    </a:prstGeom>
                    <a:noFill/>
                    <a:ln>
                      <a:noFill/>
                    </a:ln>
                  </pic:spPr>
                </pic:pic>
              </a:graphicData>
            </a:graphic>
          </wp:inline>
        </w:drawing>
      </w:r>
    </w:p>
    <w:p w14:paraId="68CDDB77" w14:textId="77777777" w:rsidR="00F2499A" w:rsidRDefault="00F2499A">
      <w:pPr>
        <w:rPr>
          <w:rFonts w:ascii="Times New Roman" w:eastAsiaTheme="minorEastAsia" w:hAnsi="Times New Roman" w:cs="Times New Roman"/>
          <w:b/>
          <w:sz w:val="24"/>
          <w:szCs w:val="24"/>
          <w:lang w:val="en-CA" w:eastAsia="ja-JP"/>
        </w:rPr>
      </w:pPr>
    </w:p>
    <w:p w14:paraId="3C694BEF" w14:textId="77777777" w:rsidR="00020AC2" w:rsidRDefault="00020AC2">
      <w:pPr>
        <w:rPr>
          <w:rFonts w:ascii="Arial" w:eastAsiaTheme="minorEastAsia" w:hAnsi="Arial" w:cs="Arial"/>
          <w:b/>
          <w:sz w:val="20"/>
          <w:szCs w:val="20"/>
          <w:lang w:val="en-CA" w:eastAsia="ja-JP"/>
        </w:rPr>
      </w:pPr>
      <w:r>
        <w:rPr>
          <w:rFonts w:ascii="Arial" w:eastAsiaTheme="minorEastAsia" w:hAnsi="Arial" w:cs="Arial"/>
          <w:b/>
          <w:sz w:val="20"/>
          <w:szCs w:val="20"/>
          <w:lang w:val="en-CA" w:eastAsia="ja-JP"/>
        </w:rPr>
        <w:br w:type="page"/>
      </w:r>
    </w:p>
    <w:p w14:paraId="2E92D249" w14:textId="77777777" w:rsidR="001D7689" w:rsidRDefault="001D7689">
      <w:pPr>
        <w:rPr>
          <w:rFonts w:ascii="Arial" w:eastAsiaTheme="minorEastAsia" w:hAnsi="Arial" w:cs="Arial"/>
          <w:b/>
          <w:sz w:val="20"/>
          <w:szCs w:val="20"/>
          <w:lang w:val="en-CA" w:eastAsia="ja-JP"/>
        </w:rPr>
      </w:pPr>
    </w:p>
    <w:p w14:paraId="519A18C7" w14:textId="77777777" w:rsidR="00216134" w:rsidRDefault="00B9010A">
      <w:pPr>
        <w:rPr>
          <w:rFonts w:ascii="Arial" w:eastAsiaTheme="minorEastAsia" w:hAnsi="Arial" w:cs="Arial"/>
          <w:b/>
          <w:sz w:val="20"/>
          <w:szCs w:val="20"/>
          <w:lang w:val="en-CA" w:eastAsia="ja-JP"/>
        </w:rPr>
      </w:pPr>
      <w:r w:rsidRPr="00B9010A">
        <w:rPr>
          <w:noProof/>
        </w:rPr>
        <w:drawing>
          <wp:inline distT="0" distB="0" distL="0" distR="0" wp14:anchorId="0961489E" wp14:editId="742B9CCD">
            <wp:extent cx="6200775" cy="5514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775" cy="5514975"/>
                    </a:xfrm>
                    <a:prstGeom prst="rect">
                      <a:avLst/>
                    </a:prstGeom>
                    <a:noFill/>
                    <a:ln>
                      <a:noFill/>
                    </a:ln>
                  </pic:spPr>
                </pic:pic>
              </a:graphicData>
            </a:graphic>
          </wp:inline>
        </w:drawing>
      </w:r>
      <w:r w:rsidRPr="00B9010A">
        <w:t xml:space="preserve"> </w:t>
      </w:r>
      <w:r w:rsidR="00216134">
        <w:rPr>
          <w:rFonts w:ascii="Arial" w:eastAsiaTheme="minorEastAsia" w:hAnsi="Arial" w:cs="Arial"/>
          <w:b/>
          <w:sz w:val="20"/>
          <w:szCs w:val="20"/>
          <w:lang w:val="en-CA" w:eastAsia="ja-JP"/>
        </w:rPr>
        <w:br w:type="page"/>
      </w:r>
    </w:p>
    <w:p w14:paraId="1FB57777" w14:textId="77777777" w:rsidR="00216134" w:rsidRDefault="00216134">
      <w:pPr>
        <w:rPr>
          <w:rFonts w:ascii="Arial" w:eastAsiaTheme="minorEastAsia" w:hAnsi="Arial" w:cs="Arial"/>
          <w:b/>
          <w:sz w:val="20"/>
          <w:szCs w:val="20"/>
          <w:lang w:val="en-CA" w:eastAsia="ja-JP"/>
        </w:rPr>
      </w:pPr>
    </w:p>
    <w:p w14:paraId="0FB4DCA9" w14:textId="77777777" w:rsidR="00327FC2" w:rsidRPr="0005558A" w:rsidRDefault="00575EB7" w:rsidP="00CF53F7">
      <w:pPr>
        <w:spacing w:after="0" w:line="480" w:lineRule="auto"/>
        <w:jc w:val="center"/>
        <w:rPr>
          <w:rFonts w:ascii="Arial" w:eastAsiaTheme="minorEastAsia" w:hAnsi="Arial" w:cs="Arial"/>
          <w:b/>
          <w:sz w:val="20"/>
          <w:szCs w:val="20"/>
          <w:lang w:val="en-CA" w:eastAsia="ja-JP"/>
        </w:rPr>
      </w:pPr>
      <w:r w:rsidRPr="0005558A">
        <w:rPr>
          <w:rFonts w:ascii="Arial" w:eastAsiaTheme="minorEastAsia" w:hAnsi="Arial" w:cs="Arial"/>
          <w:b/>
          <w:sz w:val="20"/>
          <w:szCs w:val="20"/>
          <w:lang w:val="en-CA" w:eastAsia="ja-JP"/>
        </w:rPr>
        <w:t>SUPPLEMETAL</w:t>
      </w:r>
      <w:r w:rsidR="0018579F" w:rsidRPr="0005558A">
        <w:rPr>
          <w:rFonts w:ascii="Arial" w:eastAsiaTheme="minorEastAsia" w:hAnsi="Arial" w:cs="Arial"/>
          <w:b/>
          <w:sz w:val="20"/>
          <w:szCs w:val="20"/>
          <w:lang w:val="en-CA" w:eastAsia="ja-JP"/>
        </w:rPr>
        <w:t xml:space="preserve"> </w:t>
      </w:r>
      <w:r w:rsidR="00327FC2" w:rsidRPr="0005558A">
        <w:rPr>
          <w:rFonts w:ascii="Arial" w:eastAsiaTheme="minorEastAsia" w:hAnsi="Arial" w:cs="Arial"/>
          <w:b/>
          <w:sz w:val="20"/>
          <w:szCs w:val="20"/>
          <w:lang w:val="en-CA" w:eastAsia="ja-JP"/>
        </w:rPr>
        <w:t>FIGURES</w:t>
      </w:r>
    </w:p>
    <w:p w14:paraId="2881FD5D" w14:textId="77777777" w:rsidR="00EF2AFE" w:rsidRDefault="00020AC2">
      <w:pPr>
        <w:rPr>
          <w:rFonts w:ascii="Times New Roman" w:eastAsiaTheme="minorEastAsia" w:hAnsi="Times New Roman" w:cs="Times New Roman"/>
          <w:b/>
          <w:noProof/>
          <w:sz w:val="24"/>
          <w:szCs w:val="24"/>
        </w:rPr>
      </w:pPr>
      <w:r>
        <w:rPr>
          <w:noProof/>
        </w:rPr>
        <w:drawing>
          <wp:inline distT="0" distB="0" distL="0" distR="0" wp14:anchorId="482B68A5" wp14:editId="445A6BAA">
            <wp:extent cx="5943600" cy="3794760"/>
            <wp:effectExtent l="0" t="0" r="1905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E19495" w14:textId="77777777" w:rsidR="00CC67F1" w:rsidRPr="0005558A" w:rsidRDefault="00774B2D" w:rsidP="00EF2AFE">
      <w:pPr>
        <w:spacing w:after="0" w:line="240" w:lineRule="auto"/>
        <w:jc w:val="both"/>
        <w:rPr>
          <w:rFonts w:ascii="Times New Roman" w:hAnsi="Times New Roman" w:cs="Times New Roman"/>
          <w:bCs/>
          <w:noProof/>
          <w:sz w:val="20"/>
          <w:szCs w:val="20"/>
          <w:lang w:val="en-CA"/>
        </w:rPr>
      </w:pPr>
      <w:r w:rsidRPr="0005558A">
        <w:rPr>
          <w:rFonts w:ascii="Times New Roman" w:eastAsiaTheme="minorEastAsia" w:hAnsi="Times New Roman" w:cs="Times New Roman"/>
          <w:b/>
          <w:noProof/>
          <w:sz w:val="20"/>
          <w:szCs w:val="20"/>
        </w:rPr>
        <w:t xml:space="preserve">Supplemental Figure </w:t>
      </w:r>
      <w:r w:rsidR="00EF2AFE" w:rsidRPr="0005558A">
        <w:rPr>
          <w:rFonts w:ascii="Times New Roman" w:eastAsiaTheme="minorEastAsia" w:hAnsi="Times New Roman" w:cs="Times New Roman"/>
          <w:b/>
          <w:noProof/>
          <w:sz w:val="20"/>
          <w:szCs w:val="20"/>
        </w:rPr>
        <w:t xml:space="preserve">1.  </w:t>
      </w:r>
      <w:r w:rsidR="00EF2AFE" w:rsidRPr="0005558A">
        <w:rPr>
          <w:rFonts w:ascii="Times New Roman" w:hAnsi="Times New Roman" w:cs="Times New Roman"/>
          <w:bCs/>
          <w:noProof/>
          <w:sz w:val="20"/>
          <w:szCs w:val="20"/>
          <w:lang w:val="en-CA"/>
        </w:rPr>
        <w:t>The exponential form</w:t>
      </w:r>
      <w:r w:rsidR="00332CAD" w:rsidRPr="0005558A">
        <w:rPr>
          <w:rFonts w:ascii="Times New Roman" w:hAnsi="Times New Roman" w:cs="Times New Roman"/>
          <w:bCs/>
          <w:noProof/>
          <w:sz w:val="20"/>
          <w:szCs w:val="20"/>
          <w:lang w:val="en-CA"/>
        </w:rPr>
        <w:t xml:space="preserve"> (blue line)</w:t>
      </w:r>
      <w:r w:rsidR="00EF2AFE" w:rsidRPr="0005558A">
        <w:rPr>
          <w:rFonts w:ascii="Times New Roman" w:hAnsi="Times New Roman" w:cs="Times New Roman"/>
          <w:bCs/>
          <w:noProof/>
          <w:sz w:val="20"/>
          <w:szCs w:val="20"/>
          <w:lang w:val="en-CA"/>
        </w:rPr>
        <w:t xml:space="preserve"> and the power form</w:t>
      </w:r>
      <w:r w:rsidR="00332CAD" w:rsidRPr="0005558A">
        <w:rPr>
          <w:rFonts w:ascii="Times New Roman" w:hAnsi="Times New Roman" w:cs="Times New Roman"/>
          <w:bCs/>
          <w:noProof/>
          <w:sz w:val="20"/>
          <w:szCs w:val="20"/>
          <w:lang w:val="en-CA"/>
        </w:rPr>
        <w:t xml:space="preserve"> (red line)</w:t>
      </w:r>
      <w:r w:rsidR="00EF2AFE" w:rsidRPr="0005558A">
        <w:rPr>
          <w:rFonts w:ascii="Times New Roman" w:hAnsi="Times New Roman" w:cs="Times New Roman"/>
          <w:bCs/>
          <w:noProof/>
          <w:sz w:val="20"/>
          <w:szCs w:val="20"/>
          <w:lang w:val="en-CA"/>
        </w:rPr>
        <w:t xml:space="preserve"> for the specification of the dependence of the hazard on the current variable of platelet count </w:t>
      </w:r>
      <w:r w:rsidR="00C5120A" w:rsidRPr="0005558A">
        <w:rPr>
          <w:rFonts w:ascii="Times New Roman" w:hAnsi="Times New Roman" w:cs="Times New Roman"/>
          <w:bCs/>
          <w:noProof/>
          <w:sz w:val="20"/>
          <w:szCs w:val="20"/>
          <w:lang w:val="en-CA"/>
        </w:rPr>
        <w:t xml:space="preserve">in </w:t>
      </w:r>
      <w:r w:rsidR="00EF2AFE" w:rsidRPr="0005558A">
        <w:rPr>
          <w:rFonts w:ascii="Times New Roman" w:hAnsi="Times New Roman" w:cs="Times New Roman"/>
          <w:bCs/>
          <w:noProof/>
          <w:sz w:val="20"/>
          <w:szCs w:val="20"/>
          <w:lang w:val="en-CA"/>
        </w:rPr>
        <w:t>the CLOGLOG model. The power form has a greater curvature and a flatter tail.</w:t>
      </w:r>
    </w:p>
    <w:p w14:paraId="720DC9A7" w14:textId="77777777" w:rsidR="00CC67F1" w:rsidRPr="0005558A" w:rsidRDefault="00CC67F1">
      <w:pPr>
        <w:rPr>
          <w:rFonts w:ascii="Times New Roman" w:hAnsi="Times New Roman" w:cs="Times New Roman"/>
          <w:bCs/>
          <w:noProof/>
          <w:sz w:val="20"/>
          <w:szCs w:val="20"/>
          <w:lang w:val="en-CA"/>
        </w:rPr>
      </w:pPr>
      <w:r w:rsidRPr="0005558A">
        <w:rPr>
          <w:rFonts w:ascii="Times New Roman" w:hAnsi="Times New Roman" w:cs="Times New Roman"/>
          <w:bCs/>
          <w:noProof/>
          <w:sz w:val="20"/>
          <w:szCs w:val="20"/>
          <w:lang w:val="en-CA"/>
        </w:rPr>
        <w:br w:type="page"/>
      </w:r>
    </w:p>
    <w:p w14:paraId="15FE0E59" w14:textId="77777777" w:rsidR="00EF2AFE" w:rsidRPr="008A52D7" w:rsidRDefault="00020AC2" w:rsidP="00EF2AFE">
      <w:pPr>
        <w:spacing w:after="0" w:line="240" w:lineRule="auto"/>
        <w:jc w:val="both"/>
        <w:rPr>
          <w:rFonts w:ascii="Arial" w:eastAsiaTheme="minorEastAsia" w:hAnsi="Arial" w:cs="Arial"/>
          <w:noProof/>
          <w:sz w:val="24"/>
          <w:szCs w:val="24"/>
          <w:lang w:val="en-CA"/>
        </w:rPr>
      </w:pPr>
      <w:r>
        <w:rPr>
          <w:rFonts w:ascii="Arial" w:eastAsiaTheme="minorEastAsia" w:hAnsi="Arial" w:cs="Arial"/>
          <w:noProof/>
          <w:sz w:val="24"/>
          <w:szCs w:val="24"/>
        </w:rPr>
        <w:lastRenderedPageBreak/>
        <w:drawing>
          <wp:inline distT="0" distB="0" distL="0" distR="0" wp14:anchorId="5BE13DE9" wp14:editId="6B10F5B9">
            <wp:extent cx="5943600" cy="37753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4700" cy="3776063"/>
                    </a:xfrm>
                    <a:prstGeom prst="rect">
                      <a:avLst/>
                    </a:prstGeom>
                    <a:noFill/>
                  </pic:spPr>
                </pic:pic>
              </a:graphicData>
            </a:graphic>
          </wp:inline>
        </w:drawing>
      </w:r>
    </w:p>
    <w:p w14:paraId="4E79176A" w14:textId="77777777" w:rsidR="00EF2AFE" w:rsidRPr="00EF2AFE" w:rsidRDefault="00EF2AFE" w:rsidP="00EF2AFE">
      <w:pPr>
        <w:spacing w:after="0" w:line="240" w:lineRule="auto"/>
        <w:jc w:val="both"/>
        <w:rPr>
          <w:rFonts w:ascii="Times New Roman" w:eastAsiaTheme="minorEastAsia" w:hAnsi="Times New Roman" w:cs="Times New Roman"/>
          <w:noProof/>
          <w:sz w:val="24"/>
          <w:szCs w:val="24"/>
        </w:rPr>
      </w:pPr>
    </w:p>
    <w:p w14:paraId="1684285C" w14:textId="77777777" w:rsidR="00D364A9" w:rsidRPr="00A95E87" w:rsidRDefault="00774B2D" w:rsidP="00953047">
      <w:pPr>
        <w:spacing w:line="240" w:lineRule="auto"/>
        <w:jc w:val="both"/>
        <w:rPr>
          <w:rFonts w:ascii="Times New Roman" w:hAnsi="Times New Roman" w:cs="Times New Roman"/>
          <w:bCs/>
          <w:noProof/>
          <w:sz w:val="20"/>
          <w:szCs w:val="20"/>
          <w:lang w:val="en-CA"/>
        </w:rPr>
      </w:pPr>
      <w:r w:rsidRPr="0005558A">
        <w:rPr>
          <w:rFonts w:ascii="Times New Roman" w:eastAsiaTheme="minorEastAsia" w:hAnsi="Times New Roman" w:cs="Times New Roman"/>
          <w:b/>
          <w:noProof/>
          <w:sz w:val="20"/>
          <w:szCs w:val="20"/>
        </w:rPr>
        <w:t xml:space="preserve">Supplemental Figure </w:t>
      </w:r>
      <w:r w:rsidR="00332CAD" w:rsidRPr="0005558A">
        <w:rPr>
          <w:rFonts w:ascii="Times New Roman" w:eastAsiaTheme="minorEastAsia" w:hAnsi="Times New Roman" w:cs="Times New Roman"/>
          <w:b/>
          <w:noProof/>
          <w:sz w:val="20"/>
          <w:szCs w:val="20"/>
        </w:rPr>
        <w:t xml:space="preserve">2.  </w:t>
      </w:r>
      <w:r w:rsidR="00020AC2" w:rsidRPr="00020AC2">
        <w:rPr>
          <w:rFonts w:ascii="Times New Roman" w:hAnsi="Times New Roman" w:cs="Times New Roman"/>
          <w:bCs/>
          <w:noProof/>
          <w:sz w:val="20"/>
          <w:szCs w:val="20"/>
        </w:rPr>
        <w:t xml:space="preserve">Temporal Patterns of the Observed and Predicted Daily Hazards of Dying (DHD). Circles represent the observed daily hazards of dying. </w:t>
      </w:r>
      <w:r w:rsidR="00020AC2" w:rsidRPr="00734930">
        <w:rPr>
          <w:rFonts w:ascii="Times New Roman" w:hAnsi="Times New Roman" w:cs="Times New Roman"/>
          <w:bCs/>
          <w:noProof/>
          <w:sz w:val="20"/>
          <w:szCs w:val="20"/>
        </w:rPr>
        <w:t>Green continuous curve traces the DHD predicted by the null model, which contains  duration and log(duration) as the only two explanatory variable</w:t>
      </w:r>
      <w:r w:rsidR="00540C86" w:rsidRPr="00734930">
        <w:rPr>
          <w:rFonts w:ascii="Times New Roman" w:hAnsi="Times New Roman" w:cs="Times New Roman"/>
          <w:bCs/>
          <w:noProof/>
          <w:sz w:val="20"/>
          <w:szCs w:val="20"/>
        </w:rPr>
        <w:t>s</w:t>
      </w:r>
      <w:r w:rsidR="00020AC2" w:rsidRPr="00734930">
        <w:rPr>
          <w:rFonts w:ascii="Times New Roman" w:hAnsi="Times New Roman" w:cs="Times New Roman"/>
          <w:bCs/>
          <w:noProof/>
          <w:sz w:val="20"/>
          <w:szCs w:val="20"/>
        </w:rPr>
        <w:t xml:space="preserve">. Thick blue broken line traces the DHD predicted by the best estimation result of the best CLOGLOG model. For this model, two 95% confidence belts are shown by thin blue broken lines: (1) for the prediction of the daily hazards of individual patients (lines with long segments), and (2) for the prediction of the daily </w:t>
      </w:r>
      <w:r w:rsidR="00020AC2" w:rsidRPr="00734930">
        <w:rPr>
          <w:rFonts w:ascii="Times New Roman" w:hAnsi="Times New Roman" w:cs="Times New Roman"/>
          <w:bCs/>
          <w:i/>
          <w:iCs/>
          <w:noProof/>
          <w:sz w:val="20"/>
          <w:szCs w:val="20"/>
        </w:rPr>
        <w:t>mean</w:t>
      </w:r>
      <w:r w:rsidR="00020AC2" w:rsidRPr="00734930">
        <w:rPr>
          <w:rFonts w:ascii="Times New Roman" w:hAnsi="Times New Roman" w:cs="Times New Roman"/>
          <w:bCs/>
          <w:noProof/>
          <w:sz w:val="20"/>
          <w:szCs w:val="20"/>
        </w:rPr>
        <w:t xml:space="preserve"> hazards (lines with short segments). The sizes of the daily at-risk populations are shown across the top of the graph.</w:t>
      </w:r>
    </w:p>
    <w:p w14:paraId="670D05A5" w14:textId="77777777" w:rsidR="00D364A9" w:rsidRDefault="00D364A9">
      <w:pPr>
        <w:rPr>
          <w:rFonts w:ascii="Arial" w:hAnsi="Arial" w:cs="Arial"/>
          <w:bCs/>
          <w:noProof/>
          <w:sz w:val="24"/>
          <w:szCs w:val="24"/>
          <w:lang w:val="en-CA"/>
        </w:rPr>
      </w:pPr>
      <w:r>
        <w:rPr>
          <w:rFonts w:ascii="Arial" w:hAnsi="Arial" w:cs="Arial"/>
          <w:bCs/>
          <w:noProof/>
          <w:sz w:val="24"/>
          <w:szCs w:val="24"/>
          <w:lang w:val="en-CA"/>
        </w:rPr>
        <w:br w:type="page"/>
      </w:r>
    </w:p>
    <w:p w14:paraId="799E7BEE" w14:textId="77777777" w:rsidR="00BC4E02" w:rsidRPr="00D364A9" w:rsidRDefault="00BC4E02" w:rsidP="00D364A9">
      <w:pPr>
        <w:rPr>
          <w:rFonts w:ascii="Arial" w:hAnsi="Arial" w:cs="Arial"/>
          <w:bCs/>
          <w:noProof/>
          <w:sz w:val="24"/>
          <w:szCs w:val="24"/>
          <w:lang w:val="en-CA"/>
        </w:rPr>
      </w:pPr>
    </w:p>
    <w:p w14:paraId="5005565E" w14:textId="77777777" w:rsidR="00BC4E02" w:rsidRPr="00332CAD" w:rsidRDefault="00977D5C" w:rsidP="00645026">
      <w:pPr>
        <w:spacing w:after="0" w:line="480" w:lineRule="auto"/>
        <w:rPr>
          <w:rFonts w:ascii="Times New Roman" w:eastAsiaTheme="minorEastAsia" w:hAnsi="Times New Roman" w:cs="Times New Roman"/>
          <w:noProof/>
          <w:sz w:val="24"/>
          <w:szCs w:val="24"/>
        </w:rPr>
      </w:pPr>
      <w:r w:rsidRPr="00953047">
        <w:rPr>
          <w:noProof/>
        </w:rPr>
        <w:drawing>
          <wp:anchor distT="0" distB="0" distL="114300" distR="114300" simplePos="0" relativeHeight="251662336" behindDoc="0" locked="0" layoutInCell="1" allowOverlap="1" wp14:anchorId="04AFB17F" wp14:editId="63390F34">
            <wp:simplePos x="0" y="0"/>
            <wp:positionH relativeFrom="column">
              <wp:posOffset>289560</wp:posOffset>
            </wp:positionH>
            <wp:positionV relativeFrom="paragraph">
              <wp:posOffset>106680</wp:posOffset>
            </wp:positionV>
            <wp:extent cx="5326380" cy="4000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0" cy="40062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F2631" w14:textId="77777777" w:rsidR="00332CAD" w:rsidRPr="00332CAD" w:rsidRDefault="00332CAD" w:rsidP="00645026">
      <w:pPr>
        <w:spacing w:after="0" w:line="480" w:lineRule="auto"/>
        <w:rPr>
          <w:rFonts w:ascii="Times New Roman" w:eastAsiaTheme="minorEastAsia" w:hAnsi="Times New Roman" w:cs="Times New Roman"/>
          <w:noProof/>
          <w:sz w:val="24"/>
          <w:szCs w:val="24"/>
        </w:rPr>
      </w:pPr>
    </w:p>
    <w:p w14:paraId="60F92208" w14:textId="77777777" w:rsidR="00332CAD" w:rsidRDefault="00332CAD" w:rsidP="00645026">
      <w:pPr>
        <w:spacing w:after="0" w:line="480" w:lineRule="auto"/>
        <w:rPr>
          <w:rFonts w:ascii="Times New Roman" w:eastAsiaTheme="minorEastAsia" w:hAnsi="Times New Roman" w:cs="Times New Roman"/>
          <w:b/>
          <w:noProof/>
          <w:sz w:val="24"/>
          <w:szCs w:val="24"/>
        </w:rPr>
      </w:pPr>
    </w:p>
    <w:p w14:paraId="509B6D0A" w14:textId="77777777" w:rsidR="00332CAD" w:rsidRDefault="00332CAD" w:rsidP="00645026">
      <w:pPr>
        <w:spacing w:after="0" w:line="480" w:lineRule="auto"/>
        <w:rPr>
          <w:rFonts w:ascii="Times New Roman" w:eastAsiaTheme="minorEastAsia" w:hAnsi="Times New Roman" w:cs="Times New Roman"/>
          <w:b/>
          <w:noProof/>
          <w:sz w:val="24"/>
          <w:szCs w:val="24"/>
        </w:rPr>
      </w:pPr>
    </w:p>
    <w:p w14:paraId="75B2F431" w14:textId="77777777" w:rsidR="00332CAD" w:rsidRDefault="00332CAD" w:rsidP="00645026">
      <w:pPr>
        <w:spacing w:after="0" w:line="480" w:lineRule="auto"/>
        <w:rPr>
          <w:rFonts w:ascii="Times New Roman" w:eastAsiaTheme="minorEastAsia" w:hAnsi="Times New Roman" w:cs="Times New Roman"/>
          <w:b/>
          <w:noProof/>
          <w:sz w:val="24"/>
          <w:szCs w:val="24"/>
        </w:rPr>
      </w:pPr>
    </w:p>
    <w:p w14:paraId="6D4EFAA7" w14:textId="77777777" w:rsidR="00332CAD" w:rsidRDefault="00332CAD" w:rsidP="00645026">
      <w:pPr>
        <w:spacing w:after="0" w:line="480" w:lineRule="auto"/>
        <w:rPr>
          <w:rFonts w:ascii="Times New Roman" w:eastAsiaTheme="minorEastAsia" w:hAnsi="Times New Roman" w:cs="Times New Roman"/>
          <w:b/>
          <w:noProof/>
          <w:sz w:val="24"/>
          <w:szCs w:val="24"/>
        </w:rPr>
      </w:pPr>
    </w:p>
    <w:p w14:paraId="09F2C671" w14:textId="77777777" w:rsidR="00332CAD" w:rsidRDefault="00332CAD" w:rsidP="00645026">
      <w:pPr>
        <w:spacing w:after="0" w:line="480" w:lineRule="auto"/>
        <w:rPr>
          <w:rFonts w:ascii="Times New Roman" w:eastAsiaTheme="minorEastAsia" w:hAnsi="Times New Roman" w:cs="Times New Roman"/>
          <w:b/>
          <w:noProof/>
          <w:sz w:val="24"/>
          <w:szCs w:val="24"/>
        </w:rPr>
      </w:pPr>
    </w:p>
    <w:p w14:paraId="41B39493" w14:textId="77777777" w:rsidR="00332CAD" w:rsidRDefault="00332CAD" w:rsidP="00645026">
      <w:pPr>
        <w:spacing w:after="0" w:line="480" w:lineRule="auto"/>
        <w:rPr>
          <w:rFonts w:ascii="Times New Roman" w:eastAsiaTheme="minorEastAsia" w:hAnsi="Times New Roman" w:cs="Times New Roman"/>
          <w:b/>
          <w:noProof/>
          <w:sz w:val="24"/>
          <w:szCs w:val="24"/>
        </w:rPr>
      </w:pPr>
    </w:p>
    <w:p w14:paraId="215795BC" w14:textId="77777777" w:rsidR="00332CAD" w:rsidRDefault="00332CAD" w:rsidP="00645026">
      <w:pPr>
        <w:spacing w:after="0" w:line="480" w:lineRule="auto"/>
        <w:rPr>
          <w:rFonts w:ascii="Times New Roman" w:eastAsiaTheme="minorEastAsia" w:hAnsi="Times New Roman" w:cs="Times New Roman"/>
          <w:b/>
          <w:noProof/>
          <w:sz w:val="24"/>
          <w:szCs w:val="24"/>
        </w:rPr>
      </w:pPr>
    </w:p>
    <w:p w14:paraId="381807F7" w14:textId="77777777" w:rsidR="00332CAD" w:rsidRDefault="00332CAD" w:rsidP="00645026">
      <w:pPr>
        <w:spacing w:after="0" w:line="480" w:lineRule="auto"/>
        <w:rPr>
          <w:rFonts w:ascii="Times New Roman" w:eastAsiaTheme="minorEastAsia" w:hAnsi="Times New Roman" w:cs="Times New Roman"/>
          <w:b/>
          <w:noProof/>
          <w:sz w:val="24"/>
          <w:szCs w:val="24"/>
        </w:rPr>
      </w:pPr>
    </w:p>
    <w:p w14:paraId="0CF67131" w14:textId="77777777" w:rsidR="00332CAD" w:rsidRDefault="00332CAD" w:rsidP="00645026">
      <w:pPr>
        <w:spacing w:after="0" w:line="480" w:lineRule="auto"/>
        <w:rPr>
          <w:rFonts w:ascii="Times New Roman" w:eastAsiaTheme="minorEastAsia" w:hAnsi="Times New Roman" w:cs="Times New Roman"/>
          <w:b/>
          <w:noProof/>
          <w:sz w:val="24"/>
          <w:szCs w:val="24"/>
        </w:rPr>
      </w:pPr>
    </w:p>
    <w:p w14:paraId="65610BD6" w14:textId="77777777" w:rsidR="00977D5C" w:rsidRDefault="00977D5C" w:rsidP="001565F2">
      <w:pPr>
        <w:rPr>
          <w:rFonts w:ascii="Arial" w:eastAsiaTheme="minorEastAsia" w:hAnsi="Arial" w:cs="Arial"/>
          <w:b/>
          <w:noProof/>
          <w:sz w:val="24"/>
          <w:szCs w:val="24"/>
        </w:rPr>
      </w:pPr>
    </w:p>
    <w:p w14:paraId="571002EF" w14:textId="77777777" w:rsidR="00D364A9" w:rsidRPr="00A262A4" w:rsidRDefault="00774B2D" w:rsidP="001565F2">
      <w:pPr>
        <w:rPr>
          <w:rFonts w:ascii="Times New Roman" w:hAnsi="Times New Roman" w:cs="Times New Roman"/>
          <w:bCs/>
          <w:noProof/>
          <w:sz w:val="20"/>
          <w:szCs w:val="20"/>
          <w:lang w:val="en-CA"/>
        </w:rPr>
      </w:pPr>
      <w:r w:rsidRPr="00A262A4">
        <w:rPr>
          <w:rFonts w:ascii="Times New Roman" w:eastAsiaTheme="minorEastAsia" w:hAnsi="Times New Roman" w:cs="Times New Roman"/>
          <w:b/>
          <w:noProof/>
          <w:sz w:val="20"/>
          <w:szCs w:val="20"/>
        </w:rPr>
        <w:t xml:space="preserve">Supplemental Figure </w:t>
      </w:r>
      <w:r w:rsidR="00D364A9" w:rsidRPr="00A262A4">
        <w:rPr>
          <w:rFonts w:ascii="Times New Roman" w:eastAsiaTheme="minorEastAsia" w:hAnsi="Times New Roman" w:cs="Times New Roman"/>
          <w:b/>
          <w:noProof/>
          <w:sz w:val="20"/>
          <w:szCs w:val="20"/>
        </w:rPr>
        <w:t>3</w:t>
      </w:r>
      <w:r w:rsidR="00953047" w:rsidRPr="00A262A4">
        <w:rPr>
          <w:rFonts w:ascii="Times New Roman" w:eastAsiaTheme="minorEastAsia" w:hAnsi="Times New Roman" w:cs="Times New Roman"/>
          <w:b/>
          <w:noProof/>
          <w:sz w:val="20"/>
          <w:szCs w:val="20"/>
        </w:rPr>
        <w:t xml:space="preserve">.  </w:t>
      </w:r>
      <w:r w:rsidR="00BE4B38" w:rsidRPr="00726E68">
        <w:rPr>
          <w:rFonts w:ascii="Times New Roman" w:hAnsi="Times New Roman" w:cs="Times New Roman"/>
          <w:bCs/>
          <w:noProof/>
          <w:sz w:val="20"/>
          <w:szCs w:val="20"/>
          <w:lang w:val="en-CA"/>
        </w:rPr>
        <w:t>The</w:t>
      </w:r>
      <w:r w:rsidR="00953047" w:rsidRPr="00726E68">
        <w:rPr>
          <w:rFonts w:ascii="Times New Roman" w:hAnsi="Times New Roman" w:cs="Times New Roman"/>
          <w:bCs/>
          <w:noProof/>
          <w:sz w:val="20"/>
          <w:szCs w:val="20"/>
          <w:lang w:val="en-CA"/>
        </w:rPr>
        <w:t xml:space="preserve"> mortality risk profile</w:t>
      </w:r>
      <w:r w:rsidR="00BE4B38">
        <w:rPr>
          <w:rFonts w:ascii="Times New Roman" w:hAnsi="Times New Roman" w:cs="Times New Roman"/>
          <w:bCs/>
          <w:noProof/>
          <w:sz w:val="20"/>
          <w:szCs w:val="20"/>
          <w:lang w:val="en-CA"/>
        </w:rPr>
        <w:t xml:space="preserve"> </w:t>
      </w:r>
      <w:r w:rsidR="00953047" w:rsidRPr="00A262A4">
        <w:rPr>
          <w:rFonts w:ascii="Times New Roman" w:hAnsi="Times New Roman" w:cs="Times New Roman"/>
          <w:bCs/>
          <w:noProof/>
          <w:sz w:val="20"/>
          <w:szCs w:val="20"/>
          <w:lang w:val="en-CA"/>
        </w:rPr>
        <w:t xml:space="preserve">of Patient B that highlights the relative contribution of each </w:t>
      </w:r>
      <w:r w:rsidR="005B3B92" w:rsidRPr="00A262A4">
        <w:rPr>
          <w:rFonts w:ascii="Times New Roman" w:hAnsi="Times New Roman" w:cs="Times New Roman"/>
          <w:bCs/>
          <w:noProof/>
          <w:sz w:val="20"/>
          <w:szCs w:val="20"/>
          <w:lang w:val="en-CA"/>
        </w:rPr>
        <w:t>Time-varying Biological Indicator (</w:t>
      </w:r>
      <w:r w:rsidR="00953047" w:rsidRPr="00A262A4">
        <w:rPr>
          <w:rFonts w:ascii="Times New Roman" w:hAnsi="Times New Roman" w:cs="Times New Roman"/>
          <w:bCs/>
          <w:noProof/>
          <w:sz w:val="20"/>
          <w:szCs w:val="20"/>
          <w:lang w:val="en-CA"/>
        </w:rPr>
        <w:t>TVBI</w:t>
      </w:r>
      <w:r w:rsidR="005B3B92" w:rsidRPr="00A262A4">
        <w:rPr>
          <w:rFonts w:ascii="Times New Roman" w:hAnsi="Times New Roman" w:cs="Times New Roman"/>
          <w:bCs/>
          <w:noProof/>
          <w:sz w:val="20"/>
          <w:szCs w:val="20"/>
          <w:lang w:val="en-CA"/>
        </w:rPr>
        <w:t>)</w:t>
      </w:r>
      <w:r w:rsidR="00953047" w:rsidRPr="00A262A4">
        <w:rPr>
          <w:rFonts w:ascii="Times New Roman" w:hAnsi="Times New Roman" w:cs="Times New Roman"/>
          <w:bCs/>
          <w:noProof/>
          <w:sz w:val="20"/>
          <w:szCs w:val="20"/>
          <w:lang w:val="en-CA"/>
        </w:rPr>
        <w:t xml:space="preserve"> to the risk of dying.</w:t>
      </w:r>
    </w:p>
    <w:p w14:paraId="1C4D5DC6" w14:textId="77777777" w:rsidR="00D364A9" w:rsidRDefault="00D364A9">
      <w:pPr>
        <w:rPr>
          <w:rFonts w:ascii="Arial" w:hAnsi="Arial" w:cs="Arial"/>
          <w:bCs/>
          <w:noProof/>
          <w:sz w:val="24"/>
          <w:szCs w:val="24"/>
          <w:lang w:val="en-CA"/>
        </w:rPr>
      </w:pPr>
      <w:r>
        <w:rPr>
          <w:rFonts w:ascii="Arial" w:hAnsi="Arial" w:cs="Arial"/>
          <w:bCs/>
          <w:noProof/>
          <w:sz w:val="24"/>
          <w:szCs w:val="24"/>
          <w:lang w:val="en-CA"/>
        </w:rPr>
        <w:br w:type="page"/>
      </w:r>
    </w:p>
    <w:p w14:paraId="5F132B53" w14:textId="77777777" w:rsidR="00977D5C" w:rsidRPr="00977D5C" w:rsidRDefault="008A25CA" w:rsidP="001565F2">
      <w:pPr>
        <w:rPr>
          <w:rFonts w:ascii="Arial" w:hAnsi="Arial" w:cs="Arial"/>
          <w:bCs/>
          <w:noProof/>
          <w:sz w:val="24"/>
          <w:szCs w:val="24"/>
          <w:lang w:val="en-CA"/>
        </w:rPr>
      </w:pPr>
      <w:r w:rsidRPr="00953047">
        <w:rPr>
          <w:noProof/>
        </w:rPr>
        <w:lastRenderedPageBreak/>
        <w:drawing>
          <wp:anchor distT="0" distB="0" distL="114300" distR="114300" simplePos="0" relativeHeight="251663360" behindDoc="0" locked="0" layoutInCell="1" allowOverlap="1" wp14:anchorId="1F093554" wp14:editId="3F4F9F86">
            <wp:simplePos x="0" y="0"/>
            <wp:positionH relativeFrom="column">
              <wp:posOffset>195580</wp:posOffset>
            </wp:positionH>
            <wp:positionV relativeFrom="paragraph">
              <wp:posOffset>463550</wp:posOffset>
            </wp:positionV>
            <wp:extent cx="5420995" cy="3481070"/>
            <wp:effectExtent l="0" t="0" r="825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0995" cy="348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20A68" w14:textId="77777777" w:rsidR="003310FD" w:rsidRDefault="003310FD" w:rsidP="00D64B10">
      <w:pPr>
        <w:rPr>
          <w:rFonts w:ascii="Arial" w:hAnsi="Arial" w:cs="Arial"/>
          <w:b/>
          <w:bCs/>
          <w:noProof/>
          <w:sz w:val="24"/>
          <w:szCs w:val="24"/>
          <w:lang w:val="en-CA"/>
        </w:rPr>
      </w:pPr>
    </w:p>
    <w:p w14:paraId="1B063045" w14:textId="77777777" w:rsidR="003310FD" w:rsidRDefault="003310FD" w:rsidP="00D64B10">
      <w:pPr>
        <w:rPr>
          <w:rFonts w:ascii="Arial" w:hAnsi="Arial" w:cs="Arial"/>
          <w:b/>
          <w:bCs/>
          <w:noProof/>
          <w:sz w:val="24"/>
          <w:szCs w:val="24"/>
          <w:lang w:val="en-CA"/>
        </w:rPr>
      </w:pPr>
    </w:p>
    <w:p w14:paraId="57767D8A" w14:textId="77777777" w:rsidR="00953047" w:rsidRPr="00A262A4" w:rsidRDefault="00774B2D" w:rsidP="0005558A">
      <w:pPr>
        <w:jc w:val="both"/>
        <w:rPr>
          <w:rFonts w:ascii="Times New Roman" w:hAnsi="Times New Roman" w:cs="Times New Roman"/>
          <w:b/>
          <w:bCs/>
          <w:noProof/>
          <w:sz w:val="20"/>
          <w:szCs w:val="20"/>
          <w:lang w:val="en-CA"/>
        </w:rPr>
      </w:pPr>
      <w:r w:rsidRPr="00A262A4">
        <w:rPr>
          <w:rFonts w:ascii="Times New Roman" w:eastAsiaTheme="minorEastAsia" w:hAnsi="Times New Roman" w:cs="Times New Roman"/>
          <w:b/>
          <w:bCs/>
          <w:noProof/>
          <w:sz w:val="20"/>
          <w:szCs w:val="20"/>
          <w:lang w:val="en-CA"/>
        </w:rPr>
        <w:t xml:space="preserve">Supplemental Figure </w:t>
      </w:r>
      <w:r w:rsidR="00D364A9" w:rsidRPr="00A262A4">
        <w:rPr>
          <w:rFonts w:ascii="Times New Roman" w:eastAsiaTheme="minorEastAsia" w:hAnsi="Times New Roman" w:cs="Times New Roman"/>
          <w:b/>
          <w:bCs/>
          <w:noProof/>
          <w:sz w:val="20"/>
          <w:szCs w:val="20"/>
          <w:lang w:val="en-CA"/>
        </w:rPr>
        <w:t>4</w:t>
      </w:r>
      <w:r w:rsidR="00953047" w:rsidRPr="00A262A4">
        <w:rPr>
          <w:rFonts w:ascii="Times New Roman" w:eastAsiaTheme="minorEastAsia" w:hAnsi="Times New Roman" w:cs="Times New Roman"/>
          <w:b/>
          <w:bCs/>
          <w:noProof/>
          <w:sz w:val="20"/>
          <w:szCs w:val="20"/>
          <w:lang w:val="en-CA"/>
        </w:rPr>
        <w:t xml:space="preserve">. </w:t>
      </w:r>
      <w:r w:rsidR="00953047" w:rsidRPr="00A262A4">
        <w:rPr>
          <w:rFonts w:ascii="Times New Roman" w:eastAsiaTheme="minorEastAsia" w:hAnsi="Times New Roman" w:cs="Times New Roman"/>
          <w:bCs/>
          <w:noProof/>
          <w:sz w:val="20"/>
          <w:szCs w:val="20"/>
          <w:lang w:val="en-CA"/>
        </w:rPr>
        <w:t xml:space="preserve">The ROC curves for the derivation and validation groups using the probability of dying in 28 days as the classifier. Black curve: derivation group, N=356, AUC= </w:t>
      </w:r>
      <w:r w:rsidR="00953047" w:rsidRPr="00A262A4">
        <w:rPr>
          <w:rFonts w:ascii="Times New Roman" w:eastAsiaTheme="minorEastAsia" w:hAnsi="Times New Roman" w:cs="Times New Roman"/>
          <w:bCs/>
          <w:noProof/>
          <w:sz w:val="20"/>
          <w:szCs w:val="20"/>
          <w:lang w:val="it-IT"/>
        </w:rPr>
        <w:t>0.903 (95% CI, 0.864 - 0.941)</w:t>
      </w:r>
      <w:r w:rsidR="00953047" w:rsidRPr="00A262A4">
        <w:rPr>
          <w:rFonts w:ascii="Times New Roman" w:eastAsiaTheme="minorEastAsia" w:hAnsi="Times New Roman" w:cs="Times New Roman"/>
          <w:bCs/>
          <w:noProof/>
          <w:sz w:val="20"/>
          <w:szCs w:val="20"/>
          <w:lang w:val="en-CA"/>
        </w:rPr>
        <w:t xml:space="preserve">. Blue curve: validation group, N=28, without redefining day 1, AUC= </w:t>
      </w:r>
      <w:r w:rsidR="00953047" w:rsidRPr="00A262A4">
        <w:rPr>
          <w:rFonts w:ascii="Times New Roman" w:eastAsiaTheme="minorEastAsia" w:hAnsi="Times New Roman" w:cs="Times New Roman"/>
          <w:bCs/>
          <w:noProof/>
          <w:sz w:val="20"/>
          <w:szCs w:val="20"/>
          <w:lang w:val="it-IT"/>
        </w:rPr>
        <w:t>0.939 (95% CI, 0.849 – 1.000)</w:t>
      </w:r>
      <w:r w:rsidR="00953047" w:rsidRPr="00A262A4">
        <w:rPr>
          <w:rFonts w:ascii="Times New Roman" w:eastAsiaTheme="minorEastAsia" w:hAnsi="Times New Roman" w:cs="Times New Roman"/>
          <w:bCs/>
          <w:noProof/>
          <w:sz w:val="20"/>
          <w:szCs w:val="20"/>
          <w:lang w:val="en-CA"/>
        </w:rPr>
        <w:t xml:space="preserve">. Red curve: validation group, N=28, with day 1 redefined, AUC= </w:t>
      </w:r>
      <w:r w:rsidR="00953047" w:rsidRPr="00A262A4">
        <w:rPr>
          <w:rFonts w:ascii="Times New Roman" w:eastAsiaTheme="minorEastAsia" w:hAnsi="Times New Roman" w:cs="Times New Roman"/>
          <w:bCs/>
          <w:noProof/>
          <w:sz w:val="20"/>
          <w:szCs w:val="20"/>
          <w:lang w:val="it-IT"/>
        </w:rPr>
        <w:t>0.886 (95% CI, 0.746 – 1.000)</w:t>
      </w:r>
      <w:r w:rsidR="00953047" w:rsidRPr="00A262A4">
        <w:rPr>
          <w:rFonts w:ascii="Times New Roman" w:eastAsiaTheme="minorEastAsia" w:hAnsi="Times New Roman" w:cs="Times New Roman"/>
          <w:bCs/>
          <w:noProof/>
          <w:sz w:val="20"/>
          <w:szCs w:val="20"/>
          <w:lang w:val="en-CA"/>
        </w:rPr>
        <w:t xml:space="preserve">. </w:t>
      </w:r>
    </w:p>
    <w:p w14:paraId="77BAF2FE" w14:textId="77777777" w:rsidR="00BE4B38" w:rsidRDefault="00BE4B38">
      <w:pPr>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br w:type="page"/>
      </w:r>
    </w:p>
    <w:p w14:paraId="5A08EEA3" w14:textId="77777777" w:rsidR="00BE4B38" w:rsidRDefault="00BE4B38">
      <w:pPr>
        <w:rPr>
          <w:rFonts w:ascii="Times New Roman" w:eastAsiaTheme="minorEastAsia" w:hAnsi="Times New Roman" w:cs="Times New Roman"/>
          <w:noProof/>
          <w:sz w:val="24"/>
          <w:szCs w:val="24"/>
        </w:rPr>
      </w:pPr>
      <w:r w:rsidRPr="00BE4B38">
        <w:rPr>
          <w:rFonts w:ascii="Times New Roman" w:eastAsiaTheme="minorEastAsia" w:hAnsi="Times New Roman" w:cs="Times New Roman"/>
          <w:noProof/>
          <w:sz w:val="24"/>
          <w:szCs w:val="24"/>
        </w:rPr>
        <w:lastRenderedPageBreak/>
        <w:drawing>
          <wp:inline distT="0" distB="0" distL="0" distR="0" wp14:anchorId="6CA7A082" wp14:editId="75C58A58">
            <wp:extent cx="5721531" cy="4010297"/>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22330" cy="4010857"/>
                    </a:xfrm>
                    <a:prstGeom prst="rect">
                      <a:avLst/>
                    </a:prstGeom>
                  </pic:spPr>
                </pic:pic>
              </a:graphicData>
            </a:graphic>
          </wp:inline>
        </w:drawing>
      </w:r>
      <w:r w:rsidRPr="00BE4B38">
        <w:rPr>
          <w:rFonts w:ascii="Times New Roman" w:eastAsiaTheme="minorEastAsia" w:hAnsi="Times New Roman" w:cs="Times New Roman"/>
          <w:noProof/>
          <w:sz w:val="24"/>
          <w:szCs w:val="24"/>
        </w:rPr>
        <w:t xml:space="preserve"> </w:t>
      </w:r>
    </w:p>
    <w:p w14:paraId="23B7C081" w14:textId="77777777" w:rsidR="008A25CA" w:rsidRDefault="008A25CA">
      <w:pPr>
        <w:rPr>
          <w:rFonts w:ascii="Times New Roman" w:eastAsiaTheme="minorEastAsia" w:hAnsi="Times New Roman" w:cs="Times New Roman"/>
          <w:bCs/>
          <w:noProof/>
          <w:sz w:val="20"/>
          <w:szCs w:val="20"/>
          <w:highlight w:val="yellow"/>
        </w:rPr>
      </w:pPr>
    </w:p>
    <w:p w14:paraId="5B60CDCF" w14:textId="77777777" w:rsidR="008A25CA" w:rsidRDefault="008A25CA">
      <w:pPr>
        <w:rPr>
          <w:rFonts w:ascii="Times New Roman" w:eastAsiaTheme="minorEastAsia" w:hAnsi="Times New Roman" w:cs="Times New Roman"/>
          <w:bCs/>
          <w:noProof/>
          <w:sz w:val="20"/>
          <w:szCs w:val="20"/>
          <w:highlight w:val="yellow"/>
        </w:rPr>
      </w:pPr>
    </w:p>
    <w:p w14:paraId="2BC459D7" w14:textId="77777777" w:rsidR="00200E17" w:rsidRPr="00734930" w:rsidRDefault="00BE4B38">
      <w:pPr>
        <w:rPr>
          <w:rFonts w:ascii="Times New Roman" w:eastAsiaTheme="minorEastAsia" w:hAnsi="Times New Roman" w:cs="Times New Roman"/>
          <w:noProof/>
          <w:sz w:val="20"/>
          <w:szCs w:val="20"/>
        </w:rPr>
      </w:pPr>
      <w:r w:rsidRPr="00554619">
        <w:rPr>
          <w:rFonts w:ascii="Times New Roman" w:eastAsiaTheme="minorEastAsia" w:hAnsi="Times New Roman" w:cs="Times New Roman"/>
          <w:bCs/>
          <w:noProof/>
          <w:sz w:val="20"/>
          <w:szCs w:val="20"/>
        </w:rPr>
        <w:t xml:space="preserve">Supplemental Figure 5.  The mortality risk profile of Patient A that highlights the relative contribution of each TVBI to the risk of dying: generated by </w:t>
      </w:r>
      <w:r w:rsidR="003761EC" w:rsidRPr="00554619">
        <w:rPr>
          <w:rFonts w:ascii="Times New Roman" w:eastAsiaTheme="minorEastAsia" w:hAnsi="Times New Roman" w:cs="Times New Roman"/>
          <w:bCs/>
          <w:i/>
          <w:iCs/>
          <w:noProof/>
          <w:sz w:val="20"/>
          <w:szCs w:val="20"/>
        </w:rPr>
        <w:t>Longitudinal Logit Model.</w:t>
      </w:r>
      <w:r w:rsidR="0084578F" w:rsidRPr="00734930">
        <w:rPr>
          <w:rFonts w:ascii="Times New Roman" w:eastAsiaTheme="minorEastAsia" w:hAnsi="Times New Roman" w:cs="Times New Roman"/>
          <w:noProof/>
          <w:sz w:val="20"/>
          <w:szCs w:val="20"/>
        </w:rPr>
        <w:br w:type="page"/>
      </w:r>
    </w:p>
    <w:p w14:paraId="26B74634" w14:textId="77777777" w:rsidR="00200E17" w:rsidRPr="003761EC" w:rsidRDefault="00200E17" w:rsidP="00200E17">
      <w:pPr>
        <w:jc w:val="center"/>
        <w:rPr>
          <w:rFonts w:ascii="Times New Roman" w:eastAsiaTheme="minorEastAsia" w:hAnsi="Times New Roman" w:cs="Times New Roman"/>
          <w:noProof/>
          <w:sz w:val="24"/>
          <w:szCs w:val="24"/>
        </w:rPr>
      </w:pPr>
      <w:r w:rsidRPr="003761EC">
        <w:rPr>
          <w:rFonts w:ascii="Times New Roman" w:eastAsiaTheme="minorEastAsia" w:hAnsi="Times New Roman" w:cs="Times New Roman"/>
          <w:noProof/>
          <w:sz w:val="24"/>
          <w:szCs w:val="24"/>
        </w:rPr>
        <w:lastRenderedPageBreak/>
        <w:fldChar w:fldCharType="begin"/>
      </w:r>
      <w:r w:rsidRPr="003761EC">
        <w:rPr>
          <w:rFonts w:ascii="Times New Roman" w:eastAsiaTheme="minorEastAsia" w:hAnsi="Times New Roman" w:cs="Times New Roman"/>
          <w:noProof/>
          <w:sz w:val="24"/>
          <w:szCs w:val="24"/>
        </w:rPr>
        <w:instrText xml:space="preserve"> ADDIN REFMGR.REFLIST </w:instrText>
      </w:r>
      <w:r w:rsidRPr="003761EC">
        <w:rPr>
          <w:rFonts w:ascii="Times New Roman" w:eastAsiaTheme="minorEastAsia" w:hAnsi="Times New Roman" w:cs="Times New Roman"/>
          <w:noProof/>
          <w:sz w:val="24"/>
          <w:szCs w:val="24"/>
        </w:rPr>
        <w:fldChar w:fldCharType="separate"/>
      </w:r>
      <w:r w:rsidRPr="003761EC">
        <w:rPr>
          <w:rFonts w:ascii="Times New Roman" w:eastAsiaTheme="minorEastAsia" w:hAnsi="Times New Roman" w:cs="Times New Roman"/>
          <w:noProof/>
          <w:sz w:val="24"/>
          <w:szCs w:val="24"/>
        </w:rPr>
        <w:t>Reference List</w:t>
      </w:r>
    </w:p>
    <w:p w14:paraId="600CFC1A" w14:textId="77777777" w:rsidR="00200E17" w:rsidRPr="003761EC" w:rsidRDefault="00200E17" w:rsidP="00200E17">
      <w:pPr>
        <w:tabs>
          <w:tab w:val="right" w:pos="360"/>
          <w:tab w:val="left" w:pos="540"/>
        </w:tabs>
        <w:spacing w:after="240" w:line="240" w:lineRule="auto"/>
        <w:ind w:left="540" w:hanging="540"/>
        <w:rPr>
          <w:rFonts w:ascii="Times New Roman" w:eastAsiaTheme="minorEastAsia" w:hAnsi="Times New Roman" w:cs="Times New Roman"/>
          <w:noProof/>
          <w:sz w:val="24"/>
          <w:szCs w:val="24"/>
        </w:rPr>
      </w:pPr>
      <w:r w:rsidRPr="003761EC">
        <w:rPr>
          <w:rFonts w:ascii="Times New Roman" w:eastAsiaTheme="minorEastAsia" w:hAnsi="Times New Roman" w:cs="Times New Roman"/>
          <w:noProof/>
          <w:sz w:val="24"/>
          <w:szCs w:val="24"/>
        </w:rPr>
        <w:tab/>
        <w:t xml:space="preserve">1. </w:t>
      </w:r>
      <w:r w:rsidRPr="003761EC">
        <w:rPr>
          <w:rFonts w:ascii="Times New Roman" w:eastAsiaTheme="minorEastAsia" w:hAnsi="Times New Roman" w:cs="Times New Roman"/>
          <w:noProof/>
          <w:sz w:val="24"/>
          <w:szCs w:val="24"/>
        </w:rPr>
        <w:tab/>
        <w:t xml:space="preserve">Bernard GR, Vincent JL, Laterre PF et al: Efficacy and safety of recombinant human activated protein C for severe sepsis. </w:t>
      </w:r>
      <w:r w:rsidRPr="003761EC">
        <w:rPr>
          <w:rFonts w:ascii="Times New Roman" w:eastAsiaTheme="minorEastAsia" w:hAnsi="Times New Roman" w:cs="Times New Roman"/>
          <w:i/>
          <w:noProof/>
          <w:sz w:val="24"/>
          <w:szCs w:val="24"/>
        </w:rPr>
        <w:t>N Engl J Med</w:t>
      </w:r>
      <w:r w:rsidRPr="003761EC">
        <w:rPr>
          <w:rFonts w:ascii="Times New Roman" w:eastAsiaTheme="minorEastAsia" w:hAnsi="Times New Roman" w:cs="Times New Roman"/>
          <w:noProof/>
          <w:sz w:val="24"/>
          <w:szCs w:val="24"/>
        </w:rPr>
        <w:t xml:space="preserve"> 2001; 344:699-709</w:t>
      </w:r>
    </w:p>
    <w:p w14:paraId="6D3048A9" w14:textId="77777777" w:rsidR="00200E17" w:rsidRPr="003761EC" w:rsidRDefault="00200E17" w:rsidP="00200E17">
      <w:pPr>
        <w:tabs>
          <w:tab w:val="right" w:pos="360"/>
          <w:tab w:val="left" w:pos="540"/>
        </w:tabs>
        <w:spacing w:after="240" w:line="240" w:lineRule="auto"/>
        <w:ind w:left="540" w:hanging="540"/>
        <w:rPr>
          <w:rFonts w:ascii="Times New Roman" w:eastAsiaTheme="minorEastAsia" w:hAnsi="Times New Roman" w:cs="Times New Roman"/>
          <w:noProof/>
          <w:sz w:val="24"/>
          <w:szCs w:val="24"/>
        </w:rPr>
      </w:pPr>
      <w:r w:rsidRPr="003761EC">
        <w:rPr>
          <w:rFonts w:ascii="Times New Roman" w:eastAsiaTheme="minorEastAsia" w:hAnsi="Times New Roman" w:cs="Times New Roman"/>
          <w:noProof/>
          <w:sz w:val="24"/>
          <w:szCs w:val="24"/>
        </w:rPr>
        <w:tab/>
        <w:t xml:space="preserve">2. </w:t>
      </w:r>
      <w:r w:rsidRPr="003761EC">
        <w:rPr>
          <w:rFonts w:ascii="Times New Roman" w:eastAsiaTheme="minorEastAsia" w:hAnsi="Times New Roman" w:cs="Times New Roman"/>
          <w:noProof/>
          <w:sz w:val="24"/>
          <w:szCs w:val="24"/>
        </w:rPr>
        <w:tab/>
        <w:t xml:space="preserve">Allison PD: </w:t>
      </w:r>
      <w:r w:rsidRPr="003761EC">
        <w:rPr>
          <w:rFonts w:ascii="Times New Roman" w:eastAsiaTheme="minorEastAsia" w:hAnsi="Times New Roman" w:cs="Times New Roman"/>
          <w:i/>
          <w:noProof/>
          <w:sz w:val="24"/>
          <w:szCs w:val="24"/>
        </w:rPr>
        <w:t>Survival Analysis Using SAS: A Practical Guide,</w:t>
      </w:r>
      <w:r w:rsidRPr="003761EC">
        <w:rPr>
          <w:rFonts w:ascii="Times New Roman" w:eastAsiaTheme="minorEastAsia" w:hAnsi="Times New Roman" w:cs="Times New Roman"/>
          <w:noProof/>
          <w:sz w:val="24"/>
          <w:szCs w:val="24"/>
        </w:rPr>
        <w:t xml:space="preserve"> </w:t>
      </w:r>
      <w:r w:rsidRPr="003761EC">
        <w:rPr>
          <w:rFonts w:ascii="Times New Roman" w:eastAsiaTheme="minorEastAsia" w:hAnsi="Times New Roman" w:cs="Times New Roman"/>
          <w:i/>
          <w:noProof/>
          <w:sz w:val="24"/>
          <w:szCs w:val="24"/>
        </w:rPr>
        <w:t>Second Edition</w:t>
      </w:r>
      <w:r w:rsidRPr="003761EC">
        <w:rPr>
          <w:rFonts w:ascii="Times New Roman" w:eastAsiaTheme="minorEastAsia" w:hAnsi="Times New Roman" w:cs="Times New Roman"/>
          <w:noProof/>
          <w:sz w:val="24"/>
          <w:szCs w:val="24"/>
        </w:rPr>
        <w:t xml:space="preserve">. </w:t>
      </w:r>
      <w:r w:rsidRPr="003761EC">
        <w:rPr>
          <w:rFonts w:ascii="Times New Roman" w:eastAsiaTheme="minorEastAsia" w:hAnsi="Times New Roman" w:cs="Times New Roman"/>
          <w:i/>
          <w:noProof/>
          <w:sz w:val="24"/>
          <w:szCs w:val="24"/>
        </w:rPr>
        <w:t>SAS Institute Inc</w:t>
      </w:r>
      <w:r w:rsidRPr="003761EC">
        <w:rPr>
          <w:rFonts w:ascii="Times New Roman" w:eastAsiaTheme="minorEastAsia" w:hAnsi="Times New Roman" w:cs="Times New Roman"/>
          <w:noProof/>
          <w:sz w:val="24"/>
          <w:szCs w:val="24"/>
        </w:rPr>
        <w:t xml:space="preserve"> 2010158-172</w:t>
      </w:r>
    </w:p>
    <w:p w14:paraId="706065B7" w14:textId="77777777" w:rsidR="00200E17" w:rsidRPr="003761EC" w:rsidRDefault="00200E17" w:rsidP="00200E17">
      <w:pPr>
        <w:tabs>
          <w:tab w:val="right" w:pos="360"/>
          <w:tab w:val="left" w:pos="540"/>
        </w:tabs>
        <w:spacing w:after="240" w:line="240" w:lineRule="auto"/>
        <w:ind w:left="540" w:hanging="540"/>
        <w:rPr>
          <w:rFonts w:ascii="Times New Roman" w:eastAsiaTheme="minorEastAsia" w:hAnsi="Times New Roman" w:cs="Times New Roman"/>
          <w:noProof/>
          <w:sz w:val="24"/>
          <w:szCs w:val="24"/>
        </w:rPr>
      </w:pPr>
      <w:r w:rsidRPr="003761EC">
        <w:rPr>
          <w:rFonts w:ascii="Times New Roman" w:eastAsiaTheme="minorEastAsia" w:hAnsi="Times New Roman" w:cs="Times New Roman"/>
          <w:noProof/>
          <w:sz w:val="24"/>
          <w:szCs w:val="24"/>
        </w:rPr>
        <w:tab/>
        <w:t xml:space="preserve">3. </w:t>
      </w:r>
      <w:r w:rsidRPr="003761EC">
        <w:rPr>
          <w:rFonts w:ascii="Times New Roman" w:eastAsiaTheme="minorEastAsia" w:hAnsi="Times New Roman" w:cs="Times New Roman"/>
          <w:noProof/>
          <w:sz w:val="24"/>
          <w:szCs w:val="24"/>
        </w:rPr>
        <w:tab/>
        <w:t xml:space="preserve">Hanley JA and McNeil BJ: The meaning and use of the area under a receiver operating characteristic (ROC) curve. </w:t>
      </w:r>
      <w:r w:rsidRPr="003761EC">
        <w:rPr>
          <w:rFonts w:ascii="Times New Roman" w:eastAsiaTheme="minorEastAsia" w:hAnsi="Times New Roman" w:cs="Times New Roman"/>
          <w:i/>
          <w:noProof/>
          <w:sz w:val="24"/>
          <w:szCs w:val="24"/>
        </w:rPr>
        <w:t>Radiology</w:t>
      </w:r>
      <w:r w:rsidRPr="003761EC">
        <w:rPr>
          <w:rFonts w:ascii="Times New Roman" w:eastAsiaTheme="minorEastAsia" w:hAnsi="Times New Roman" w:cs="Times New Roman"/>
          <w:noProof/>
          <w:sz w:val="24"/>
          <w:szCs w:val="24"/>
        </w:rPr>
        <w:t xml:space="preserve"> 1982; 143:29-36</w:t>
      </w:r>
    </w:p>
    <w:p w14:paraId="3D2B1418" w14:textId="77777777" w:rsidR="00200E17" w:rsidRPr="003761EC" w:rsidRDefault="00200E17" w:rsidP="00200E17">
      <w:pPr>
        <w:tabs>
          <w:tab w:val="right" w:pos="360"/>
          <w:tab w:val="left" w:pos="540"/>
        </w:tabs>
        <w:spacing w:after="240" w:line="240" w:lineRule="auto"/>
        <w:ind w:left="540" w:hanging="540"/>
        <w:rPr>
          <w:rFonts w:ascii="Times New Roman" w:eastAsiaTheme="minorEastAsia" w:hAnsi="Times New Roman" w:cs="Times New Roman"/>
          <w:noProof/>
          <w:sz w:val="24"/>
          <w:szCs w:val="24"/>
        </w:rPr>
      </w:pPr>
      <w:r w:rsidRPr="003761EC">
        <w:rPr>
          <w:rFonts w:ascii="Times New Roman" w:eastAsiaTheme="minorEastAsia" w:hAnsi="Times New Roman" w:cs="Times New Roman"/>
          <w:noProof/>
          <w:sz w:val="24"/>
          <w:szCs w:val="24"/>
        </w:rPr>
        <w:tab/>
        <w:t xml:space="preserve">4. </w:t>
      </w:r>
      <w:r w:rsidRPr="003761EC">
        <w:rPr>
          <w:rFonts w:ascii="Times New Roman" w:eastAsiaTheme="minorEastAsia" w:hAnsi="Times New Roman" w:cs="Times New Roman"/>
          <w:noProof/>
          <w:sz w:val="24"/>
          <w:szCs w:val="24"/>
        </w:rPr>
        <w:tab/>
        <w:t xml:space="preserve">Ben-Akiva M and Lerman SR: Discrete choice analysis: Theory and application to travel demand. </w:t>
      </w:r>
      <w:r w:rsidRPr="003761EC">
        <w:rPr>
          <w:rFonts w:ascii="Times New Roman" w:eastAsiaTheme="minorEastAsia" w:hAnsi="Times New Roman" w:cs="Times New Roman"/>
          <w:i/>
          <w:noProof/>
          <w:sz w:val="24"/>
          <w:szCs w:val="24"/>
        </w:rPr>
        <w:t>Cambridge, MA: The MIT Press</w:t>
      </w:r>
      <w:r w:rsidRPr="003761EC">
        <w:rPr>
          <w:rFonts w:ascii="Times New Roman" w:eastAsiaTheme="minorEastAsia" w:hAnsi="Times New Roman" w:cs="Times New Roman"/>
          <w:noProof/>
          <w:sz w:val="24"/>
          <w:szCs w:val="24"/>
        </w:rPr>
        <w:t xml:space="preserve"> 198590-91</w:t>
      </w:r>
    </w:p>
    <w:p w14:paraId="38AEA4E0" w14:textId="77777777" w:rsidR="00200E17" w:rsidRPr="003761EC" w:rsidRDefault="00200E17" w:rsidP="00200E17">
      <w:pPr>
        <w:tabs>
          <w:tab w:val="right" w:pos="360"/>
          <w:tab w:val="left" w:pos="540"/>
        </w:tabs>
        <w:spacing w:after="0" w:line="240" w:lineRule="auto"/>
        <w:ind w:left="540" w:hanging="540"/>
        <w:rPr>
          <w:rFonts w:ascii="Times New Roman" w:eastAsiaTheme="minorEastAsia" w:hAnsi="Times New Roman" w:cs="Times New Roman"/>
          <w:noProof/>
          <w:sz w:val="24"/>
          <w:szCs w:val="24"/>
        </w:rPr>
      </w:pPr>
    </w:p>
    <w:p w14:paraId="1EF7FC25" w14:textId="77777777" w:rsidR="0084578F" w:rsidRDefault="00200E17" w:rsidP="00200E17">
      <w:pPr>
        <w:tabs>
          <w:tab w:val="right" w:pos="360"/>
          <w:tab w:val="left" w:pos="540"/>
        </w:tabs>
        <w:spacing w:after="0" w:line="240" w:lineRule="auto"/>
        <w:ind w:left="540" w:hanging="540"/>
        <w:rPr>
          <w:rFonts w:ascii="Times New Roman" w:eastAsiaTheme="minorEastAsia" w:hAnsi="Times New Roman" w:cs="Times New Roman"/>
          <w:noProof/>
          <w:sz w:val="24"/>
          <w:szCs w:val="24"/>
        </w:rPr>
      </w:pPr>
      <w:r w:rsidRPr="003761EC">
        <w:rPr>
          <w:rFonts w:ascii="Times New Roman" w:eastAsiaTheme="minorEastAsia" w:hAnsi="Times New Roman" w:cs="Times New Roman"/>
          <w:noProof/>
          <w:sz w:val="24"/>
          <w:szCs w:val="24"/>
        </w:rPr>
        <w:fldChar w:fldCharType="end"/>
      </w:r>
    </w:p>
    <w:sectPr w:rsidR="0084578F" w:rsidSect="00EA4ED7">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E006" w14:textId="77777777" w:rsidR="00A00B30" w:rsidRDefault="00A00B30" w:rsidP="00490F4E">
      <w:pPr>
        <w:spacing w:after="0" w:line="240" w:lineRule="auto"/>
      </w:pPr>
      <w:r>
        <w:separator/>
      </w:r>
    </w:p>
  </w:endnote>
  <w:endnote w:type="continuationSeparator" w:id="0">
    <w:p w14:paraId="35C8FFB7" w14:textId="77777777" w:rsidR="00A00B30" w:rsidRDefault="00A00B30" w:rsidP="0049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818424"/>
      <w:docPartObj>
        <w:docPartGallery w:val="Page Numbers (Bottom of Page)"/>
        <w:docPartUnique/>
      </w:docPartObj>
    </w:sdtPr>
    <w:sdtEndPr>
      <w:rPr>
        <w:noProof/>
      </w:rPr>
    </w:sdtEndPr>
    <w:sdtContent>
      <w:p w14:paraId="52124D65" w14:textId="77777777" w:rsidR="00A00B30" w:rsidRDefault="00A00B30">
        <w:pPr>
          <w:pStyle w:val="Footer"/>
          <w:jc w:val="center"/>
        </w:pPr>
        <w:r>
          <w:fldChar w:fldCharType="begin"/>
        </w:r>
        <w:r>
          <w:instrText xml:space="preserve"> PAGE   \* MERGEFORMAT </w:instrText>
        </w:r>
        <w:r>
          <w:fldChar w:fldCharType="separate"/>
        </w:r>
        <w:r w:rsidR="002F7523">
          <w:rPr>
            <w:noProof/>
          </w:rPr>
          <w:t>7</w:t>
        </w:r>
        <w:r>
          <w:rPr>
            <w:noProof/>
          </w:rPr>
          <w:fldChar w:fldCharType="end"/>
        </w:r>
      </w:p>
    </w:sdtContent>
  </w:sdt>
  <w:p w14:paraId="232FEB58" w14:textId="77777777" w:rsidR="00A00B30" w:rsidRDefault="00A0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1047" w14:textId="77777777" w:rsidR="00A00B30" w:rsidRDefault="00A00B30" w:rsidP="00490F4E">
      <w:pPr>
        <w:spacing w:after="0" w:line="240" w:lineRule="auto"/>
      </w:pPr>
      <w:r>
        <w:separator/>
      </w:r>
    </w:p>
  </w:footnote>
  <w:footnote w:type="continuationSeparator" w:id="0">
    <w:p w14:paraId="250F32BF" w14:textId="77777777" w:rsidR="00A00B30" w:rsidRDefault="00A00B30" w:rsidP="00490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InstantFormat&gt;&lt;Enabled&gt;1&lt;/Enabled&gt;&lt;ScanUnformatted&gt;1&lt;/ScanUnformatted&gt;&lt;ScanChanges&gt;1&lt;/ScanChanges&gt;&lt;/InstantFormat&gt;"/>
    <w:docVar w:name="REFMGR.Layout" w:val="&lt;Layout&gt;&lt;StartingRefnum&gt;Critical Care Medicine &lt;/StartingRefnum&gt;&lt;FontName&gt;Calibri&lt;/FontName&gt;&lt;FontSize&gt;11&lt;/FontSize&gt;&lt;ReflistTitle&gt;Reference List&amp;#xA;&amp;#xA;&amp;#xA;&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atricias refman2010&lt;/item&gt;&lt;/Libraries&gt;&lt;/Databases&gt;"/>
  </w:docVars>
  <w:rsids>
    <w:rsidRoot w:val="003766C6"/>
    <w:rsid w:val="00000DC2"/>
    <w:rsid w:val="00001F5D"/>
    <w:rsid w:val="000038AD"/>
    <w:rsid w:val="0000457C"/>
    <w:rsid w:val="00005F90"/>
    <w:rsid w:val="00006DDA"/>
    <w:rsid w:val="0000791C"/>
    <w:rsid w:val="00007F05"/>
    <w:rsid w:val="000105B9"/>
    <w:rsid w:val="000123A3"/>
    <w:rsid w:val="000132B2"/>
    <w:rsid w:val="00013E32"/>
    <w:rsid w:val="00013E48"/>
    <w:rsid w:val="00015D72"/>
    <w:rsid w:val="00016ADC"/>
    <w:rsid w:val="00017863"/>
    <w:rsid w:val="00020AC2"/>
    <w:rsid w:val="000210C4"/>
    <w:rsid w:val="00021BF1"/>
    <w:rsid w:val="0002286B"/>
    <w:rsid w:val="000233D1"/>
    <w:rsid w:val="000242F4"/>
    <w:rsid w:val="00024AA8"/>
    <w:rsid w:val="00025B70"/>
    <w:rsid w:val="00025F46"/>
    <w:rsid w:val="0002665E"/>
    <w:rsid w:val="0002690C"/>
    <w:rsid w:val="0002703D"/>
    <w:rsid w:val="000270F8"/>
    <w:rsid w:val="00034A20"/>
    <w:rsid w:val="00037250"/>
    <w:rsid w:val="0004096C"/>
    <w:rsid w:val="00040C08"/>
    <w:rsid w:val="00041033"/>
    <w:rsid w:val="00041E0A"/>
    <w:rsid w:val="00041E48"/>
    <w:rsid w:val="00042A44"/>
    <w:rsid w:val="00042DDE"/>
    <w:rsid w:val="0004376A"/>
    <w:rsid w:val="00043803"/>
    <w:rsid w:val="00043CB4"/>
    <w:rsid w:val="00043EAB"/>
    <w:rsid w:val="00044FDB"/>
    <w:rsid w:val="00045C45"/>
    <w:rsid w:val="00046526"/>
    <w:rsid w:val="00046AFB"/>
    <w:rsid w:val="00047701"/>
    <w:rsid w:val="000501FE"/>
    <w:rsid w:val="00051A76"/>
    <w:rsid w:val="00052A5A"/>
    <w:rsid w:val="00052FA5"/>
    <w:rsid w:val="00054A18"/>
    <w:rsid w:val="0005558A"/>
    <w:rsid w:val="00055951"/>
    <w:rsid w:val="00055C16"/>
    <w:rsid w:val="00055D8E"/>
    <w:rsid w:val="00056AF5"/>
    <w:rsid w:val="00056C25"/>
    <w:rsid w:val="00057201"/>
    <w:rsid w:val="00057A51"/>
    <w:rsid w:val="00060DE7"/>
    <w:rsid w:val="0006314D"/>
    <w:rsid w:val="000634B8"/>
    <w:rsid w:val="0006385C"/>
    <w:rsid w:val="00064C6F"/>
    <w:rsid w:val="00065D83"/>
    <w:rsid w:val="00071931"/>
    <w:rsid w:val="00071F51"/>
    <w:rsid w:val="0007233A"/>
    <w:rsid w:val="00072F4F"/>
    <w:rsid w:val="00074D22"/>
    <w:rsid w:val="000753DD"/>
    <w:rsid w:val="00075887"/>
    <w:rsid w:val="00077692"/>
    <w:rsid w:val="00080B7E"/>
    <w:rsid w:val="00081609"/>
    <w:rsid w:val="00083068"/>
    <w:rsid w:val="00083ED1"/>
    <w:rsid w:val="0008472B"/>
    <w:rsid w:val="00085059"/>
    <w:rsid w:val="0008684E"/>
    <w:rsid w:val="00086B89"/>
    <w:rsid w:val="000878A0"/>
    <w:rsid w:val="00087999"/>
    <w:rsid w:val="000910A3"/>
    <w:rsid w:val="00091B13"/>
    <w:rsid w:val="00092141"/>
    <w:rsid w:val="000952C2"/>
    <w:rsid w:val="00095CBE"/>
    <w:rsid w:val="000963A0"/>
    <w:rsid w:val="000967EC"/>
    <w:rsid w:val="00096F63"/>
    <w:rsid w:val="000973D4"/>
    <w:rsid w:val="0009784B"/>
    <w:rsid w:val="000A268D"/>
    <w:rsid w:val="000A478F"/>
    <w:rsid w:val="000A5938"/>
    <w:rsid w:val="000A5C2D"/>
    <w:rsid w:val="000B15BB"/>
    <w:rsid w:val="000B2359"/>
    <w:rsid w:val="000B344A"/>
    <w:rsid w:val="000B46A2"/>
    <w:rsid w:val="000B6FB0"/>
    <w:rsid w:val="000B6FEC"/>
    <w:rsid w:val="000B7321"/>
    <w:rsid w:val="000C0E7C"/>
    <w:rsid w:val="000C583F"/>
    <w:rsid w:val="000C5F2F"/>
    <w:rsid w:val="000C63DD"/>
    <w:rsid w:val="000C63FF"/>
    <w:rsid w:val="000C70E3"/>
    <w:rsid w:val="000C7540"/>
    <w:rsid w:val="000D0CD2"/>
    <w:rsid w:val="000D2BD9"/>
    <w:rsid w:val="000D32E9"/>
    <w:rsid w:val="000D76F0"/>
    <w:rsid w:val="000E18C1"/>
    <w:rsid w:val="000E6360"/>
    <w:rsid w:val="000E7736"/>
    <w:rsid w:val="000E7B6F"/>
    <w:rsid w:val="000F1940"/>
    <w:rsid w:val="000F2BB9"/>
    <w:rsid w:val="000F4F8B"/>
    <w:rsid w:val="000F7C54"/>
    <w:rsid w:val="0010098B"/>
    <w:rsid w:val="001013F2"/>
    <w:rsid w:val="00101BBD"/>
    <w:rsid w:val="00102808"/>
    <w:rsid w:val="001028FD"/>
    <w:rsid w:val="00102D0C"/>
    <w:rsid w:val="00103A8E"/>
    <w:rsid w:val="001045E3"/>
    <w:rsid w:val="00104B15"/>
    <w:rsid w:val="001053BF"/>
    <w:rsid w:val="00105A32"/>
    <w:rsid w:val="00105CE9"/>
    <w:rsid w:val="0010607A"/>
    <w:rsid w:val="001072E1"/>
    <w:rsid w:val="00107385"/>
    <w:rsid w:val="00107CB8"/>
    <w:rsid w:val="00110FBF"/>
    <w:rsid w:val="00112726"/>
    <w:rsid w:val="00112B9F"/>
    <w:rsid w:val="00113D8E"/>
    <w:rsid w:val="00115F6F"/>
    <w:rsid w:val="00116327"/>
    <w:rsid w:val="001165AE"/>
    <w:rsid w:val="00116926"/>
    <w:rsid w:val="00116D47"/>
    <w:rsid w:val="00121954"/>
    <w:rsid w:val="00121A1F"/>
    <w:rsid w:val="00122776"/>
    <w:rsid w:val="001230D2"/>
    <w:rsid w:val="0012376F"/>
    <w:rsid w:val="0012382D"/>
    <w:rsid w:val="00124E2D"/>
    <w:rsid w:val="00126297"/>
    <w:rsid w:val="00126C96"/>
    <w:rsid w:val="0013022B"/>
    <w:rsid w:val="0013185B"/>
    <w:rsid w:val="001321CA"/>
    <w:rsid w:val="00132C1A"/>
    <w:rsid w:val="00136E89"/>
    <w:rsid w:val="00137384"/>
    <w:rsid w:val="00137CF5"/>
    <w:rsid w:val="00141DA2"/>
    <w:rsid w:val="0014231A"/>
    <w:rsid w:val="00146D60"/>
    <w:rsid w:val="00147045"/>
    <w:rsid w:val="00147518"/>
    <w:rsid w:val="00151F5C"/>
    <w:rsid w:val="00153D5A"/>
    <w:rsid w:val="00156012"/>
    <w:rsid w:val="001565F2"/>
    <w:rsid w:val="001601DF"/>
    <w:rsid w:val="001606B9"/>
    <w:rsid w:val="001606BD"/>
    <w:rsid w:val="001634D9"/>
    <w:rsid w:val="00163EB5"/>
    <w:rsid w:val="0016491B"/>
    <w:rsid w:val="00164924"/>
    <w:rsid w:val="0016497E"/>
    <w:rsid w:val="001652F3"/>
    <w:rsid w:val="00165FEF"/>
    <w:rsid w:val="00166D3D"/>
    <w:rsid w:val="00171B4F"/>
    <w:rsid w:val="0017258C"/>
    <w:rsid w:val="00176043"/>
    <w:rsid w:val="001773DB"/>
    <w:rsid w:val="00177703"/>
    <w:rsid w:val="00177B24"/>
    <w:rsid w:val="00180BFF"/>
    <w:rsid w:val="001814D3"/>
    <w:rsid w:val="00183B3D"/>
    <w:rsid w:val="0018546E"/>
    <w:rsid w:val="00185730"/>
    <w:rsid w:val="0018579F"/>
    <w:rsid w:val="001864A0"/>
    <w:rsid w:val="00186947"/>
    <w:rsid w:val="00186B06"/>
    <w:rsid w:val="0019006D"/>
    <w:rsid w:val="00190F6B"/>
    <w:rsid w:val="001912D1"/>
    <w:rsid w:val="001926EC"/>
    <w:rsid w:val="00192CA0"/>
    <w:rsid w:val="00193624"/>
    <w:rsid w:val="00193AE1"/>
    <w:rsid w:val="00193FD4"/>
    <w:rsid w:val="00196232"/>
    <w:rsid w:val="001966BE"/>
    <w:rsid w:val="00196CE3"/>
    <w:rsid w:val="00197599"/>
    <w:rsid w:val="001A16C8"/>
    <w:rsid w:val="001A236A"/>
    <w:rsid w:val="001A2D96"/>
    <w:rsid w:val="001A429F"/>
    <w:rsid w:val="001A446C"/>
    <w:rsid w:val="001A4ABF"/>
    <w:rsid w:val="001A4C96"/>
    <w:rsid w:val="001A5880"/>
    <w:rsid w:val="001A6A9A"/>
    <w:rsid w:val="001A724F"/>
    <w:rsid w:val="001A7A11"/>
    <w:rsid w:val="001B0DE2"/>
    <w:rsid w:val="001B12A3"/>
    <w:rsid w:val="001B2AB6"/>
    <w:rsid w:val="001B2DE7"/>
    <w:rsid w:val="001B3683"/>
    <w:rsid w:val="001B4332"/>
    <w:rsid w:val="001B5F50"/>
    <w:rsid w:val="001B685D"/>
    <w:rsid w:val="001B69D3"/>
    <w:rsid w:val="001C02F6"/>
    <w:rsid w:val="001C06B1"/>
    <w:rsid w:val="001C0E75"/>
    <w:rsid w:val="001C1B91"/>
    <w:rsid w:val="001C22CE"/>
    <w:rsid w:val="001C3B7F"/>
    <w:rsid w:val="001C4D2A"/>
    <w:rsid w:val="001C66A3"/>
    <w:rsid w:val="001D0F7E"/>
    <w:rsid w:val="001D12B0"/>
    <w:rsid w:val="001D1504"/>
    <w:rsid w:val="001D1BAD"/>
    <w:rsid w:val="001D5C30"/>
    <w:rsid w:val="001D5E1C"/>
    <w:rsid w:val="001D7689"/>
    <w:rsid w:val="001E0CD6"/>
    <w:rsid w:val="001E0F50"/>
    <w:rsid w:val="001E1FD4"/>
    <w:rsid w:val="001E212C"/>
    <w:rsid w:val="001E21E4"/>
    <w:rsid w:val="001E48B3"/>
    <w:rsid w:val="001E544C"/>
    <w:rsid w:val="001E6E30"/>
    <w:rsid w:val="001E7AE9"/>
    <w:rsid w:val="001F1B2E"/>
    <w:rsid w:val="001F1D90"/>
    <w:rsid w:val="001F5508"/>
    <w:rsid w:val="001F5C68"/>
    <w:rsid w:val="001F6967"/>
    <w:rsid w:val="00200CA0"/>
    <w:rsid w:val="00200E17"/>
    <w:rsid w:val="0020177D"/>
    <w:rsid w:val="002021CB"/>
    <w:rsid w:val="002029D4"/>
    <w:rsid w:val="00204B14"/>
    <w:rsid w:val="00206C23"/>
    <w:rsid w:val="00206CD3"/>
    <w:rsid w:val="00211DB1"/>
    <w:rsid w:val="002146FC"/>
    <w:rsid w:val="002147A0"/>
    <w:rsid w:val="002149E0"/>
    <w:rsid w:val="00216134"/>
    <w:rsid w:val="002169A1"/>
    <w:rsid w:val="0021741C"/>
    <w:rsid w:val="00217867"/>
    <w:rsid w:val="00221DDB"/>
    <w:rsid w:val="00221E35"/>
    <w:rsid w:val="00222728"/>
    <w:rsid w:val="00223CBF"/>
    <w:rsid w:val="00224D13"/>
    <w:rsid w:val="00224E7F"/>
    <w:rsid w:val="002277C3"/>
    <w:rsid w:val="00227D22"/>
    <w:rsid w:val="00230175"/>
    <w:rsid w:val="002315DB"/>
    <w:rsid w:val="002331B4"/>
    <w:rsid w:val="002334B0"/>
    <w:rsid w:val="00235B05"/>
    <w:rsid w:val="0023706A"/>
    <w:rsid w:val="00240323"/>
    <w:rsid w:val="002414CC"/>
    <w:rsid w:val="002425CB"/>
    <w:rsid w:val="00244B14"/>
    <w:rsid w:val="00244E51"/>
    <w:rsid w:val="00245F61"/>
    <w:rsid w:val="00246FE0"/>
    <w:rsid w:val="00251793"/>
    <w:rsid w:val="00251A9E"/>
    <w:rsid w:val="002538A0"/>
    <w:rsid w:val="002556CE"/>
    <w:rsid w:val="0025646B"/>
    <w:rsid w:val="002566B1"/>
    <w:rsid w:val="00260600"/>
    <w:rsid w:val="0026154F"/>
    <w:rsid w:val="00262248"/>
    <w:rsid w:val="0026489C"/>
    <w:rsid w:val="002649AA"/>
    <w:rsid w:val="00265294"/>
    <w:rsid w:val="002671A5"/>
    <w:rsid w:val="002678C8"/>
    <w:rsid w:val="00270BB1"/>
    <w:rsid w:val="00271C74"/>
    <w:rsid w:val="00273C50"/>
    <w:rsid w:val="00273E70"/>
    <w:rsid w:val="002749DF"/>
    <w:rsid w:val="002752AA"/>
    <w:rsid w:val="002754A4"/>
    <w:rsid w:val="002771D2"/>
    <w:rsid w:val="00277232"/>
    <w:rsid w:val="00277CCA"/>
    <w:rsid w:val="00280631"/>
    <w:rsid w:val="00280903"/>
    <w:rsid w:val="00280D93"/>
    <w:rsid w:val="00281373"/>
    <w:rsid w:val="002828C4"/>
    <w:rsid w:val="00282DC8"/>
    <w:rsid w:val="00284FE8"/>
    <w:rsid w:val="00286D75"/>
    <w:rsid w:val="002876EB"/>
    <w:rsid w:val="00291861"/>
    <w:rsid w:val="00292EB1"/>
    <w:rsid w:val="00292ECF"/>
    <w:rsid w:val="002954D3"/>
    <w:rsid w:val="00296335"/>
    <w:rsid w:val="002975BD"/>
    <w:rsid w:val="002A2982"/>
    <w:rsid w:val="002A3082"/>
    <w:rsid w:val="002A31EC"/>
    <w:rsid w:val="002A31FD"/>
    <w:rsid w:val="002A5694"/>
    <w:rsid w:val="002A56E8"/>
    <w:rsid w:val="002A75DC"/>
    <w:rsid w:val="002B04A0"/>
    <w:rsid w:val="002B363B"/>
    <w:rsid w:val="002B64A7"/>
    <w:rsid w:val="002B6BD6"/>
    <w:rsid w:val="002B7643"/>
    <w:rsid w:val="002C085C"/>
    <w:rsid w:val="002C0B1C"/>
    <w:rsid w:val="002C0E29"/>
    <w:rsid w:val="002C1DDE"/>
    <w:rsid w:val="002C290A"/>
    <w:rsid w:val="002C54AA"/>
    <w:rsid w:val="002C5C55"/>
    <w:rsid w:val="002C5F9F"/>
    <w:rsid w:val="002C6C85"/>
    <w:rsid w:val="002D3B8E"/>
    <w:rsid w:val="002D6BF8"/>
    <w:rsid w:val="002D6EB9"/>
    <w:rsid w:val="002E072E"/>
    <w:rsid w:val="002E0C7E"/>
    <w:rsid w:val="002E0EAA"/>
    <w:rsid w:val="002E1DCE"/>
    <w:rsid w:val="002E3E47"/>
    <w:rsid w:val="002E406D"/>
    <w:rsid w:val="002E4183"/>
    <w:rsid w:val="002E55BD"/>
    <w:rsid w:val="002E5A18"/>
    <w:rsid w:val="002E5EEE"/>
    <w:rsid w:val="002E74EE"/>
    <w:rsid w:val="002E7C52"/>
    <w:rsid w:val="002F00A8"/>
    <w:rsid w:val="002F3B26"/>
    <w:rsid w:val="002F5063"/>
    <w:rsid w:val="002F5410"/>
    <w:rsid w:val="002F7523"/>
    <w:rsid w:val="002F7831"/>
    <w:rsid w:val="003010B6"/>
    <w:rsid w:val="00301955"/>
    <w:rsid w:val="00302222"/>
    <w:rsid w:val="00303A80"/>
    <w:rsid w:val="00304001"/>
    <w:rsid w:val="003047D9"/>
    <w:rsid w:val="00305E54"/>
    <w:rsid w:val="003073D9"/>
    <w:rsid w:val="00307705"/>
    <w:rsid w:val="00311236"/>
    <w:rsid w:val="003136AA"/>
    <w:rsid w:val="00313789"/>
    <w:rsid w:val="0031646F"/>
    <w:rsid w:val="00316C29"/>
    <w:rsid w:val="00316EB4"/>
    <w:rsid w:val="0031752B"/>
    <w:rsid w:val="003202AF"/>
    <w:rsid w:val="00320912"/>
    <w:rsid w:val="00321385"/>
    <w:rsid w:val="0032186C"/>
    <w:rsid w:val="003225BF"/>
    <w:rsid w:val="00322982"/>
    <w:rsid w:val="003232F7"/>
    <w:rsid w:val="00323B99"/>
    <w:rsid w:val="0032412D"/>
    <w:rsid w:val="0032601C"/>
    <w:rsid w:val="0032608E"/>
    <w:rsid w:val="00327FC2"/>
    <w:rsid w:val="00330626"/>
    <w:rsid w:val="003310FD"/>
    <w:rsid w:val="003328E2"/>
    <w:rsid w:val="00332CAD"/>
    <w:rsid w:val="0033324F"/>
    <w:rsid w:val="00333D00"/>
    <w:rsid w:val="00334262"/>
    <w:rsid w:val="0033605D"/>
    <w:rsid w:val="00336E25"/>
    <w:rsid w:val="0033729C"/>
    <w:rsid w:val="003404E7"/>
    <w:rsid w:val="00340E44"/>
    <w:rsid w:val="00342E8F"/>
    <w:rsid w:val="00347DF2"/>
    <w:rsid w:val="00350251"/>
    <w:rsid w:val="003503EC"/>
    <w:rsid w:val="00350B11"/>
    <w:rsid w:val="00353362"/>
    <w:rsid w:val="00356488"/>
    <w:rsid w:val="00356A93"/>
    <w:rsid w:val="00361CF3"/>
    <w:rsid w:val="0036447D"/>
    <w:rsid w:val="00364556"/>
    <w:rsid w:val="00364806"/>
    <w:rsid w:val="0036543D"/>
    <w:rsid w:val="00370CB1"/>
    <w:rsid w:val="003725AE"/>
    <w:rsid w:val="00373229"/>
    <w:rsid w:val="00373F9A"/>
    <w:rsid w:val="0037446F"/>
    <w:rsid w:val="0037482F"/>
    <w:rsid w:val="00375AAE"/>
    <w:rsid w:val="003761EC"/>
    <w:rsid w:val="003766C6"/>
    <w:rsid w:val="00376769"/>
    <w:rsid w:val="003774AE"/>
    <w:rsid w:val="0038155B"/>
    <w:rsid w:val="0038345C"/>
    <w:rsid w:val="003862A2"/>
    <w:rsid w:val="0039054F"/>
    <w:rsid w:val="00390A82"/>
    <w:rsid w:val="00391CD2"/>
    <w:rsid w:val="00391FF6"/>
    <w:rsid w:val="00392650"/>
    <w:rsid w:val="00392874"/>
    <w:rsid w:val="00392A60"/>
    <w:rsid w:val="00396069"/>
    <w:rsid w:val="0039617D"/>
    <w:rsid w:val="00397075"/>
    <w:rsid w:val="00397101"/>
    <w:rsid w:val="00397452"/>
    <w:rsid w:val="003974C9"/>
    <w:rsid w:val="00397828"/>
    <w:rsid w:val="003A066C"/>
    <w:rsid w:val="003A3922"/>
    <w:rsid w:val="003A573D"/>
    <w:rsid w:val="003A5C45"/>
    <w:rsid w:val="003A5D41"/>
    <w:rsid w:val="003A7B9A"/>
    <w:rsid w:val="003B3D93"/>
    <w:rsid w:val="003B62B5"/>
    <w:rsid w:val="003B6B54"/>
    <w:rsid w:val="003B7C8A"/>
    <w:rsid w:val="003B7DA0"/>
    <w:rsid w:val="003C051B"/>
    <w:rsid w:val="003C1EA1"/>
    <w:rsid w:val="003C21B9"/>
    <w:rsid w:val="003C313D"/>
    <w:rsid w:val="003C591D"/>
    <w:rsid w:val="003D0473"/>
    <w:rsid w:val="003D0FA3"/>
    <w:rsid w:val="003D4669"/>
    <w:rsid w:val="003D5041"/>
    <w:rsid w:val="003D6343"/>
    <w:rsid w:val="003D7832"/>
    <w:rsid w:val="003D7A58"/>
    <w:rsid w:val="003D7C21"/>
    <w:rsid w:val="003E01F5"/>
    <w:rsid w:val="003E0A1D"/>
    <w:rsid w:val="003E123E"/>
    <w:rsid w:val="003E32ED"/>
    <w:rsid w:val="003E34DE"/>
    <w:rsid w:val="003E3C35"/>
    <w:rsid w:val="003E629E"/>
    <w:rsid w:val="003E63DA"/>
    <w:rsid w:val="003E72D8"/>
    <w:rsid w:val="003F0FD6"/>
    <w:rsid w:val="003F1660"/>
    <w:rsid w:val="003F1B24"/>
    <w:rsid w:val="003F2F2E"/>
    <w:rsid w:val="003F4028"/>
    <w:rsid w:val="00400F3B"/>
    <w:rsid w:val="00402BC8"/>
    <w:rsid w:val="00407921"/>
    <w:rsid w:val="0041039A"/>
    <w:rsid w:val="00411C0C"/>
    <w:rsid w:val="00411DF5"/>
    <w:rsid w:val="00412D86"/>
    <w:rsid w:val="004143CE"/>
    <w:rsid w:val="004215B4"/>
    <w:rsid w:val="004252BC"/>
    <w:rsid w:val="00425400"/>
    <w:rsid w:val="00425D01"/>
    <w:rsid w:val="00427194"/>
    <w:rsid w:val="0042754B"/>
    <w:rsid w:val="0042776C"/>
    <w:rsid w:val="00427C4E"/>
    <w:rsid w:val="00431CDF"/>
    <w:rsid w:val="00433279"/>
    <w:rsid w:val="00433AAA"/>
    <w:rsid w:val="0043449C"/>
    <w:rsid w:val="00435C07"/>
    <w:rsid w:val="004363F1"/>
    <w:rsid w:val="0043666A"/>
    <w:rsid w:val="004367A7"/>
    <w:rsid w:val="00436B47"/>
    <w:rsid w:val="0044208C"/>
    <w:rsid w:val="00444C30"/>
    <w:rsid w:val="00445992"/>
    <w:rsid w:val="00445A4B"/>
    <w:rsid w:val="004461E0"/>
    <w:rsid w:val="004472D9"/>
    <w:rsid w:val="00451136"/>
    <w:rsid w:val="00451F07"/>
    <w:rsid w:val="00457AC2"/>
    <w:rsid w:val="00460D60"/>
    <w:rsid w:val="00463671"/>
    <w:rsid w:val="004652F3"/>
    <w:rsid w:val="004669B8"/>
    <w:rsid w:val="00467571"/>
    <w:rsid w:val="004710B0"/>
    <w:rsid w:val="0047120E"/>
    <w:rsid w:val="004743B3"/>
    <w:rsid w:val="00475F6C"/>
    <w:rsid w:val="004771EF"/>
    <w:rsid w:val="004775DC"/>
    <w:rsid w:val="0047777F"/>
    <w:rsid w:val="00480336"/>
    <w:rsid w:val="00486B52"/>
    <w:rsid w:val="00486D95"/>
    <w:rsid w:val="00487FA1"/>
    <w:rsid w:val="00487FB4"/>
    <w:rsid w:val="00490B25"/>
    <w:rsid w:val="00490F4E"/>
    <w:rsid w:val="004913B9"/>
    <w:rsid w:val="00493334"/>
    <w:rsid w:val="00496758"/>
    <w:rsid w:val="004967A4"/>
    <w:rsid w:val="00496AC6"/>
    <w:rsid w:val="004A145E"/>
    <w:rsid w:val="004A1E83"/>
    <w:rsid w:val="004A3BB9"/>
    <w:rsid w:val="004A4734"/>
    <w:rsid w:val="004A6282"/>
    <w:rsid w:val="004A66BC"/>
    <w:rsid w:val="004B4F58"/>
    <w:rsid w:val="004B6410"/>
    <w:rsid w:val="004B7534"/>
    <w:rsid w:val="004C02A2"/>
    <w:rsid w:val="004C3295"/>
    <w:rsid w:val="004C39CF"/>
    <w:rsid w:val="004C3C21"/>
    <w:rsid w:val="004C4934"/>
    <w:rsid w:val="004C4D3C"/>
    <w:rsid w:val="004C4E63"/>
    <w:rsid w:val="004C7487"/>
    <w:rsid w:val="004C7EAC"/>
    <w:rsid w:val="004D0455"/>
    <w:rsid w:val="004D0B3A"/>
    <w:rsid w:val="004D190D"/>
    <w:rsid w:val="004D1A82"/>
    <w:rsid w:val="004D355F"/>
    <w:rsid w:val="004D4AF8"/>
    <w:rsid w:val="004D589F"/>
    <w:rsid w:val="004D62D1"/>
    <w:rsid w:val="004E0AD4"/>
    <w:rsid w:val="004E18C4"/>
    <w:rsid w:val="004E380E"/>
    <w:rsid w:val="004E511D"/>
    <w:rsid w:val="004E656A"/>
    <w:rsid w:val="004E7CCC"/>
    <w:rsid w:val="004F19A2"/>
    <w:rsid w:val="004F26DB"/>
    <w:rsid w:val="004F500F"/>
    <w:rsid w:val="004F5424"/>
    <w:rsid w:val="004F5C21"/>
    <w:rsid w:val="004F64D9"/>
    <w:rsid w:val="004F740B"/>
    <w:rsid w:val="004F7F71"/>
    <w:rsid w:val="005002AC"/>
    <w:rsid w:val="00502E1E"/>
    <w:rsid w:val="00506AF4"/>
    <w:rsid w:val="0051089C"/>
    <w:rsid w:val="005121FF"/>
    <w:rsid w:val="00512872"/>
    <w:rsid w:val="00512A73"/>
    <w:rsid w:val="00515F13"/>
    <w:rsid w:val="00517D80"/>
    <w:rsid w:val="00520B79"/>
    <w:rsid w:val="00521319"/>
    <w:rsid w:val="00523410"/>
    <w:rsid w:val="00525208"/>
    <w:rsid w:val="00530299"/>
    <w:rsid w:val="00530BB4"/>
    <w:rsid w:val="00530E44"/>
    <w:rsid w:val="00532F49"/>
    <w:rsid w:val="00532FEC"/>
    <w:rsid w:val="005336E7"/>
    <w:rsid w:val="005337E4"/>
    <w:rsid w:val="00534FC3"/>
    <w:rsid w:val="0053574E"/>
    <w:rsid w:val="005359CD"/>
    <w:rsid w:val="0053644D"/>
    <w:rsid w:val="0053648F"/>
    <w:rsid w:val="00536923"/>
    <w:rsid w:val="00540C86"/>
    <w:rsid w:val="005432FE"/>
    <w:rsid w:val="00544092"/>
    <w:rsid w:val="00547615"/>
    <w:rsid w:val="00547916"/>
    <w:rsid w:val="00547984"/>
    <w:rsid w:val="00553E98"/>
    <w:rsid w:val="005544B1"/>
    <w:rsid w:val="00554619"/>
    <w:rsid w:val="005565E9"/>
    <w:rsid w:val="00556F24"/>
    <w:rsid w:val="00561DB5"/>
    <w:rsid w:val="00564738"/>
    <w:rsid w:val="005655B0"/>
    <w:rsid w:val="00565F74"/>
    <w:rsid w:val="0056652F"/>
    <w:rsid w:val="0057000E"/>
    <w:rsid w:val="005702D3"/>
    <w:rsid w:val="00570BFE"/>
    <w:rsid w:val="005717BE"/>
    <w:rsid w:val="00572DDB"/>
    <w:rsid w:val="00573484"/>
    <w:rsid w:val="00574769"/>
    <w:rsid w:val="00575EB7"/>
    <w:rsid w:val="00577C1C"/>
    <w:rsid w:val="00577CE4"/>
    <w:rsid w:val="00581DAB"/>
    <w:rsid w:val="005872F5"/>
    <w:rsid w:val="00592D02"/>
    <w:rsid w:val="00593DB7"/>
    <w:rsid w:val="00594024"/>
    <w:rsid w:val="00596063"/>
    <w:rsid w:val="0059629A"/>
    <w:rsid w:val="0059756A"/>
    <w:rsid w:val="005A0AC9"/>
    <w:rsid w:val="005A1F72"/>
    <w:rsid w:val="005A302B"/>
    <w:rsid w:val="005A59A8"/>
    <w:rsid w:val="005A59E9"/>
    <w:rsid w:val="005A64A0"/>
    <w:rsid w:val="005A701D"/>
    <w:rsid w:val="005A7E8F"/>
    <w:rsid w:val="005B00D1"/>
    <w:rsid w:val="005B23BD"/>
    <w:rsid w:val="005B2A42"/>
    <w:rsid w:val="005B2CE2"/>
    <w:rsid w:val="005B3542"/>
    <w:rsid w:val="005B3B92"/>
    <w:rsid w:val="005B3F2A"/>
    <w:rsid w:val="005B587A"/>
    <w:rsid w:val="005B7B71"/>
    <w:rsid w:val="005C0DEB"/>
    <w:rsid w:val="005C1637"/>
    <w:rsid w:val="005C1694"/>
    <w:rsid w:val="005C5EF1"/>
    <w:rsid w:val="005C740A"/>
    <w:rsid w:val="005C7D3C"/>
    <w:rsid w:val="005D0481"/>
    <w:rsid w:val="005D0A08"/>
    <w:rsid w:val="005D0ADA"/>
    <w:rsid w:val="005D2339"/>
    <w:rsid w:val="005D2A7A"/>
    <w:rsid w:val="005D2AB6"/>
    <w:rsid w:val="005D38CD"/>
    <w:rsid w:val="005D473C"/>
    <w:rsid w:val="005D48D3"/>
    <w:rsid w:val="005D4C74"/>
    <w:rsid w:val="005D5D86"/>
    <w:rsid w:val="005D6DB7"/>
    <w:rsid w:val="005D75E0"/>
    <w:rsid w:val="005D7B63"/>
    <w:rsid w:val="005E09D7"/>
    <w:rsid w:val="005E0C7E"/>
    <w:rsid w:val="005E1149"/>
    <w:rsid w:val="005E1D2B"/>
    <w:rsid w:val="005E1D58"/>
    <w:rsid w:val="005E2BA7"/>
    <w:rsid w:val="005E39A6"/>
    <w:rsid w:val="005E3B9F"/>
    <w:rsid w:val="005E3FEB"/>
    <w:rsid w:val="005E4518"/>
    <w:rsid w:val="005E4766"/>
    <w:rsid w:val="005E5754"/>
    <w:rsid w:val="005E78E1"/>
    <w:rsid w:val="005F0443"/>
    <w:rsid w:val="005F058C"/>
    <w:rsid w:val="005F1D21"/>
    <w:rsid w:val="005F3A2A"/>
    <w:rsid w:val="005F3F40"/>
    <w:rsid w:val="005F45A4"/>
    <w:rsid w:val="005F6DFA"/>
    <w:rsid w:val="006000FA"/>
    <w:rsid w:val="00606626"/>
    <w:rsid w:val="00607ED4"/>
    <w:rsid w:val="00613E76"/>
    <w:rsid w:val="0062219D"/>
    <w:rsid w:val="00623C73"/>
    <w:rsid w:val="0062613A"/>
    <w:rsid w:val="006270C1"/>
    <w:rsid w:val="006320F4"/>
    <w:rsid w:val="00632244"/>
    <w:rsid w:val="006333CA"/>
    <w:rsid w:val="00636977"/>
    <w:rsid w:val="00637906"/>
    <w:rsid w:val="00640ADE"/>
    <w:rsid w:val="00640F09"/>
    <w:rsid w:val="00642821"/>
    <w:rsid w:val="006436DA"/>
    <w:rsid w:val="00643E12"/>
    <w:rsid w:val="00644394"/>
    <w:rsid w:val="00644623"/>
    <w:rsid w:val="00645026"/>
    <w:rsid w:val="00646869"/>
    <w:rsid w:val="006519F8"/>
    <w:rsid w:val="00654D62"/>
    <w:rsid w:val="00655777"/>
    <w:rsid w:val="00656A52"/>
    <w:rsid w:val="00656BFA"/>
    <w:rsid w:val="00657785"/>
    <w:rsid w:val="006579D6"/>
    <w:rsid w:val="00660F7D"/>
    <w:rsid w:val="006624A2"/>
    <w:rsid w:val="00663DE9"/>
    <w:rsid w:val="0066432D"/>
    <w:rsid w:val="00664C4A"/>
    <w:rsid w:val="00665D45"/>
    <w:rsid w:val="00666EF9"/>
    <w:rsid w:val="00667E59"/>
    <w:rsid w:val="0067188D"/>
    <w:rsid w:val="00672074"/>
    <w:rsid w:val="00673041"/>
    <w:rsid w:val="006730EC"/>
    <w:rsid w:val="00673F56"/>
    <w:rsid w:val="00677E09"/>
    <w:rsid w:val="0068025B"/>
    <w:rsid w:val="006817A0"/>
    <w:rsid w:val="00684672"/>
    <w:rsid w:val="00684EBE"/>
    <w:rsid w:val="006858EC"/>
    <w:rsid w:val="006865EB"/>
    <w:rsid w:val="00686D0D"/>
    <w:rsid w:val="006874AA"/>
    <w:rsid w:val="00691DD8"/>
    <w:rsid w:val="0069558B"/>
    <w:rsid w:val="0069643E"/>
    <w:rsid w:val="00696A9D"/>
    <w:rsid w:val="00697876"/>
    <w:rsid w:val="006A022D"/>
    <w:rsid w:val="006A041E"/>
    <w:rsid w:val="006A1CCB"/>
    <w:rsid w:val="006A2934"/>
    <w:rsid w:val="006A4BB7"/>
    <w:rsid w:val="006A61BF"/>
    <w:rsid w:val="006B013F"/>
    <w:rsid w:val="006B0F95"/>
    <w:rsid w:val="006B161E"/>
    <w:rsid w:val="006B25F9"/>
    <w:rsid w:val="006B65FF"/>
    <w:rsid w:val="006C2915"/>
    <w:rsid w:val="006C34A7"/>
    <w:rsid w:val="006C35D2"/>
    <w:rsid w:val="006C4577"/>
    <w:rsid w:val="006C628E"/>
    <w:rsid w:val="006C6C7A"/>
    <w:rsid w:val="006D1264"/>
    <w:rsid w:val="006D1CC1"/>
    <w:rsid w:val="006D2376"/>
    <w:rsid w:val="006D4462"/>
    <w:rsid w:val="006D6430"/>
    <w:rsid w:val="006D64FC"/>
    <w:rsid w:val="006D6814"/>
    <w:rsid w:val="006E03E9"/>
    <w:rsid w:val="006E10EC"/>
    <w:rsid w:val="006E3510"/>
    <w:rsid w:val="006E517F"/>
    <w:rsid w:val="006E5752"/>
    <w:rsid w:val="006E61E8"/>
    <w:rsid w:val="006E69AC"/>
    <w:rsid w:val="006E6F5B"/>
    <w:rsid w:val="006E7140"/>
    <w:rsid w:val="006E7D8B"/>
    <w:rsid w:val="006E7EA4"/>
    <w:rsid w:val="006F2B32"/>
    <w:rsid w:val="006F3FE1"/>
    <w:rsid w:val="006F41D0"/>
    <w:rsid w:val="006F41F1"/>
    <w:rsid w:val="006F4D43"/>
    <w:rsid w:val="006F4E43"/>
    <w:rsid w:val="006F4EE4"/>
    <w:rsid w:val="006F5D3F"/>
    <w:rsid w:val="006F6A75"/>
    <w:rsid w:val="0070217A"/>
    <w:rsid w:val="007029ED"/>
    <w:rsid w:val="00703DFB"/>
    <w:rsid w:val="007047FE"/>
    <w:rsid w:val="0070504B"/>
    <w:rsid w:val="00707E33"/>
    <w:rsid w:val="00710037"/>
    <w:rsid w:val="007116EF"/>
    <w:rsid w:val="007135DB"/>
    <w:rsid w:val="00713819"/>
    <w:rsid w:val="007163CC"/>
    <w:rsid w:val="00717AD7"/>
    <w:rsid w:val="00720C4E"/>
    <w:rsid w:val="0072207A"/>
    <w:rsid w:val="00722E47"/>
    <w:rsid w:val="00723A43"/>
    <w:rsid w:val="007264C4"/>
    <w:rsid w:val="00726E68"/>
    <w:rsid w:val="00727FE9"/>
    <w:rsid w:val="00730703"/>
    <w:rsid w:val="007323CE"/>
    <w:rsid w:val="0073342D"/>
    <w:rsid w:val="007334BF"/>
    <w:rsid w:val="00734930"/>
    <w:rsid w:val="00741DD5"/>
    <w:rsid w:val="007421C0"/>
    <w:rsid w:val="00742FC6"/>
    <w:rsid w:val="00744408"/>
    <w:rsid w:val="00744601"/>
    <w:rsid w:val="00745FBE"/>
    <w:rsid w:val="00751855"/>
    <w:rsid w:val="00752BA2"/>
    <w:rsid w:val="00752C65"/>
    <w:rsid w:val="00752F76"/>
    <w:rsid w:val="00753565"/>
    <w:rsid w:val="00753982"/>
    <w:rsid w:val="007541F8"/>
    <w:rsid w:val="00754E58"/>
    <w:rsid w:val="00757A01"/>
    <w:rsid w:val="00757B0E"/>
    <w:rsid w:val="00757F3C"/>
    <w:rsid w:val="0076181B"/>
    <w:rsid w:val="00761A2E"/>
    <w:rsid w:val="00762EFD"/>
    <w:rsid w:val="00763855"/>
    <w:rsid w:val="00763B2D"/>
    <w:rsid w:val="007640C5"/>
    <w:rsid w:val="00764170"/>
    <w:rsid w:val="007645CE"/>
    <w:rsid w:val="00765378"/>
    <w:rsid w:val="00765D64"/>
    <w:rsid w:val="00770EA8"/>
    <w:rsid w:val="00771092"/>
    <w:rsid w:val="00771799"/>
    <w:rsid w:val="00771FF4"/>
    <w:rsid w:val="00773120"/>
    <w:rsid w:val="007743D9"/>
    <w:rsid w:val="007745E8"/>
    <w:rsid w:val="00774B2D"/>
    <w:rsid w:val="00774CD0"/>
    <w:rsid w:val="007751D4"/>
    <w:rsid w:val="00775CA2"/>
    <w:rsid w:val="00775E6B"/>
    <w:rsid w:val="007767BC"/>
    <w:rsid w:val="00777B54"/>
    <w:rsid w:val="00780064"/>
    <w:rsid w:val="00782752"/>
    <w:rsid w:val="00784DC8"/>
    <w:rsid w:val="00785878"/>
    <w:rsid w:val="00786454"/>
    <w:rsid w:val="007864C4"/>
    <w:rsid w:val="00786E86"/>
    <w:rsid w:val="007901AC"/>
    <w:rsid w:val="00790CE9"/>
    <w:rsid w:val="00791D69"/>
    <w:rsid w:val="007A127B"/>
    <w:rsid w:val="007A15D0"/>
    <w:rsid w:val="007A1C19"/>
    <w:rsid w:val="007A2EF5"/>
    <w:rsid w:val="007A316F"/>
    <w:rsid w:val="007A3367"/>
    <w:rsid w:val="007A3580"/>
    <w:rsid w:val="007A40A6"/>
    <w:rsid w:val="007A4BFF"/>
    <w:rsid w:val="007A6AC5"/>
    <w:rsid w:val="007B05C3"/>
    <w:rsid w:val="007B18C8"/>
    <w:rsid w:val="007B1F5E"/>
    <w:rsid w:val="007B347B"/>
    <w:rsid w:val="007B3C5A"/>
    <w:rsid w:val="007B6CB2"/>
    <w:rsid w:val="007C1C73"/>
    <w:rsid w:val="007C2793"/>
    <w:rsid w:val="007C79A4"/>
    <w:rsid w:val="007D0B88"/>
    <w:rsid w:val="007D0F74"/>
    <w:rsid w:val="007D141E"/>
    <w:rsid w:val="007D1463"/>
    <w:rsid w:val="007D35F0"/>
    <w:rsid w:val="007D4AF1"/>
    <w:rsid w:val="007D5CD3"/>
    <w:rsid w:val="007D6729"/>
    <w:rsid w:val="007D6EAA"/>
    <w:rsid w:val="007D7018"/>
    <w:rsid w:val="007D7C4F"/>
    <w:rsid w:val="007D7FAF"/>
    <w:rsid w:val="007E0D52"/>
    <w:rsid w:val="007E11B4"/>
    <w:rsid w:val="007E1D4C"/>
    <w:rsid w:val="007E2F22"/>
    <w:rsid w:val="007E3172"/>
    <w:rsid w:val="007E68FF"/>
    <w:rsid w:val="007F0834"/>
    <w:rsid w:val="007F5024"/>
    <w:rsid w:val="007F5B7F"/>
    <w:rsid w:val="007F63E3"/>
    <w:rsid w:val="00800B97"/>
    <w:rsid w:val="00801245"/>
    <w:rsid w:val="0080180A"/>
    <w:rsid w:val="00801A4B"/>
    <w:rsid w:val="00801AFF"/>
    <w:rsid w:val="00807F12"/>
    <w:rsid w:val="00810B98"/>
    <w:rsid w:val="008113A6"/>
    <w:rsid w:val="00811AE9"/>
    <w:rsid w:val="00811D9E"/>
    <w:rsid w:val="008137E0"/>
    <w:rsid w:val="0081666A"/>
    <w:rsid w:val="00820340"/>
    <w:rsid w:val="008205B7"/>
    <w:rsid w:val="0082083C"/>
    <w:rsid w:val="00820B6B"/>
    <w:rsid w:val="00820C86"/>
    <w:rsid w:val="0082149F"/>
    <w:rsid w:val="00821663"/>
    <w:rsid w:val="00823B3A"/>
    <w:rsid w:val="00823D3B"/>
    <w:rsid w:val="00825036"/>
    <w:rsid w:val="00825C9B"/>
    <w:rsid w:val="00830C23"/>
    <w:rsid w:val="0083247E"/>
    <w:rsid w:val="008326E4"/>
    <w:rsid w:val="00833234"/>
    <w:rsid w:val="00834128"/>
    <w:rsid w:val="0083469C"/>
    <w:rsid w:val="008347C2"/>
    <w:rsid w:val="008352A8"/>
    <w:rsid w:val="00835D86"/>
    <w:rsid w:val="008375B9"/>
    <w:rsid w:val="0084121C"/>
    <w:rsid w:val="00841B2B"/>
    <w:rsid w:val="008420E5"/>
    <w:rsid w:val="00842106"/>
    <w:rsid w:val="0084225E"/>
    <w:rsid w:val="00844F1E"/>
    <w:rsid w:val="0084578F"/>
    <w:rsid w:val="008504B0"/>
    <w:rsid w:val="00850500"/>
    <w:rsid w:val="00850C9E"/>
    <w:rsid w:val="00851268"/>
    <w:rsid w:val="008520C5"/>
    <w:rsid w:val="0085338D"/>
    <w:rsid w:val="00854711"/>
    <w:rsid w:val="00855BBA"/>
    <w:rsid w:val="00855CCB"/>
    <w:rsid w:val="00856C4E"/>
    <w:rsid w:val="00857047"/>
    <w:rsid w:val="008576B0"/>
    <w:rsid w:val="00861594"/>
    <w:rsid w:val="00862BA9"/>
    <w:rsid w:val="00863473"/>
    <w:rsid w:val="00863BE0"/>
    <w:rsid w:val="00864559"/>
    <w:rsid w:val="00864AE7"/>
    <w:rsid w:val="00864AEE"/>
    <w:rsid w:val="0086622E"/>
    <w:rsid w:val="008663DD"/>
    <w:rsid w:val="00866512"/>
    <w:rsid w:val="00866DA2"/>
    <w:rsid w:val="008707C5"/>
    <w:rsid w:val="0087098B"/>
    <w:rsid w:val="00874DDA"/>
    <w:rsid w:val="00875DCE"/>
    <w:rsid w:val="00876089"/>
    <w:rsid w:val="00876645"/>
    <w:rsid w:val="00876F63"/>
    <w:rsid w:val="0087722F"/>
    <w:rsid w:val="008817F0"/>
    <w:rsid w:val="008838F0"/>
    <w:rsid w:val="008843B1"/>
    <w:rsid w:val="00884800"/>
    <w:rsid w:val="00885653"/>
    <w:rsid w:val="00885FC3"/>
    <w:rsid w:val="00886C24"/>
    <w:rsid w:val="00886D3D"/>
    <w:rsid w:val="00887C53"/>
    <w:rsid w:val="008910B2"/>
    <w:rsid w:val="00891717"/>
    <w:rsid w:val="00892053"/>
    <w:rsid w:val="0089266A"/>
    <w:rsid w:val="0089373B"/>
    <w:rsid w:val="008938C2"/>
    <w:rsid w:val="00893EE7"/>
    <w:rsid w:val="00895F93"/>
    <w:rsid w:val="00896CE7"/>
    <w:rsid w:val="0089764C"/>
    <w:rsid w:val="008A19F2"/>
    <w:rsid w:val="008A25CA"/>
    <w:rsid w:val="008A34E0"/>
    <w:rsid w:val="008A357F"/>
    <w:rsid w:val="008A385B"/>
    <w:rsid w:val="008A3C72"/>
    <w:rsid w:val="008A52D7"/>
    <w:rsid w:val="008A7182"/>
    <w:rsid w:val="008A7FBD"/>
    <w:rsid w:val="008B0760"/>
    <w:rsid w:val="008B0BC7"/>
    <w:rsid w:val="008B109A"/>
    <w:rsid w:val="008B3B7F"/>
    <w:rsid w:val="008B6A22"/>
    <w:rsid w:val="008B7925"/>
    <w:rsid w:val="008B79CC"/>
    <w:rsid w:val="008B7C7A"/>
    <w:rsid w:val="008C17C8"/>
    <w:rsid w:val="008C196C"/>
    <w:rsid w:val="008C2C7B"/>
    <w:rsid w:val="008C4312"/>
    <w:rsid w:val="008C4C2C"/>
    <w:rsid w:val="008C4F1B"/>
    <w:rsid w:val="008C5E55"/>
    <w:rsid w:val="008C618F"/>
    <w:rsid w:val="008C6CE0"/>
    <w:rsid w:val="008C7B5F"/>
    <w:rsid w:val="008D091D"/>
    <w:rsid w:val="008D3704"/>
    <w:rsid w:val="008D48A8"/>
    <w:rsid w:val="008D4AFE"/>
    <w:rsid w:val="008D6670"/>
    <w:rsid w:val="008D7163"/>
    <w:rsid w:val="008D7789"/>
    <w:rsid w:val="008D7BFF"/>
    <w:rsid w:val="008E05FA"/>
    <w:rsid w:val="008E0BA9"/>
    <w:rsid w:val="008E0F3E"/>
    <w:rsid w:val="008E20C8"/>
    <w:rsid w:val="008E372D"/>
    <w:rsid w:val="008E5E2B"/>
    <w:rsid w:val="008E7123"/>
    <w:rsid w:val="008F19D5"/>
    <w:rsid w:val="008F2341"/>
    <w:rsid w:val="008F3CB4"/>
    <w:rsid w:val="008F4564"/>
    <w:rsid w:val="008F72D7"/>
    <w:rsid w:val="009004F5"/>
    <w:rsid w:val="00901409"/>
    <w:rsid w:val="00901DD6"/>
    <w:rsid w:val="00903BB7"/>
    <w:rsid w:val="00903EBA"/>
    <w:rsid w:val="0090422D"/>
    <w:rsid w:val="00907A27"/>
    <w:rsid w:val="00912F80"/>
    <w:rsid w:val="00913520"/>
    <w:rsid w:val="0091415B"/>
    <w:rsid w:val="00917B17"/>
    <w:rsid w:val="0092046F"/>
    <w:rsid w:val="0092244C"/>
    <w:rsid w:val="00925264"/>
    <w:rsid w:val="00930F06"/>
    <w:rsid w:val="00930F61"/>
    <w:rsid w:val="00931C86"/>
    <w:rsid w:val="00935FBE"/>
    <w:rsid w:val="00936DDB"/>
    <w:rsid w:val="009375DE"/>
    <w:rsid w:val="00937F16"/>
    <w:rsid w:val="00943BD2"/>
    <w:rsid w:val="00943C8D"/>
    <w:rsid w:val="009440BC"/>
    <w:rsid w:val="009447E9"/>
    <w:rsid w:val="00945D5B"/>
    <w:rsid w:val="00947F05"/>
    <w:rsid w:val="00950488"/>
    <w:rsid w:val="00950C25"/>
    <w:rsid w:val="00953047"/>
    <w:rsid w:val="0095318F"/>
    <w:rsid w:val="00953F30"/>
    <w:rsid w:val="009542E4"/>
    <w:rsid w:val="00955C22"/>
    <w:rsid w:val="00957DA8"/>
    <w:rsid w:val="009610BF"/>
    <w:rsid w:val="009619C7"/>
    <w:rsid w:val="00961AA5"/>
    <w:rsid w:val="00962754"/>
    <w:rsid w:val="00965B92"/>
    <w:rsid w:val="00966107"/>
    <w:rsid w:val="00966873"/>
    <w:rsid w:val="009673EF"/>
    <w:rsid w:val="00967815"/>
    <w:rsid w:val="00970772"/>
    <w:rsid w:val="00973830"/>
    <w:rsid w:val="00975106"/>
    <w:rsid w:val="00976562"/>
    <w:rsid w:val="009779C3"/>
    <w:rsid w:val="00977D5C"/>
    <w:rsid w:val="00983BE5"/>
    <w:rsid w:val="00984C04"/>
    <w:rsid w:val="00984E4D"/>
    <w:rsid w:val="00985AD3"/>
    <w:rsid w:val="009866E3"/>
    <w:rsid w:val="00990A7F"/>
    <w:rsid w:val="0099125E"/>
    <w:rsid w:val="00993687"/>
    <w:rsid w:val="00993F38"/>
    <w:rsid w:val="009953E1"/>
    <w:rsid w:val="00995BC9"/>
    <w:rsid w:val="009A010A"/>
    <w:rsid w:val="009A11B2"/>
    <w:rsid w:val="009A15FC"/>
    <w:rsid w:val="009A16DE"/>
    <w:rsid w:val="009A20CE"/>
    <w:rsid w:val="009A388E"/>
    <w:rsid w:val="009A3C20"/>
    <w:rsid w:val="009A5724"/>
    <w:rsid w:val="009A5D96"/>
    <w:rsid w:val="009A6F6F"/>
    <w:rsid w:val="009A7E91"/>
    <w:rsid w:val="009B25CE"/>
    <w:rsid w:val="009B29F8"/>
    <w:rsid w:val="009B42F4"/>
    <w:rsid w:val="009B7B3D"/>
    <w:rsid w:val="009C21E9"/>
    <w:rsid w:val="009C2F65"/>
    <w:rsid w:val="009C332B"/>
    <w:rsid w:val="009C393E"/>
    <w:rsid w:val="009C4A2B"/>
    <w:rsid w:val="009C6216"/>
    <w:rsid w:val="009C66DE"/>
    <w:rsid w:val="009D00E7"/>
    <w:rsid w:val="009D0B94"/>
    <w:rsid w:val="009D3123"/>
    <w:rsid w:val="009D461B"/>
    <w:rsid w:val="009D5638"/>
    <w:rsid w:val="009D5A2A"/>
    <w:rsid w:val="009D633D"/>
    <w:rsid w:val="009D763E"/>
    <w:rsid w:val="009E047E"/>
    <w:rsid w:val="009E0806"/>
    <w:rsid w:val="009E0A96"/>
    <w:rsid w:val="009E1DF9"/>
    <w:rsid w:val="009E2043"/>
    <w:rsid w:val="009E262F"/>
    <w:rsid w:val="009E32BC"/>
    <w:rsid w:val="009E38E4"/>
    <w:rsid w:val="009E4670"/>
    <w:rsid w:val="009E4D94"/>
    <w:rsid w:val="009E626E"/>
    <w:rsid w:val="009E6865"/>
    <w:rsid w:val="009E74F7"/>
    <w:rsid w:val="009E7A31"/>
    <w:rsid w:val="009F08B2"/>
    <w:rsid w:val="009F0C37"/>
    <w:rsid w:val="009F189F"/>
    <w:rsid w:val="009F2055"/>
    <w:rsid w:val="009F3BDE"/>
    <w:rsid w:val="009F4209"/>
    <w:rsid w:val="009F60C1"/>
    <w:rsid w:val="009F66A0"/>
    <w:rsid w:val="009F705F"/>
    <w:rsid w:val="009F7BD7"/>
    <w:rsid w:val="00A00A21"/>
    <w:rsid w:val="00A00B30"/>
    <w:rsid w:val="00A01493"/>
    <w:rsid w:val="00A04B76"/>
    <w:rsid w:val="00A07846"/>
    <w:rsid w:val="00A11529"/>
    <w:rsid w:val="00A137A7"/>
    <w:rsid w:val="00A13C10"/>
    <w:rsid w:val="00A143CE"/>
    <w:rsid w:val="00A146C5"/>
    <w:rsid w:val="00A17E26"/>
    <w:rsid w:val="00A2185C"/>
    <w:rsid w:val="00A22272"/>
    <w:rsid w:val="00A23C09"/>
    <w:rsid w:val="00A24C6D"/>
    <w:rsid w:val="00A25BE4"/>
    <w:rsid w:val="00A262A4"/>
    <w:rsid w:val="00A262DD"/>
    <w:rsid w:val="00A26B8C"/>
    <w:rsid w:val="00A27F65"/>
    <w:rsid w:val="00A30820"/>
    <w:rsid w:val="00A3214A"/>
    <w:rsid w:val="00A32AE0"/>
    <w:rsid w:val="00A333D2"/>
    <w:rsid w:val="00A3347E"/>
    <w:rsid w:val="00A34533"/>
    <w:rsid w:val="00A34EF9"/>
    <w:rsid w:val="00A35966"/>
    <w:rsid w:val="00A35BD1"/>
    <w:rsid w:val="00A40774"/>
    <w:rsid w:val="00A40888"/>
    <w:rsid w:val="00A40D9B"/>
    <w:rsid w:val="00A410EF"/>
    <w:rsid w:val="00A41AB4"/>
    <w:rsid w:val="00A43A56"/>
    <w:rsid w:val="00A44D5D"/>
    <w:rsid w:val="00A50733"/>
    <w:rsid w:val="00A50AE4"/>
    <w:rsid w:val="00A5126F"/>
    <w:rsid w:val="00A51317"/>
    <w:rsid w:val="00A53A93"/>
    <w:rsid w:val="00A57338"/>
    <w:rsid w:val="00A61044"/>
    <w:rsid w:val="00A616D6"/>
    <w:rsid w:val="00A61AD4"/>
    <w:rsid w:val="00A62008"/>
    <w:rsid w:val="00A62D38"/>
    <w:rsid w:val="00A64EC7"/>
    <w:rsid w:val="00A65B3F"/>
    <w:rsid w:val="00A66310"/>
    <w:rsid w:val="00A66B3B"/>
    <w:rsid w:val="00A7087B"/>
    <w:rsid w:val="00A73F16"/>
    <w:rsid w:val="00A74C16"/>
    <w:rsid w:val="00A75464"/>
    <w:rsid w:val="00A75F15"/>
    <w:rsid w:val="00A76EAF"/>
    <w:rsid w:val="00A7752E"/>
    <w:rsid w:val="00A808E7"/>
    <w:rsid w:val="00A8523B"/>
    <w:rsid w:val="00A852F7"/>
    <w:rsid w:val="00A86607"/>
    <w:rsid w:val="00A866B6"/>
    <w:rsid w:val="00A868F3"/>
    <w:rsid w:val="00A90236"/>
    <w:rsid w:val="00A903DC"/>
    <w:rsid w:val="00A92301"/>
    <w:rsid w:val="00A92B55"/>
    <w:rsid w:val="00A9306E"/>
    <w:rsid w:val="00A944EA"/>
    <w:rsid w:val="00A95E87"/>
    <w:rsid w:val="00A968A3"/>
    <w:rsid w:val="00A96D84"/>
    <w:rsid w:val="00A974FF"/>
    <w:rsid w:val="00AA022C"/>
    <w:rsid w:val="00AA064F"/>
    <w:rsid w:val="00AA09DE"/>
    <w:rsid w:val="00AA0E81"/>
    <w:rsid w:val="00AA1A6D"/>
    <w:rsid w:val="00AA3AA8"/>
    <w:rsid w:val="00AA47E7"/>
    <w:rsid w:val="00AA7204"/>
    <w:rsid w:val="00AA7E7F"/>
    <w:rsid w:val="00AB0CA8"/>
    <w:rsid w:val="00AB0CF1"/>
    <w:rsid w:val="00AB1B8D"/>
    <w:rsid w:val="00AB343B"/>
    <w:rsid w:val="00AB4494"/>
    <w:rsid w:val="00AB7AD7"/>
    <w:rsid w:val="00AB7C5D"/>
    <w:rsid w:val="00AB7EAA"/>
    <w:rsid w:val="00AC09D2"/>
    <w:rsid w:val="00AC41F9"/>
    <w:rsid w:val="00AC4511"/>
    <w:rsid w:val="00AC4555"/>
    <w:rsid w:val="00AC4C5A"/>
    <w:rsid w:val="00AD0146"/>
    <w:rsid w:val="00AD2528"/>
    <w:rsid w:val="00AD378E"/>
    <w:rsid w:val="00AD4D54"/>
    <w:rsid w:val="00AD5E4E"/>
    <w:rsid w:val="00AD693E"/>
    <w:rsid w:val="00AD6C58"/>
    <w:rsid w:val="00AD7390"/>
    <w:rsid w:val="00AD7430"/>
    <w:rsid w:val="00AE0010"/>
    <w:rsid w:val="00AE0604"/>
    <w:rsid w:val="00AE194B"/>
    <w:rsid w:val="00AE33E7"/>
    <w:rsid w:val="00AE3685"/>
    <w:rsid w:val="00AE4257"/>
    <w:rsid w:val="00AE5554"/>
    <w:rsid w:val="00AE563D"/>
    <w:rsid w:val="00AE599C"/>
    <w:rsid w:val="00AF2BB4"/>
    <w:rsid w:val="00AF32E5"/>
    <w:rsid w:val="00AF35F6"/>
    <w:rsid w:val="00AF5F36"/>
    <w:rsid w:val="00B004DF"/>
    <w:rsid w:val="00B0070E"/>
    <w:rsid w:val="00B01B5F"/>
    <w:rsid w:val="00B01D6A"/>
    <w:rsid w:val="00B03412"/>
    <w:rsid w:val="00B03F67"/>
    <w:rsid w:val="00B0401A"/>
    <w:rsid w:val="00B05B95"/>
    <w:rsid w:val="00B07152"/>
    <w:rsid w:val="00B072E0"/>
    <w:rsid w:val="00B103C3"/>
    <w:rsid w:val="00B14470"/>
    <w:rsid w:val="00B1464D"/>
    <w:rsid w:val="00B163BB"/>
    <w:rsid w:val="00B16BAC"/>
    <w:rsid w:val="00B216FB"/>
    <w:rsid w:val="00B21793"/>
    <w:rsid w:val="00B2469C"/>
    <w:rsid w:val="00B2480B"/>
    <w:rsid w:val="00B2538B"/>
    <w:rsid w:val="00B257A3"/>
    <w:rsid w:val="00B26220"/>
    <w:rsid w:val="00B274C4"/>
    <w:rsid w:val="00B27F1D"/>
    <w:rsid w:val="00B30872"/>
    <w:rsid w:val="00B30943"/>
    <w:rsid w:val="00B30F7D"/>
    <w:rsid w:val="00B34402"/>
    <w:rsid w:val="00B34E7D"/>
    <w:rsid w:val="00B35B2C"/>
    <w:rsid w:val="00B35C3E"/>
    <w:rsid w:val="00B369A2"/>
    <w:rsid w:val="00B41B34"/>
    <w:rsid w:val="00B4213C"/>
    <w:rsid w:val="00B43B6A"/>
    <w:rsid w:val="00B44031"/>
    <w:rsid w:val="00B445D0"/>
    <w:rsid w:val="00B452BD"/>
    <w:rsid w:val="00B47014"/>
    <w:rsid w:val="00B47097"/>
    <w:rsid w:val="00B4769D"/>
    <w:rsid w:val="00B47C9C"/>
    <w:rsid w:val="00B47F36"/>
    <w:rsid w:val="00B50918"/>
    <w:rsid w:val="00B5255B"/>
    <w:rsid w:val="00B52B60"/>
    <w:rsid w:val="00B55081"/>
    <w:rsid w:val="00B55295"/>
    <w:rsid w:val="00B5571B"/>
    <w:rsid w:val="00B55CA4"/>
    <w:rsid w:val="00B568AE"/>
    <w:rsid w:val="00B610CA"/>
    <w:rsid w:val="00B6118D"/>
    <w:rsid w:val="00B616C1"/>
    <w:rsid w:val="00B64608"/>
    <w:rsid w:val="00B652FC"/>
    <w:rsid w:val="00B66584"/>
    <w:rsid w:val="00B67EDE"/>
    <w:rsid w:val="00B7017F"/>
    <w:rsid w:val="00B74B8C"/>
    <w:rsid w:val="00B75DA8"/>
    <w:rsid w:val="00B76E4E"/>
    <w:rsid w:val="00B80F9C"/>
    <w:rsid w:val="00B81F69"/>
    <w:rsid w:val="00B8271A"/>
    <w:rsid w:val="00B830BE"/>
    <w:rsid w:val="00B851B4"/>
    <w:rsid w:val="00B853BE"/>
    <w:rsid w:val="00B85B16"/>
    <w:rsid w:val="00B860A0"/>
    <w:rsid w:val="00B864C2"/>
    <w:rsid w:val="00B86A58"/>
    <w:rsid w:val="00B9010A"/>
    <w:rsid w:val="00B927AC"/>
    <w:rsid w:val="00B93990"/>
    <w:rsid w:val="00B93C0D"/>
    <w:rsid w:val="00B94E42"/>
    <w:rsid w:val="00B95122"/>
    <w:rsid w:val="00B95922"/>
    <w:rsid w:val="00B96B89"/>
    <w:rsid w:val="00BA168C"/>
    <w:rsid w:val="00BA2F1C"/>
    <w:rsid w:val="00BA463E"/>
    <w:rsid w:val="00BA4846"/>
    <w:rsid w:val="00BA5059"/>
    <w:rsid w:val="00BA62FE"/>
    <w:rsid w:val="00BA640D"/>
    <w:rsid w:val="00BB0A95"/>
    <w:rsid w:val="00BB18DB"/>
    <w:rsid w:val="00BB2718"/>
    <w:rsid w:val="00BB3F99"/>
    <w:rsid w:val="00BB40C7"/>
    <w:rsid w:val="00BB4609"/>
    <w:rsid w:val="00BB4AF4"/>
    <w:rsid w:val="00BB5A4C"/>
    <w:rsid w:val="00BB7879"/>
    <w:rsid w:val="00BC2E2D"/>
    <w:rsid w:val="00BC3098"/>
    <w:rsid w:val="00BC48D9"/>
    <w:rsid w:val="00BC4E02"/>
    <w:rsid w:val="00BC6598"/>
    <w:rsid w:val="00BC766B"/>
    <w:rsid w:val="00BD0895"/>
    <w:rsid w:val="00BD22FE"/>
    <w:rsid w:val="00BD2775"/>
    <w:rsid w:val="00BD2D69"/>
    <w:rsid w:val="00BD3BC5"/>
    <w:rsid w:val="00BD3D2D"/>
    <w:rsid w:val="00BD581A"/>
    <w:rsid w:val="00BD6A6D"/>
    <w:rsid w:val="00BD708F"/>
    <w:rsid w:val="00BD7E26"/>
    <w:rsid w:val="00BE0403"/>
    <w:rsid w:val="00BE4B38"/>
    <w:rsid w:val="00BE7D9D"/>
    <w:rsid w:val="00BF11EF"/>
    <w:rsid w:val="00BF1CCB"/>
    <w:rsid w:val="00BF37C3"/>
    <w:rsid w:val="00BF44FA"/>
    <w:rsid w:val="00BF5E52"/>
    <w:rsid w:val="00BF6B54"/>
    <w:rsid w:val="00C01F96"/>
    <w:rsid w:val="00C0244F"/>
    <w:rsid w:val="00C02891"/>
    <w:rsid w:val="00C10F1D"/>
    <w:rsid w:val="00C12BF5"/>
    <w:rsid w:val="00C12E54"/>
    <w:rsid w:val="00C1386E"/>
    <w:rsid w:val="00C15576"/>
    <w:rsid w:val="00C1606A"/>
    <w:rsid w:val="00C2065F"/>
    <w:rsid w:val="00C207E8"/>
    <w:rsid w:val="00C21611"/>
    <w:rsid w:val="00C22E83"/>
    <w:rsid w:val="00C25505"/>
    <w:rsid w:val="00C25ED5"/>
    <w:rsid w:val="00C264FB"/>
    <w:rsid w:val="00C269C7"/>
    <w:rsid w:val="00C300B5"/>
    <w:rsid w:val="00C30912"/>
    <w:rsid w:val="00C30B5C"/>
    <w:rsid w:val="00C31371"/>
    <w:rsid w:val="00C3291D"/>
    <w:rsid w:val="00C33A37"/>
    <w:rsid w:val="00C348E6"/>
    <w:rsid w:val="00C354EC"/>
    <w:rsid w:val="00C365F7"/>
    <w:rsid w:val="00C373FD"/>
    <w:rsid w:val="00C37DEA"/>
    <w:rsid w:val="00C40C7F"/>
    <w:rsid w:val="00C40CD5"/>
    <w:rsid w:val="00C41DA4"/>
    <w:rsid w:val="00C441CB"/>
    <w:rsid w:val="00C4553C"/>
    <w:rsid w:val="00C46083"/>
    <w:rsid w:val="00C46AE6"/>
    <w:rsid w:val="00C50C30"/>
    <w:rsid w:val="00C50CBE"/>
    <w:rsid w:val="00C5120A"/>
    <w:rsid w:val="00C532CF"/>
    <w:rsid w:val="00C53740"/>
    <w:rsid w:val="00C567BE"/>
    <w:rsid w:val="00C56C8A"/>
    <w:rsid w:val="00C5771A"/>
    <w:rsid w:val="00C57788"/>
    <w:rsid w:val="00C60657"/>
    <w:rsid w:val="00C6135D"/>
    <w:rsid w:val="00C6297E"/>
    <w:rsid w:val="00C63326"/>
    <w:rsid w:val="00C65564"/>
    <w:rsid w:val="00C65A2D"/>
    <w:rsid w:val="00C65B87"/>
    <w:rsid w:val="00C6607F"/>
    <w:rsid w:val="00C670E8"/>
    <w:rsid w:val="00C704A0"/>
    <w:rsid w:val="00C73457"/>
    <w:rsid w:val="00C756A9"/>
    <w:rsid w:val="00C760A5"/>
    <w:rsid w:val="00C77032"/>
    <w:rsid w:val="00C81839"/>
    <w:rsid w:val="00C821CE"/>
    <w:rsid w:val="00C86B8E"/>
    <w:rsid w:val="00C87B97"/>
    <w:rsid w:val="00C87DC4"/>
    <w:rsid w:val="00C902BB"/>
    <w:rsid w:val="00C90617"/>
    <w:rsid w:val="00C918EC"/>
    <w:rsid w:val="00C96B31"/>
    <w:rsid w:val="00C97304"/>
    <w:rsid w:val="00CA2E18"/>
    <w:rsid w:val="00CA35F8"/>
    <w:rsid w:val="00CA481E"/>
    <w:rsid w:val="00CA4CAD"/>
    <w:rsid w:val="00CB0427"/>
    <w:rsid w:val="00CB0BE8"/>
    <w:rsid w:val="00CB190B"/>
    <w:rsid w:val="00CB2D11"/>
    <w:rsid w:val="00CB3DFB"/>
    <w:rsid w:val="00CB5404"/>
    <w:rsid w:val="00CB605F"/>
    <w:rsid w:val="00CB623D"/>
    <w:rsid w:val="00CB7F7A"/>
    <w:rsid w:val="00CC0553"/>
    <w:rsid w:val="00CC0806"/>
    <w:rsid w:val="00CC0983"/>
    <w:rsid w:val="00CC0CDC"/>
    <w:rsid w:val="00CC67F1"/>
    <w:rsid w:val="00CC6F98"/>
    <w:rsid w:val="00CC77FF"/>
    <w:rsid w:val="00CD1017"/>
    <w:rsid w:val="00CD3278"/>
    <w:rsid w:val="00CD3C0C"/>
    <w:rsid w:val="00CD3C4E"/>
    <w:rsid w:val="00CD4382"/>
    <w:rsid w:val="00CD55C1"/>
    <w:rsid w:val="00CD6F38"/>
    <w:rsid w:val="00CE1F10"/>
    <w:rsid w:val="00CE3675"/>
    <w:rsid w:val="00CE4101"/>
    <w:rsid w:val="00CE4BF1"/>
    <w:rsid w:val="00CE5288"/>
    <w:rsid w:val="00CE6813"/>
    <w:rsid w:val="00CE69AB"/>
    <w:rsid w:val="00CE6B05"/>
    <w:rsid w:val="00CF2057"/>
    <w:rsid w:val="00CF256A"/>
    <w:rsid w:val="00CF3093"/>
    <w:rsid w:val="00CF3FB1"/>
    <w:rsid w:val="00CF4DB3"/>
    <w:rsid w:val="00CF53F7"/>
    <w:rsid w:val="00CF5736"/>
    <w:rsid w:val="00CF5F72"/>
    <w:rsid w:val="00CF6537"/>
    <w:rsid w:val="00CF6A60"/>
    <w:rsid w:val="00CF6BA4"/>
    <w:rsid w:val="00CF7620"/>
    <w:rsid w:val="00CF7A4B"/>
    <w:rsid w:val="00D0004E"/>
    <w:rsid w:val="00D0017C"/>
    <w:rsid w:val="00D0123A"/>
    <w:rsid w:val="00D01541"/>
    <w:rsid w:val="00D01B09"/>
    <w:rsid w:val="00D01FCD"/>
    <w:rsid w:val="00D045B0"/>
    <w:rsid w:val="00D0490C"/>
    <w:rsid w:val="00D05531"/>
    <w:rsid w:val="00D074F7"/>
    <w:rsid w:val="00D07CFD"/>
    <w:rsid w:val="00D102F5"/>
    <w:rsid w:val="00D115FD"/>
    <w:rsid w:val="00D11F65"/>
    <w:rsid w:val="00D122D4"/>
    <w:rsid w:val="00D12F2E"/>
    <w:rsid w:val="00D15096"/>
    <w:rsid w:val="00D15A2F"/>
    <w:rsid w:val="00D17F06"/>
    <w:rsid w:val="00D21B3B"/>
    <w:rsid w:val="00D21BB8"/>
    <w:rsid w:val="00D21D10"/>
    <w:rsid w:val="00D224B0"/>
    <w:rsid w:val="00D241E8"/>
    <w:rsid w:val="00D2504B"/>
    <w:rsid w:val="00D264CA"/>
    <w:rsid w:val="00D26815"/>
    <w:rsid w:val="00D27F55"/>
    <w:rsid w:val="00D303CB"/>
    <w:rsid w:val="00D3043F"/>
    <w:rsid w:val="00D311D1"/>
    <w:rsid w:val="00D3140F"/>
    <w:rsid w:val="00D31E13"/>
    <w:rsid w:val="00D3366D"/>
    <w:rsid w:val="00D33FDD"/>
    <w:rsid w:val="00D34C5A"/>
    <w:rsid w:val="00D3540F"/>
    <w:rsid w:val="00D35F19"/>
    <w:rsid w:val="00D364A9"/>
    <w:rsid w:val="00D36FD5"/>
    <w:rsid w:val="00D3705B"/>
    <w:rsid w:val="00D378A6"/>
    <w:rsid w:val="00D37F9C"/>
    <w:rsid w:val="00D41DB1"/>
    <w:rsid w:val="00D44333"/>
    <w:rsid w:val="00D44F40"/>
    <w:rsid w:val="00D4502B"/>
    <w:rsid w:val="00D47712"/>
    <w:rsid w:val="00D47C5A"/>
    <w:rsid w:val="00D51905"/>
    <w:rsid w:val="00D5416D"/>
    <w:rsid w:val="00D54BDA"/>
    <w:rsid w:val="00D54EF4"/>
    <w:rsid w:val="00D554E4"/>
    <w:rsid w:val="00D574A5"/>
    <w:rsid w:val="00D606C9"/>
    <w:rsid w:val="00D6123F"/>
    <w:rsid w:val="00D63824"/>
    <w:rsid w:val="00D639E0"/>
    <w:rsid w:val="00D63F2A"/>
    <w:rsid w:val="00D64053"/>
    <w:rsid w:val="00D64B10"/>
    <w:rsid w:val="00D659AD"/>
    <w:rsid w:val="00D669AF"/>
    <w:rsid w:val="00D67D8A"/>
    <w:rsid w:val="00D67E29"/>
    <w:rsid w:val="00D70AD6"/>
    <w:rsid w:val="00D7303E"/>
    <w:rsid w:val="00D7393F"/>
    <w:rsid w:val="00D73B00"/>
    <w:rsid w:val="00D74FB8"/>
    <w:rsid w:val="00D76B88"/>
    <w:rsid w:val="00D76D27"/>
    <w:rsid w:val="00D77330"/>
    <w:rsid w:val="00D77B5F"/>
    <w:rsid w:val="00D8035A"/>
    <w:rsid w:val="00D80E1B"/>
    <w:rsid w:val="00D81BE5"/>
    <w:rsid w:val="00D81EE1"/>
    <w:rsid w:val="00D82088"/>
    <w:rsid w:val="00D824A3"/>
    <w:rsid w:val="00D82D81"/>
    <w:rsid w:val="00D84B64"/>
    <w:rsid w:val="00D84FEA"/>
    <w:rsid w:val="00D8566E"/>
    <w:rsid w:val="00D85F30"/>
    <w:rsid w:val="00D86FD9"/>
    <w:rsid w:val="00D91551"/>
    <w:rsid w:val="00D92A57"/>
    <w:rsid w:val="00D93597"/>
    <w:rsid w:val="00D93B96"/>
    <w:rsid w:val="00D96249"/>
    <w:rsid w:val="00D96403"/>
    <w:rsid w:val="00D96581"/>
    <w:rsid w:val="00D975A3"/>
    <w:rsid w:val="00D97E5B"/>
    <w:rsid w:val="00DA09D1"/>
    <w:rsid w:val="00DA0B82"/>
    <w:rsid w:val="00DA102E"/>
    <w:rsid w:val="00DA29F3"/>
    <w:rsid w:val="00DA3305"/>
    <w:rsid w:val="00DA5ECB"/>
    <w:rsid w:val="00DA6951"/>
    <w:rsid w:val="00DA70A8"/>
    <w:rsid w:val="00DA7DD2"/>
    <w:rsid w:val="00DB05D7"/>
    <w:rsid w:val="00DB1196"/>
    <w:rsid w:val="00DB20BD"/>
    <w:rsid w:val="00DB2BD8"/>
    <w:rsid w:val="00DB30EF"/>
    <w:rsid w:val="00DB6245"/>
    <w:rsid w:val="00DB78D7"/>
    <w:rsid w:val="00DB7DBC"/>
    <w:rsid w:val="00DC02C0"/>
    <w:rsid w:val="00DC049B"/>
    <w:rsid w:val="00DC1343"/>
    <w:rsid w:val="00DC13D0"/>
    <w:rsid w:val="00DC2BA9"/>
    <w:rsid w:val="00DC2F26"/>
    <w:rsid w:val="00DC3A5D"/>
    <w:rsid w:val="00DC447E"/>
    <w:rsid w:val="00DC5C00"/>
    <w:rsid w:val="00DC67A8"/>
    <w:rsid w:val="00DC6926"/>
    <w:rsid w:val="00DD02C8"/>
    <w:rsid w:val="00DD40E6"/>
    <w:rsid w:val="00DD46A3"/>
    <w:rsid w:val="00DD557F"/>
    <w:rsid w:val="00DD5D75"/>
    <w:rsid w:val="00DE117E"/>
    <w:rsid w:val="00DE1DAD"/>
    <w:rsid w:val="00DE33F6"/>
    <w:rsid w:val="00DE4894"/>
    <w:rsid w:val="00DE4C7D"/>
    <w:rsid w:val="00DE4F50"/>
    <w:rsid w:val="00DE5E3A"/>
    <w:rsid w:val="00DE7CB0"/>
    <w:rsid w:val="00DF0A1E"/>
    <w:rsid w:val="00DF0C3F"/>
    <w:rsid w:val="00DF114D"/>
    <w:rsid w:val="00DF575F"/>
    <w:rsid w:val="00DF5CEB"/>
    <w:rsid w:val="00DF6D4F"/>
    <w:rsid w:val="00E000A8"/>
    <w:rsid w:val="00E0044F"/>
    <w:rsid w:val="00E00C75"/>
    <w:rsid w:val="00E00CBB"/>
    <w:rsid w:val="00E00E1B"/>
    <w:rsid w:val="00E02A54"/>
    <w:rsid w:val="00E04130"/>
    <w:rsid w:val="00E04C35"/>
    <w:rsid w:val="00E062DE"/>
    <w:rsid w:val="00E06328"/>
    <w:rsid w:val="00E06852"/>
    <w:rsid w:val="00E06A51"/>
    <w:rsid w:val="00E07367"/>
    <w:rsid w:val="00E11DBA"/>
    <w:rsid w:val="00E139BC"/>
    <w:rsid w:val="00E15FAB"/>
    <w:rsid w:val="00E20153"/>
    <w:rsid w:val="00E20DCA"/>
    <w:rsid w:val="00E21D30"/>
    <w:rsid w:val="00E21FB4"/>
    <w:rsid w:val="00E220C4"/>
    <w:rsid w:val="00E23127"/>
    <w:rsid w:val="00E2347B"/>
    <w:rsid w:val="00E23D52"/>
    <w:rsid w:val="00E25769"/>
    <w:rsid w:val="00E267A4"/>
    <w:rsid w:val="00E2713E"/>
    <w:rsid w:val="00E2758B"/>
    <w:rsid w:val="00E31A03"/>
    <w:rsid w:val="00E327DC"/>
    <w:rsid w:val="00E331E6"/>
    <w:rsid w:val="00E34939"/>
    <w:rsid w:val="00E34F93"/>
    <w:rsid w:val="00E40366"/>
    <w:rsid w:val="00E413F0"/>
    <w:rsid w:val="00E43168"/>
    <w:rsid w:val="00E43260"/>
    <w:rsid w:val="00E43AF1"/>
    <w:rsid w:val="00E441C0"/>
    <w:rsid w:val="00E451C4"/>
    <w:rsid w:val="00E4521E"/>
    <w:rsid w:val="00E45BAE"/>
    <w:rsid w:val="00E52223"/>
    <w:rsid w:val="00E531B4"/>
    <w:rsid w:val="00E53463"/>
    <w:rsid w:val="00E54D10"/>
    <w:rsid w:val="00E54EC8"/>
    <w:rsid w:val="00E57B79"/>
    <w:rsid w:val="00E60E93"/>
    <w:rsid w:val="00E60FD1"/>
    <w:rsid w:val="00E61E27"/>
    <w:rsid w:val="00E64C96"/>
    <w:rsid w:val="00E6745B"/>
    <w:rsid w:val="00E678EA"/>
    <w:rsid w:val="00E70D2C"/>
    <w:rsid w:val="00E71AF5"/>
    <w:rsid w:val="00E72111"/>
    <w:rsid w:val="00E7518D"/>
    <w:rsid w:val="00E773F1"/>
    <w:rsid w:val="00E7797F"/>
    <w:rsid w:val="00E810CC"/>
    <w:rsid w:val="00E83721"/>
    <w:rsid w:val="00E83921"/>
    <w:rsid w:val="00E83E02"/>
    <w:rsid w:val="00E8793B"/>
    <w:rsid w:val="00E87ACD"/>
    <w:rsid w:val="00E9092A"/>
    <w:rsid w:val="00E91ED5"/>
    <w:rsid w:val="00E92A11"/>
    <w:rsid w:val="00E954B6"/>
    <w:rsid w:val="00E954BB"/>
    <w:rsid w:val="00EA0580"/>
    <w:rsid w:val="00EA114F"/>
    <w:rsid w:val="00EA18ED"/>
    <w:rsid w:val="00EA2D50"/>
    <w:rsid w:val="00EA3C56"/>
    <w:rsid w:val="00EA4225"/>
    <w:rsid w:val="00EA45BC"/>
    <w:rsid w:val="00EA4ED7"/>
    <w:rsid w:val="00EB0608"/>
    <w:rsid w:val="00EB186B"/>
    <w:rsid w:val="00EB2F0A"/>
    <w:rsid w:val="00EB43F1"/>
    <w:rsid w:val="00EB4438"/>
    <w:rsid w:val="00EB4DBE"/>
    <w:rsid w:val="00EB4E24"/>
    <w:rsid w:val="00EB578B"/>
    <w:rsid w:val="00EC6BFD"/>
    <w:rsid w:val="00EC6E94"/>
    <w:rsid w:val="00ED06FE"/>
    <w:rsid w:val="00ED316B"/>
    <w:rsid w:val="00ED486C"/>
    <w:rsid w:val="00ED4B5C"/>
    <w:rsid w:val="00ED51ED"/>
    <w:rsid w:val="00EE0A53"/>
    <w:rsid w:val="00EE451A"/>
    <w:rsid w:val="00EE49FC"/>
    <w:rsid w:val="00EE505F"/>
    <w:rsid w:val="00EE5B1A"/>
    <w:rsid w:val="00EE68F5"/>
    <w:rsid w:val="00EF1784"/>
    <w:rsid w:val="00EF2AFE"/>
    <w:rsid w:val="00EF5BC3"/>
    <w:rsid w:val="00EF6DD6"/>
    <w:rsid w:val="00F00097"/>
    <w:rsid w:val="00F02F15"/>
    <w:rsid w:val="00F033AA"/>
    <w:rsid w:val="00F06016"/>
    <w:rsid w:val="00F068FE"/>
    <w:rsid w:val="00F1111A"/>
    <w:rsid w:val="00F112AF"/>
    <w:rsid w:val="00F1167E"/>
    <w:rsid w:val="00F11C8A"/>
    <w:rsid w:val="00F12CA0"/>
    <w:rsid w:val="00F13219"/>
    <w:rsid w:val="00F13C4C"/>
    <w:rsid w:val="00F1434E"/>
    <w:rsid w:val="00F146BD"/>
    <w:rsid w:val="00F14DDF"/>
    <w:rsid w:val="00F16B52"/>
    <w:rsid w:val="00F17053"/>
    <w:rsid w:val="00F203CD"/>
    <w:rsid w:val="00F21C8B"/>
    <w:rsid w:val="00F22C22"/>
    <w:rsid w:val="00F22ED7"/>
    <w:rsid w:val="00F231D2"/>
    <w:rsid w:val="00F243AE"/>
    <w:rsid w:val="00F2499A"/>
    <w:rsid w:val="00F25182"/>
    <w:rsid w:val="00F25948"/>
    <w:rsid w:val="00F262CC"/>
    <w:rsid w:val="00F263AC"/>
    <w:rsid w:val="00F26E5D"/>
    <w:rsid w:val="00F272AA"/>
    <w:rsid w:val="00F304FF"/>
    <w:rsid w:val="00F305AB"/>
    <w:rsid w:val="00F31412"/>
    <w:rsid w:val="00F31E2C"/>
    <w:rsid w:val="00F31F62"/>
    <w:rsid w:val="00F33F14"/>
    <w:rsid w:val="00F3424E"/>
    <w:rsid w:val="00F3511B"/>
    <w:rsid w:val="00F36B10"/>
    <w:rsid w:val="00F36F27"/>
    <w:rsid w:val="00F40E93"/>
    <w:rsid w:val="00F434CA"/>
    <w:rsid w:val="00F45409"/>
    <w:rsid w:val="00F45AE4"/>
    <w:rsid w:val="00F46018"/>
    <w:rsid w:val="00F4640D"/>
    <w:rsid w:val="00F50856"/>
    <w:rsid w:val="00F540E7"/>
    <w:rsid w:val="00F542BD"/>
    <w:rsid w:val="00F553A9"/>
    <w:rsid w:val="00F558CF"/>
    <w:rsid w:val="00F568E2"/>
    <w:rsid w:val="00F56F4A"/>
    <w:rsid w:val="00F6239A"/>
    <w:rsid w:val="00F63765"/>
    <w:rsid w:val="00F6554E"/>
    <w:rsid w:val="00F658AF"/>
    <w:rsid w:val="00F65ED3"/>
    <w:rsid w:val="00F67BED"/>
    <w:rsid w:val="00F715B3"/>
    <w:rsid w:val="00F7298A"/>
    <w:rsid w:val="00F729E7"/>
    <w:rsid w:val="00F75047"/>
    <w:rsid w:val="00F75A5C"/>
    <w:rsid w:val="00F75C88"/>
    <w:rsid w:val="00F762B1"/>
    <w:rsid w:val="00F80AD7"/>
    <w:rsid w:val="00F81E17"/>
    <w:rsid w:val="00F820CD"/>
    <w:rsid w:val="00F83B00"/>
    <w:rsid w:val="00F854FF"/>
    <w:rsid w:val="00F8603F"/>
    <w:rsid w:val="00F872A1"/>
    <w:rsid w:val="00F87387"/>
    <w:rsid w:val="00F876A8"/>
    <w:rsid w:val="00F92304"/>
    <w:rsid w:val="00F92312"/>
    <w:rsid w:val="00F9287E"/>
    <w:rsid w:val="00F92FAE"/>
    <w:rsid w:val="00F93ACE"/>
    <w:rsid w:val="00F955AB"/>
    <w:rsid w:val="00F95ED1"/>
    <w:rsid w:val="00F968A9"/>
    <w:rsid w:val="00F96C96"/>
    <w:rsid w:val="00F97427"/>
    <w:rsid w:val="00FA093C"/>
    <w:rsid w:val="00FA10C5"/>
    <w:rsid w:val="00FA7029"/>
    <w:rsid w:val="00FB13F2"/>
    <w:rsid w:val="00FB1E63"/>
    <w:rsid w:val="00FB1FC8"/>
    <w:rsid w:val="00FB2148"/>
    <w:rsid w:val="00FB5EEA"/>
    <w:rsid w:val="00FB5F2B"/>
    <w:rsid w:val="00FB601C"/>
    <w:rsid w:val="00FB7358"/>
    <w:rsid w:val="00FC2008"/>
    <w:rsid w:val="00FC47C6"/>
    <w:rsid w:val="00FC52F4"/>
    <w:rsid w:val="00FC69BF"/>
    <w:rsid w:val="00FD0472"/>
    <w:rsid w:val="00FD37CB"/>
    <w:rsid w:val="00FD567B"/>
    <w:rsid w:val="00FD6847"/>
    <w:rsid w:val="00FD70CB"/>
    <w:rsid w:val="00FD7528"/>
    <w:rsid w:val="00FE2703"/>
    <w:rsid w:val="00FE2774"/>
    <w:rsid w:val="00FE2B77"/>
    <w:rsid w:val="00FE364E"/>
    <w:rsid w:val="00FE37B5"/>
    <w:rsid w:val="00FE3C95"/>
    <w:rsid w:val="00FE4004"/>
    <w:rsid w:val="00FE62F4"/>
    <w:rsid w:val="00FF431A"/>
    <w:rsid w:val="00FF5224"/>
    <w:rsid w:val="00FF7ECA"/>
    <w:rsid w:val="00FF7F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5CD6"/>
  <w15:docId w15:val="{1FBE9A7E-3630-4278-A588-D69F34E2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6C6"/>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D7"/>
    <w:rPr>
      <w:color w:val="808080"/>
    </w:rPr>
  </w:style>
  <w:style w:type="table" w:styleId="TableGrid">
    <w:name w:val="Table Grid"/>
    <w:basedOn w:val="TableNormal"/>
    <w:uiPriority w:val="59"/>
    <w:rsid w:val="00137CF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22"/>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490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F4E"/>
    <w:rPr>
      <w:rFonts w:eastAsiaTheme="minorHAnsi"/>
      <w:lang w:val="en-US" w:eastAsia="en-US"/>
    </w:rPr>
  </w:style>
  <w:style w:type="paragraph" w:styleId="Footer">
    <w:name w:val="footer"/>
    <w:basedOn w:val="Normal"/>
    <w:link w:val="FooterChar"/>
    <w:uiPriority w:val="99"/>
    <w:unhideWhenUsed/>
    <w:rsid w:val="00490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F4E"/>
    <w:rPr>
      <w:rFonts w:eastAsiaTheme="minorHAnsi"/>
      <w:lang w:val="en-US" w:eastAsia="en-US"/>
    </w:rPr>
  </w:style>
  <w:style w:type="paragraph" w:styleId="NormalWeb">
    <w:name w:val="Normal (Web)"/>
    <w:basedOn w:val="Normal"/>
    <w:uiPriority w:val="99"/>
    <w:semiHidden/>
    <w:unhideWhenUsed/>
    <w:rsid w:val="0019006D"/>
    <w:pPr>
      <w:spacing w:before="100" w:beforeAutospacing="1" w:after="100" w:afterAutospacing="1" w:line="240" w:lineRule="auto"/>
    </w:pPr>
    <w:rPr>
      <w:rFonts w:ascii="Times New Roman" w:eastAsia="Times New Roman" w:hAnsi="Times New Roman" w:cs="Times New Roman"/>
      <w:sz w:val="24"/>
      <w:szCs w:val="24"/>
      <w:lang w:val="en-CA" w:eastAsia="ja-JP"/>
    </w:rPr>
  </w:style>
  <w:style w:type="paragraph" w:customStyle="1" w:styleId="yiv0044038843msonormal">
    <w:name w:val="yiv0044038843msonormal"/>
    <w:basedOn w:val="Normal"/>
    <w:rsid w:val="000C63DD"/>
    <w:pPr>
      <w:spacing w:before="100" w:beforeAutospacing="1" w:after="100" w:afterAutospacing="1" w:line="240" w:lineRule="auto"/>
    </w:pPr>
    <w:rPr>
      <w:rFonts w:ascii="Times New Roman" w:hAnsi="Times New Roman" w:cs="Times New Roman"/>
      <w:sz w:val="24"/>
      <w:szCs w:val="24"/>
    </w:rPr>
  </w:style>
  <w:style w:type="paragraph" w:customStyle="1" w:styleId="ydp8296f075yiv7348143044msonormal">
    <w:name w:val="ydp8296f075yiv7348143044msonormal"/>
    <w:basedOn w:val="Normal"/>
    <w:rsid w:val="0064686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0821">
      <w:bodyDiv w:val="1"/>
      <w:marLeft w:val="0"/>
      <w:marRight w:val="0"/>
      <w:marTop w:val="0"/>
      <w:marBottom w:val="0"/>
      <w:divBdr>
        <w:top w:val="none" w:sz="0" w:space="0" w:color="auto"/>
        <w:left w:val="none" w:sz="0" w:space="0" w:color="auto"/>
        <w:bottom w:val="none" w:sz="0" w:space="0" w:color="auto"/>
        <w:right w:val="none" w:sz="0" w:space="0" w:color="auto"/>
      </w:divBdr>
    </w:div>
    <w:div w:id="72358807">
      <w:bodyDiv w:val="1"/>
      <w:marLeft w:val="0"/>
      <w:marRight w:val="0"/>
      <w:marTop w:val="0"/>
      <w:marBottom w:val="0"/>
      <w:divBdr>
        <w:top w:val="none" w:sz="0" w:space="0" w:color="auto"/>
        <w:left w:val="none" w:sz="0" w:space="0" w:color="auto"/>
        <w:bottom w:val="none" w:sz="0" w:space="0" w:color="auto"/>
        <w:right w:val="none" w:sz="0" w:space="0" w:color="auto"/>
      </w:divBdr>
    </w:div>
    <w:div w:id="96948395">
      <w:bodyDiv w:val="1"/>
      <w:marLeft w:val="0"/>
      <w:marRight w:val="0"/>
      <w:marTop w:val="0"/>
      <w:marBottom w:val="0"/>
      <w:divBdr>
        <w:top w:val="none" w:sz="0" w:space="0" w:color="auto"/>
        <w:left w:val="none" w:sz="0" w:space="0" w:color="auto"/>
        <w:bottom w:val="none" w:sz="0" w:space="0" w:color="auto"/>
        <w:right w:val="none" w:sz="0" w:space="0" w:color="auto"/>
      </w:divBdr>
    </w:div>
    <w:div w:id="127477735">
      <w:bodyDiv w:val="1"/>
      <w:marLeft w:val="0"/>
      <w:marRight w:val="0"/>
      <w:marTop w:val="0"/>
      <w:marBottom w:val="0"/>
      <w:divBdr>
        <w:top w:val="none" w:sz="0" w:space="0" w:color="auto"/>
        <w:left w:val="none" w:sz="0" w:space="0" w:color="auto"/>
        <w:bottom w:val="none" w:sz="0" w:space="0" w:color="auto"/>
        <w:right w:val="none" w:sz="0" w:space="0" w:color="auto"/>
      </w:divBdr>
    </w:div>
    <w:div w:id="195237626">
      <w:bodyDiv w:val="1"/>
      <w:marLeft w:val="0"/>
      <w:marRight w:val="0"/>
      <w:marTop w:val="0"/>
      <w:marBottom w:val="0"/>
      <w:divBdr>
        <w:top w:val="none" w:sz="0" w:space="0" w:color="auto"/>
        <w:left w:val="none" w:sz="0" w:space="0" w:color="auto"/>
        <w:bottom w:val="none" w:sz="0" w:space="0" w:color="auto"/>
        <w:right w:val="none" w:sz="0" w:space="0" w:color="auto"/>
      </w:divBdr>
    </w:div>
    <w:div w:id="223571357">
      <w:bodyDiv w:val="1"/>
      <w:marLeft w:val="0"/>
      <w:marRight w:val="0"/>
      <w:marTop w:val="0"/>
      <w:marBottom w:val="0"/>
      <w:divBdr>
        <w:top w:val="none" w:sz="0" w:space="0" w:color="auto"/>
        <w:left w:val="none" w:sz="0" w:space="0" w:color="auto"/>
        <w:bottom w:val="none" w:sz="0" w:space="0" w:color="auto"/>
        <w:right w:val="none" w:sz="0" w:space="0" w:color="auto"/>
      </w:divBdr>
    </w:div>
    <w:div w:id="272058860">
      <w:bodyDiv w:val="1"/>
      <w:marLeft w:val="0"/>
      <w:marRight w:val="0"/>
      <w:marTop w:val="0"/>
      <w:marBottom w:val="0"/>
      <w:divBdr>
        <w:top w:val="none" w:sz="0" w:space="0" w:color="auto"/>
        <w:left w:val="none" w:sz="0" w:space="0" w:color="auto"/>
        <w:bottom w:val="none" w:sz="0" w:space="0" w:color="auto"/>
        <w:right w:val="none" w:sz="0" w:space="0" w:color="auto"/>
      </w:divBdr>
    </w:div>
    <w:div w:id="278880239">
      <w:bodyDiv w:val="1"/>
      <w:marLeft w:val="0"/>
      <w:marRight w:val="0"/>
      <w:marTop w:val="0"/>
      <w:marBottom w:val="0"/>
      <w:divBdr>
        <w:top w:val="none" w:sz="0" w:space="0" w:color="auto"/>
        <w:left w:val="none" w:sz="0" w:space="0" w:color="auto"/>
        <w:bottom w:val="none" w:sz="0" w:space="0" w:color="auto"/>
        <w:right w:val="none" w:sz="0" w:space="0" w:color="auto"/>
      </w:divBdr>
    </w:div>
    <w:div w:id="303463596">
      <w:bodyDiv w:val="1"/>
      <w:marLeft w:val="120"/>
      <w:marRight w:val="120"/>
      <w:marTop w:val="0"/>
      <w:marBottom w:val="0"/>
      <w:divBdr>
        <w:top w:val="none" w:sz="0" w:space="0" w:color="auto"/>
        <w:left w:val="none" w:sz="0" w:space="0" w:color="auto"/>
        <w:bottom w:val="none" w:sz="0" w:space="0" w:color="auto"/>
        <w:right w:val="none" w:sz="0" w:space="0" w:color="auto"/>
      </w:divBdr>
      <w:divsChild>
        <w:div w:id="1918515414">
          <w:marLeft w:val="0"/>
          <w:marRight w:val="0"/>
          <w:marTop w:val="0"/>
          <w:marBottom w:val="0"/>
          <w:divBdr>
            <w:top w:val="none" w:sz="0" w:space="0" w:color="auto"/>
            <w:left w:val="none" w:sz="0" w:space="0" w:color="auto"/>
            <w:bottom w:val="none" w:sz="0" w:space="0" w:color="auto"/>
            <w:right w:val="none" w:sz="0" w:space="0" w:color="auto"/>
          </w:divBdr>
          <w:divsChild>
            <w:div w:id="58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045">
      <w:bodyDiv w:val="1"/>
      <w:marLeft w:val="0"/>
      <w:marRight w:val="0"/>
      <w:marTop w:val="0"/>
      <w:marBottom w:val="0"/>
      <w:divBdr>
        <w:top w:val="none" w:sz="0" w:space="0" w:color="auto"/>
        <w:left w:val="none" w:sz="0" w:space="0" w:color="auto"/>
        <w:bottom w:val="none" w:sz="0" w:space="0" w:color="auto"/>
        <w:right w:val="none" w:sz="0" w:space="0" w:color="auto"/>
      </w:divBdr>
    </w:div>
    <w:div w:id="352190822">
      <w:bodyDiv w:val="1"/>
      <w:marLeft w:val="0"/>
      <w:marRight w:val="0"/>
      <w:marTop w:val="0"/>
      <w:marBottom w:val="0"/>
      <w:divBdr>
        <w:top w:val="none" w:sz="0" w:space="0" w:color="auto"/>
        <w:left w:val="none" w:sz="0" w:space="0" w:color="auto"/>
        <w:bottom w:val="none" w:sz="0" w:space="0" w:color="auto"/>
        <w:right w:val="none" w:sz="0" w:space="0" w:color="auto"/>
      </w:divBdr>
    </w:div>
    <w:div w:id="385223647">
      <w:bodyDiv w:val="1"/>
      <w:marLeft w:val="0"/>
      <w:marRight w:val="0"/>
      <w:marTop w:val="0"/>
      <w:marBottom w:val="0"/>
      <w:divBdr>
        <w:top w:val="none" w:sz="0" w:space="0" w:color="auto"/>
        <w:left w:val="none" w:sz="0" w:space="0" w:color="auto"/>
        <w:bottom w:val="none" w:sz="0" w:space="0" w:color="auto"/>
        <w:right w:val="none" w:sz="0" w:space="0" w:color="auto"/>
      </w:divBdr>
    </w:div>
    <w:div w:id="441268939">
      <w:bodyDiv w:val="1"/>
      <w:marLeft w:val="120"/>
      <w:marRight w:val="120"/>
      <w:marTop w:val="0"/>
      <w:marBottom w:val="0"/>
      <w:divBdr>
        <w:top w:val="none" w:sz="0" w:space="0" w:color="auto"/>
        <w:left w:val="none" w:sz="0" w:space="0" w:color="auto"/>
        <w:bottom w:val="none" w:sz="0" w:space="0" w:color="auto"/>
        <w:right w:val="none" w:sz="0" w:space="0" w:color="auto"/>
      </w:divBdr>
      <w:divsChild>
        <w:div w:id="1846895754">
          <w:marLeft w:val="0"/>
          <w:marRight w:val="0"/>
          <w:marTop w:val="0"/>
          <w:marBottom w:val="0"/>
          <w:divBdr>
            <w:top w:val="none" w:sz="0" w:space="0" w:color="auto"/>
            <w:left w:val="none" w:sz="0" w:space="0" w:color="auto"/>
            <w:bottom w:val="none" w:sz="0" w:space="0" w:color="auto"/>
            <w:right w:val="none" w:sz="0" w:space="0" w:color="auto"/>
          </w:divBdr>
          <w:divsChild>
            <w:div w:id="3657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6072">
      <w:bodyDiv w:val="1"/>
      <w:marLeft w:val="0"/>
      <w:marRight w:val="0"/>
      <w:marTop w:val="0"/>
      <w:marBottom w:val="0"/>
      <w:divBdr>
        <w:top w:val="none" w:sz="0" w:space="0" w:color="auto"/>
        <w:left w:val="none" w:sz="0" w:space="0" w:color="auto"/>
        <w:bottom w:val="none" w:sz="0" w:space="0" w:color="auto"/>
        <w:right w:val="none" w:sz="0" w:space="0" w:color="auto"/>
      </w:divBdr>
    </w:div>
    <w:div w:id="487554909">
      <w:bodyDiv w:val="1"/>
      <w:marLeft w:val="0"/>
      <w:marRight w:val="0"/>
      <w:marTop w:val="0"/>
      <w:marBottom w:val="0"/>
      <w:divBdr>
        <w:top w:val="none" w:sz="0" w:space="0" w:color="auto"/>
        <w:left w:val="none" w:sz="0" w:space="0" w:color="auto"/>
        <w:bottom w:val="none" w:sz="0" w:space="0" w:color="auto"/>
        <w:right w:val="none" w:sz="0" w:space="0" w:color="auto"/>
      </w:divBdr>
    </w:div>
    <w:div w:id="517812297">
      <w:bodyDiv w:val="1"/>
      <w:marLeft w:val="0"/>
      <w:marRight w:val="0"/>
      <w:marTop w:val="0"/>
      <w:marBottom w:val="0"/>
      <w:divBdr>
        <w:top w:val="none" w:sz="0" w:space="0" w:color="auto"/>
        <w:left w:val="none" w:sz="0" w:space="0" w:color="auto"/>
        <w:bottom w:val="none" w:sz="0" w:space="0" w:color="auto"/>
        <w:right w:val="none" w:sz="0" w:space="0" w:color="auto"/>
      </w:divBdr>
    </w:div>
    <w:div w:id="566719692">
      <w:bodyDiv w:val="1"/>
      <w:marLeft w:val="0"/>
      <w:marRight w:val="0"/>
      <w:marTop w:val="0"/>
      <w:marBottom w:val="0"/>
      <w:divBdr>
        <w:top w:val="none" w:sz="0" w:space="0" w:color="auto"/>
        <w:left w:val="none" w:sz="0" w:space="0" w:color="auto"/>
        <w:bottom w:val="none" w:sz="0" w:space="0" w:color="auto"/>
        <w:right w:val="none" w:sz="0" w:space="0" w:color="auto"/>
      </w:divBdr>
    </w:div>
    <w:div w:id="618681195">
      <w:bodyDiv w:val="1"/>
      <w:marLeft w:val="0"/>
      <w:marRight w:val="0"/>
      <w:marTop w:val="0"/>
      <w:marBottom w:val="0"/>
      <w:divBdr>
        <w:top w:val="none" w:sz="0" w:space="0" w:color="auto"/>
        <w:left w:val="none" w:sz="0" w:space="0" w:color="auto"/>
        <w:bottom w:val="none" w:sz="0" w:space="0" w:color="auto"/>
        <w:right w:val="none" w:sz="0" w:space="0" w:color="auto"/>
      </w:divBdr>
    </w:div>
    <w:div w:id="663699525">
      <w:bodyDiv w:val="1"/>
      <w:marLeft w:val="0"/>
      <w:marRight w:val="0"/>
      <w:marTop w:val="0"/>
      <w:marBottom w:val="0"/>
      <w:divBdr>
        <w:top w:val="none" w:sz="0" w:space="0" w:color="auto"/>
        <w:left w:val="none" w:sz="0" w:space="0" w:color="auto"/>
        <w:bottom w:val="none" w:sz="0" w:space="0" w:color="auto"/>
        <w:right w:val="none" w:sz="0" w:space="0" w:color="auto"/>
      </w:divBdr>
    </w:div>
    <w:div w:id="671370960">
      <w:bodyDiv w:val="1"/>
      <w:marLeft w:val="0"/>
      <w:marRight w:val="0"/>
      <w:marTop w:val="0"/>
      <w:marBottom w:val="0"/>
      <w:divBdr>
        <w:top w:val="none" w:sz="0" w:space="0" w:color="auto"/>
        <w:left w:val="none" w:sz="0" w:space="0" w:color="auto"/>
        <w:bottom w:val="none" w:sz="0" w:space="0" w:color="auto"/>
        <w:right w:val="none" w:sz="0" w:space="0" w:color="auto"/>
      </w:divBdr>
    </w:div>
    <w:div w:id="748575187">
      <w:bodyDiv w:val="1"/>
      <w:marLeft w:val="0"/>
      <w:marRight w:val="0"/>
      <w:marTop w:val="0"/>
      <w:marBottom w:val="0"/>
      <w:divBdr>
        <w:top w:val="none" w:sz="0" w:space="0" w:color="auto"/>
        <w:left w:val="none" w:sz="0" w:space="0" w:color="auto"/>
        <w:bottom w:val="none" w:sz="0" w:space="0" w:color="auto"/>
        <w:right w:val="none" w:sz="0" w:space="0" w:color="auto"/>
      </w:divBdr>
    </w:div>
    <w:div w:id="796878554">
      <w:bodyDiv w:val="1"/>
      <w:marLeft w:val="0"/>
      <w:marRight w:val="0"/>
      <w:marTop w:val="0"/>
      <w:marBottom w:val="0"/>
      <w:divBdr>
        <w:top w:val="none" w:sz="0" w:space="0" w:color="auto"/>
        <w:left w:val="none" w:sz="0" w:space="0" w:color="auto"/>
        <w:bottom w:val="none" w:sz="0" w:space="0" w:color="auto"/>
        <w:right w:val="none" w:sz="0" w:space="0" w:color="auto"/>
      </w:divBdr>
    </w:div>
    <w:div w:id="863136270">
      <w:bodyDiv w:val="1"/>
      <w:marLeft w:val="0"/>
      <w:marRight w:val="0"/>
      <w:marTop w:val="0"/>
      <w:marBottom w:val="0"/>
      <w:divBdr>
        <w:top w:val="none" w:sz="0" w:space="0" w:color="auto"/>
        <w:left w:val="none" w:sz="0" w:space="0" w:color="auto"/>
        <w:bottom w:val="none" w:sz="0" w:space="0" w:color="auto"/>
        <w:right w:val="none" w:sz="0" w:space="0" w:color="auto"/>
      </w:divBdr>
    </w:div>
    <w:div w:id="885140905">
      <w:bodyDiv w:val="1"/>
      <w:marLeft w:val="0"/>
      <w:marRight w:val="0"/>
      <w:marTop w:val="0"/>
      <w:marBottom w:val="0"/>
      <w:divBdr>
        <w:top w:val="none" w:sz="0" w:space="0" w:color="auto"/>
        <w:left w:val="none" w:sz="0" w:space="0" w:color="auto"/>
        <w:bottom w:val="none" w:sz="0" w:space="0" w:color="auto"/>
        <w:right w:val="none" w:sz="0" w:space="0" w:color="auto"/>
      </w:divBdr>
    </w:div>
    <w:div w:id="892229210">
      <w:bodyDiv w:val="1"/>
      <w:marLeft w:val="0"/>
      <w:marRight w:val="0"/>
      <w:marTop w:val="0"/>
      <w:marBottom w:val="0"/>
      <w:divBdr>
        <w:top w:val="none" w:sz="0" w:space="0" w:color="auto"/>
        <w:left w:val="none" w:sz="0" w:space="0" w:color="auto"/>
        <w:bottom w:val="none" w:sz="0" w:space="0" w:color="auto"/>
        <w:right w:val="none" w:sz="0" w:space="0" w:color="auto"/>
      </w:divBdr>
    </w:div>
    <w:div w:id="894895891">
      <w:bodyDiv w:val="1"/>
      <w:marLeft w:val="0"/>
      <w:marRight w:val="0"/>
      <w:marTop w:val="0"/>
      <w:marBottom w:val="0"/>
      <w:divBdr>
        <w:top w:val="none" w:sz="0" w:space="0" w:color="auto"/>
        <w:left w:val="none" w:sz="0" w:space="0" w:color="auto"/>
        <w:bottom w:val="none" w:sz="0" w:space="0" w:color="auto"/>
        <w:right w:val="none" w:sz="0" w:space="0" w:color="auto"/>
      </w:divBdr>
    </w:div>
    <w:div w:id="902911357">
      <w:bodyDiv w:val="1"/>
      <w:marLeft w:val="0"/>
      <w:marRight w:val="0"/>
      <w:marTop w:val="0"/>
      <w:marBottom w:val="0"/>
      <w:divBdr>
        <w:top w:val="none" w:sz="0" w:space="0" w:color="auto"/>
        <w:left w:val="none" w:sz="0" w:space="0" w:color="auto"/>
        <w:bottom w:val="none" w:sz="0" w:space="0" w:color="auto"/>
        <w:right w:val="none" w:sz="0" w:space="0" w:color="auto"/>
      </w:divBdr>
    </w:div>
    <w:div w:id="949553220">
      <w:bodyDiv w:val="1"/>
      <w:marLeft w:val="120"/>
      <w:marRight w:val="120"/>
      <w:marTop w:val="0"/>
      <w:marBottom w:val="0"/>
      <w:divBdr>
        <w:top w:val="none" w:sz="0" w:space="0" w:color="auto"/>
        <w:left w:val="none" w:sz="0" w:space="0" w:color="auto"/>
        <w:bottom w:val="none" w:sz="0" w:space="0" w:color="auto"/>
        <w:right w:val="none" w:sz="0" w:space="0" w:color="auto"/>
      </w:divBdr>
      <w:divsChild>
        <w:div w:id="1987126363">
          <w:marLeft w:val="0"/>
          <w:marRight w:val="0"/>
          <w:marTop w:val="0"/>
          <w:marBottom w:val="0"/>
          <w:divBdr>
            <w:top w:val="none" w:sz="0" w:space="0" w:color="auto"/>
            <w:left w:val="none" w:sz="0" w:space="0" w:color="auto"/>
            <w:bottom w:val="none" w:sz="0" w:space="0" w:color="auto"/>
            <w:right w:val="none" w:sz="0" w:space="0" w:color="auto"/>
          </w:divBdr>
          <w:divsChild>
            <w:div w:id="5640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9470">
      <w:bodyDiv w:val="1"/>
      <w:marLeft w:val="0"/>
      <w:marRight w:val="0"/>
      <w:marTop w:val="0"/>
      <w:marBottom w:val="0"/>
      <w:divBdr>
        <w:top w:val="none" w:sz="0" w:space="0" w:color="auto"/>
        <w:left w:val="none" w:sz="0" w:space="0" w:color="auto"/>
        <w:bottom w:val="none" w:sz="0" w:space="0" w:color="auto"/>
        <w:right w:val="none" w:sz="0" w:space="0" w:color="auto"/>
      </w:divBdr>
    </w:div>
    <w:div w:id="1063599210">
      <w:bodyDiv w:val="1"/>
      <w:marLeft w:val="0"/>
      <w:marRight w:val="0"/>
      <w:marTop w:val="0"/>
      <w:marBottom w:val="0"/>
      <w:divBdr>
        <w:top w:val="none" w:sz="0" w:space="0" w:color="auto"/>
        <w:left w:val="none" w:sz="0" w:space="0" w:color="auto"/>
        <w:bottom w:val="none" w:sz="0" w:space="0" w:color="auto"/>
        <w:right w:val="none" w:sz="0" w:space="0" w:color="auto"/>
      </w:divBdr>
    </w:div>
    <w:div w:id="1080953316">
      <w:bodyDiv w:val="1"/>
      <w:marLeft w:val="0"/>
      <w:marRight w:val="0"/>
      <w:marTop w:val="0"/>
      <w:marBottom w:val="0"/>
      <w:divBdr>
        <w:top w:val="none" w:sz="0" w:space="0" w:color="auto"/>
        <w:left w:val="none" w:sz="0" w:space="0" w:color="auto"/>
        <w:bottom w:val="none" w:sz="0" w:space="0" w:color="auto"/>
        <w:right w:val="none" w:sz="0" w:space="0" w:color="auto"/>
      </w:divBdr>
    </w:div>
    <w:div w:id="1093546739">
      <w:bodyDiv w:val="1"/>
      <w:marLeft w:val="120"/>
      <w:marRight w:val="120"/>
      <w:marTop w:val="0"/>
      <w:marBottom w:val="0"/>
      <w:divBdr>
        <w:top w:val="none" w:sz="0" w:space="0" w:color="auto"/>
        <w:left w:val="none" w:sz="0" w:space="0" w:color="auto"/>
        <w:bottom w:val="none" w:sz="0" w:space="0" w:color="auto"/>
        <w:right w:val="none" w:sz="0" w:space="0" w:color="auto"/>
      </w:divBdr>
      <w:divsChild>
        <w:div w:id="995495538">
          <w:marLeft w:val="0"/>
          <w:marRight w:val="0"/>
          <w:marTop w:val="0"/>
          <w:marBottom w:val="0"/>
          <w:divBdr>
            <w:top w:val="none" w:sz="0" w:space="0" w:color="auto"/>
            <w:left w:val="none" w:sz="0" w:space="0" w:color="auto"/>
            <w:bottom w:val="none" w:sz="0" w:space="0" w:color="auto"/>
            <w:right w:val="none" w:sz="0" w:space="0" w:color="auto"/>
          </w:divBdr>
          <w:divsChild>
            <w:div w:id="1039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9209">
      <w:bodyDiv w:val="1"/>
      <w:marLeft w:val="0"/>
      <w:marRight w:val="0"/>
      <w:marTop w:val="0"/>
      <w:marBottom w:val="0"/>
      <w:divBdr>
        <w:top w:val="none" w:sz="0" w:space="0" w:color="auto"/>
        <w:left w:val="none" w:sz="0" w:space="0" w:color="auto"/>
        <w:bottom w:val="none" w:sz="0" w:space="0" w:color="auto"/>
        <w:right w:val="none" w:sz="0" w:space="0" w:color="auto"/>
      </w:divBdr>
    </w:div>
    <w:div w:id="1192956886">
      <w:bodyDiv w:val="1"/>
      <w:marLeft w:val="0"/>
      <w:marRight w:val="0"/>
      <w:marTop w:val="0"/>
      <w:marBottom w:val="0"/>
      <w:divBdr>
        <w:top w:val="none" w:sz="0" w:space="0" w:color="auto"/>
        <w:left w:val="none" w:sz="0" w:space="0" w:color="auto"/>
        <w:bottom w:val="none" w:sz="0" w:space="0" w:color="auto"/>
        <w:right w:val="none" w:sz="0" w:space="0" w:color="auto"/>
      </w:divBdr>
    </w:div>
    <w:div w:id="1209609329">
      <w:bodyDiv w:val="1"/>
      <w:marLeft w:val="0"/>
      <w:marRight w:val="0"/>
      <w:marTop w:val="0"/>
      <w:marBottom w:val="0"/>
      <w:divBdr>
        <w:top w:val="none" w:sz="0" w:space="0" w:color="auto"/>
        <w:left w:val="none" w:sz="0" w:space="0" w:color="auto"/>
        <w:bottom w:val="none" w:sz="0" w:space="0" w:color="auto"/>
        <w:right w:val="none" w:sz="0" w:space="0" w:color="auto"/>
      </w:divBdr>
    </w:div>
    <w:div w:id="1209686784">
      <w:bodyDiv w:val="1"/>
      <w:marLeft w:val="0"/>
      <w:marRight w:val="0"/>
      <w:marTop w:val="0"/>
      <w:marBottom w:val="0"/>
      <w:divBdr>
        <w:top w:val="none" w:sz="0" w:space="0" w:color="auto"/>
        <w:left w:val="none" w:sz="0" w:space="0" w:color="auto"/>
        <w:bottom w:val="none" w:sz="0" w:space="0" w:color="auto"/>
        <w:right w:val="none" w:sz="0" w:space="0" w:color="auto"/>
      </w:divBdr>
    </w:div>
    <w:div w:id="1211727257">
      <w:bodyDiv w:val="1"/>
      <w:marLeft w:val="0"/>
      <w:marRight w:val="0"/>
      <w:marTop w:val="0"/>
      <w:marBottom w:val="0"/>
      <w:divBdr>
        <w:top w:val="none" w:sz="0" w:space="0" w:color="auto"/>
        <w:left w:val="none" w:sz="0" w:space="0" w:color="auto"/>
        <w:bottom w:val="none" w:sz="0" w:space="0" w:color="auto"/>
        <w:right w:val="none" w:sz="0" w:space="0" w:color="auto"/>
      </w:divBdr>
    </w:div>
    <w:div w:id="1219972689">
      <w:bodyDiv w:val="1"/>
      <w:marLeft w:val="0"/>
      <w:marRight w:val="0"/>
      <w:marTop w:val="0"/>
      <w:marBottom w:val="0"/>
      <w:divBdr>
        <w:top w:val="none" w:sz="0" w:space="0" w:color="auto"/>
        <w:left w:val="none" w:sz="0" w:space="0" w:color="auto"/>
        <w:bottom w:val="none" w:sz="0" w:space="0" w:color="auto"/>
        <w:right w:val="none" w:sz="0" w:space="0" w:color="auto"/>
      </w:divBdr>
    </w:div>
    <w:div w:id="1288664299">
      <w:bodyDiv w:val="1"/>
      <w:marLeft w:val="0"/>
      <w:marRight w:val="0"/>
      <w:marTop w:val="0"/>
      <w:marBottom w:val="0"/>
      <w:divBdr>
        <w:top w:val="none" w:sz="0" w:space="0" w:color="auto"/>
        <w:left w:val="none" w:sz="0" w:space="0" w:color="auto"/>
        <w:bottom w:val="none" w:sz="0" w:space="0" w:color="auto"/>
        <w:right w:val="none" w:sz="0" w:space="0" w:color="auto"/>
      </w:divBdr>
    </w:div>
    <w:div w:id="1308389491">
      <w:bodyDiv w:val="1"/>
      <w:marLeft w:val="0"/>
      <w:marRight w:val="0"/>
      <w:marTop w:val="0"/>
      <w:marBottom w:val="0"/>
      <w:divBdr>
        <w:top w:val="none" w:sz="0" w:space="0" w:color="auto"/>
        <w:left w:val="none" w:sz="0" w:space="0" w:color="auto"/>
        <w:bottom w:val="none" w:sz="0" w:space="0" w:color="auto"/>
        <w:right w:val="none" w:sz="0" w:space="0" w:color="auto"/>
      </w:divBdr>
    </w:div>
    <w:div w:id="1434352295">
      <w:bodyDiv w:val="1"/>
      <w:marLeft w:val="0"/>
      <w:marRight w:val="0"/>
      <w:marTop w:val="0"/>
      <w:marBottom w:val="0"/>
      <w:divBdr>
        <w:top w:val="none" w:sz="0" w:space="0" w:color="auto"/>
        <w:left w:val="none" w:sz="0" w:space="0" w:color="auto"/>
        <w:bottom w:val="none" w:sz="0" w:space="0" w:color="auto"/>
        <w:right w:val="none" w:sz="0" w:space="0" w:color="auto"/>
      </w:divBdr>
    </w:div>
    <w:div w:id="1447580617">
      <w:bodyDiv w:val="1"/>
      <w:marLeft w:val="0"/>
      <w:marRight w:val="0"/>
      <w:marTop w:val="0"/>
      <w:marBottom w:val="0"/>
      <w:divBdr>
        <w:top w:val="none" w:sz="0" w:space="0" w:color="auto"/>
        <w:left w:val="none" w:sz="0" w:space="0" w:color="auto"/>
        <w:bottom w:val="none" w:sz="0" w:space="0" w:color="auto"/>
        <w:right w:val="none" w:sz="0" w:space="0" w:color="auto"/>
      </w:divBdr>
    </w:div>
    <w:div w:id="1506627066">
      <w:bodyDiv w:val="1"/>
      <w:marLeft w:val="0"/>
      <w:marRight w:val="0"/>
      <w:marTop w:val="0"/>
      <w:marBottom w:val="0"/>
      <w:divBdr>
        <w:top w:val="none" w:sz="0" w:space="0" w:color="auto"/>
        <w:left w:val="none" w:sz="0" w:space="0" w:color="auto"/>
        <w:bottom w:val="none" w:sz="0" w:space="0" w:color="auto"/>
        <w:right w:val="none" w:sz="0" w:space="0" w:color="auto"/>
      </w:divBdr>
    </w:div>
    <w:div w:id="1533762430">
      <w:bodyDiv w:val="1"/>
      <w:marLeft w:val="0"/>
      <w:marRight w:val="0"/>
      <w:marTop w:val="0"/>
      <w:marBottom w:val="0"/>
      <w:divBdr>
        <w:top w:val="none" w:sz="0" w:space="0" w:color="auto"/>
        <w:left w:val="none" w:sz="0" w:space="0" w:color="auto"/>
        <w:bottom w:val="none" w:sz="0" w:space="0" w:color="auto"/>
        <w:right w:val="none" w:sz="0" w:space="0" w:color="auto"/>
      </w:divBdr>
    </w:div>
    <w:div w:id="1552110672">
      <w:bodyDiv w:val="1"/>
      <w:marLeft w:val="0"/>
      <w:marRight w:val="0"/>
      <w:marTop w:val="0"/>
      <w:marBottom w:val="0"/>
      <w:divBdr>
        <w:top w:val="none" w:sz="0" w:space="0" w:color="auto"/>
        <w:left w:val="none" w:sz="0" w:space="0" w:color="auto"/>
        <w:bottom w:val="none" w:sz="0" w:space="0" w:color="auto"/>
        <w:right w:val="none" w:sz="0" w:space="0" w:color="auto"/>
      </w:divBdr>
    </w:div>
    <w:div w:id="1572037389">
      <w:bodyDiv w:val="1"/>
      <w:marLeft w:val="0"/>
      <w:marRight w:val="0"/>
      <w:marTop w:val="0"/>
      <w:marBottom w:val="0"/>
      <w:divBdr>
        <w:top w:val="none" w:sz="0" w:space="0" w:color="auto"/>
        <w:left w:val="none" w:sz="0" w:space="0" w:color="auto"/>
        <w:bottom w:val="none" w:sz="0" w:space="0" w:color="auto"/>
        <w:right w:val="none" w:sz="0" w:space="0" w:color="auto"/>
      </w:divBdr>
    </w:div>
    <w:div w:id="1596867880">
      <w:bodyDiv w:val="1"/>
      <w:marLeft w:val="0"/>
      <w:marRight w:val="0"/>
      <w:marTop w:val="0"/>
      <w:marBottom w:val="0"/>
      <w:divBdr>
        <w:top w:val="none" w:sz="0" w:space="0" w:color="auto"/>
        <w:left w:val="none" w:sz="0" w:space="0" w:color="auto"/>
        <w:bottom w:val="none" w:sz="0" w:space="0" w:color="auto"/>
        <w:right w:val="none" w:sz="0" w:space="0" w:color="auto"/>
      </w:divBdr>
    </w:div>
    <w:div w:id="1600915875">
      <w:bodyDiv w:val="1"/>
      <w:marLeft w:val="0"/>
      <w:marRight w:val="0"/>
      <w:marTop w:val="0"/>
      <w:marBottom w:val="0"/>
      <w:divBdr>
        <w:top w:val="none" w:sz="0" w:space="0" w:color="auto"/>
        <w:left w:val="none" w:sz="0" w:space="0" w:color="auto"/>
        <w:bottom w:val="none" w:sz="0" w:space="0" w:color="auto"/>
        <w:right w:val="none" w:sz="0" w:space="0" w:color="auto"/>
      </w:divBdr>
    </w:div>
    <w:div w:id="1611038272">
      <w:bodyDiv w:val="1"/>
      <w:marLeft w:val="0"/>
      <w:marRight w:val="0"/>
      <w:marTop w:val="0"/>
      <w:marBottom w:val="0"/>
      <w:divBdr>
        <w:top w:val="none" w:sz="0" w:space="0" w:color="auto"/>
        <w:left w:val="none" w:sz="0" w:space="0" w:color="auto"/>
        <w:bottom w:val="none" w:sz="0" w:space="0" w:color="auto"/>
        <w:right w:val="none" w:sz="0" w:space="0" w:color="auto"/>
      </w:divBdr>
    </w:div>
    <w:div w:id="1713460521">
      <w:bodyDiv w:val="1"/>
      <w:marLeft w:val="0"/>
      <w:marRight w:val="0"/>
      <w:marTop w:val="0"/>
      <w:marBottom w:val="0"/>
      <w:divBdr>
        <w:top w:val="none" w:sz="0" w:space="0" w:color="auto"/>
        <w:left w:val="none" w:sz="0" w:space="0" w:color="auto"/>
        <w:bottom w:val="none" w:sz="0" w:space="0" w:color="auto"/>
        <w:right w:val="none" w:sz="0" w:space="0" w:color="auto"/>
      </w:divBdr>
    </w:div>
    <w:div w:id="1729302020">
      <w:bodyDiv w:val="1"/>
      <w:marLeft w:val="0"/>
      <w:marRight w:val="0"/>
      <w:marTop w:val="0"/>
      <w:marBottom w:val="0"/>
      <w:divBdr>
        <w:top w:val="none" w:sz="0" w:space="0" w:color="auto"/>
        <w:left w:val="none" w:sz="0" w:space="0" w:color="auto"/>
        <w:bottom w:val="none" w:sz="0" w:space="0" w:color="auto"/>
        <w:right w:val="none" w:sz="0" w:space="0" w:color="auto"/>
      </w:divBdr>
    </w:div>
    <w:div w:id="1730231071">
      <w:bodyDiv w:val="1"/>
      <w:marLeft w:val="0"/>
      <w:marRight w:val="0"/>
      <w:marTop w:val="0"/>
      <w:marBottom w:val="0"/>
      <w:divBdr>
        <w:top w:val="none" w:sz="0" w:space="0" w:color="auto"/>
        <w:left w:val="none" w:sz="0" w:space="0" w:color="auto"/>
        <w:bottom w:val="none" w:sz="0" w:space="0" w:color="auto"/>
        <w:right w:val="none" w:sz="0" w:space="0" w:color="auto"/>
      </w:divBdr>
    </w:div>
    <w:div w:id="1757752111">
      <w:bodyDiv w:val="1"/>
      <w:marLeft w:val="0"/>
      <w:marRight w:val="0"/>
      <w:marTop w:val="0"/>
      <w:marBottom w:val="0"/>
      <w:divBdr>
        <w:top w:val="none" w:sz="0" w:space="0" w:color="auto"/>
        <w:left w:val="none" w:sz="0" w:space="0" w:color="auto"/>
        <w:bottom w:val="none" w:sz="0" w:space="0" w:color="auto"/>
        <w:right w:val="none" w:sz="0" w:space="0" w:color="auto"/>
      </w:divBdr>
    </w:div>
    <w:div w:id="1889104598">
      <w:bodyDiv w:val="1"/>
      <w:marLeft w:val="0"/>
      <w:marRight w:val="0"/>
      <w:marTop w:val="0"/>
      <w:marBottom w:val="0"/>
      <w:divBdr>
        <w:top w:val="none" w:sz="0" w:space="0" w:color="auto"/>
        <w:left w:val="none" w:sz="0" w:space="0" w:color="auto"/>
        <w:bottom w:val="none" w:sz="0" w:space="0" w:color="auto"/>
        <w:right w:val="none" w:sz="0" w:space="0" w:color="auto"/>
      </w:divBdr>
    </w:div>
    <w:div w:id="1906991173">
      <w:bodyDiv w:val="1"/>
      <w:marLeft w:val="0"/>
      <w:marRight w:val="0"/>
      <w:marTop w:val="0"/>
      <w:marBottom w:val="0"/>
      <w:divBdr>
        <w:top w:val="none" w:sz="0" w:space="0" w:color="auto"/>
        <w:left w:val="none" w:sz="0" w:space="0" w:color="auto"/>
        <w:bottom w:val="none" w:sz="0" w:space="0" w:color="auto"/>
        <w:right w:val="none" w:sz="0" w:space="0" w:color="auto"/>
      </w:divBdr>
    </w:div>
    <w:div w:id="1925257495">
      <w:bodyDiv w:val="1"/>
      <w:marLeft w:val="0"/>
      <w:marRight w:val="0"/>
      <w:marTop w:val="0"/>
      <w:marBottom w:val="0"/>
      <w:divBdr>
        <w:top w:val="none" w:sz="0" w:space="0" w:color="auto"/>
        <w:left w:val="none" w:sz="0" w:space="0" w:color="auto"/>
        <w:bottom w:val="none" w:sz="0" w:space="0" w:color="auto"/>
        <w:right w:val="none" w:sz="0" w:space="0" w:color="auto"/>
      </w:divBdr>
    </w:div>
    <w:div w:id="2048869522">
      <w:bodyDiv w:val="1"/>
      <w:marLeft w:val="0"/>
      <w:marRight w:val="0"/>
      <w:marTop w:val="0"/>
      <w:marBottom w:val="0"/>
      <w:divBdr>
        <w:top w:val="none" w:sz="0" w:space="0" w:color="auto"/>
        <w:left w:val="none" w:sz="0" w:space="0" w:color="auto"/>
        <w:bottom w:val="none" w:sz="0" w:space="0" w:color="auto"/>
        <w:right w:val="none" w:sz="0" w:space="0" w:color="auto"/>
      </w:divBdr>
    </w:div>
    <w:div w:id="2066446130">
      <w:bodyDiv w:val="1"/>
      <w:marLeft w:val="0"/>
      <w:marRight w:val="0"/>
      <w:marTop w:val="0"/>
      <w:marBottom w:val="0"/>
      <w:divBdr>
        <w:top w:val="none" w:sz="0" w:space="0" w:color="auto"/>
        <w:left w:val="none" w:sz="0" w:space="0" w:color="auto"/>
        <w:bottom w:val="none" w:sz="0" w:space="0" w:color="auto"/>
        <w:right w:val="none" w:sz="0" w:space="0" w:color="auto"/>
      </w:divBdr>
    </w:div>
    <w:div w:id="21385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19.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8.emf"/><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chart" Target="charts/chart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Patricia\FOR_CCM_2018\FOR%20RESUBMISSION%20TO%20CCM\Tables%20for%20PAPER%20FOR%20CCM%20NOV%2021%20%20201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58726448414273"/>
          <c:y val="4.7112902991182405E-2"/>
          <c:w val="0.77062253886407184"/>
          <c:h val="0.76269384425810249"/>
        </c:manualLayout>
      </c:layout>
      <c:scatterChart>
        <c:scatterStyle val="smoothMarker"/>
        <c:varyColors val="0"/>
        <c:ser>
          <c:idx val="0"/>
          <c:order val="0"/>
          <c:tx>
            <c:v>Exponential Form</c:v>
          </c:tx>
          <c:spPr>
            <a:ln>
              <a:prstDash val="dash"/>
            </a:ln>
          </c:spPr>
          <c:marker>
            <c:symbol val="none"/>
          </c:marker>
          <c:xVal>
            <c:numRef>
              <c:f>'eFigure 1 '!$P$7:$P$34</c:f>
              <c:numCache>
                <c:formatCode>General</c:formatCode>
                <c:ptCount val="28"/>
                <c:pt idx="0">
                  <c:v>10</c:v>
                </c:pt>
                <c:pt idx="1">
                  <c:v>30</c:v>
                </c:pt>
                <c:pt idx="2">
                  <c:v>50</c:v>
                </c:pt>
                <c:pt idx="3">
                  <c:v>70</c:v>
                </c:pt>
                <c:pt idx="4">
                  <c:v>90</c:v>
                </c:pt>
                <c:pt idx="5">
                  <c:v>110</c:v>
                </c:pt>
                <c:pt idx="6">
                  <c:v>130</c:v>
                </c:pt>
                <c:pt idx="7">
                  <c:v>150</c:v>
                </c:pt>
                <c:pt idx="8">
                  <c:v>170</c:v>
                </c:pt>
                <c:pt idx="9">
                  <c:v>190</c:v>
                </c:pt>
                <c:pt idx="10">
                  <c:v>210</c:v>
                </c:pt>
                <c:pt idx="11">
                  <c:v>230</c:v>
                </c:pt>
                <c:pt idx="12">
                  <c:v>250</c:v>
                </c:pt>
                <c:pt idx="13">
                  <c:v>270</c:v>
                </c:pt>
                <c:pt idx="14">
                  <c:v>290</c:v>
                </c:pt>
                <c:pt idx="15">
                  <c:v>310</c:v>
                </c:pt>
                <c:pt idx="16">
                  <c:v>330</c:v>
                </c:pt>
                <c:pt idx="17">
                  <c:v>350</c:v>
                </c:pt>
                <c:pt idx="18">
                  <c:v>370</c:v>
                </c:pt>
                <c:pt idx="19">
                  <c:v>390</c:v>
                </c:pt>
                <c:pt idx="20">
                  <c:v>410</c:v>
                </c:pt>
                <c:pt idx="21">
                  <c:v>430</c:v>
                </c:pt>
                <c:pt idx="22">
                  <c:v>450</c:v>
                </c:pt>
                <c:pt idx="23">
                  <c:v>470</c:v>
                </c:pt>
                <c:pt idx="24">
                  <c:v>490</c:v>
                </c:pt>
                <c:pt idx="25">
                  <c:v>510</c:v>
                </c:pt>
                <c:pt idx="26">
                  <c:v>530</c:v>
                </c:pt>
                <c:pt idx="27">
                  <c:v>550</c:v>
                </c:pt>
              </c:numCache>
            </c:numRef>
          </c:xVal>
          <c:yVal>
            <c:numRef>
              <c:f>'eFigure 1 '!$Q$7:$Q$34</c:f>
              <c:numCache>
                <c:formatCode>0.000</c:formatCode>
                <c:ptCount val="28"/>
                <c:pt idx="0">
                  <c:v>1.2217843565170668E-2</c:v>
                </c:pt>
                <c:pt idx="1">
                  <c:v>1.1666219814916858E-2</c:v>
                </c:pt>
                <c:pt idx="2">
                  <c:v>1.1139501340313452E-2</c:v>
                </c:pt>
                <c:pt idx="3">
                  <c:v>1.0636563692395122E-2</c:v>
                </c:pt>
                <c:pt idx="4">
                  <c:v>1.0156333189973341E-2</c:v>
                </c:pt>
                <c:pt idx="5">
                  <c:v>9.6977846275206944E-3</c:v>
                </c:pt>
                <c:pt idx="6">
                  <c:v>9.2599390865418778E-3</c:v>
                </c:pt>
                <c:pt idx="7">
                  <c:v>8.8418618457592711E-3</c:v>
                </c:pt>
                <c:pt idx="8">
                  <c:v>8.4426603856515552E-3</c:v>
                </c:pt>
                <c:pt idx="9">
                  <c:v>8.0614824830854553E-3</c:v>
                </c:pt>
                <c:pt idx="10">
                  <c:v>7.6975143919730624E-3</c:v>
                </c:pt>
                <c:pt idx="11">
                  <c:v>7.349979106070624E-3</c:v>
                </c:pt>
                <c:pt idx="12">
                  <c:v>7.0181347002103512E-3</c:v>
                </c:pt>
                <c:pt idx="13">
                  <c:v>6.7012727464239568E-3</c:v>
                </c:pt>
                <c:pt idx="14">
                  <c:v>6.3987168015767126E-3</c:v>
                </c:pt>
                <c:pt idx="15">
                  <c:v>6.1098209632832962E-3</c:v>
                </c:pt>
                <c:pt idx="16">
                  <c:v>5.8339684910226888E-3</c:v>
                </c:pt>
                <c:pt idx="17">
                  <c:v>5.5705704895083683E-3</c:v>
                </c:pt>
                <c:pt idx="18">
                  <c:v>5.3190646515030764E-3</c:v>
                </c:pt>
                <c:pt idx="19">
                  <c:v>5.0789140573942373E-3</c:v>
                </c:pt>
                <c:pt idx="20">
                  <c:v>4.8496060289674164E-3</c:v>
                </c:pt>
                <c:pt idx="21">
                  <c:v>4.6306510349307809E-3</c:v>
                </c:pt>
                <c:pt idx="22">
                  <c:v>4.4215816458540533E-3</c:v>
                </c:pt>
                <c:pt idx="23">
                  <c:v>4.2219515362909871E-3</c:v>
                </c:pt>
                <c:pt idx="24">
                  <c:v>4.0313345319549906E-3</c:v>
                </c:pt>
                <c:pt idx="25">
                  <c:v>3.8493236999138916E-3</c:v>
                </c:pt>
                <c:pt idx="26">
                  <c:v>3.6755304798615027E-3</c:v>
                </c:pt>
                <c:pt idx="27">
                  <c:v>3.5095838546114269E-3</c:v>
                </c:pt>
              </c:numCache>
            </c:numRef>
          </c:yVal>
          <c:smooth val="1"/>
          <c:extLst>
            <c:ext xmlns:c16="http://schemas.microsoft.com/office/drawing/2014/chart" uri="{C3380CC4-5D6E-409C-BE32-E72D297353CC}">
              <c16:uniqueId val="{00000000-3802-43A8-93BA-1AE2FEFE8EC9}"/>
            </c:ext>
          </c:extLst>
        </c:ser>
        <c:ser>
          <c:idx val="1"/>
          <c:order val="1"/>
          <c:tx>
            <c:v>Power Form</c:v>
          </c:tx>
          <c:marker>
            <c:symbol val="none"/>
          </c:marker>
          <c:xVal>
            <c:numRef>
              <c:f>'eFigure 1 '!$P$7:$P$34</c:f>
              <c:numCache>
                <c:formatCode>General</c:formatCode>
                <c:ptCount val="28"/>
                <c:pt idx="0">
                  <c:v>10</c:v>
                </c:pt>
                <c:pt idx="1">
                  <c:v>30</c:v>
                </c:pt>
                <c:pt idx="2">
                  <c:v>50</c:v>
                </c:pt>
                <c:pt idx="3">
                  <c:v>70</c:v>
                </c:pt>
                <c:pt idx="4">
                  <c:v>90</c:v>
                </c:pt>
                <c:pt idx="5">
                  <c:v>110</c:v>
                </c:pt>
                <c:pt idx="6">
                  <c:v>130</c:v>
                </c:pt>
                <c:pt idx="7">
                  <c:v>150</c:v>
                </c:pt>
                <c:pt idx="8">
                  <c:v>170</c:v>
                </c:pt>
                <c:pt idx="9">
                  <c:v>190</c:v>
                </c:pt>
                <c:pt idx="10">
                  <c:v>210</c:v>
                </c:pt>
                <c:pt idx="11">
                  <c:v>230</c:v>
                </c:pt>
                <c:pt idx="12">
                  <c:v>250</c:v>
                </c:pt>
                <c:pt idx="13">
                  <c:v>270</c:v>
                </c:pt>
                <c:pt idx="14">
                  <c:v>290</c:v>
                </c:pt>
                <c:pt idx="15">
                  <c:v>310</c:v>
                </c:pt>
                <c:pt idx="16">
                  <c:v>330</c:v>
                </c:pt>
                <c:pt idx="17">
                  <c:v>350</c:v>
                </c:pt>
                <c:pt idx="18">
                  <c:v>370</c:v>
                </c:pt>
                <c:pt idx="19">
                  <c:v>390</c:v>
                </c:pt>
                <c:pt idx="20">
                  <c:v>410</c:v>
                </c:pt>
                <c:pt idx="21">
                  <c:v>430</c:v>
                </c:pt>
                <c:pt idx="22">
                  <c:v>450</c:v>
                </c:pt>
                <c:pt idx="23">
                  <c:v>470</c:v>
                </c:pt>
                <c:pt idx="24">
                  <c:v>490</c:v>
                </c:pt>
                <c:pt idx="25">
                  <c:v>510</c:v>
                </c:pt>
                <c:pt idx="26">
                  <c:v>530</c:v>
                </c:pt>
                <c:pt idx="27">
                  <c:v>550</c:v>
                </c:pt>
              </c:numCache>
            </c:numRef>
          </c:xVal>
          <c:yVal>
            <c:numRef>
              <c:f>'eFigure 1 '!$T$7:$T$34</c:f>
              <c:numCache>
                <c:formatCode>0.000</c:formatCode>
                <c:ptCount val="28"/>
                <c:pt idx="0">
                  <c:v>2.7076675479052122E-2</c:v>
                </c:pt>
                <c:pt idx="1">
                  <c:v>1.665027736573985E-2</c:v>
                </c:pt>
                <c:pt idx="2">
                  <c:v>1.3281013432327226E-2</c:v>
                </c:pt>
                <c:pt idx="3">
                  <c:v>1.1443396535974235E-2</c:v>
                </c:pt>
                <c:pt idx="4">
                  <c:v>1.0238765707058428E-2</c:v>
                </c:pt>
                <c:pt idx="5">
                  <c:v>9.3686051906538784E-3</c:v>
                </c:pt>
                <c:pt idx="6">
                  <c:v>8.700896690671844E-3</c:v>
                </c:pt>
                <c:pt idx="7">
                  <c:v>8.1669020821054702E-3</c:v>
                </c:pt>
                <c:pt idx="8">
                  <c:v>7.7267817835180441E-3</c:v>
                </c:pt>
                <c:pt idx="9">
                  <c:v>7.3556151068847973E-3</c:v>
                </c:pt>
                <c:pt idx="10">
                  <c:v>7.0368951490195168E-3</c:v>
                </c:pt>
                <c:pt idx="11">
                  <c:v>6.7591891449258782E-3</c:v>
                </c:pt>
                <c:pt idx="12">
                  <c:v>6.5142900547785765E-3</c:v>
                </c:pt>
                <c:pt idx="13">
                  <c:v>6.2961307431275634E-3</c:v>
                </c:pt>
                <c:pt idx="14">
                  <c:v>6.1001144878502812E-3</c:v>
                </c:pt>
                <c:pt idx="15">
                  <c:v>5.9226852592853731E-3</c:v>
                </c:pt>
                <c:pt idx="16">
                  <c:v>5.7610423803756434E-3</c:v>
                </c:pt>
                <c:pt idx="17">
                  <c:v>5.6129454749088356E-3</c:v>
                </c:pt>
                <c:pt idx="18">
                  <c:v>5.4765777391253337E-3</c:v>
                </c:pt>
                <c:pt idx="19">
                  <c:v>5.3504479655345676E-3</c:v>
                </c:pt>
                <c:pt idx="20">
                  <c:v>5.2333189597190037E-3</c:v>
                </c:pt>
                <c:pt idx="21">
                  <c:v>5.1241543301060273E-3</c:v>
                </c:pt>
                <c:pt idx="22">
                  <c:v>5.0220783194412557E-3</c:v>
                </c:pt>
                <c:pt idx="23">
                  <c:v>4.9263450569072718E-3</c:v>
                </c:pt>
                <c:pt idx="24">
                  <c:v>4.836314723380932E-3</c:v>
                </c:pt>
                <c:pt idx="25">
                  <c:v>4.7514348628085474E-3</c:v>
                </c:pt>
                <c:pt idx="26">
                  <c:v>4.6712255745622738E-3</c:v>
                </c:pt>
                <c:pt idx="27">
                  <c:v>4.5952676677572888E-3</c:v>
                </c:pt>
              </c:numCache>
            </c:numRef>
          </c:yVal>
          <c:smooth val="1"/>
          <c:extLst>
            <c:ext xmlns:c16="http://schemas.microsoft.com/office/drawing/2014/chart" uri="{C3380CC4-5D6E-409C-BE32-E72D297353CC}">
              <c16:uniqueId val="{00000001-3802-43A8-93BA-1AE2FEFE8EC9}"/>
            </c:ext>
          </c:extLst>
        </c:ser>
        <c:dLbls>
          <c:showLegendKey val="0"/>
          <c:showVal val="0"/>
          <c:showCatName val="0"/>
          <c:showSerName val="0"/>
          <c:showPercent val="0"/>
          <c:showBubbleSize val="0"/>
        </c:dLbls>
        <c:axId val="49930240"/>
        <c:axId val="49931776"/>
      </c:scatterChart>
      <c:valAx>
        <c:axId val="49930240"/>
        <c:scaling>
          <c:orientation val="minMax"/>
          <c:max val="550"/>
        </c:scaling>
        <c:delete val="0"/>
        <c:axPos val="b"/>
        <c:numFmt formatCode="General" sourceLinked="1"/>
        <c:majorTickMark val="out"/>
        <c:minorTickMark val="none"/>
        <c:tickLblPos val="nextTo"/>
        <c:txPr>
          <a:bodyPr/>
          <a:lstStyle/>
          <a:p>
            <a:pPr>
              <a:defRPr sz="1200" b="1" i="0" baseline="0"/>
            </a:pPr>
            <a:endParaRPr lang="en-US"/>
          </a:p>
        </c:txPr>
        <c:crossAx val="49931776"/>
        <c:crosses val="autoZero"/>
        <c:crossBetween val="midCat"/>
        <c:majorUnit val="50"/>
      </c:valAx>
      <c:valAx>
        <c:axId val="49931776"/>
        <c:scaling>
          <c:orientation val="minMax"/>
          <c:max val="2.8000000000000004E-2"/>
        </c:scaling>
        <c:delete val="0"/>
        <c:axPos val="l"/>
        <c:majorGridlines/>
        <c:numFmt formatCode="0.000" sourceLinked="1"/>
        <c:majorTickMark val="out"/>
        <c:minorTickMark val="none"/>
        <c:tickLblPos val="nextTo"/>
        <c:txPr>
          <a:bodyPr/>
          <a:lstStyle/>
          <a:p>
            <a:pPr>
              <a:defRPr sz="1200" b="1" i="0" baseline="0"/>
            </a:pPr>
            <a:endParaRPr lang="en-US"/>
          </a:p>
        </c:txPr>
        <c:crossAx val="49930240"/>
        <c:crosses val="autoZero"/>
        <c:crossBetween val="midCat"/>
        <c:majorUnit val="2.0000000000000005E-3"/>
      </c:valAx>
    </c:plotArea>
    <c:legend>
      <c:legendPos val="r"/>
      <c:layout>
        <c:manualLayout>
          <c:xMode val="edge"/>
          <c:yMode val="edge"/>
          <c:x val="0.30254325432331403"/>
          <c:y val="0.91986457796605126"/>
          <c:w val="0.51913205052517553"/>
          <c:h val="8.0135422033948911E-2"/>
        </c:manualLayout>
      </c:layout>
      <c:overlay val="0"/>
      <c:txPr>
        <a:bodyPr/>
        <a:lstStyle/>
        <a:p>
          <a:pPr>
            <a:defRPr sz="1200" b="1" i="0" baseline="0"/>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0.46299</cdr:x>
      <cdr:y>0.86932</cdr:y>
    </cdr:from>
    <cdr:to>
      <cdr:x>0.73873</cdr:x>
      <cdr:y>0.9316</cdr:y>
    </cdr:to>
    <cdr:sp macro="" textlink="">
      <cdr:nvSpPr>
        <cdr:cNvPr id="2" name="TextBox 1"/>
        <cdr:cNvSpPr txBox="1"/>
      </cdr:nvSpPr>
      <cdr:spPr>
        <a:xfrm xmlns:a="http://schemas.openxmlformats.org/drawingml/2006/main">
          <a:off x="2841301" y="3596785"/>
          <a:ext cx="1692212" cy="2576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200" b="1" baseline="0"/>
            <a:t>Platelet Count (10^9/L)</a:t>
          </a:r>
        </a:p>
        <a:p xmlns:a="http://schemas.openxmlformats.org/drawingml/2006/main">
          <a:endParaRPr lang="en-CA" sz="1100"/>
        </a:p>
      </cdr:txBody>
    </cdr:sp>
  </cdr:relSizeAnchor>
  <cdr:relSizeAnchor xmlns:cdr="http://schemas.openxmlformats.org/drawingml/2006/chartDrawing">
    <cdr:from>
      <cdr:x>0.02328</cdr:x>
      <cdr:y>0.14828</cdr:y>
    </cdr:from>
    <cdr:to>
      <cdr:x>0.0714</cdr:x>
      <cdr:y>0.65799</cdr:y>
    </cdr:to>
    <cdr:sp macro="" textlink="">
      <cdr:nvSpPr>
        <cdr:cNvPr id="3" name="TextBox 2"/>
        <cdr:cNvSpPr txBox="1"/>
      </cdr:nvSpPr>
      <cdr:spPr>
        <a:xfrm xmlns:a="http://schemas.openxmlformats.org/drawingml/2006/main">
          <a:off x="143180" y="580295"/>
          <a:ext cx="295907" cy="1994740"/>
        </a:xfrm>
        <a:prstGeom xmlns:a="http://schemas.openxmlformats.org/drawingml/2006/main" prst="rect">
          <a:avLst/>
        </a:prstGeom>
        <a:scene3d xmlns:a="http://schemas.openxmlformats.org/drawingml/2006/main">
          <a:camera prst="orthographicFront">
            <a:rot lat="0" lon="0" rev="10800000"/>
          </a:camera>
          <a:lightRig rig="threePt" dir="t"/>
        </a:scene3d>
      </cdr:spPr>
      <cdr:txBody>
        <a:bodyPr xmlns:a="http://schemas.openxmlformats.org/drawingml/2006/main" vertOverflow="clip" vert="eaVert" wrap="square" rtlCol="0"/>
        <a:lstStyle xmlns:a="http://schemas.openxmlformats.org/drawingml/2006/main"/>
        <a:p xmlns:a="http://schemas.openxmlformats.org/drawingml/2006/main">
          <a:r>
            <a:rPr lang="en-CA" sz="1100"/>
            <a:t>DAILY  HAZARD  OF  DYING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59</TotalTime>
  <Pages>38</Pages>
  <Words>12384</Words>
  <Characters>70593</Characters>
  <Application>Microsoft Office Word</Application>
  <DocSecurity>4</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Kao-Lee Liaw</dc:creator>
  <cp:lastModifiedBy>Baeuerlein, Christopher</cp:lastModifiedBy>
  <cp:revision>2</cp:revision>
  <cp:lastPrinted>2018-05-30T20:11:00Z</cp:lastPrinted>
  <dcterms:created xsi:type="dcterms:W3CDTF">2019-07-22T21:49:00Z</dcterms:created>
  <dcterms:modified xsi:type="dcterms:W3CDTF">2019-07-22T21:49:00Z</dcterms:modified>
</cp:coreProperties>
</file>