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A7E" w:rsidRPr="00810D95" w:rsidRDefault="008C1A7E" w:rsidP="008C1A7E">
      <w:pPr>
        <w:spacing w:line="276" w:lineRule="auto"/>
        <w:rPr>
          <w:rFonts w:ascii="Times New Roman" w:hAnsi="Times New Roman" w:cs="Times New Roman"/>
          <w:b/>
          <w:bCs/>
          <w:kern w:val="0"/>
        </w:rPr>
      </w:pPr>
      <w:bookmarkStart w:id="0" w:name="_GoBack"/>
      <w:bookmarkEnd w:id="0"/>
      <w:r w:rsidRPr="00810D95">
        <w:rPr>
          <w:rFonts w:ascii="Times New Roman" w:hAnsi="Times New Roman" w:cs="Times New Roman"/>
          <w:b/>
          <w:bCs/>
          <w:kern w:val="0"/>
        </w:rPr>
        <w:t>Supplemental Digital Content 1</w:t>
      </w:r>
      <w:r>
        <w:rPr>
          <w:rFonts w:ascii="Times New Roman" w:hAnsi="Times New Roman" w:cs="Times New Roman"/>
          <w:b/>
          <w:bCs/>
          <w:kern w:val="0"/>
        </w:rPr>
        <w:t>:</w:t>
      </w:r>
      <w:r w:rsidRPr="00810D95">
        <w:rPr>
          <w:rFonts w:ascii="Times New Roman" w:hAnsi="Times New Roman" w:cs="Times New Roman"/>
          <w:b/>
          <w:bCs/>
          <w:kern w:val="0"/>
        </w:rPr>
        <w:t xml:space="preserve"> </w:t>
      </w:r>
      <w:r w:rsidRPr="00810D95">
        <w:rPr>
          <w:rFonts w:ascii="Times New Roman" w:hAnsi="Times New Roman" w:cs="Times New Roman"/>
          <w:kern w:val="0"/>
        </w:rPr>
        <w:t xml:space="preserve">Materials and Methods, Study Population </w:t>
      </w:r>
    </w:p>
    <w:p w:rsidR="008C1A7E" w:rsidRPr="00810D95" w:rsidRDefault="008C1A7E" w:rsidP="008C1A7E">
      <w:pPr>
        <w:spacing w:line="276" w:lineRule="auto"/>
        <w:rPr>
          <w:rFonts w:ascii="Times New Roman" w:hAnsi="Times New Roman" w:cs="Times New Roman"/>
        </w:rPr>
      </w:pPr>
      <w:r w:rsidRPr="00810D95">
        <w:rPr>
          <w:rFonts w:ascii="Times New Roman" w:hAnsi="Times New Roman" w:cs="Times New Roman"/>
          <w:kern w:val="0"/>
        </w:rPr>
        <w:t xml:space="preserve">Thromboembolism and major bleeding events in the </w:t>
      </w:r>
      <w:r w:rsidRPr="00810D95">
        <w:rPr>
          <w:rFonts w:ascii="Times New Roman" w:hAnsi="Times New Roman" w:cs="Times New Roman" w:hint="eastAsia"/>
          <w:kern w:val="0"/>
        </w:rPr>
        <w:t>subgroup</w:t>
      </w:r>
      <w:r w:rsidRPr="00810D95">
        <w:rPr>
          <w:rFonts w:ascii="Times New Roman" w:hAnsi="Times New Roman" w:cs="Times New Roman"/>
          <w:kern w:val="0"/>
        </w:rPr>
        <w:t xml:space="preserve"> of </w:t>
      </w:r>
      <w:r w:rsidRPr="00810D95">
        <w:rPr>
          <w:rFonts w:ascii="Times New Roman" w:hAnsi="Times New Roman" w:cs="Times New Roman"/>
        </w:rPr>
        <w:t xml:space="preserve">4953 </w:t>
      </w:r>
      <w:r w:rsidRPr="00810D95">
        <w:rPr>
          <w:rFonts w:ascii="Times New Roman" w:hAnsi="Times New Roman" w:cs="Times New Roman"/>
          <w:kern w:val="0"/>
        </w:rPr>
        <w:t xml:space="preserve">patients with missing or unknown </w:t>
      </w:r>
      <w:proofErr w:type="spellStart"/>
      <w:r w:rsidRPr="00810D95">
        <w:rPr>
          <w:rFonts w:ascii="Times New Roman" w:hAnsi="Times New Roman" w:cs="Times New Roman"/>
          <w:kern w:val="0"/>
        </w:rPr>
        <w:t>creatinine</w:t>
      </w:r>
      <w:proofErr w:type="spellEnd"/>
      <w:r w:rsidRPr="00810D95">
        <w:rPr>
          <w:rFonts w:ascii="Times New Roman" w:hAnsi="Times New Roman" w:cs="Times New Roman"/>
          <w:kern w:val="0"/>
        </w:rPr>
        <w:t xml:space="preserve"> levels were analyzed. </w:t>
      </w:r>
      <w:r w:rsidRPr="00810D95">
        <w:rPr>
          <w:rFonts w:ascii="Times New Roman" w:hAnsi="Times New Roman" w:cs="Times New Roman"/>
        </w:rPr>
        <w:t xml:space="preserve">Thromboembolic events occurred in 344 patients (6.9%), and the crude incidence rate was 2.5/100 person-years. While 109 patients (2.2%) experienced a major bleeding event during the follow-up and the crude incidence rate </w:t>
      </w:r>
      <w:proofErr w:type="gramStart"/>
      <w:r w:rsidRPr="00810D95">
        <w:rPr>
          <w:rFonts w:ascii="Times New Roman" w:hAnsi="Times New Roman" w:cs="Times New Roman"/>
        </w:rPr>
        <w:t>was</w:t>
      </w:r>
      <w:proofErr w:type="gramEnd"/>
      <w:r w:rsidRPr="00810D95">
        <w:rPr>
          <w:rFonts w:ascii="Times New Roman" w:hAnsi="Times New Roman" w:cs="Times New Roman"/>
        </w:rPr>
        <w:t xml:space="preserve"> 0.76/100 person-years. The crude incidence rates of patients with available </w:t>
      </w:r>
      <w:proofErr w:type="spellStart"/>
      <w:r w:rsidRPr="00810D95">
        <w:rPr>
          <w:rFonts w:ascii="Times New Roman" w:hAnsi="Times New Roman" w:cs="Times New Roman"/>
        </w:rPr>
        <w:t>creatinine</w:t>
      </w:r>
      <w:proofErr w:type="spellEnd"/>
      <w:r w:rsidRPr="00810D95">
        <w:rPr>
          <w:rFonts w:ascii="Times New Roman" w:hAnsi="Times New Roman" w:cs="Times New Roman"/>
        </w:rPr>
        <w:t xml:space="preserve"> levels were similar to patients with missing or unknown </w:t>
      </w:r>
      <w:proofErr w:type="spellStart"/>
      <w:r w:rsidRPr="00810D95">
        <w:rPr>
          <w:rFonts w:ascii="Times New Roman" w:hAnsi="Times New Roman" w:cs="Times New Roman"/>
        </w:rPr>
        <w:t>creatinine</w:t>
      </w:r>
      <w:proofErr w:type="spellEnd"/>
      <w:r w:rsidRPr="00810D95">
        <w:rPr>
          <w:rFonts w:ascii="Times New Roman" w:hAnsi="Times New Roman" w:cs="Times New Roman"/>
        </w:rPr>
        <w:t xml:space="preserve"> levels.</w:t>
      </w:r>
    </w:p>
    <w:p w:rsidR="008C1A7E" w:rsidRPr="00810D95" w:rsidRDefault="008C1A7E" w:rsidP="008C1A7E">
      <w:pPr>
        <w:spacing w:line="276" w:lineRule="auto"/>
        <w:rPr>
          <w:rFonts w:ascii="Times New Roman" w:hAnsi="Times New Roman" w:cs="Times New Roman"/>
        </w:rPr>
      </w:pPr>
      <w:r w:rsidRPr="00810D95">
        <w:rPr>
          <w:rFonts w:ascii="Times New Roman" w:hAnsi="Times New Roman" w:cs="Times New Roman"/>
        </w:rPr>
        <w:t>Besides, we have analyzed the major events in the subgroup of 8909 patients who underwent catheter ablation. After multivariate analysis, mild CKD was not an independent risk factor for thromboembolism and major bleeding [Supplemental Figure 1]. The results were consistent with patients who didn’t undergo catheter ablation.</w:t>
      </w:r>
    </w:p>
    <w:p w:rsidR="008C1A7E" w:rsidRPr="00810D95" w:rsidRDefault="008C1A7E" w:rsidP="008C1A7E">
      <w:pPr>
        <w:spacing w:line="276" w:lineRule="auto"/>
        <w:rPr>
          <w:rFonts w:ascii="Times New Roman" w:hAnsi="Times New Roman" w:cs="Times New Roman"/>
          <w:color w:val="365F91" w:themeColor="accent1" w:themeShade="BF"/>
          <w:kern w:val="0"/>
        </w:rPr>
      </w:pPr>
    </w:p>
    <w:p w:rsidR="008C1A7E" w:rsidRPr="00810D95" w:rsidRDefault="008C1A7E" w:rsidP="008C1A7E">
      <w:pPr>
        <w:suppressLineNumbers/>
        <w:autoSpaceDE w:val="0"/>
        <w:autoSpaceDN w:val="0"/>
        <w:adjustRightInd w:val="0"/>
        <w:rPr>
          <w:rFonts w:ascii="Times New Roman" w:hAnsi="Times New Roman" w:cs="Times New Roman"/>
          <w:b/>
        </w:rPr>
      </w:pPr>
      <w:r w:rsidRPr="00810D95">
        <w:rPr>
          <w:rFonts w:ascii="Times New Roman" w:hAnsi="Times New Roman" w:cs="Times New Roman"/>
          <w:b/>
        </w:rPr>
        <w:t>Supplementary Figure 1:</w:t>
      </w:r>
      <w:r w:rsidRPr="00810D95">
        <w:rPr>
          <w:rFonts w:ascii="Times New Roman" w:hAnsi="Times New Roman" w:cs="Times New Roman"/>
          <w:bCs/>
        </w:rPr>
        <w:t xml:space="preserve"> </w:t>
      </w:r>
      <w:bookmarkStart w:id="1" w:name="_Hlk57040231"/>
      <w:r w:rsidRPr="00810D95">
        <w:rPr>
          <w:rFonts w:ascii="Times New Roman" w:hAnsi="Times New Roman" w:cs="Times New Roman"/>
          <w:bCs/>
        </w:rPr>
        <w:t>Cumulative incidence rates of thromboembolism (A) and major bleeding (B) according to estimated glomerular filtration rate (</w:t>
      </w:r>
      <w:proofErr w:type="spellStart"/>
      <w:r w:rsidRPr="00810D95">
        <w:rPr>
          <w:rFonts w:ascii="Times New Roman" w:hAnsi="Times New Roman" w:cs="Times New Roman"/>
          <w:bCs/>
        </w:rPr>
        <w:t>eGFR</w:t>
      </w:r>
      <w:proofErr w:type="spellEnd"/>
      <w:r w:rsidRPr="00810D95">
        <w:rPr>
          <w:rFonts w:ascii="Times New Roman" w:hAnsi="Times New Roman" w:cs="Times New Roman"/>
          <w:bCs/>
        </w:rPr>
        <w:t xml:space="preserve">) in patients </w:t>
      </w:r>
      <w:r w:rsidRPr="00810D95">
        <w:rPr>
          <w:rFonts w:ascii="Times New Roman" w:hAnsi="Times New Roman" w:cs="Times New Roman" w:hint="eastAsia"/>
          <w:bCs/>
        </w:rPr>
        <w:t>undergoing</w:t>
      </w:r>
      <w:r w:rsidRPr="00810D95">
        <w:rPr>
          <w:rFonts w:ascii="Times New Roman" w:hAnsi="Times New Roman" w:cs="Times New Roman"/>
          <w:bCs/>
        </w:rPr>
        <w:t xml:space="preserve"> catheter ablation at baseline.</w:t>
      </w:r>
    </w:p>
    <w:bookmarkEnd w:id="1"/>
    <w:p w:rsidR="008C1A7E" w:rsidRPr="00810D95" w:rsidRDefault="008C1A7E" w:rsidP="008C1A7E">
      <w:pPr>
        <w:spacing w:line="276" w:lineRule="auto"/>
        <w:rPr>
          <w:rFonts w:ascii="Times New Roman" w:hAnsi="Times New Roman" w:cs="Times New Roman"/>
          <w:color w:val="365F91" w:themeColor="accent1" w:themeShade="BF"/>
          <w:kern w:val="0"/>
        </w:rPr>
      </w:pPr>
      <w:r w:rsidRPr="00810D95">
        <w:rPr>
          <w:rFonts w:ascii="Times New Roman" w:hAnsi="Times New Roman" w:cs="Times New Roman"/>
          <w:noProof/>
          <w:color w:val="365F91" w:themeColor="accent1" w:themeShade="BF"/>
          <w:kern w:val="0"/>
          <w:lang w:eastAsia="en-US"/>
        </w:rPr>
        <w:drawing>
          <wp:inline distT="0" distB="0" distL="0" distR="0" wp14:anchorId="7665846F" wp14:editId="2F96987A">
            <wp:extent cx="5270500" cy="226250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pic:nvPicPr>
                  <pic:blipFill>
                    <a:blip r:embed="rId7"/>
                    <a:stretch>
                      <a:fillRect/>
                    </a:stretch>
                  </pic:blipFill>
                  <pic:spPr>
                    <a:xfrm>
                      <a:off x="0" y="0"/>
                      <a:ext cx="5270500" cy="2262505"/>
                    </a:xfrm>
                    <a:prstGeom prst="rect">
                      <a:avLst/>
                    </a:prstGeom>
                  </pic:spPr>
                </pic:pic>
              </a:graphicData>
            </a:graphic>
          </wp:inline>
        </w:drawing>
      </w:r>
      <w:r w:rsidRPr="00810D95">
        <w:rPr>
          <w:rFonts w:ascii="Times New Roman" w:hAnsi="Times New Roman" w:cs="Times New Roman"/>
          <w:noProof/>
          <w:color w:val="365F91" w:themeColor="accent1" w:themeShade="BF"/>
          <w:kern w:val="0"/>
        </w:rPr>
        <w:t xml:space="preserve"> </w:t>
      </w:r>
    </w:p>
    <w:p w:rsidR="008C1A7E" w:rsidRPr="00810D95" w:rsidRDefault="008C1A7E" w:rsidP="008C1A7E">
      <w:pPr>
        <w:suppressLineNumbers/>
        <w:rPr>
          <w:rFonts w:ascii="Times New Roman" w:hAnsi="Times New Roman" w:cs="Times New Roman"/>
          <w:bCs/>
          <w:sz w:val="22"/>
        </w:rPr>
      </w:pPr>
      <w:r w:rsidRPr="00810D95">
        <w:rPr>
          <w:rFonts w:ascii="Times New Roman" w:hAnsi="Times New Roman" w:cs="Times New Roman"/>
          <w:bCs/>
          <w:sz w:val="22"/>
        </w:rPr>
        <w:t>CKD: Chronic kidney disease.</w:t>
      </w:r>
    </w:p>
    <w:p w:rsidR="008C1A7E" w:rsidRPr="00810D95" w:rsidRDefault="008C1A7E" w:rsidP="008C1A7E">
      <w:pPr>
        <w:suppressLineNumbers/>
        <w:rPr>
          <w:rFonts w:ascii="Times New Roman" w:hAnsi="Times New Roman" w:cs="Times New Roman"/>
          <w:bCs/>
          <w:sz w:val="22"/>
        </w:rPr>
      </w:pPr>
      <w:r w:rsidRPr="00810D95">
        <w:rPr>
          <w:rFonts w:ascii="Times New Roman" w:hAnsi="Times New Roman" w:cs="Times New Roman" w:hint="eastAsia"/>
          <w:bCs/>
          <w:sz w:val="22"/>
        </w:rPr>
        <w:t>*</w:t>
      </w:r>
      <w:r w:rsidRPr="00810D95">
        <w:rPr>
          <w:rFonts w:ascii="Times New Roman" w:hAnsi="Times New Roman" w:cs="Times New Roman"/>
          <w:bCs/>
          <w:sz w:val="22"/>
        </w:rPr>
        <w:t xml:space="preserve">COX regression model adjusted for variables with </w:t>
      </w:r>
      <w:r w:rsidRPr="00810D95">
        <w:rPr>
          <w:rFonts w:ascii="Times New Roman" w:hAnsi="Times New Roman" w:cs="Times New Roman"/>
          <w:bCs/>
          <w:i/>
          <w:iCs/>
          <w:sz w:val="22"/>
        </w:rPr>
        <w:t>P</w:t>
      </w:r>
      <w:r w:rsidRPr="00810D95">
        <w:rPr>
          <w:rFonts w:ascii="Times New Roman" w:hAnsi="Times New Roman" w:cs="Times New Roman"/>
          <w:bCs/>
          <w:sz w:val="22"/>
        </w:rPr>
        <w:t xml:space="preserve"> </w:t>
      </w:r>
      <w:r w:rsidRPr="00810D95">
        <w:rPr>
          <w:rFonts w:ascii="Times New Roman" w:hAnsi="Times New Roman" w:cs="Times New Roman" w:hint="eastAsia"/>
          <w:bCs/>
          <w:sz w:val="22"/>
        </w:rPr>
        <w:t>&lt;</w:t>
      </w:r>
      <w:r w:rsidRPr="00810D95">
        <w:rPr>
          <w:rFonts w:ascii="Times New Roman" w:hAnsi="Times New Roman" w:cs="Times New Roman"/>
          <w:bCs/>
          <w:sz w:val="22"/>
        </w:rPr>
        <w:t xml:space="preserve"> 0.2 in </w:t>
      </w:r>
      <w:proofErr w:type="spellStart"/>
      <w:r w:rsidRPr="00810D95">
        <w:rPr>
          <w:rFonts w:ascii="Times New Roman" w:hAnsi="Times New Roman" w:cs="Times New Roman"/>
          <w:bCs/>
          <w:sz w:val="22"/>
        </w:rPr>
        <w:t>univariate</w:t>
      </w:r>
      <w:proofErr w:type="spellEnd"/>
      <w:r w:rsidRPr="00810D95">
        <w:rPr>
          <w:rFonts w:ascii="Times New Roman" w:hAnsi="Times New Roman" w:cs="Times New Roman"/>
          <w:bCs/>
          <w:sz w:val="22"/>
        </w:rPr>
        <w:t xml:space="preserve"> analysis.</w:t>
      </w:r>
    </w:p>
    <w:p w:rsidR="008C1A7E" w:rsidRDefault="008C1A7E" w:rsidP="008C1A7E">
      <w:pPr>
        <w:rPr>
          <w:rFonts w:ascii="Times New Roman" w:hAnsi="Times New Roman" w:cs="Times New Roman"/>
          <w:b/>
        </w:rPr>
      </w:pPr>
    </w:p>
    <w:p w:rsidR="00ED47E9" w:rsidRPr="00810D95" w:rsidRDefault="00ED47E9" w:rsidP="008C1A7E">
      <w:pPr>
        <w:rPr>
          <w:rFonts w:ascii="Times New Roman" w:hAnsi="Times New Roman" w:cs="Times New Roman"/>
          <w:b/>
        </w:rPr>
      </w:pPr>
    </w:p>
    <w:sectPr w:rsidR="00ED47E9" w:rsidRPr="00810D9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A98" w:rsidRDefault="00225A98" w:rsidP="008C1A7E">
      <w:r>
        <w:separator/>
      </w:r>
    </w:p>
  </w:endnote>
  <w:endnote w:type="continuationSeparator" w:id="0">
    <w:p w:rsidR="00225A98" w:rsidRDefault="00225A98" w:rsidP="008C1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7E" w:rsidRDefault="008C1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7E" w:rsidRDefault="008C1A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7E" w:rsidRDefault="008C1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A98" w:rsidRDefault="00225A98" w:rsidP="008C1A7E">
      <w:r>
        <w:separator/>
      </w:r>
    </w:p>
  </w:footnote>
  <w:footnote w:type="continuationSeparator" w:id="0">
    <w:p w:rsidR="00225A98" w:rsidRDefault="00225A98" w:rsidP="008C1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7E" w:rsidRDefault="008C1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7E" w:rsidRDefault="008C1A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A7E" w:rsidRDefault="008C1A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bGwNDI1Nze0tLAwNrJQ0lEKTi0uzszPAykwrAUA7DYEjywAAAA="/>
  </w:docVars>
  <w:rsids>
    <w:rsidRoot w:val="008C1A7E"/>
    <w:rsid w:val="000C1C69"/>
    <w:rsid w:val="00225A98"/>
    <w:rsid w:val="003321D7"/>
    <w:rsid w:val="008B2191"/>
    <w:rsid w:val="008C1A7E"/>
    <w:rsid w:val="00A163FE"/>
    <w:rsid w:val="00ED47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7E"/>
    <w:pPr>
      <w:widowControl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C1A7E"/>
    <w:rPr>
      <w:sz w:val="18"/>
      <w:szCs w:val="18"/>
    </w:rPr>
  </w:style>
  <w:style w:type="paragraph" w:styleId="Footer">
    <w:name w:val="footer"/>
    <w:basedOn w:val="Normal"/>
    <w:link w:val="FooterChar"/>
    <w:uiPriority w:val="99"/>
    <w:unhideWhenUsed/>
    <w:rsid w:val="008C1A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C1A7E"/>
    <w:rPr>
      <w:sz w:val="18"/>
      <w:szCs w:val="18"/>
    </w:rPr>
  </w:style>
  <w:style w:type="paragraph" w:styleId="BalloonText">
    <w:name w:val="Balloon Text"/>
    <w:basedOn w:val="Normal"/>
    <w:link w:val="BalloonTextChar"/>
    <w:uiPriority w:val="99"/>
    <w:semiHidden/>
    <w:unhideWhenUsed/>
    <w:rsid w:val="008C1A7E"/>
    <w:rPr>
      <w:sz w:val="18"/>
      <w:szCs w:val="18"/>
    </w:rPr>
  </w:style>
  <w:style w:type="character" w:customStyle="1" w:styleId="BalloonTextChar">
    <w:name w:val="Balloon Text Char"/>
    <w:basedOn w:val="DefaultParagraphFont"/>
    <w:link w:val="BalloonText"/>
    <w:uiPriority w:val="99"/>
    <w:semiHidden/>
    <w:rsid w:val="008C1A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7E"/>
    <w:pPr>
      <w:widowControl w:val="0"/>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A7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C1A7E"/>
    <w:rPr>
      <w:sz w:val="18"/>
      <w:szCs w:val="18"/>
    </w:rPr>
  </w:style>
  <w:style w:type="paragraph" w:styleId="Footer">
    <w:name w:val="footer"/>
    <w:basedOn w:val="Normal"/>
    <w:link w:val="FooterChar"/>
    <w:uiPriority w:val="99"/>
    <w:unhideWhenUsed/>
    <w:rsid w:val="008C1A7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C1A7E"/>
    <w:rPr>
      <w:sz w:val="18"/>
      <w:szCs w:val="18"/>
    </w:rPr>
  </w:style>
  <w:style w:type="paragraph" w:styleId="BalloonText">
    <w:name w:val="Balloon Text"/>
    <w:basedOn w:val="Normal"/>
    <w:link w:val="BalloonTextChar"/>
    <w:uiPriority w:val="99"/>
    <w:semiHidden/>
    <w:unhideWhenUsed/>
    <w:rsid w:val="008C1A7E"/>
    <w:rPr>
      <w:sz w:val="18"/>
      <w:szCs w:val="18"/>
    </w:rPr>
  </w:style>
  <w:style w:type="character" w:customStyle="1" w:styleId="BalloonTextChar">
    <w:name w:val="Balloon Text Char"/>
    <w:basedOn w:val="DefaultParagraphFont"/>
    <w:link w:val="BalloonText"/>
    <w:uiPriority w:val="99"/>
    <w:semiHidden/>
    <w:rsid w:val="008C1A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1061</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Company>China</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Xiaoxia</dc:creator>
  <cp:lastModifiedBy>74014</cp:lastModifiedBy>
  <cp:revision>3</cp:revision>
  <dcterms:created xsi:type="dcterms:W3CDTF">2021-01-20T11:38:00Z</dcterms:created>
  <dcterms:modified xsi:type="dcterms:W3CDTF">2021-01-20T11:40:00Z</dcterms:modified>
</cp:coreProperties>
</file>