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89CE1" w14:textId="77777777" w:rsidR="00BD2090" w:rsidRPr="00A70C0C" w:rsidRDefault="00BD2090" w:rsidP="00BD2090">
      <w:pPr>
        <w:pStyle w:val="a5"/>
        <w:ind w:left="1" w:right="38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</w:pPr>
      <w:bookmarkStart w:id="0" w:name="_GoBack"/>
      <w:bookmarkEnd w:id="0"/>
      <w:r w:rsidRPr="00A70C0C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Supplementary Table 1</w:t>
      </w:r>
    </w:p>
    <w:p w14:paraId="0BB7599B" w14:textId="77777777" w:rsidR="00BD2090" w:rsidRPr="00A70C0C" w:rsidRDefault="00BD2090" w:rsidP="00BD2090">
      <w:pPr>
        <w:pStyle w:val="a5"/>
        <w:ind w:left="1" w:right="38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A70C0C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Comparisons between the current guideline and the Chinese prevention guidelines in 2011 and 2017</w:t>
      </w:r>
    </w:p>
    <w:tbl>
      <w:tblPr>
        <w:tblStyle w:val="a6"/>
        <w:tblW w:w="0" w:type="auto"/>
        <w:tblInd w:w="5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7"/>
        <w:gridCol w:w="1896"/>
        <w:gridCol w:w="2017"/>
        <w:gridCol w:w="1945"/>
      </w:tblGrid>
      <w:tr w:rsidR="00BD2090" w:rsidRPr="00A70C0C" w14:paraId="7B366607" w14:textId="77777777" w:rsidTr="00CD0111">
        <w:tc>
          <w:tcPr>
            <w:tcW w:w="2310" w:type="dxa"/>
          </w:tcPr>
          <w:p w14:paraId="13F53813" w14:textId="77777777" w:rsidR="00BD2090" w:rsidRPr="00A70C0C" w:rsidRDefault="00BD2090" w:rsidP="00CD0111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b/>
                <w:bCs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 w:hint="eastAsia"/>
                <w:b/>
                <w:bCs/>
                <w:shd w:val="clear" w:color="auto" w:fill="FFFFFF"/>
                <w:lang w:eastAsia="zh-CN"/>
              </w:rPr>
              <w:t>Items</w:t>
            </w:r>
          </w:p>
        </w:tc>
        <w:tc>
          <w:tcPr>
            <w:tcW w:w="2196" w:type="dxa"/>
          </w:tcPr>
          <w:p w14:paraId="4174DD2F" w14:textId="77777777" w:rsidR="00BD2090" w:rsidRPr="00A70C0C" w:rsidRDefault="00BD2090" w:rsidP="00A70C0C">
            <w:pPr>
              <w:pStyle w:val="a7"/>
              <w:outlineLvl w:val="0"/>
              <w:rPr>
                <w:rFonts w:ascii="Times New Roman" w:hAnsi="Times New Roman" w:cs="Times New Roman"/>
                <w:vertAlign w:val="superscript"/>
                <w:lang w:eastAsia="zh-CN"/>
              </w:rPr>
            </w:pPr>
            <w:r w:rsidRPr="00A70C0C">
              <w:rPr>
                <w:rFonts w:ascii="Times New Roman" w:hAnsi="Times New Roman" w:cs="Times New Roman"/>
              </w:rPr>
              <w:t>Chinese guidelines for prevention of cardiovascular diseases, 2011</w:t>
            </w:r>
            <w:r w:rsidRPr="00A70C0C">
              <w:rPr>
                <w:rFonts w:ascii="Times New Roman" w:hAnsi="Times New Roman" w:cs="Times New Roman"/>
                <w:vertAlign w:val="superscript"/>
              </w:rPr>
              <w:t>[6]</w:t>
            </w:r>
          </w:p>
        </w:tc>
        <w:tc>
          <w:tcPr>
            <w:tcW w:w="2344" w:type="dxa"/>
          </w:tcPr>
          <w:p w14:paraId="3B563B53" w14:textId="77777777" w:rsidR="00BD2090" w:rsidRPr="00A70C0C" w:rsidRDefault="00BD2090" w:rsidP="00A70C0C">
            <w:pPr>
              <w:pStyle w:val="a7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 w:rsidRPr="00A70C0C">
              <w:rPr>
                <w:rFonts w:ascii="Times New Roman" w:hAnsi="Times New Roman" w:cs="Times New Roman"/>
              </w:rPr>
              <w:t>Chinese guidelines for the prevention of cardiovascular diseases, 2017</w:t>
            </w:r>
            <w:r w:rsidRPr="00A70C0C">
              <w:rPr>
                <w:rFonts w:ascii="Times New Roman" w:hAnsi="Times New Roman" w:cs="Times New Roman"/>
                <w:vertAlign w:val="superscript"/>
              </w:rPr>
              <w:t>[7]</w:t>
            </w:r>
          </w:p>
        </w:tc>
        <w:tc>
          <w:tcPr>
            <w:tcW w:w="2339" w:type="dxa"/>
          </w:tcPr>
          <w:p w14:paraId="762EC487" w14:textId="77777777" w:rsidR="00BD2090" w:rsidRPr="00A70C0C" w:rsidRDefault="00BD2090" w:rsidP="00A70C0C">
            <w:pPr>
              <w:pStyle w:val="a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70C0C">
              <w:rPr>
                <w:rFonts w:ascii="Times New Roman" w:hAnsi="Times New Roman" w:cs="Times New Roman"/>
                <w:color w:val="000000"/>
              </w:rPr>
              <w:t>Chinese guideline on the primary prevention of cardiovascular diseases, 2020</w:t>
            </w:r>
          </w:p>
        </w:tc>
      </w:tr>
      <w:tr w:rsidR="00BD2090" w:rsidRPr="00A70C0C" w14:paraId="2CB5E1EF" w14:textId="77777777" w:rsidTr="00CD0111">
        <w:tc>
          <w:tcPr>
            <w:tcW w:w="2310" w:type="dxa"/>
          </w:tcPr>
          <w:p w14:paraId="70F50577" w14:textId="77777777" w:rsidR="00BD2090" w:rsidRPr="00A70C0C" w:rsidRDefault="00BD2090" w:rsidP="00CD0111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b/>
                <w:bCs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b/>
                <w:bCs/>
                <w:shd w:val="clear" w:color="auto" w:fill="FFFFFF"/>
              </w:rPr>
              <w:t>Writing committee</w:t>
            </w:r>
          </w:p>
        </w:tc>
        <w:tc>
          <w:tcPr>
            <w:tcW w:w="2196" w:type="dxa"/>
          </w:tcPr>
          <w:p w14:paraId="02DF87DE" w14:textId="77777777" w:rsidR="00BD2090" w:rsidRPr="00A70C0C" w:rsidRDefault="00BD2090" w:rsidP="00A70C0C">
            <w:pPr>
              <w:autoSpaceDE/>
              <w:autoSpaceDN/>
              <w:rPr>
                <w:rFonts w:ascii="Times New Roman" w:hAnsi="Times New Roman" w:cs="Times New Roman"/>
                <w:lang w:eastAsia="zh-CN"/>
              </w:rPr>
            </w:pPr>
            <w:r w:rsidRPr="00A70C0C">
              <w:rPr>
                <w:rFonts w:ascii="Times New Roman" w:eastAsia="等线" w:hAnsi="Times New Roman" w:cs="Times New Roman"/>
                <w:kern w:val="2"/>
                <w:sz w:val="24"/>
                <w:szCs w:val="24"/>
                <w:lang w:eastAsia="zh-CN" w:bidi="ar-SA"/>
              </w:rPr>
              <w:t>Chinese Society of Cardiology of Chinese Medical Association, Editorial Board of Chinese Journal of Cardiology</w:t>
            </w:r>
          </w:p>
        </w:tc>
        <w:tc>
          <w:tcPr>
            <w:tcW w:w="2344" w:type="dxa"/>
          </w:tcPr>
          <w:p w14:paraId="546BF6D6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A70C0C">
              <w:rPr>
                <w:rFonts w:ascii="Times New Roman" w:eastAsia="等线" w:hAnsi="Times New Roman" w:cs="Times New Roman"/>
                <w:kern w:val="2"/>
                <w:sz w:val="24"/>
                <w:szCs w:val="24"/>
                <w:lang w:eastAsia="zh-CN" w:bidi="ar-SA"/>
              </w:rPr>
              <w:t>Chinese guidelines for prevention of cardiovascular diseases (2017) writing group</w:t>
            </w:r>
            <w:r w:rsidRPr="00A70C0C">
              <w:rPr>
                <w:rFonts w:ascii="Times New Roman" w:hAnsi="Times New Roman" w:cs="Times New Roman" w:hint="eastAsia"/>
                <w:lang w:eastAsia="zh-CN"/>
              </w:rPr>
              <w:t>,</w:t>
            </w:r>
            <w:r w:rsidRPr="00A70C0C">
              <w:rPr>
                <w:rFonts w:ascii="Times New Roman" w:hAnsi="Times New Roman" w:cs="Times New Roman"/>
              </w:rPr>
              <w:t xml:space="preserve"> Editorial Board of Chinese Journal of Cardiology</w:t>
            </w:r>
          </w:p>
        </w:tc>
        <w:tc>
          <w:tcPr>
            <w:tcW w:w="2339" w:type="dxa"/>
          </w:tcPr>
          <w:p w14:paraId="4CE94982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70C0C">
              <w:rPr>
                <w:rFonts w:ascii="Times New Roman" w:hAnsi="Times New Roman" w:cs="Times New Roman"/>
                <w:color w:val="000000"/>
              </w:rPr>
              <w:t>Chinese Society of Cardiology of Chinese Medical Association and other 3 associations</w:t>
            </w:r>
          </w:p>
        </w:tc>
      </w:tr>
      <w:tr w:rsidR="00BD2090" w:rsidRPr="00A70C0C" w14:paraId="085DA3CB" w14:textId="77777777" w:rsidTr="00CD0111">
        <w:tc>
          <w:tcPr>
            <w:tcW w:w="2310" w:type="dxa"/>
          </w:tcPr>
          <w:p w14:paraId="58A96244" w14:textId="77777777" w:rsidR="00BD2090" w:rsidRPr="00A70C0C" w:rsidRDefault="00BD2090" w:rsidP="00CD0111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  <w:t>Review of evidence</w:t>
            </w:r>
          </w:p>
        </w:tc>
        <w:tc>
          <w:tcPr>
            <w:tcW w:w="2196" w:type="dxa"/>
          </w:tcPr>
          <w:p w14:paraId="752BBFBD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Experts’ consensus</w:t>
            </w:r>
          </w:p>
        </w:tc>
        <w:tc>
          <w:tcPr>
            <w:tcW w:w="2344" w:type="dxa"/>
          </w:tcPr>
          <w:p w14:paraId="2A67AB39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Experts’ consensus</w:t>
            </w:r>
          </w:p>
        </w:tc>
        <w:tc>
          <w:tcPr>
            <w:tcW w:w="2339" w:type="dxa"/>
          </w:tcPr>
          <w:p w14:paraId="66208365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Systematic review</w:t>
            </w:r>
          </w:p>
        </w:tc>
      </w:tr>
      <w:tr w:rsidR="00BD2090" w:rsidRPr="00A70C0C" w14:paraId="0174209D" w14:textId="77777777" w:rsidTr="00CD0111">
        <w:tc>
          <w:tcPr>
            <w:tcW w:w="2310" w:type="dxa"/>
          </w:tcPr>
          <w:p w14:paraId="0B615E05" w14:textId="77777777" w:rsidR="00BD2090" w:rsidRPr="00A70C0C" w:rsidRDefault="00BD2090" w:rsidP="00CD0111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  <w:t>Level of evidence</w:t>
            </w:r>
          </w:p>
        </w:tc>
        <w:tc>
          <w:tcPr>
            <w:tcW w:w="2196" w:type="dxa"/>
          </w:tcPr>
          <w:p w14:paraId="31608CEE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Not included</w:t>
            </w:r>
          </w:p>
        </w:tc>
        <w:tc>
          <w:tcPr>
            <w:tcW w:w="2344" w:type="dxa"/>
          </w:tcPr>
          <w:p w14:paraId="600B5941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Not included</w:t>
            </w:r>
          </w:p>
        </w:tc>
        <w:tc>
          <w:tcPr>
            <w:tcW w:w="2339" w:type="dxa"/>
          </w:tcPr>
          <w:p w14:paraId="2E6C07CD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A, B, and C</w:t>
            </w:r>
          </w:p>
        </w:tc>
      </w:tr>
      <w:tr w:rsidR="00BD2090" w:rsidRPr="00A70C0C" w14:paraId="116AA13A" w14:textId="77777777" w:rsidTr="00CD0111">
        <w:tc>
          <w:tcPr>
            <w:tcW w:w="2310" w:type="dxa"/>
          </w:tcPr>
          <w:p w14:paraId="5F13D20B" w14:textId="77777777" w:rsidR="00BD2090" w:rsidRPr="00A70C0C" w:rsidRDefault="00BD2090" w:rsidP="00CD0111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  <w:t>Class of recommendation</w:t>
            </w:r>
          </w:p>
        </w:tc>
        <w:tc>
          <w:tcPr>
            <w:tcW w:w="2196" w:type="dxa"/>
          </w:tcPr>
          <w:p w14:paraId="166DD3E1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Not included</w:t>
            </w:r>
          </w:p>
        </w:tc>
        <w:tc>
          <w:tcPr>
            <w:tcW w:w="2344" w:type="dxa"/>
          </w:tcPr>
          <w:p w14:paraId="0E66228D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Not included</w:t>
            </w:r>
          </w:p>
        </w:tc>
        <w:tc>
          <w:tcPr>
            <w:tcW w:w="2339" w:type="dxa"/>
          </w:tcPr>
          <w:p w14:paraId="7F483D75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 xml:space="preserve">Ⅰ, </w:t>
            </w:r>
            <w:proofErr w:type="spellStart"/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Ⅱa</w:t>
            </w:r>
            <w:proofErr w:type="spellEnd"/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Ⅱb</w:t>
            </w:r>
            <w:proofErr w:type="spellEnd"/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, and Ⅲ</w:t>
            </w:r>
          </w:p>
        </w:tc>
      </w:tr>
      <w:tr w:rsidR="00BD2090" w:rsidRPr="00A70C0C" w14:paraId="6468BD85" w14:textId="77777777" w:rsidTr="00CD0111">
        <w:tc>
          <w:tcPr>
            <w:tcW w:w="2310" w:type="dxa"/>
          </w:tcPr>
          <w:p w14:paraId="42B7DAF4" w14:textId="77777777" w:rsidR="00BD2090" w:rsidRPr="00A70C0C" w:rsidRDefault="00BD2090" w:rsidP="00CD0111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  <w:t>Risk assessment</w:t>
            </w:r>
          </w:p>
        </w:tc>
        <w:tc>
          <w:tcPr>
            <w:tcW w:w="2196" w:type="dxa"/>
          </w:tcPr>
          <w:p w14:paraId="225794EA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Risk assessment score and chart for ischemic CVD developed based on a Chinese cohort study</w:t>
            </w:r>
          </w:p>
        </w:tc>
        <w:tc>
          <w:tcPr>
            <w:tcW w:w="2344" w:type="dxa"/>
          </w:tcPr>
          <w:p w14:paraId="14F8996C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Risk assessment tool for ASCVD that was developed based on a Chinese cohort study</w:t>
            </w:r>
          </w:p>
        </w:tc>
        <w:tc>
          <w:tcPr>
            <w:tcW w:w="2339" w:type="dxa"/>
          </w:tcPr>
          <w:p w14:paraId="2022717E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Risk assessment tool for both ASCVD and total CVD based on a Chinese cohort study</w:t>
            </w:r>
          </w:p>
        </w:tc>
      </w:tr>
      <w:tr w:rsidR="00BD2090" w:rsidRPr="00A70C0C" w14:paraId="22484C47" w14:textId="77777777" w:rsidTr="00CD0111">
        <w:tc>
          <w:tcPr>
            <w:tcW w:w="2310" w:type="dxa"/>
          </w:tcPr>
          <w:p w14:paraId="213B93D9" w14:textId="77777777" w:rsidR="00BD2090" w:rsidRPr="00A70C0C" w:rsidRDefault="00BD2090" w:rsidP="00CD0111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  <w:t>Lifestyle intervention</w:t>
            </w:r>
          </w:p>
        </w:tc>
        <w:tc>
          <w:tcPr>
            <w:tcW w:w="2196" w:type="dxa"/>
          </w:tcPr>
          <w:p w14:paraId="05A3C154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Smoking, diet, obesity, and physical activity</w:t>
            </w:r>
          </w:p>
        </w:tc>
        <w:tc>
          <w:tcPr>
            <w:tcW w:w="2344" w:type="dxa"/>
          </w:tcPr>
          <w:p w14:paraId="763C70A7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Smoking, salt intake, alcohol consumption, physical activity, and diet</w:t>
            </w:r>
          </w:p>
        </w:tc>
        <w:tc>
          <w:tcPr>
            <w:tcW w:w="2339" w:type="dxa"/>
          </w:tcPr>
          <w:p w14:paraId="07BABF44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Diet, physical activity, body weight, smoking, alcohol consumption, sleeping, and mental health</w:t>
            </w:r>
          </w:p>
        </w:tc>
      </w:tr>
      <w:tr w:rsidR="00BD2090" w:rsidRPr="00A70C0C" w14:paraId="78F9683A" w14:textId="77777777" w:rsidTr="00CD0111">
        <w:tc>
          <w:tcPr>
            <w:tcW w:w="2310" w:type="dxa"/>
          </w:tcPr>
          <w:p w14:paraId="4AA2F897" w14:textId="77777777" w:rsidR="00BD2090" w:rsidRPr="00A70C0C" w:rsidRDefault="00BD2090" w:rsidP="00CD0111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  <w:t>Risk factor control</w:t>
            </w:r>
          </w:p>
        </w:tc>
        <w:tc>
          <w:tcPr>
            <w:tcW w:w="2196" w:type="dxa"/>
          </w:tcPr>
          <w:p w14:paraId="6927868E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Management of blood pressure, lipids, and glucose</w:t>
            </w:r>
          </w:p>
        </w:tc>
        <w:tc>
          <w:tcPr>
            <w:tcW w:w="2344" w:type="dxa"/>
          </w:tcPr>
          <w:p w14:paraId="2C61DD4A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 xml:space="preserve">Management of blood pressure, lipids, glucose, and the use of </w:t>
            </w: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lastRenderedPageBreak/>
              <w:t>aspirin</w:t>
            </w:r>
          </w:p>
        </w:tc>
        <w:tc>
          <w:tcPr>
            <w:tcW w:w="2339" w:type="dxa"/>
          </w:tcPr>
          <w:p w14:paraId="41732258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lastRenderedPageBreak/>
              <w:t xml:space="preserve">Management of blood pressure, lipids, glucose, and the use of </w:t>
            </w: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lastRenderedPageBreak/>
              <w:t>aspirin</w:t>
            </w:r>
          </w:p>
        </w:tc>
      </w:tr>
      <w:tr w:rsidR="00BD2090" w:rsidRPr="00A70C0C" w14:paraId="503A1817" w14:textId="77777777" w:rsidTr="00CD0111">
        <w:tc>
          <w:tcPr>
            <w:tcW w:w="2310" w:type="dxa"/>
          </w:tcPr>
          <w:p w14:paraId="1320663E" w14:textId="77777777" w:rsidR="00BD2090" w:rsidRPr="00A70C0C" w:rsidRDefault="00BD2090" w:rsidP="00CD0111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Control of other comorbidities</w:t>
            </w:r>
          </w:p>
        </w:tc>
        <w:tc>
          <w:tcPr>
            <w:tcW w:w="2196" w:type="dxa"/>
          </w:tcPr>
          <w:p w14:paraId="5CFF2506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Chronic kidney diseases, metabolic syndrome, inflammation, coagulation factors, genetic factors, and social psychological factors</w:t>
            </w:r>
          </w:p>
          <w:p w14:paraId="433C427A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44" w:type="dxa"/>
          </w:tcPr>
          <w:p w14:paraId="79CF205A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Stroke prevention in patients with atrial fibrillation</w:t>
            </w:r>
          </w:p>
        </w:tc>
        <w:tc>
          <w:tcPr>
            <w:tcW w:w="2339" w:type="dxa"/>
          </w:tcPr>
          <w:p w14:paraId="1A191B54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Not included</w:t>
            </w:r>
          </w:p>
        </w:tc>
      </w:tr>
      <w:tr w:rsidR="00BD2090" w:rsidRPr="00A70C0C" w14:paraId="63587D46" w14:textId="77777777" w:rsidTr="00CD0111">
        <w:tc>
          <w:tcPr>
            <w:tcW w:w="2310" w:type="dxa"/>
          </w:tcPr>
          <w:p w14:paraId="5FBB1B7F" w14:textId="77777777" w:rsidR="00BD2090" w:rsidRPr="00A70C0C" w:rsidRDefault="00BD2090" w:rsidP="00CD0111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b/>
                <w:bCs/>
                <w:color w:val="000000"/>
                <w:shd w:val="clear" w:color="auto" w:fill="FFFFFF"/>
              </w:rPr>
              <w:t>Secondary prevention</w:t>
            </w:r>
          </w:p>
        </w:tc>
        <w:tc>
          <w:tcPr>
            <w:tcW w:w="2196" w:type="dxa"/>
          </w:tcPr>
          <w:p w14:paraId="281ABB9E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Management of blood pressure and glucose and antithrombotic therapy in patients with CVD</w:t>
            </w:r>
          </w:p>
        </w:tc>
        <w:tc>
          <w:tcPr>
            <w:tcW w:w="2344" w:type="dxa"/>
          </w:tcPr>
          <w:p w14:paraId="249C6621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Secondary prevention of stroke and coronary heart disease</w:t>
            </w:r>
          </w:p>
        </w:tc>
        <w:tc>
          <w:tcPr>
            <w:tcW w:w="2339" w:type="dxa"/>
          </w:tcPr>
          <w:p w14:paraId="1F06CFA4" w14:textId="77777777" w:rsidR="00BD2090" w:rsidRPr="00A70C0C" w:rsidRDefault="00BD2090" w:rsidP="00A70C0C">
            <w:pPr>
              <w:pStyle w:val="a7"/>
              <w:ind w:firstLine="0"/>
              <w:outlineLvl w:val="0"/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</w:pPr>
            <w:r w:rsidRPr="00A70C0C">
              <w:rPr>
                <w:rFonts w:ascii="Times New Roman" w:eastAsia="黑体" w:hAnsi="Times New Roman" w:cs="Times New Roman"/>
                <w:color w:val="000000"/>
                <w:shd w:val="clear" w:color="auto" w:fill="FFFFFF"/>
              </w:rPr>
              <w:t>Not included</w:t>
            </w:r>
          </w:p>
        </w:tc>
      </w:tr>
    </w:tbl>
    <w:p w14:paraId="54CAD732" w14:textId="77777777" w:rsidR="00BD2090" w:rsidRPr="00063A8B" w:rsidRDefault="00BD2090" w:rsidP="00BD2090">
      <w:pPr>
        <w:pStyle w:val="a5"/>
        <w:ind w:leftChars="64" w:left="141" w:right="38" w:firstLineChars="200" w:firstLine="480"/>
        <w:jc w:val="both"/>
        <w:rPr>
          <w:rFonts w:ascii="Times New Roman" w:hAnsi="Times New Roman" w:cs="Times New Roman"/>
          <w:snapToGrid w:val="0"/>
          <w:color w:val="231F20"/>
          <w:sz w:val="24"/>
          <w:szCs w:val="24"/>
          <w:lang w:eastAsia="zh-CN"/>
        </w:rPr>
      </w:pPr>
      <w:r w:rsidRPr="00A70C0C">
        <w:rPr>
          <w:rFonts w:ascii="Times New Roman" w:hAnsi="Times New Roman" w:cs="Times New Roman"/>
          <w:snapToGrid w:val="0"/>
          <w:color w:val="231F20"/>
          <w:sz w:val="24"/>
          <w:szCs w:val="24"/>
          <w:lang w:eastAsia="zh-CN"/>
        </w:rPr>
        <w:t xml:space="preserve">ASCVD: </w:t>
      </w:r>
      <w:r w:rsidRPr="00A70C0C">
        <w:rPr>
          <w:rFonts w:ascii="Times New Roman" w:hAnsi="Times New Roman" w:cs="Times New Roman"/>
          <w:snapToGrid w:val="0"/>
          <w:color w:val="231F20"/>
          <w:sz w:val="24"/>
          <w:szCs w:val="24"/>
        </w:rPr>
        <w:t>Atherosclerotic cardiovascular disease</w:t>
      </w:r>
      <w:r w:rsidRPr="00A70C0C">
        <w:rPr>
          <w:rFonts w:ascii="Times New Roman" w:hAnsi="Times New Roman" w:cs="Times New Roman"/>
          <w:snapToGrid w:val="0"/>
          <w:color w:val="231F20"/>
          <w:sz w:val="24"/>
          <w:szCs w:val="24"/>
          <w:lang w:eastAsia="zh-CN"/>
        </w:rPr>
        <w:t xml:space="preserve">; CVD: </w:t>
      </w:r>
      <w:r w:rsidRPr="00A70C0C">
        <w:rPr>
          <w:rFonts w:ascii="Times New Roman" w:hAnsi="Times New Roman" w:cs="Times New Roman"/>
          <w:snapToGrid w:val="0"/>
          <w:color w:val="231F20"/>
          <w:sz w:val="24"/>
          <w:szCs w:val="24"/>
        </w:rPr>
        <w:t>Cardiovascular disease.</w:t>
      </w:r>
    </w:p>
    <w:p w14:paraId="0D4C31A3" w14:textId="77777777" w:rsidR="00BA2AA9" w:rsidRDefault="00BA2AA9"/>
    <w:sectPr w:rsidR="00BA2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9266E" w14:textId="77777777" w:rsidR="0030283C" w:rsidRDefault="0030283C" w:rsidP="00BD2090">
      <w:r>
        <w:separator/>
      </w:r>
    </w:p>
  </w:endnote>
  <w:endnote w:type="continuationSeparator" w:id="0">
    <w:p w14:paraId="40E150DA" w14:textId="77777777" w:rsidR="0030283C" w:rsidRDefault="0030283C" w:rsidP="00BD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B94F0" w14:textId="77777777" w:rsidR="0030283C" w:rsidRDefault="0030283C" w:rsidP="00BD2090">
      <w:r>
        <w:separator/>
      </w:r>
    </w:p>
  </w:footnote>
  <w:footnote w:type="continuationSeparator" w:id="0">
    <w:p w14:paraId="2B8ECD71" w14:textId="77777777" w:rsidR="0030283C" w:rsidRDefault="0030283C" w:rsidP="00BD2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zsDCwsDQ3NjEwtDRV0lEKTi0uzszPAykwqgUA8r/nGSwAAAA="/>
    <w:docVar w:name="KY_MEDREF_DOCUID" w:val="{3769ADE6-69C7-44DB-B20D-26A2CBC62E73}"/>
    <w:docVar w:name="KY_MEDREF_VERSION" w:val="3"/>
  </w:docVars>
  <w:rsids>
    <w:rsidRoot w:val="00BD2090"/>
    <w:rsid w:val="00007719"/>
    <w:rsid w:val="0030283C"/>
    <w:rsid w:val="00345000"/>
    <w:rsid w:val="006F5D4A"/>
    <w:rsid w:val="007F687E"/>
    <w:rsid w:val="00A70C0C"/>
    <w:rsid w:val="00BA2AA9"/>
    <w:rsid w:val="00BD2090"/>
    <w:rsid w:val="00E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27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09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09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BD2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09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BD2090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BD2090"/>
    <w:pPr>
      <w:ind w:left="186"/>
    </w:pPr>
    <w:rPr>
      <w:sz w:val="20"/>
      <w:szCs w:val="20"/>
    </w:rPr>
  </w:style>
  <w:style w:type="character" w:customStyle="1" w:styleId="Char1">
    <w:name w:val="正文文本 Char"/>
    <w:basedOn w:val="a0"/>
    <w:link w:val="a5"/>
    <w:uiPriority w:val="1"/>
    <w:rsid w:val="00BD2090"/>
    <w:rPr>
      <w:rFonts w:ascii="宋体" w:eastAsia="宋体" w:hAnsi="宋体" w:cs="宋体"/>
      <w:kern w:val="0"/>
      <w:sz w:val="20"/>
      <w:szCs w:val="20"/>
      <w:lang w:eastAsia="en-US" w:bidi="en-US"/>
    </w:rPr>
  </w:style>
  <w:style w:type="table" w:styleId="a6">
    <w:name w:val="Table Grid"/>
    <w:basedOn w:val="a1"/>
    <w:uiPriority w:val="39"/>
    <w:qFormat/>
    <w:rsid w:val="00BD209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2090"/>
    <w:pPr>
      <w:spacing w:line="316" w:lineRule="exact"/>
      <w:ind w:left="186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09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09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BD2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09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BD2090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BD2090"/>
    <w:pPr>
      <w:ind w:left="186"/>
    </w:pPr>
    <w:rPr>
      <w:sz w:val="20"/>
      <w:szCs w:val="20"/>
    </w:rPr>
  </w:style>
  <w:style w:type="character" w:customStyle="1" w:styleId="Char1">
    <w:name w:val="正文文本 Char"/>
    <w:basedOn w:val="a0"/>
    <w:link w:val="a5"/>
    <w:uiPriority w:val="1"/>
    <w:rsid w:val="00BD2090"/>
    <w:rPr>
      <w:rFonts w:ascii="宋体" w:eastAsia="宋体" w:hAnsi="宋体" w:cs="宋体"/>
      <w:kern w:val="0"/>
      <w:sz w:val="20"/>
      <w:szCs w:val="20"/>
      <w:lang w:eastAsia="en-US" w:bidi="en-US"/>
    </w:rPr>
  </w:style>
  <w:style w:type="table" w:styleId="a6">
    <w:name w:val="Table Grid"/>
    <w:basedOn w:val="a1"/>
    <w:uiPriority w:val="39"/>
    <w:qFormat/>
    <w:rsid w:val="00BD209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2090"/>
    <w:pPr>
      <w:spacing w:line="316" w:lineRule="exact"/>
      <w:ind w:left="186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>China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xiaoxia</dc:creator>
  <cp:lastModifiedBy>Fu Xiaoxia</cp:lastModifiedBy>
  <cp:revision>2</cp:revision>
  <dcterms:created xsi:type="dcterms:W3CDTF">2021-04-21T11:30:00Z</dcterms:created>
  <dcterms:modified xsi:type="dcterms:W3CDTF">2021-04-21T11:30:00Z</dcterms:modified>
</cp:coreProperties>
</file>