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372D" w14:textId="21436151" w:rsidR="0042570B" w:rsidRDefault="008F30B0" w:rsidP="0042570B">
      <w:pPr>
        <w:pStyle w:val="Heading1"/>
        <w:rPr>
          <w:lang w:val="en-US"/>
        </w:rPr>
      </w:pPr>
      <w:r>
        <w:rPr>
          <w:lang w:val="en-US"/>
        </w:rPr>
        <w:t xml:space="preserve">Supplemental materials: </w:t>
      </w:r>
      <w:r w:rsidR="0042570B">
        <w:rPr>
          <w:lang w:val="en-US"/>
        </w:rPr>
        <w:t>Table of contents</w:t>
      </w:r>
    </w:p>
    <w:p w14:paraId="20FD08B4" w14:textId="4F31EA45" w:rsidR="00DD037E" w:rsidRDefault="00DD037E" w:rsidP="00DD037E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b/>
          <w:lang w:val="en-US"/>
        </w:rPr>
        <w:t xml:space="preserve">Baseline kidney </w:t>
      </w:r>
      <w:r w:rsidR="00416F8C">
        <w:rPr>
          <w:b/>
          <w:lang w:val="en-US"/>
        </w:rPr>
        <w:t xml:space="preserve">status </w:t>
      </w:r>
      <w:r>
        <w:rPr>
          <w:b/>
          <w:lang w:val="en-US"/>
        </w:rPr>
        <w:t>classification schemes</w:t>
      </w:r>
    </w:p>
    <w:p w14:paraId="2643B7A3" w14:textId="464529EF" w:rsidR="00DD037E" w:rsidRDefault="00DD037E" w:rsidP="00DD037E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b/>
          <w:lang w:val="en-US"/>
        </w:rPr>
        <w:t xml:space="preserve">Supplemental Table 1. </w:t>
      </w:r>
      <w:r w:rsidR="00121338" w:rsidRPr="008123C8">
        <w:rPr>
          <w:lang w:val="en-US"/>
        </w:rPr>
        <w:t>Chronic and total yearly eGFR slope in the overall population</w:t>
      </w:r>
    </w:p>
    <w:p w14:paraId="0EE89E51" w14:textId="62F83614" w:rsidR="00DD037E" w:rsidRDefault="00DD037E" w:rsidP="00DD037E">
      <w:pPr>
        <w:rPr>
          <w:bCs/>
          <w:lang w:val="en-US"/>
        </w:rPr>
      </w:pPr>
      <w:r>
        <w:rPr>
          <w:b/>
          <w:lang w:val="en-US"/>
        </w:rPr>
        <w:t xml:space="preserve">Supplemental Table 2. </w:t>
      </w:r>
      <w:r w:rsidRPr="0042570B">
        <w:rPr>
          <w:bCs/>
          <w:lang w:val="en-US"/>
        </w:rPr>
        <w:t xml:space="preserve">Chronic and total yearly eGFR slope analyses by baseline kidney </w:t>
      </w:r>
      <w:r w:rsidR="00E6164A" w:rsidRPr="0042570B">
        <w:rPr>
          <w:bCs/>
          <w:lang w:val="en-US"/>
        </w:rPr>
        <w:t>status</w:t>
      </w:r>
    </w:p>
    <w:p w14:paraId="673F9333" w14:textId="615E366D" w:rsidR="0042570B" w:rsidRPr="0042570B" w:rsidRDefault="0042570B" w:rsidP="00DD037E">
      <w:pPr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  <w:r w:rsidRPr="0042570B">
        <w:rPr>
          <w:b/>
          <w:lang w:val="en-US"/>
        </w:rPr>
        <w:t>References</w:t>
      </w:r>
    </w:p>
    <w:p w14:paraId="7717F204" w14:textId="33C53EEF" w:rsidR="00DD037E" w:rsidRDefault="00DD037E" w:rsidP="00DD037E">
      <w:pPr>
        <w:rPr>
          <w:rFonts w:asciiTheme="minorHAnsi" w:eastAsiaTheme="minorHAnsi" w:hAnsiTheme="minorHAnsi" w:cstheme="minorBidi"/>
          <w:b/>
          <w:kern w:val="28"/>
          <w:sz w:val="30"/>
          <w:szCs w:val="22"/>
          <w:lang w:val="en-US"/>
        </w:rPr>
      </w:pPr>
      <w:r>
        <w:rPr>
          <w:b/>
          <w:lang w:val="en-US"/>
        </w:rPr>
        <w:br w:type="page"/>
      </w:r>
    </w:p>
    <w:p w14:paraId="6CAC8527" w14:textId="040E8C3B" w:rsidR="00DD037E" w:rsidRDefault="00DD037E" w:rsidP="00DD037E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Baseline kidney </w:t>
      </w:r>
      <w:r w:rsidR="00416F8C">
        <w:rPr>
          <w:lang w:val="en-US"/>
        </w:rPr>
        <w:t xml:space="preserve">status </w:t>
      </w:r>
      <w:r>
        <w:rPr>
          <w:lang w:val="en-US"/>
        </w:rPr>
        <w:t>classification schemes</w:t>
      </w:r>
    </w:p>
    <w:p w14:paraId="317D1331" w14:textId="0316438A" w:rsidR="00DD037E" w:rsidRDefault="00DD037E" w:rsidP="00DD037E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lang w:val="en-US"/>
        </w:rPr>
        <w:t xml:space="preserve">1. Estimated glomerular filtration rate (eGFR) classification: Patients were classified into </w:t>
      </w:r>
      <w:r w:rsidR="00E05F69">
        <w:rPr>
          <w:lang w:val="en-US"/>
        </w:rPr>
        <w:t>eGFR</w:t>
      </w:r>
      <w:r>
        <w:rPr>
          <w:lang w:val="en-US"/>
        </w:rPr>
        <w:t xml:space="preserve"> </w:t>
      </w:r>
      <w:r w:rsidR="00E05F69">
        <w:rPr>
          <w:lang w:val="en-US"/>
        </w:rPr>
        <w:t>categories</w:t>
      </w:r>
      <w:r>
        <w:rPr>
          <w:lang w:val="en-US"/>
        </w:rPr>
        <w:t>:</w:t>
      </w:r>
    </w:p>
    <w:p w14:paraId="2656198A" w14:textId="0829B624" w:rsidR="00DD037E" w:rsidRDefault="00E05F69" w:rsidP="00DD037E">
      <w:pPr>
        <w:ind w:firstLine="720"/>
        <w:rPr>
          <w:lang w:val="en-US"/>
        </w:rPr>
      </w:pPr>
      <w:r>
        <w:rPr>
          <w:lang w:val="en-US"/>
        </w:rPr>
        <w:t>eGFR G</w:t>
      </w:r>
      <w:r w:rsidR="00DD037E">
        <w:rPr>
          <w:lang w:val="en-US"/>
        </w:rPr>
        <w:t>1, if eGFR was ≥90 ml/min per 1.73 m</w:t>
      </w:r>
      <w:r w:rsidR="00DD037E">
        <w:rPr>
          <w:vertAlign w:val="superscript"/>
          <w:lang w:val="en-US"/>
        </w:rPr>
        <w:t>2</w:t>
      </w:r>
    </w:p>
    <w:p w14:paraId="501E9BB3" w14:textId="433D2E9D" w:rsidR="00DD037E" w:rsidRDefault="00E05F69" w:rsidP="00DD037E">
      <w:pPr>
        <w:ind w:firstLine="720"/>
        <w:rPr>
          <w:lang w:val="en-US"/>
        </w:rPr>
      </w:pPr>
      <w:r>
        <w:rPr>
          <w:lang w:val="en-US"/>
        </w:rPr>
        <w:t>eGFR G</w:t>
      </w:r>
      <w:r w:rsidR="00DD037E">
        <w:rPr>
          <w:lang w:val="en-US"/>
        </w:rPr>
        <w:t>2, if eGFR was ≥60 and &lt;90 ml/min per 1.73 m</w:t>
      </w:r>
      <w:r w:rsidR="00DD037E">
        <w:rPr>
          <w:vertAlign w:val="superscript"/>
          <w:lang w:val="en-US"/>
        </w:rPr>
        <w:t>2</w:t>
      </w:r>
    </w:p>
    <w:p w14:paraId="4147F054" w14:textId="26677C3E" w:rsidR="00DD037E" w:rsidRDefault="00E05F69" w:rsidP="00DD037E">
      <w:pPr>
        <w:ind w:firstLine="720"/>
        <w:rPr>
          <w:lang w:val="en-US"/>
        </w:rPr>
      </w:pPr>
      <w:r>
        <w:rPr>
          <w:lang w:val="en-US"/>
        </w:rPr>
        <w:t>eGFR G</w:t>
      </w:r>
      <w:r w:rsidR="00DD037E">
        <w:rPr>
          <w:lang w:val="en-US"/>
        </w:rPr>
        <w:t>3, if eGFR was &lt;60 ml/min per 1.73 m</w:t>
      </w:r>
      <w:r w:rsidR="00DD037E">
        <w:rPr>
          <w:vertAlign w:val="superscript"/>
          <w:lang w:val="en-US"/>
        </w:rPr>
        <w:t>2</w:t>
      </w:r>
    </w:p>
    <w:p w14:paraId="7FDB993C" w14:textId="77777777" w:rsidR="00DD037E" w:rsidRDefault="00DD037E" w:rsidP="00DD037E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lang w:val="en-US"/>
        </w:rPr>
        <w:t>2. Urinary albumin-to-creatinine ratio (UACR) classification: Patients were classified into:</w:t>
      </w:r>
    </w:p>
    <w:p w14:paraId="26928105" w14:textId="77777777" w:rsidR="00DD037E" w:rsidRDefault="00DD037E" w:rsidP="00DD037E">
      <w:pPr>
        <w:ind w:firstLine="720"/>
        <w:rPr>
          <w:lang w:val="en-US"/>
        </w:rPr>
      </w:pPr>
      <w:r>
        <w:rPr>
          <w:lang w:val="en-US"/>
        </w:rPr>
        <w:t>Normoalbuminuria, if UACR was &lt;30 mg/g</w:t>
      </w:r>
    </w:p>
    <w:p w14:paraId="5D6C57C9" w14:textId="77777777" w:rsidR="00DD037E" w:rsidRDefault="00DD037E" w:rsidP="00DD037E">
      <w:pPr>
        <w:ind w:firstLine="720"/>
        <w:rPr>
          <w:lang w:val="en-US"/>
        </w:rPr>
      </w:pPr>
      <w:r>
        <w:rPr>
          <w:lang w:val="en-US"/>
        </w:rPr>
        <w:t>Microalbuminuria, if UACR was ≥30 and ≤300 mg/g</w:t>
      </w:r>
    </w:p>
    <w:p w14:paraId="207091FD" w14:textId="77777777" w:rsidR="00DD037E" w:rsidRDefault="00DD037E" w:rsidP="00DD037E">
      <w:pPr>
        <w:ind w:firstLine="720"/>
        <w:rPr>
          <w:lang w:val="en-US"/>
        </w:rPr>
      </w:pPr>
      <w:r>
        <w:rPr>
          <w:lang w:val="en-US"/>
        </w:rPr>
        <w:t xml:space="preserve">Macroalbuminuria, if UACR was &gt;300 mg/g </w:t>
      </w:r>
    </w:p>
    <w:p w14:paraId="199D53D4" w14:textId="6787CCC4" w:rsidR="00DD037E" w:rsidRDefault="00DD037E" w:rsidP="00DD037E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rPr>
          <w:lang w:val="en-US"/>
        </w:rPr>
        <w:t xml:space="preserve">3. The Kidney Disease: Improving Global Outcomes in Chronic Kidney Disease (KDIGO CKD) risk classification is based on the Kidney Disease: Improving Global Outcomes’ prognosis of CKD by eGFR and albuminuria categories </w:t>
      </w:r>
      <w:r>
        <w:rPr>
          <w:lang w:val="en-US"/>
        </w:rPr>
        <w:fldChar w:fldCharType="begin"/>
      </w:r>
      <w:r w:rsidR="00933A68">
        <w:rPr>
          <w:lang w:val="en-US"/>
        </w:rPr>
        <w:instrText xml:space="preserve"> ADDIN EN.CITE &lt;EndNote&gt;&lt;Cite&gt;&lt;Author&gt;Work Group of Kidney Disease: Improving Global Outcomes (KDIGO)&lt;/Author&gt;&lt;Year&gt;2013&lt;/Year&gt;&lt;RecNum&gt;276&lt;/RecNum&gt;&lt;DisplayText&gt;(1)&lt;/DisplayText&gt;&lt;record&gt;&lt;rec-number&gt;276&lt;/rec-number&gt;&lt;foreign-keys&gt;&lt;key app="EN" db-id="5apveazadde2w9e2d5c5sxt8z2v5d5dxtvsr" timestamp="1590589640" guid="15c02d7a-2eb3-4564-a1ae-595f6812e618"&gt;276&lt;/key&gt;&lt;/foreign-keys&gt;&lt;ref-type name="Journal Article"&gt;17&lt;/ref-type&gt;&lt;contributors&gt;&lt;authors&gt;&lt;author&gt;Work Group of Kidney Disease: Improving Global Outcomes (KDIGO),&lt;/author&gt;&lt;/authors&gt;&lt;/contributors&gt;&lt;titles&gt;&lt;title&gt;Chapter 1: Definition and classification of CKD&lt;/title&gt;&lt;secondary-title&gt;Kidney Int Suppl&lt;/secondary-title&gt;&lt;/titles&gt;&lt;periodical&gt;&lt;full-title&gt;Kidney Int Suppl&lt;/full-title&gt;&lt;/periodical&gt;&lt;pages&gt;19-62&lt;/pages&gt;&lt;volume&gt;3&lt;/volume&gt;&lt;number&gt;1&lt;/number&gt;&lt;dates&gt;&lt;year&gt;2013&lt;/year&gt;&lt;/dates&gt;&lt;publisher&gt;Elsevier&lt;/publisher&gt;&lt;isbn&gt;2157-1716&lt;/isbn&gt;&lt;urls&gt;&lt;related-urls&gt;&lt;url&gt;https://doi.org/10.1038/kisup.2012.64&lt;/url&gt;&lt;/related-urls&gt;&lt;/urls&gt;&lt;electronic-resource-num&gt;10.1038/kisup.2012.64&lt;/electronic-resource-num&gt;&lt;access-date&gt;2020/05/27&lt;/access-date&gt;&lt;/record&gt;&lt;/Cite&gt;&lt;/EndNote&gt;</w:instrText>
      </w:r>
      <w:r>
        <w:rPr>
          <w:lang w:val="en-US"/>
        </w:rPr>
        <w:fldChar w:fldCharType="separate"/>
      </w:r>
      <w:r w:rsidR="00933A68">
        <w:rPr>
          <w:noProof/>
          <w:lang w:val="en-US"/>
        </w:rPr>
        <w:t>(1)</w:t>
      </w:r>
      <w:r>
        <w:rPr>
          <w:lang w:val="en-US"/>
        </w:rPr>
        <w:fldChar w:fldCharType="end"/>
      </w:r>
      <w:r>
        <w:rPr>
          <w:lang w:val="en-US"/>
        </w:rPr>
        <w:t xml:space="preserve">. Patients were classified based on the risk for progression to CKD into: </w:t>
      </w:r>
    </w:p>
    <w:p w14:paraId="43A5B957" w14:textId="77777777" w:rsidR="00DD037E" w:rsidRDefault="00DD037E" w:rsidP="00DD037E">
      <w:pPr>
        <w:ind w:left="720"/>
        <w:rPr>
          <w:lang w:val="en-US"/>
        </w:rPr>
      </w:pPr>
      <w:r>
        <w:rPr>
          <w:lang w:val="en-US"/>
        </w:rPr>
        <w:t>Low risk, if baseline eGFR was ≥60 ml/min per 1.73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UACR &lt;30 mg/g</w:t>
      </w:r>
    </w:p>
    <w:p w14:paraId="47C429D4" w14:textId="77777777" w:rsidR="00DD037E" w:rsidRDefault="00DD037E" w:rsidP="00DD037E">
      <w:pPr>
        <w:ind w:left="720"/>
        <w:rPr>
          <w:lang w:val="en-US"/>
        </w:rPr>
      </w:pPr>
      <w:r>
        <w:rPr>
          <w:lang w:val="en-US"/>
        </w:rPr>
        <w:t>Moderate risk, if baseline eGFR was ≥60 ml/min per 1.73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UACR ≥30 and ≤300 mg/g or if baseline eGFR was ≥45 and &lt;60 ml/min per 1.73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UACR &lt;30 mg/g </w:t>
      </w:r>
    </w:p>
    <w:p w14:paraId="4B858115" w14:textId="77777777" w:rsidR="00DD037E" w:rsidRDefault="00DD037E" w:rsidP="00DD037E">
      <w:pPr>
        <w:ind w:left="720"/>
        <w:rPr>
          <w:lang w:val="en-US"/>
        </w:rPr>
      </w:pPr>
      <w:r>
        <w:rPr>
          <w:lang w:val="en-US"/>
        </w:rPr>
        <w:lastRenderedPageBreak/>
        <w:t>High/very high risk, if baseline eGFR was ≥60 ml/min per 1.73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UACR &gt;300 mg/g or if baseline eGFR was ≥45 and &lt;60 ml/min per 1.73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UACR &gt;30 mg/g or if baseline eGFR was &lt;45 ml/min per 1.73 m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  <w:r>
        <w:rPr>
          <w:lang w:val="en-US"/>
        </w:rPr>
        <w:br w:type="page"/>
      </w:r>
    </w:p>
    <w:p w14:paraId="5BB5DF04" w14:textId="77777777" w:rsidR="00DD037E" w:rsidRDefault="00DD037E" w:rsidP="00DD037E">
      <w:pPr>
        <w:spacing w:after="0"/>
        <w:rPr>
          <w:lang w:val="en-US"/>
        </w:rPr>
        <w:sectPr w:rsidR="00DD037E">
          <w:pgSz w:w="11906" w:h="16838"/>
          <w:pgMar w:top="1440" w:right="1440" w:bottom="1440" w:left="1440" w:header="708" w:footer="708" w:gutter="0"/>
          <w:cols w:space="720"/>
        </w:sectPr>
      </w:pPr>
    </w:p>
    <w:p w14:paraId="6B0B5C92" w14:textId="6B162220" w:rsidR="00967BBD" w:rsidRPr="008123C8" w:rsidRDefault="00967BBD" w:rsidP="00967BBD">
      <w:pPr>
        <w:pStyle w:val="Figuretablelegend"/>
        <w:rPr>
          <w:lang w:val="en-US"/>
        </w:rPr>
      </w:pPr>
      <w:r>
        <w:rPr>
          <w:lang w:val="en-US"/>
        </w:rPr>
        <w:lastRenderedPageBreak/>
        <w:t xml:space="preserve">Supplemental </w:t>
      </w:r>
      <w:r w:rsidRPr="008123C8">
        <w:rPr>
          <w:lang w:val="en-US"/>
        </w:rPr>
        <w:t>Table 1. Chronic and total yearly eGFR slope in the overall population</w:t>
      </w:r>
      <w:r w:rsidR="00D80895"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1183"/>
        <w:gridCol w:w="4593"/>
        <w:gridCol w:w="2295"/>
        <w:gridCol w:w="836"/>
      </w:tblGrid>
      <w:tr w:rsidR="00967BBD" w:rsidRPr="008123C8" w14:paraId="3741D8DF" w14:textId="77777777" w:rsidTr="00905D3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EB39B0" w14:textId="77777777" w:rsidR="00967BBD" w:rsidRPr="008123C8" w:rsidRDefault="00967BBD" w:rsidP="00905D3B">
            <w:pPr>
              <w:pStyle w:val="Tabletext"/>
              <w:rPr>
                <w:b/>
                <w:bCs/>
                <w:lang w:val="en-US"/>
              </w:rPr>
            </w:pPr>
          </w:p>
          <w:p w14:paraId="3410D71A" w14:textId="77777777" w:rsidR="00967BBD" w:rsidRPr="008123C8" w:rsidRDefault="00967BBD" w:rsidP="00905D3B">
            <w:pPr>
              <w:pStyle w:val="Tabletext"/>
              <w:rPr>
                <w:b/>
                <w:bCs/>
                <w:lang w:val="en-US"/>
              </w:rPr>
            </w:pPr>
            <w:r w:rsidRPr="008123C8">
              <w:rPr>
                <w:b/>
                <w:bCs/>
                <w:lang w:val="en-US"/>
              </w:rPr>
              <w:t>Time Period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18C2D6" w14:textId="77777777" w:rsidR="00967BBD" w:rsidRPr="008123C8" w:rsidRDefault="00967BBD" w:rsidP="00905D3B">
            <w:pPr>
              <w:pStyle w:val="Tabletext"/>
              <w:jc w:val="center"/>
              <w:rPr>
                <w:b/>
                <w:bCs/>
                <w:lang w:val="en-US"/>
              </w:rPr>
            </w:pPr>
          </w:p>
          <w:p w14:paraId="21F73CAC" w14:textId="77777777" w:rsidR="00967BBD" w:rsidRPr="008123C8" w:rsidRDefault="00967BBD" w:rsidP="00905D3B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123C8">
              <w:rPr>
                <w:b/>
                <w:bCs/>
                <w:lang w:val="en-US"/>
              </w:rPr>
              <w:t>Treatment Group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DF5D6A" w14:textId="77777777" w:rsidR="00967BBD" w:rsidRPr="008123C8" w:rsidRDefault="00967BBD" w:rsidP="00905D3B">
            <w:pPr>
              <w:pStyle w:val="Tabletext"/>
              <w:jc w:val="center"/>
              <w:rPr>
                <w:b/>
                <w:bCs/>
                <w:lang w:val="en-US"/>
              </w:rPr>
            </w:pPr>
          </w:p>
          <w:p w14:paraId="280F7790" w14:textId="310C2A4C" w:rsidR="00967BBD" w:rsidRPr="008123C8" w:rsidRDefault="00967BBD" w:rsidP="00905D3B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123C8">
              <w:rPr>
                <w:b/>
                <w:bCs/>
                <w:lang w:val="en-US"/>
              </w:rPr>
              <w:t>Slope, ml/min per 1.73 m</w:t>
            </w:r>
            <w:r w:rsidRPr="008123C8">
              <w:rPr>
                <w:b/>
                <w:bCs/>
                <w:vertAlign w:val="superscript"/>
                <w:lang w:val="en-US"/>
              </w:rPr>
              <w:t>2</w:t>
            </w:r>
            <w:r w:rsidRPr="008123C8">
              <w:rPr>
                <w:b/>
                <w:bCs/>
                <w:lang w:val="en-US"/>
              </w:rPr>
              <w:t xml:space="preserve"> per year (</w:t>
            </w:r>
            <w:r w:rsidRPr="00E67BF0">
              <w:rPr>
                <w:b/>
                <w:bCs/>
                <w:lang w:val="en-US"/>
              </w:rPr>
              <w:t>least square mean</w:t>
            </w:r>
            <w:r w:rsidRPr="008123C8">
              <w:rPr>
                <w:b/>
                <w:bCs/>
                <w:lang w:val="en-US"/>
              </w:rPr>
              <w:t xml:space="preserve"> [95% CI])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6A90CC" w14:textId="77777777" w:rsidR="00967BBD" w:rsidRPr="008123C8" w:rsidRDefault="00967BBD" w:rsidP="00905D3B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123C8">
              <w:rPr>
                <w:b/>
                <w:bCs/>
                <w:lang w:val="en-US"/>
              </w:rPr>
              <w:t>Difference Versus Placebo</w:t>
            </w:r>
          </w:p>
        </w:tc>
      </w:tr>
      <w:tr w:rsidR="00967BBD" w:rsidRPr="008123C8" w14:paraId="0F2C1B58" w14:textId="77777777" w:rsidTr="00905D3B">
        <w:trPr>
          <w:trHeight w:val="20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9B91A" w14:textId="77777777" w:rsidR="00967BBD" w:rsidRPr="008123C8" w:rsidRDefault="00967BBD" w:rsidP="00905D3B">
            <w:pPr>
              <w:pStyle w:val="Tabletext"/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F0F54" w14:textId="77777777" w:rsidR="00967BBD" w:rsidRPr="008123C8" w:rsidRDefault="00967BBD" w:rsidP="00905D3B">
            <w:pPr>
              <w:pStyle w:val="Tabletex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C1780" w14:textId="77777777" w:rsidR="00967BBD" w:rsidRPr="008123C8" w:rsidRDefault="00967BBD" w:rsidP="00905D3B">
            <w:pPr>
              <w:pStyle w:val="Tabletex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4E91CB" w14:textId="3ABF666C" w:rsidR="00967BBD" w:rsidRPr="008123C8" w:rsidRDefault="00967BBD" w:rsidP="00905D3B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E67BF0">
              <w:rPr>
                <w:b/>
                <w:bCs/>
                <w:lang w:val="en-US"/>
              </w:rPr>
              <w:t>least square mean</w:t>
            </w:r>
            <w:r w:rsidRPr="008123C8">
              <w:rPr>
                <w:b/>
                <w:bCs/>
                <w:lang w:val="en-US"/>
              </w:rPr>
              <w:t xml:space="preserve">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3C022B" w14:textId="77777777" w:rsidR="00967BBD" w:rsidRPr="008123C8" w:rsidRDefault="00967BBD" w:rsidP="00905D3B">
            <w:pPr>
              <w:pStyle w:val="Tabletext"/>
              <w:jc w:val="center"/>
              <w:rPr>
                <w:b/>
                <w:bCs/>
                <w:lang w:val="en-US"/>
              </w:rPr>
            </w:pPr>
            <w:r w:rsidRPr="008123C8">
              <w:rPr>
                <w:b/>
                <w:bCs/>
                <w:i/>
                <w:iCs/>
                <w:lang w:val="en-US"/>
              </w:rPr>
              <w:t>P</w:t>
            </w:r>
            <w:r w:rsidRPr="008123C8">
              <w:rPr>
                <w:b/>
                <w:bCs/>
                <w:lang w:val="en-US"/>
              </w:rPr>
              <w:t xml:space="preserve"> value</w:t>
            </w:r>
            <w:r w:rsidRPr="008123C8">
              <w:rPr>
                <w:b/>
                <w:bCs/>
                <w:vertAlign w:val="superscript"/>
                <w:lang w:val="en-US"/>
              </w:rPr>
              <w:t>a</w:t>
            </w:r>
          </w:p>
        </w:tc>
      </w:tr>
      <w:tr w:rsidR="00967BBD" w:rsidRPr="008123C8" w14:paraId="75EEE0C6" w14:textId="77777777" w:rsidTr="00905D3B">
        <w:trPr>
          <w:trHeight w:val="132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1ABDA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Weeks 6 to 104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CA9C77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E16C01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−1.08 (−1.37, −0.79)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F935FC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8D34D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</w:tr>
      <w:tr w:rsidR="00967BBD" w:rsidRPr="008123C8" w14:paraId="152BD748" w14:textId="77777777" w:rsidTr="00905D3B">
        <w:trPr>
          <w:trHeight w:val="272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207C9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8D99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Ertugliflozin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0FC8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0.35 (0.14,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44665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1.43 (1.07, 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6942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&lt;0.001</w:t>
            </w:r>
          </w:p>
        </w:tc>
      </w:tr>
      <w:tr w:rsidR="00967BBD" w:rsidRPr="008123C8" w14:paraId="3D7F66DF" w14:textId="77777777" w:rsidTr="00905D3B">
        <w:trPr>
          <w:trHeight w:val="132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E9183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Weeks 6 to 156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13CCF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B96B275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−1.51 (−1.70, −1.32)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F490380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F182CE6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</w:tr>
      <w:tr w:rsidR="00967BBD" w:rsidRPr="008123C8" w14:paraId="452BDBA0" w14:textId="77777777" w:rsidTr="00905D3B">
        <w:trPr>
          <w:trHeight w:val="272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A4164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8500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Ertugliflozin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BA2B83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−0.32 (−0.45, −0.19)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42A9D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1.19 (0.95,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A3B3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&lt;0.001</w:t>
            </w:r>
          </w:p>
        </w:tc>
      </w:tr>
      <w:tr w:rsidR="00967BBD" w:rsidRPr="008123C8" w14:paraId="011E903C" w14:textId="77777777" w:rsidTr="00905D3B">
        <w:trPr>
          <w:trHeight w:val="132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55B8C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Weeks 6 to 208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E5DC36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3DA8A2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−1.45 (−1.60, −1.29)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B1E5B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848D3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</w:tr>
      <w:tr w:rsidR="00967BBD" w:rsidRPr="008123C8" w14:paraId="59584A32" w14:textId="77777777" w:rsidTr="00905D3B">
        <w:trPr>
          <w:trHeight w:val="272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00F83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D389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Ertugliflozin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DD90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−0.42 (−0.52, −0.31)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B4A4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1.03 (0.84, 1.22)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D92C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&lt;0.001</w:t>
            </w:r>
          </w:p>
        </w:tc>
      </w:tr>
      <w:tr w:rsidR="00967BBD" w:rsidRPr="008123C8" w14:paraId="32F9F604" w14:textId="77777777" w:rsidTr="00905D3B">
        <w:trPr>
          <w:trHeight w:val="132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33882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Weeks 6 to 260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B8CA0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E8ED8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−1.51 (−1.66, −1.37)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AE191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C4899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</w:tr>
      <w:tr w:rsidR="00967BBD" w:rsidRPr="008123C8" w14:paraId="7B013762" w14:textId="77777777" w:rsidTr="00905D3B">
        <w:trPr>
          <w:trHeight w:val="272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FC887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AB0E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Ertugliflozin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DA8E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−0.49 (−0.59, −0.40)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4257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1.02 (0.84, 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0EBC2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&lt;0.001</w:t>
            </w:r>
          </w:p>
        </w:tc>
      </w:tr>
      <w:tr w:rsidR="00967BBD" w:rsidRPr="008123C8" w14:paraId="08F6DA47" w14:textId="77777777" w:rsidTr="00905D3B">
        <w:trPr>
          <w:trHeight w:val="38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6967F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Weeks 0 to 52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8758F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82A653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−0.22 (−0.68, 0.24)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9337A8B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F10FC6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</w:tr>
      <w:tr w:rsidR="00967BBD" w:rsidRPr="008123C8" w14:paraId="2A850DC3" w14:textId="77777777" w:rsidTr="00905D3B">
        <w:trPr>
          <w:trHeight w:val="272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083E1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F70C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Ertugliflozin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657CEB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0.67 (0.35, 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764ED0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0.89 (0.33,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A5CC1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0.002</w:t>
            </w:r>
          </w:p>
        </w:tc>
      </w:tr>
      <w:tr w:rsidR="00967BBD" w:rsidRPr="008123C8" w14:paraId="37089E79" w14:textId="77777777" w:rsidTr="00905D3B">
        <w:trPr>
          <w:trHeight w:val="132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DCDC7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Weeks 0 to 104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C2044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CEE836F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−0.92 (−1.17, −0.67)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534EBAE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A422815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</w:tr>
      <w:tr w:rsidR="00967BBD" w:rsidRPr="008123C8" w14:paraId="16ABFE99" w14:textId="77777777" w:rsidTr="00905D3B">
        <w:trPr>
          <w:trHeight w:val="272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45090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7E88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Ertugliflozin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9CF31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0.21 (0.03, 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E75F3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1.13 (0.83,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EFC6D6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&lt;0.001</w:t>
            </w:r>
          </w:p>
        </w:tc>
      </w:tr>
      <w:tr w:rsidR="00967BBD" w:rsidRPr="008123C8" w14:paraId="143E6702" w14:textId="77777777" w:rsidTr="00905D3B">
        <w:trPr>
          <w:trHeight w:val="132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2FAFD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Weeks 0 to 156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399B9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6DD1192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−1.35 (−1.52, −1.18)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F7CCD5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9C31A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</w:tr>
      <w:tr w:rsidR="00967BBD" w:rsidRPr="008123C8" w14:paraId="52B4AA31" w14:textId="77777777" w:rsidTr="00905D3B">
        <w:trPr>
          <w:trHeight w:val="272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271CD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8730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Ertugliflozin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2FB60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−0.29 (−0.41, −0.17)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8281E6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1.06 (0.85,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DF6DF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&lt;0.001</w:t>
            </w:r>
          </w:p>
        </w:tc>
      </w:tr>
      <w:tr w:rsidR="00967BBD" w:rsidRPr="008123C8" w14:paraId="7847EEDF" w14:textId="77777777" w:rsidTr="00905D3B">
        <w:trPr>
          <w:trHeight w:val="139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20A31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Weeks 0 to 208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DE553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36DCE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−1.34 (−1.48, −1.20)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5284AB6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C6D78C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</w:tr>
      <w:tr w:rsidR="00967BBD" w:rsidRPr="008123C8" w14:paraId="37E9307E" w14:textId="77777777" w:rsidTr="00905D3B">
        <w:trPr>
          <w:trHeight w:val="272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3D91E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5AB1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Ertugliflozin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1D2FD0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−0.38 (−0.48, −0.29)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C00D9E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0.96 (0.79,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0BB7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&lt;0.001</w:t>
            </w:r>
          </w:p>
        </w:tc>
      </w:tr>
      <w:tr w:rsidR="00967BBD" w:rsidRPr="008123C8" w14:paraId="2FA0FE98" w14:textId="77777777" w:rsidTr="00905D3B">
        <w:trPr>
          <w:trHeight w:val="139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F6276C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Weeks 0 to 260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2FEF4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Placebo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0B8A44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−1.41 (−1.54, −1.28)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5C4324F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CAF836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–</w:t>
            </w:r>
          </w:p>
        </w:tc>
      </w:tr>
      <w:tr w:rsidR="00967BBD" w:rsidRPr="008123C8" w14:paraId="1AFEDA70" w14:textId="77777777" w:rsidTr="00905D3B">
        <w:trPr>
          <w:trHeight w:val="265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53D1ED" w14:textId="77777777" w:rsidR="00967BBD" w:rsidRPr="008123C8" w:rsidRDefault="00967BBD" w:rsidP="00905D3B">
            <w:pPr>
              <w:pStyle w:val="Tabletext"/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96098" w14:textId="77777777" w:rsidR="00967BBD" w:rsidRPr="008123C8" w:rsidRDefault="00967BBD" w:rsidP="00905D3B">
            <w:pPr>
              <w:pStyle w:val="Tabletext"/>
              <w:jc w:val="center"/>
              <w:rPr>
                <w:bCs/>
                <w:lang w:val="en-US"/>
              </w:rPr>
            </w:pPr>
            <w:r w:rsidRPr="008123C8">
              <w:rPr>
                <w:bCs/>
                <w:lang w:val="en-US"/>
              </w:rPr>
              <w:t>Ertugliflozin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EB657B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−0.45 (−0.54, −0.36)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A11DB6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0.96 (0.80, 1.11)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FDC86D" w14:textId="77777777" w:rsidR="00967BBD" w:rsidRPr="008123C8" w:rsidRDefault="00967BBD" w:rsidP="00905D3B">
            <w:pPr>
              <w:pStyle w:val="Tabletext"/>
              <w:jc w:val="center"/>
              <w:rPr>
                <w:lang w:val="en-US"/>
              </w:rPr>
            </w:pPr>
            <w:r w:rsidRPr="008123C8">
              <w:rPr>
                <w:lang w:val="en-US"/>
              </w:rPr>
              <w:t>&lt;0.001</w:t>
            </w:r>
          </w:p>
        </w:tc>
      </w:tr>
    </w:tbl>
    <w:p w14:paraId="3E0EB030" w14:textId="0E912DE0" w:rsidR="00967BBD" w:rsidRPr="008123C8" w:rsidRDefault="00967BBD" w:rsidP="00967BBD">
      <w:pPr>
        <w:pStyle w:val="Footer"/>
        <w:rPr>
          <w:b/>
          <w:bCs/>
          <w:szCs w:val="24"/>
          <w:lang w:val="en-US"/>
        </w:rPr>
      </w:pPr>
      <w:r w:rsidRPr="008123C8">
        <w:rPr>
          <w:lang w:val="en-US"/>
        </w:rPr>
        <w:t xml:space="preserve">CI, confidence interval; eGFR, estimated </w:t>
      </w:r>
      <w:r w:rsidRPr="004866E5">
        <w:t>glomerular</w:t>
      </w:r>
      <w:r w:rsidRPr="008123C8">
        <w:rPr>
          <w:lang w:val="en-US"/>
        </w:rPr>
        <w:t xml:space="preserve"> filtration rate.</w:t>
      </w:r>
      <w:r w:rsidR="00D80895">
        <w:rPr>
          <w:lang w:val="en-US"/>
        </w:rPr>
        <w:t xml:space="preserve"> Analysis performed on full analysis set.</w:t>
      </w:r>
      <w:r w:rsidRPr="008123C8">
        <w:rPr>
          <w:vertAlign w:val="superscript"/>
          <w:lang w:val="en-US"/>
        </w:rPr>
        <w:br/>
        <w:t>a</w:t>
      </w:r>
      <w:r w:rsidRPr="008123C8">
        <w:rPr>
          <w:lang w:val="en-US"/>
        </w:rPr>
        <w:t>Testing the difference between ertugliflozin and placebo groups.</w:t>
      </w:r>
    </w:p>
    <w:p w14:paraId="3FC45C07" w14:textId="77777777" w:rsidR="00967BBD" w:rsidRDefault="00967BBD" w:rsidP="00DD037E">
      <w:pPr>
        <w:pStyle w:val="Footer"/>
        <w:rPr>
          <w:lang w:val="en-US"/>
        </w:rPr>
        <w:sectPr w:rsidR="00967BBD" w:rsidSect="00967BBD">
          <w:type w:val="continuous"/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14:paraId="4B5FD9D5" w14:textId="5A1597AB" w:rsidR="00DD037E" w:rsidRDefault="00DD037E" w:rsidP="00DD037E">
      <w:pPr>
        <w:pStyle w:val="Figuretablelegend"/>
        <w:rPr>
          <w:lang w:val="en-US"/>
        </w:rPr>
      </w:pPr>
      <w:r>
        <w:rPr>
          <w:lang w:val="en-US"/>
        </w:rPr>
        <w:lastRenderedPageBreak/>
        <w:t xml:space="preserve">Supplemental Table 2. Chronic and total yearly eGFR slope analyses by baseline kidney </w:t>
      </w:r>
      <w:r w:rsidR="00E6164A">
        <w:rPr>
          <w:lang w:val="en-US"/>
        </w:rPr>
        <w:t>status</w:t>
      </w:r>
      <w:r>
        <w:rPr>
          <w:lang w:val="en-US"/>
        </w:rPr>
        <w:t>.</w:t>
      </w:r>
    </w:p>
    <w:tbl>
      <w:tblPr>
        <w:tblStyle w:val="TableGrid"/>
        <w:tblW w:w="15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700"/>
        <w:gridCol w:w="1417"/>
        <w:gridCol w:w="1558"/>
        <w:gridCol w:w="1559"/>
        <w:gridCol w:w="1275"/>
        <w:gridCol w:w="1559"/>
        <w:gridCol w:w="1493"/>
        <w:gridCol w:w="1538"/>
      </w:tblGrid>
      <w:tr w:rsidR="00D80895" w14:paraId="28DDD81C" w14:textId="77777777" w:rsidTr="00D80895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34AC0D" w14:textId="77777777" w:rsidR="00D80895" w:rsidRDefault="00D80895" w:rsidP="00D80895">
            <w:pPr>
              <w:pStyle w:val="Tabletext"/>
              <w:spacing w:line="480" w:lineRule="auto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AB9493C" w14:textId="09684EE5" w:rsidR="00D80895" w:rsidRDefault="00D80895" w:rsidP="003D44CC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 w:rsidRPr="00E05F69">
              <w:rPr>
                <w:b/>
                <w:bCs/>
              </w:rPr>
              <w:t>eGFR G1</w:t>
            </w:r>
            <w:r w:rsidR="003D44CC">
              <w:rPr>
                <w:b/>
                <w:bCs/>
              </w:rPr>
              <w:br/>
            </w:r>
            <w:r w:rsidRPr="00E05F69">
              <w:rPr>
                <w:b/>
                <w:bCs/>
              </w:rPr>
              <w:t>(eGFR ≥90 ml/min per 1.73 m2)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13B6CD2" w14:textId="01A75D85" w:rsidR="00D80895" w:rsidRDefault="00D80895" w:rsidP="003D44CC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eGFR G2</w:t>
            </w:r>
            <w:r w:rsidR="003D44CC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Pr="00565A8F">
              <w:rPr>
                <w:b/>
                <w:bCs/>
              </w:rPr>
              <w:t>eGFR ≥60 and &lt;90 ml/min per 1.73 m</w:t>
            </w:r>
            <w:r w:rsidRPr="00565A8F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CA8F07" w14:textId="0CBB5EE2" w:rsidR="00D80895" w:rsidRDefault="00D80895" w:rsidP="003D44CC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eGFR G3</w:t>
            </w:r>
            <w:r w:rsidR="003D44CC">
              <w:rPr>
                <w:b/>
                <w:bCs/>
              </w:rPr>
              <w:br/>
            </w:r>
            <w:r w:rsidRPr="00565A8F">
              <w:rPr>
                <w:b/>
                <w:bCs/>
              </w:rPr>
              <w:t>eGFR &lt;60 ml/min per 1.73 m</w:t>
            </w:r>
            <w:r w:rsidRPr="00565A8F">
              <w:rPr>
                <w:b/>
                <w:bCs/>
                <w:vertAlign w:val="superscript"/>
              </w:rPr>
              <w:t>2</w:t>
            </w:r>
          </w:p>
        </w:tc>
      </w:tr>
      <w:tr w:rsidR="00DD037E" w14:paraId="52E8D362" w14:textId="77777777" w:rsidTr="00D80895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B87878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CF28CAD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0BB712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Ertugliflozin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7AE882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2369B31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3EC97B8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Ertugliflozin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6853D7F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94E7D6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8EC726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Ertugliflozin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F7ABE70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  <w:r>
              <w:rPr>
                <w:b/>
                <w:bCs/>
                <w:vertAlign w:val="superscript"/>
              </w:rPr>
              <w:t>a</w:t>
            </w:r>
          </w:p>
        </w:tc>
      </w:tr>
      <w:tr w:rsidR="00DD037E" w14:paraId="1E467B59" w14:textId="77777777" w:rsidTr="00D80895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24AD1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104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D033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−1.73 </w:t>
            </w:r>
            <w:r>
              <w:rPr>
                <w:rFonts w:cs="Arial"/>
              </w:rPr>
              <w:br/>
              <w:t>(−2.43, −1.03)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09C1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0.16 </w:t>
            </w:r>
            <w:r>
              <w:br/>
              <w:t>(</w:t>
            </w:r>
            <w:r>
              <w:rPr>
                <w:rFonts w:cs="Arial"/>
              </w:rPr>
              <w:t>−0.33, 0.65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21BD4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1.89 </w:t>
            </w:r>
            <w:r>
              <w:br/>
              <w:t>(1.03, 2.74)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653B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−0.87 </w:t>
            </w:r>
            <w:r>
              <w:rPr>
                <w:rFonts w:cs="Arial"/>
              </w:rPr>
              <w:br/>
              <w:t>(−1.26, −0.49)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A6329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0.42 </w:t>
            </w:r>
            <w:r>
              <w:br/>
              <w:t>(0.15, 0.68)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EF19D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1.29 </w:t>
            </w:r>
            <w:r>
              <w:br/>
              <w:t>(0.83, 1.76)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BFA1F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−0.78 </w:t>
            </w:r>
            <w:r>
              <w:rPr>
                <w:rFonts w:cs="Arial"/>
              </w:rPr>
              <w:br/>
              <w:t>(−1.29, −0.27)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5CF3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0.37 </w:t>
            </w:r>
            <w:r>
              <w:br/>
              <w:t>(0.01, 0.73)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DBFB5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1.15 </w:t>
            </w:r>
            <w:r>
              <w:br/>
              <w:t>(0.53, 1.77)</w:t>
            </w:r>
          </w:p>
        </w:tc>
      </w:tr>
      <w:tr w:rsidR="00DD037E" w14:paraId="66DF274A" w14:textId="77777777" w:rsidTr="00D80895">
        <w:trPr>
          <w:trHeight w:val="43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6BC1C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156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9B292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−1.91 </w:t>
            </w:r>
            <w:r>
              <w:rPr>
                <w:rFonts w:cs="Arial"/>
              </w:rPr>
              <w:br/>
              <w:t>(−2.35, −1.47)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87AD9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−0.72 </w:t>
            </w:r>
            <w:r>
              <w:rPr>
                <w:rFonts w:cs="Arial"/>
              </w:rPr>
              <w:br/>
              <w:t>(−1.03, −0.41)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1B589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1.19 </w:t>
            </w:r>
            <w:r>
              <w:br/>
              <w:t>(0.65, 1.73)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217CE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−1.39 </w:t>
            </w:r>
            <w:r>
              <w:rPr>
                <w:rFonts w:cs="Arial"/>
              </w:rPr>
              <w:br/>
              <w:t>(−1.65, −1.14)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2908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−0.18 </w:t>
            </w:r>
            <w:r>
              <w:rPr>
                <w:rFonts w:cs="Arial"/>
              </w:rPr>
              <w:br/>
              <w:t>(−0.35, −0.00)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2F624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1.22 </w:t>
            </w:r>
            <w:r>
              <w:br/>
              <w:t>(0.91, 1.53)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D9684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−1.28 </w:t>
            </w:r>
            <w:r>
              <w:rPr>
                <w:rFonts w:cs="Arial"/>
              </w:rPr>
              <w:br/>
              <w:t>(−1.61, −0.96)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83222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−0.22 </w:t>
            </w:r>
            <w:r>
              <w:rPr>
                <w:rFonts w:cs="Arial"/>
              </w:rPr>
              <w:br/>
              <w:t>(−0.45, 0.01)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C1CCE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1.07 </w:t>
            </w:r>
            <w:r>
              <w:br/>
              <w:t>(0.66, 1.47)</w:t>
            </w:r>
          </w:p>
        </w:tc>
      </w:tr>
      <w:tr w:rsidR="00DD037E" w14:paraId="46702617" w14:textId="77777777" w:rsidTr="00D80895">
        <w:trPr>
          <w:trHeight w:val="43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32C82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208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FF3CE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−1.77 </w:t>
            </w:r>
            <w:r>
              <w:rPr>
                <w:rFonts w:cs="Arial"/>
              </w:rPr>
              <w:br/>
              <w:t>(−2.12, −1.42)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08DA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−0.83 </w:t>
            </w:r>
            <w:r>
              <w:rPr>
                <w:rFonts w:cs="Arial"/>
              </w:rPr>
              <w:br/>
              <w:t>(−1.07, −0.59)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67BA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0.94 </w:t>
            </w:r>
            <w:r>
              <w:br/>
              <w:t>(0.52, 1.37)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1D26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−1.38 </w:t>
            </w:r>
            <w:r>
              <w:rPr>
                <w:rFonts w:cs="Arial"/>
              </w:rPr>
              <w:br/>
              <w:t>(−1.59, −1.17)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1065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−0.28 </w:t>
            </w:r>
            <w:r>
              <w:rPr>
                <w:rFonts w:cs="Arial"/>
              </w:rPr>
              <w:br/>
              <w:t>(−0.43, −0.14)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5C2FE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1.10 </w:t>
            </w:r>
            <w:r>
              <w:br/>
              <w:t>(0.84, 1.35)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6D95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−1.18 </w:t>
            </w:r>
            <w:r>
              <w:rPr>
                <w:rFonts w:cs="Arial"/>
              </w:rPr>
              <w:br/>
              <w:t>(−1.43, −0.93)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ED5E7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−0.27</w:t>
            </w:r>
            <w:r>
              <w:rPr>
                <w:rFonts w:cs="Arial"/>
              </w:rPr>
              <w:br/>
              <w:t>(−0.44, −0.10)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4EA08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0.91</w:t>
            </w:r>
            <w:r>
              <w:br/>
              <w:t>(0.61, 1.21)</w:t>
            </w:r>
          </w:p>
        </w:tc>
      </w:tr>
      <w:tr w:rsidR="00DD037E" w14:paraId="59517CC6" w14:textId="77777777" w:rsidTr="00D80895">
        <w:trPr>
          <w:trHeight w:val="43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722728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260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550B7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−1.92 </w:t>
            </w:r>
            <w:r>
              <w:rPr>
                <w:rFonts w:cs="Arial"/>
              </w:rPr>
              <w:br/>
              <w:t>(−2.24, −1.59)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5973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−0.92 </w:t>
            </w:r>
            <w:r>
              <w:rPr>
                <w:rFonts w:cs="Arial"/>
              </w:rPr>
              <w:br/>
              <w:t>(−1.15, −0.70)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A701A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0.99 </w:t>
            </w:r>
            <w:r>
              <w:br/>
              <w:t>(0.60, 1.39)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F75A5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−1.43 </w:t>
            </w:r>
            <w:r>
              <w:rPr>
                <w:rFonts w:cs="Arial"/>
              </w:rPr>
              <w:br/>
              <w:t>(−1.62, −1.23)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52241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−0.36 </w:t>
            </w:r>
            <w:r>
              <w:rPr>
                <w:rFonts w:cs="Arial"/>
              </w:rPr>
              <w:br/>
              <w:t>(−0.49, −0.23)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011E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1.07 </w:t>
            </w:r>
            <w:r>
              <w:br/>
              <w:t>(0.84, 1.31)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C7D1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−1.19 </w:t>
            </w:r>
            <w:r>
              <w:rPr>
                <w:rFonts w:cs="Arial"/>
              </w:rPr>
              <w:br/>
              <w:t>(−1.43, −0.95)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5722C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−0.32</w:t>
            </w:r>
            <w:r>
              <w:rPr>
                <w:rFonts w:cs="Arial"/>
              </w:rPr>
              <w:br/>
              <w:t>(−0.49, −0.16)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DE4D8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0.86 </w:t>
            </w:r>
            <w:r>
              <w:br/>
              <w:t>(0.57, 1.16)</w:t>
            </w:r>
          </w:p>
        </w:tc>
      </w:tr>
      <w:tr w:rsidR="00DD037E" w14:paraId="4211D4DA" w14:textId="77777777" w:rsidTr="00D80895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CA95F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52</w:t>
            </w:r>
            <w:bookmarkStart w:id="0" w:name="OLE_LINK3"/>
            <w:r>
              <w:rPr>
                <w:b/>
                <w:bCs/>
                <w:vertAlign w:val="superscript"/>
              </w:rPr>
              <w:t>b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A7B81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−2.46 </w:t>
            </w:r>
            <w:r>
              <w:rPr>
                <w:rFonts w:cs="Arial"/>
              </w:rPr>
              <w:br/>
              <w:t>(−3.62, −1.30)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0BD1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−0.97 </w:t>
            </w:r>
            <w:r>
              <w:rPr>
                <w:rFonts w:cs="Arial"/>
              </w:rPr>
              <w:br/>
              <w:t>(−1.79, −0.15)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33AC51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1.49 </w:t>
            </w:r>
            <w:r>
              <w:br/>
              <w:t>(0.07, 2.91)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694C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−0.11 </w:t>
            </w:r>
            <w:r>
              <w:rPr>
                <w:rFonts w:cs="Arial"/>
              </w:rPr>
              <w:br/>
              <w:t>(−0.68, 0.46)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5FEE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0.91 </w:t>
            </w:r>
            <w:r>
              <w:br/>
              <w:t>(0.51, 1.31)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13D6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1.02 </w:t>
            </w:r>
            <w:r>
              <w:br/>
              <w:t>(0.32, 1.71)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EB0C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2.18 </w:t>
            </w:r>
            <w:r>
              <w:br/>
              <w:t>(1.33, 3.02)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099E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2.05 </w:t>
            </w:r>
            <w:r>
              <w:br/>
              <w:t>(1.45, 2.65)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C59E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−0.13 </w:t>
            </w:r>
            <w:r>
              <w:rPr>
                <w:rFonts w:cs="Arial"/>
              </w:rPr>
              <w:br/>
              <w:t>(−1.16, 0.91)</w:t>
            </w:r>
          </w:p>
        </w:tc>
      </w:tr>
      <w:tr w:rsidR="00DD037E" w14:paraId="55BDB339" w14:textId="77777777" w:rsidTr="00D80895">
        <w:trPr>
          <w:trHeight w:val="43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1F892F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104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DEAFA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−2.39 </w:t>
            </w:r>
            <w:r>
              <w:rPr>
                <w:rFonts w:cs="Arial"/>
              </w:rPr>
              <w:br/>
              <w:t>(−3.00, −1.80)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069DB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−0.73 </w:t>
            </w:r>
            <w:r>
              <w:rPr>
                <w:rFonts w:cs="Arial"/>
              </w:rPr>
              <w:br/>
              <w:t>(−1.16, −0.31)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D914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1.66 </w:t>
            </w:r>
            <w:r>
              <w:br/>
              <w:t>(0.93, 2.39)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1A5CA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−0.68 </w:t>
            </w:r>
            <w:r>
              <w:rPr>
                <w:rFonts w:cs="Arial"/>
              </w:rPr>
              <w:br/>
              <w:t>(−1.00, −0.36)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15E0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0.40 </w:t>
            </w:r>
            <w:r>
              <w:br/>
              <w:t>(0.19, 0.62)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18AA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1.08 </w:t>
            </w:r>
            <w:r>
              <w:br/>
              <w:t>(0.70, 1.47)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0635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0.28 </w:t>
            </w:r>
            <w:r>
              <w:br/>
              <w:t>(</w:t>
            </w:r>
            <w:r>
              <w:rPr>
                <w:rFonts w:cs="Arial"/>
              </w:rPr>
              <w:t>−0.16, 0.73</w:t>
            </w:r>
            <w:r>
              <w:t>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099A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0.86</w:t>
            </w:r>
            <w:r>
              <w:br/>
              <w:t>(0.54, 1.17)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3CF2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0.57</w:t>
            </w:r>
            <w:r>
              <w:br/>
              <w:t>(0.03, 1.12)</w:t>
            </w:r>
          </w:p>
        </w:tc>
      </w:tr>
      <w:tr w:rsidR="00DD037E" w14:paraId="437971C9" w14:textId="77777777" w:rsidTr="00D80895">
        <w:trPr>
          <w:trHeight w:val="43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17F2D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Weeks 0 to 156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C8C9A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−2.21 </w:t>
            </w:r>
            <w:r>
              <w:rPr>
                <w:rFonts w:cs="Arial"/>
              </w:rPr>
              <w:br/>
              <w:t>(−2.61, −1.81)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CB92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−1.05 </w:t>
            </w:r>
            <w:r>
              <w:rPr>
                <w:rFonts w:cs="Arial"/>
              </w:rPr>
              <w:br/>
              <w:t>(−1.33, −0.77)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87CA7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1.17 </w:t>
            </w:r>
            <w:r>
              <w:br/>
              <w:t>(0.68, 1.66)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6EDAD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−1.21 </w:t>
            </w:r>
            <w:r>
              <w:rPr>
                <w:rFonts w:cs="Arial"/>
              </w:rPr>
              <w:br/>
              <w:t>(−1.43, −0.98)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D8ED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−0.09 </w:t>
            </w:r>
            <w:r>
              <w:rPr>
                <w:rFonts w:cs="Arial"/>
              </w:rPr>
              <w:br/>
              <w:t>(−0.24, 0.07)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DC55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1.12 </w:t>
            </w:r>
            <w:r>
              <w:br/>
              <w:t>(0.85, 1.39)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78DE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−0.62 </w:t>
            </w:r>
            <w:r>
              <w:rPr>
                <w:rFonts w:cs="Arial"/>
              </w:rPr>
              <w:br/>
              <w:t>(−0.93, −0.32)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CB390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0.13 </w:t>
            </w:r>
            <w:r>
              <w:br/>
              <w:t>(</w:t>
            </w:r>
            <w:r>
              <w:rPr>
                <w:rFonts w:cs="Arial"/>
              </w:rPr>
              <w:t>−0.08, 0.35</w:t>
            </w:r>
            <w:r>
              <w:t>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762E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0.76</w:t>
            </w:r>
            <w:r>
              <w:br/>
              <w:t>(0.39, 1.13)</w:t>
            </w:r>
          </w:p>
        </w:tc>
      </w:tr>
      <w:tr w:rsidR="00DD037E" w14:paraId="53702557" w14:textId="77777777" w:rsidTr="00D80895">
        <w:trPr>
          <w:trHeight w:val="43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F0543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208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99BA1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−2.02 </w:t>
            </w:r>
            <w:r>
              <w:rPr>
                <w:rFonts w:cs="Arial"/>
              </w:rPr>
              <w:br/>
              <w:t>(−2.33, −1.70)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4437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−1.07 </w:t>
            </w:r>
            <w:r>
              <w:rPr>
                <w:rFonts w:cs="Arial"/>
              </w:rPr>
              <w:br/>
              <w:t>(−1.29, −0.85)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FDB746" w14:textId="4BF59DFD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0.95 </w:t>
            </w:r>
            <w:r>
              <w:br/>
              <w:t>(0.5</w:t>
            </w:r>
            <w:r w:rsidR="003E54BD">
              <w:t>7</w:t>
            </w:r>
            <w:r>
              <w:t>, 1.34)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6CE05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−1.24 </w:t>
            </w:r>
            <w:r>
              <w:rPr>
                <w:rFonts w:cs="Arial"/>
              </w:rPr>
              <w:br/>
              <w:t>(−1.43, −1.06)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E7DA6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−0.20 </w:t>
            </w:r>
            <w:r>
              <w:rPr>
                <w:rFonts w:cs="Arial"/>
              </w:rPr>
              <w:br/>
              <w:t>(−0.33, −0.07)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3598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1.05 </w:t>
            </w:r>
            <w:r>
              <w:br/>
              <w:t>(0.82, 1.27)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D308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−0.70 </w:t>
            </w:r>
            <w:r>
              <w:rPr>
                <w:rFonts w:cs="Arial"/>
              </w:rPr>
              <w:br/>
              <w:t>(−0.91, −0.48)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BBB19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0.01 </w:t>
            </w:r>
            <w:r>
              <w:br/>
              <w:t>(</w:t>
            </w:r>
            <w:r>
              <w:rPr>
                <w:rFonts w:cs="Arial"/>
              </w:rPr>
              <w:t>−0.14, 0.16</w:t>
            </w:r>
            <w:r>
              <w:t>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99CD9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0.71 </w:t>
            </w:r>
            <w:r>
              <w:br/>
              <w:t>(0.45, 0.97)</w:t>
            </w:r>
          </w:p>
        </w:tc>
      </w:tr>
      <w:tr w:rsidR="00DD037E" w14:paraId="3638E6AE" w14:textId="77777777" w:rsidTr="00D80895">
        <w:trPr>
          <w:trHeight w:val="43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556981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260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BD26B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−2.11 </w:t>
            </w:r>
            <w:r>
              <w:rPr>
                <w:rFonts w:cs="Arial"/>
              </w:rPr>
              <w:br/>
              <w:t>(−2.41, −1.82)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43FA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−1.13 </w:t>
            </w:r>
            <w:r>
              <w:rPr>
                <w:rFonts w:cs="Arial"/>
              </w:rPr>
              <w:br/>
              <w:t>(−1.33, −0.92)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8AFAC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0.99 </w:t>
            </w:r>
            <w:r>
              <w:br/>
              <w:t>(0.63, 1.34)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4848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−1.30 </w:t>
            </w:r>
            <w:r>
              <w:rPr>
                <w:rFonts w:cs="Arial"/>
              </w:rPr>
              <w:br/>
              <w:t>(−1.48, −1.13)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D2B1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−0.27 </w:t>
            </w:r>
            <w:r>
              <w:rPr>
                <w:rFonts w:cs="Arial"/>
              </w:rPr>
              <w:br/>
              <w:t>(−0.39, −0.16)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C3CA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1.03 </w:t>
            </w:r>
            <w:r>
              <w:br/>
              <w:t>(0.82, 1.24)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80686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−0.74 </w:t>
            </w:r>
            <w:r>
              <w:rPr>
                <w:rFonts w:cs="Arial"/>
              </w:rPr>
              <w:br/>
              <w:t>(−0.94, −0.54)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3048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−0.06 </w:t>
            </w:r>
            <w:r>
              <w:rPr>
                <w:rFonts w:cs="Arial"/>
              </w:rPr>
              <w:br/>
              <w:t>(−0.19, 0.08)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25EB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0.69 </w:t>
            </w:r>
            <w:r>
              <w:br/>
              <w:t>(0.44, 0.93)</w:t>
            </w:r>
          </w:p>
        </w:tc>
      </w:tr>
      <w:tr w:rsidR="00DD037E" w14:paraId="45313F23" w14:textId="77777777" w:rsidTr="00D80895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66446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A719AB5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Normoalbuminuria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3490452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Microalbuminuria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378D37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Macroalbuminuria</w:t>
            </w:r>
          </w:p>
        </w:tc>
      </w:tr>
      <w:tr w:rsidR="00DD037E" w14:paraId="555000D3" w14:textId="77777777" w:rsidTr="00D80895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D4FF87C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FC6D8F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203EFDA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Ertugliflozin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153D10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5D45180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D47684D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Ertugliflozin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7932C8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F9DF036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914FB06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Ertugliflozin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EEB986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  <w:r>
              <w:rPr>
                <w:b/>
                <w:bCs/>
                <w:vertAlign w:val="superscript"/>
              </w:rPr>
              <w:t>a</w:t>
            </w:r>
          </w:p>
        </w:tc>
      </w:tr>
      <w:tr w:rsidR="00DD037E" w14:paraId="2287385F" w14:textId="77777777" w:rsidTr="00D80895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3C92DD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104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B1DE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−0.74 </w:t>
            </w:r>
            <w:r>
              <w:rPr>
                <w:rFonts w:cs="Arial"/>
              </w:rPr>
              <w:br/>
              <w:t>(−1.12, −0.37)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7C77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0.74 </w:t>
            </w:r>
            <w:r>
              <w:br/>
              <w:t>(0.48, 1.00)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4C0D2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1.48</w:t>
            </w:r>
            <w:r>
              <w:br/>
              <w:t>(1.03, 1.94)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A2553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−1.12 </w:t>
            </w:r>
            <w:r>
              <w:rPr>
                <w:rFonts w:cs="Arial"/>
              </w:rPr>
              <w:br/>
              <w:t>(−1.66, −0.58)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ACA91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−0.09 </w:t>
            </w:r>
            <w:r>
              <w:rPr>
                <w:rFonts w:cs="Arial"/>
              </w:rPr>
              <w:br/>
              <w:t>(−0.47, 0.29)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111A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1.03 </w:t>
            </w:r>
            <w:r>
              <w:br/>
              <w:t>(0.37, 1.69)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6F3C9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−3.48 </w:t>
            </w:r>
            <w:r>
              <w:rPr>
                <w:rFonts w:cs="Arial"/>
              </w:rPr>
              <w:br/>
              <w:t>(−4.53, −2.44)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334C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−0.94 </w:t>
            </w:r>
            <w:r>
              <w:rPr>
                <w:rFonts w:cs="Arial"/>
              </w:rPr>
              <w:br/>
              <w:t>(−1.65, −0.23)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BC52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2.54 </w:t>
            </w:r>
            <w:r>
              <w:br/>
              <w:t>(1.27, 3.81)</w:t>
            </w:r>
          </w:p>
        </w:tc>
      </w:tr>
      <w:tr w:rsidR="00DD037E" w14:paraId="734DED96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8A47C3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156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FE6F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−1.16</w:t>
            </w:r>
            <w:r>
              <w:rPr>
                <w:rFonts w:cs="Arial"/>
              </w:rPr>
              <w:br/>
              <w:t>(−1.40, −0.92)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7C9DD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−0.04</w:t>
            </w:r>
            <w:r>
              <w:rPr>
                <w:rFonts w:cs="Arial"/>
              </w:rPr>
              <w:br/>
              <w:t>(−0.20, 0.13)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C05AE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1.13 </w:t>
            </w:r>
            <w:r>
              <w:br/>
              <w:t>(0.83, 1.42)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6D5925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−1.77 </w:t>
            </w:r>
            <w:r>
              <w:rPr>
                <w:rFonts w:cs="Arial"/>
              </w:rPr>
              <w:br/>
              <w:t>(−2.12, −1.43)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019D8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−0.51 </w:t>
            </w:r>
            <w:r>
              <w:rPr>
                <w:rFonts w:cs="Arial"/>
              </w:rPr>
              <w:br/>
              <w:t>(−0.75, −0.27)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045F7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1.26</w:t>
            </w:r>
            <w:r>
              <w:br/>
              <w:t>(0.84, 1.69)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D0216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−3.11 </w:t>
            </w:r>
            <w:r>
              <w:rPr>
                <w:rFonts w:cs="Arial"/>
              </w:rPr>
              <w:br/>
              <w:t>(−3.87, −2.36)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9DD12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−1.56 </w:t>
            </w:r>
            <w:r>
              <w:rPr>
                <w:rFonts w:cs="Arial"/>
              </w:rPr>
              <w:br/>
              <w:t>(−2.07, −1.05)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6D4DC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1.55 </w:t>
            </w:r>
            <w:r>
              <w:br/>
              <w:t>(0.64, 2.47)</w:t>
            </w:r>
          </w:p>
        </w:tc>
      </w:tr>
      <w:tr w:rsidR="00DD037E" w14:paraId="63B684C7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A07DF8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208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D4AE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−1.05</w:t>
            </w:r>
            <w:r>
              <w:rPr>
                <w:rFonts w:cs="Arial"/>
              </w:rPr>
              <w:br/>
              <w:t>(−1.25, −0.86)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FFD935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−0.14</w:t>
            </w:r>
            <w:r>
              <w:rPr>
                <w:rFonts w:cs="Arial"/>
              </w:rPr>
              <w:br/>
              <w:t>(−0.28, −0.01)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CBD2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0.91 </w:t>
            </w:r>
            <w:r>
              <w:br/>
              <w:t>(0.67, 1.15)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31D835" w14:textId="77777777" w:rsidR="00DD037E" w:rsidRDefault="00DD037E">
            <w:pPr>
              <w:pStyle w:val="Tabletext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−1.76 </w:t>
            </w:r>
            <w:r>
              <w:rPr>
                <w:rFonts w:cs="Arial"/>
              </w:rPr>
              <w:br/>
              <w:t>(−2.05, −1.47)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40754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−0.59</w:t>
            </w:r>
            <w:r>
              <w:rPr>
                <w:rFonts w:cs="Arial"/>
              </w:rPr>
              <w:br/>
              <w:t>(−0.79, −0.39)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0AAD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1.17 </w:t>
            </w:r>
            <w:r>
              <w:br/>
              <w:t>(0.82, 1.52)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5F55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−3.27 </w:t>
            </w:r>
            <w:r>
              <w:rPr>
                <w:rFonts w:cs="Arial"/>
              </w:rPr>
              <w:br/>
              <w:t>(−3.85, −2.69)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A19CD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−1.67 </w:t>
            </w:r>
            <w:r>
              <w:rPr>
                <w:rFonts w:cs="Arial"/>
              </w:rPr>
              <w:br/>
              <w:t>(−2.06, −1.28)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09B6C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1.60 </w:t>
            </w:r>
            <w:r>
              <w:br/>
              <w:t>(0.91, 2.30)</w:t>
            </w:r>
          </w:p>
        </w:tc>
      </w:tr>
      <w:tr w:rsidR="00DD037E" w14:paraId="41BB5173" w14:textId="77777777" w:rsidTr="00D80895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0A9DF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260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1B93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−1.13 </w:t>
            </w:r>
            <w:r>
              <w:rPr>
                <w:rFonts w:cs="Arial"/>
              </w:rPr>
              <w:br/>
              <w:t>(−1.31, −0.94)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B275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−0.23</w:t>
            </w:r>
            <w:r>
              <w:rPr>
                <w:rFonts w:cs="Arial"/>
              </w:rPr>
              <w:br/>
              <w:t>(−0.35, −0.10)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1A6A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0.90</w:t>
            </w:r>
            <w:r>
              <w:br/>
              <w:t>(0.68, 1.12)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2166D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−1.84 </w:t>
            </w:r>
            <w:r>
              <w:rPr>
                <w:rFonts w:cs="Arial"/>
              </w:rPr>
              <w:br/>
              <w:t>(−2.11, −1.57)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32651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−0.67 </w:t>
            </w:r>
            <w:r>
              <w:rPr>
                <w:rFonts w:cs="Arial"/>
              </w:rPr>
              <w:br/>
              <w:t>(−0.86, −0.49)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1DFA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1.16 </w:t>
            </w:r>
            <w:r>
              <w:br/>
              <w:t>(0.84, 1.49)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AD9E32" w14:textId="77777777" w:rsidR="00DD037E" w:rsidRDefault="00DD037E">
            <w:pPr>
              <w:pStyle w:val="Tabletext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−3.32 </w:t>
            </w:r>
            <w:r>
              <w:rPr>
                <w:rFonts w:cs="Arial"/>
              </w:rPr>
              <w:br/>
              <w:t>(−3.87, −2.78)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ADB8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−1.73 </w:t>
            </w:r>
            <w:r>
              <w:rPr>
                <w:rFonts w:cs="Arial"/>
              </w:rPr>
              <w:br/>
              <w:t>(−2.10, −1.36)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48B2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1.59 </w:t>
            </w:r>
            <w:r>
              <w:br/>
              <w:t>(0.94, 2.25)</w:t>
            </w:r>
          </w:p>
        </w:tc>
      </w:tr>
      <w:tr w:rsidR="00DD037E" w14:paraId="33D0B7F5" w14:textId="77777777" w:rsidTr="00D80895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09366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Weeks 0 to 52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939C1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0.09 </w:t>
            </w:r>
            <w:r>
              <w:br/>
              <w:t>(</w:t>
            </w:r>
            <w:r>
              <w:rPr>
                <w:rFonts w:cs="Arial"/>
              </w:rPr>
              <w:t>−0.50, 0.67</w:t>
            </w:r>
            <w: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8686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1.42</w:t>
            </w:r>
            <w:r>
              <w:br/>
              <w:t>(1.01, 1.84)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B661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1.34 </w:t>
            </w:r>
            <w:r>
              <w:br/>
              <w:t>(0.62, 2.06)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8F65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−0.27 </w:t>
            </w:r>
            <w:r>
              <w:rPr>
                <w:rFonts w:cs="Arial"/>
              </w:rPr>
              <w:br/>
              <w:t>(−1.13, 0.59)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F745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0.04 </w:t>
            </w:r>
            <w:r>
              <w:br/>
              <w:t>(</w:t>
            </w:r>
            <w:r>
              <w:rPr>
                <w:rFonts w:cs="Arial"/>
              </w:rPr>
              <w:t>−0.57, 0.66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EE4C6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0.31 </w:t>
            </w:r>
            <w:r>
              <w:br/>
              <w:t>(</w:t>
            </w:r>
            <w:r>
              <w:rPr>
                <w:rFonts w:cs="Arial"/>
              </w:rPr>
              <w:t>−0.75, 1.37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F6B4F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−2.44 </w:t>
            </w:r>
            <w:r>
              <w:rPr>
                <w:rFonts w:cs="Arial"/>
              </w:rPr>
              <w:br/>
              <w:t>(−4.06, −0.81)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89002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−2.06 </w:t>
            </w:r>
            <w:r>
              <w:rPr>
                <w:rFonts w:cs="Arial"/>
              </w:rPr>
              <w:br/>
              <w:t>(−3.17, −0.94)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D7E09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0.38 </w:t>
            </w:r>
            <w:r>
              <w:br/>
              <w:t>(</w:t>
            </w:r>
            <w:r>
              <w:rPr>
                <w:rFonts w:cs="Arial"/>
              </w:rPr>
              <w:t>−1.59, 2.35</w:t>
            </w:r>
            <w:r>
              <w:t>)</w:t>
            </w:r>
          </w:p>
        </w:tc>
      </w:tr>
      <w:tr w:rsidR="00DD037E" w14:paraId="09796092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2E126F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104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623C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−0.56 </w:t>
            </w:r>
            <w:r>
              <w:rPr>
                <w:rFonts w:cs="Arial"/>
              </w:rPr>
              <w:br/>
              <w:t>(−0.88, −0.25)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6B7D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0.72</w:t>
            </w:r>
            <w:r>
              <w:br/>
              <w:t>(0.50, 0.94)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7C8A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1.28 </w:t>
            </w:r>
            <w:r>
              <w:br/>
              <w:t>(0.89, 1.67)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F9EA8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−0.98 </w:t>
            </w:r>
            <w:r>
              <w:rPr>
                <w:rFonts w:cs="Arial"/>
              </w:rPr>
              <w:br/>
              <w:t>(−1.43, −0.53)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A68BB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−0.29 </w:t>
            </w:r>
            <w:r>
              <w:rPr>
                <w:rFonts w:cs="Arial"/>
              </w:rPr>
              <w:br/>
              <w:t>(−0.61, 0.03)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BBE1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0.69</w:t>
            </w:r>
            <w:r>
              <w:br/>
              <w:t>(0.14, 1.24)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C7FF1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−3.49 </w:t>
            </w:r>
            <w:r>
              <w:rPr>
                <w:rFonts w:cs="Arial"/>
              </w:rPr>
              <w:br/>
              <w:t>(−4.39, −2.60)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2496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−1.60 </w:t>
            </w:r>
            <w:r>
              <w:rPr>
                <w:rFonts w:cs="Arial"/>
              </w:rPr>
              <w:br/>
              <w:t>(−2.21, −0.99)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70721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1.90 </w:t>
            </w:r>
            <w:r>
              <w:br/>
              <w:t>(0.81, 2.98)</w:t>
            </w:r>
          </w:p>
        </w:tc>
      </w:tr>
      <w:tr w:rsidR="00DD037E" w14:paraId="2196522D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A83E1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156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22031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−0.98 </w:t>
            </w:r>
            <w:r>
              <w:rPr>
                <w:rFonts w:cs="Arial"/>
              </w:rPr>
              <w:br/>
              <w:t>(−1.20, −0.77)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E481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>0.07</w:t>
            </w:r>
            <w:r>
              <w:br/>
              <w:t>(</w:t>
            </w:r>
            <w:r>
              <w:rPr>
                <w:rFonts w:cs="Arial"/>
              </w:rPr>
              <w:t>−0.08, 0.22</w:t>
            </w:r>
            <w:r>
              <w:t>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80DBB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1.06 </w:t>
            </w:r>
            <w:r>
              <w:br/>
              <w:t>(0.79, 1.32)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B012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−1.60 </w:t>
            </w:r>
            <w:r>
              <w:rPr>
                <w:rFonts w:cs="Arial"/>
              </w:rPr>
              <w:br/>
              <w:t>(−1.91, −1.28)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936E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−0.54 </w:t>
            </w:r>
            <w:r>
              <w:rPr>
                <w:rFonts w:cs="Arial"/>
              </w:rPr>
              <w:br/>
              <w:t>(−0.76, −0.32)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BF2B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1.06 </w:t>
            </w:r>
            <w:r>
              <w:br/>
              <w:t>(0.68, 1.45)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CA41A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−3.20 </w:t>
            </w:r>
            <w:r>
              <w:rPr>
                <w:rFonts w:cs="Arial"/>
              </w:rPr>
              <w:br/>
              <w:t>(−3.87, −2.53)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46478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−1.83 </w:t>
            </w:r>
            <w:r>
              <w:rPr>
                <w:rFonts w:cs="Arial"/>
              </w:rPr>
              <w:br/>
              <w:t>(−2.28, −1.38)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32593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1.37 </w:t>
            </w:r>
            <w:r>
              <w:br/>
              <w:t>(0.57, 2.18)</w:t>
            </w:r>
          </w:p>
        </w:tc>
      </w:tr>
      <w:tr w:rsidR="00DD037E" w14:paraId="58F4E410" w14:textId="77777777" w:rsidTr="00D80895">
        <w:trPr>
          <w:trHeight w:val="34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DB5A19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208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C2B1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−0.94 </w:t>
            </w:r>
            <w:r>
              <w:rPr>
                <w:rFonts w:cs="Arial"/>
              </w:rPr>
              <w:br/>
              <w:t>(−1.12, −0.77)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AD685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−0.06</w:t>
            </w:r>
            <w:r>
              <w:rPr>
                <w:rFonts w:cs="Arial"/>
              </w:rPr>
              <w:br/>
              <w:t>(−0.18, 0.06)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9D0A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0.88 </w:t>
            </w:r>
            <w:r>
              <w:br/>
              <w:t>(0.68, 1.09)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5EC0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−1.63 </w:t>
            </w:r>
            <w:r>
              <w:rPr>
                <w:rFonts w:cs="Arial"/>
              </w:rPr>
              <w:br/>
              <w:t>(−1.89, −1.37)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CE18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−0.60 </w:t>
            </w:r>
            <w:r>
              <w:rPr>
                <w:rFonts w:cs="Arial"/>
              </w:rPr>
              <w:br/>
              <w:t>(−0.78, −0.42)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358E4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1.03 </w:t>
            </w:r>
            <w:r>
              <w:br/>
              <w:t>(0.72, 1.35)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9F17B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−3.30 </w:t>
            </w:r>
            <w:r>
              <w:rPr>
                <w:rFonts w:cs="Arial"/>
              </w:rPr>
              <w:br/>
              <w:t>(−3.82, −2.79)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DF25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−1.84 </w:t>
            </w:r>
            <w:r>
              <w:rPr>
                <w:rFonts w:cs="Arial"/>
              </w:rPr>
              <w:br/>
              <w:t>(−2.19, −1.49)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25ECA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1.47 </w:t>
            </w:r>
            <w:r>
              <w:br/>
              <w:t>(0.84, 2.09)</w:t>
            </w:r>
          </w:p>
        </w:tc>
      </w:tr>
      <w:tr w:rsidR="00DD037E" w14:paraId="10ABBF22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DE1D64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260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A6E8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−1.02 </w:t>
            </w:r>
            <w:r>
              <w:rPr>
                <w:rFonts w:cs="Arial"/>
              </w:rPr>
              <w:br/>
              <w:t>(−1.18, −0.86)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F0BC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−0.14 </w:t>
            </w:r>
            <w:r>
              <w:rPr>
                <w:rFonts w:cs="Arial"/>
              </w:rPr>
              <w:br/>
              <w:t>(−0.25, −0.03)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3D04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0.88 </w:t>
            </w:r>
            <w:r>
              <w:br/>
              <w:t>(0.68, 1.07)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9AC8E1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−1.71 </w:t>
            </w:r>
            <w:r>
              <w:rPr>
                <w:rFonts w:cs="Arial"/>
              </w:rPr>
              <w:br/>
              <w:t>(−1.95, −1.47)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192E5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−0.67</w:t>
            </w:r>
            <w:r>
              <w:rPr>
                <w:rFonts w:cs="Arial"/>
              </w:rPr>
              <w:br/>
              <w:t>(−0.83, −0.50)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1387D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1.04 </w:t>
            </w:r>
            <w:r>
              <w:br/>
              <w:t>(0.75, 1.33)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4EFA7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−3.34 </w:t>
            </w:r>
            <w:r>
              <w:rPr>
                <w:rFonts w:cs="Arial"/>
              </w:rPr>
              <w:br/>
              <w:t>(−3.83, −2.86)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EBFD1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>−1.88</w:t>
            </w:r>
            <w:r>
              <w:rPr>
                <w:rFonts w:cs="Arial"/>
              </w:rPr>
              <w:br/>
              <w:t>(−2.21, −1.55)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8AB2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1.46 </w:t>
            </w:r>
            <w:r>
              <w:br/>
              <w:t>(0.88, 2.05)</w:t>
            </w:r>
          </w:p>
        </w:tc>
      </w:tr>
      <w:tr w:rsidR="00DD037E" w14:paraId="13D94058" w14:textId="77777777" w:rsidTr="00D80895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03067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8DDA9F8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KDIGO CKD low risk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ACE8507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KDIGO CKD moderate risk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FD25A27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KDIGO CKD high/very high risk</w:t>
            </w:r>
          </w:p>
        </w:tc>
      </w:tr>
      <w:tr w:rsidR="00DD037E" w14:paraId="11DD2AFB" w14:textId="77777777" w:rsidTr="00D80895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0862FF6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6EAA87E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34E9F1F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Ertugliflozin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A3B4EB1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0469B77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FC702CA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Ertugliflozin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0C2E210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F676232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C2EDE9A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Ertugliflozin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D1E6387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  <w:r>
              <w:rPr>
                <w:b/>
                <w:bCs/>
                <w:vertAlign w:val="superscript"/>
              </w:rPr>
              <w:t>a</w:t>
            </w:r>
          </w:p>
        </w:tc>
      </w:tr>
      <w:tr w:rsidR="00DD037E" w14:paraId="086F7057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C69940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104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223B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−0.83 </w:t>
            </w:r>
            <w:r>
              <w:rPr>
                <w:rFonts w:cs="Arial"/>
              </w:rPr>
              <w:br/>
              <w:t>(−1.25, −0.40)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FDF1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0.69 </w:t>
            </w:r>
            <w:r>
              <w:br/>
              <w:t>(0.40, 0.99)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E727D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1.52 </w:t>
            </w:r>
            <w:r>
              <w:br/>
              <w:t>(1.00, 2.04)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AE61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−1.04 </w:t>
            </w:r>
            <w:r>
              <w:rPr>
                <w:rFonts w:cs="Arial"/>
              </w:rPr>
              <w:br/>
              <w:t>(−1.57, −0.50)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89376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0.05 </w:t>
            </w:r>
            <w:r>
              <w:br/>
              <w:t>(</w:t>
            </w:r>
            <w:r>
              <w:rPr>
                <w:rFonts w:cs="Arial"/>
              </w:rPr>
              <w:t>−0.32, 0.42</w:t>
            </w:r>
            <w:r>
              <w:t>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1E3B0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1.09 </w:t>
            </w:r>
            <w:r>
              <w:br/>
              <w:t>(0.44, 1.74)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CAB37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−1.92 </w:t>
            </w:r>
            <w:r>
              <w:rPr>
                <w:rFonts w:cs="Arial"/>
              </w:rPr>
              <w:br/>
              <w:t>(−2.56, −1.28)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5399C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−0.17 </w:t>
            </w:r>
            <w:r>
              <w:rPr>
                <w:rFonts w:cs="Arial"/>
              </w:rPr>
              <w:br/>
              <w:t>(−0.62, 0.28)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3E131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1.75 </w:t>
            </w:r>
            <w:r>
              <w:br/>
              <w:t>(0.97, 2.53)</w:t>
            </w:r>
          </w:p>
        </w:tc>
      </w:tr>
      <w:tr w:rsidR="00DD037E" w14:paraId="073EC2A0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56D4F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156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AF2FE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−1.26 </w:t>
            </w:r>
            <w:r>
              <w:rPr>
                <w:rFonts w:cs="Arial"/>
              </w:rPr>
              <w:br/>
              <w:t>(−1.54, −0.99)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DF10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−0.08 </w:t>
            </w:r>
            <w:r>
              <w:rPr>
                <w:rFonts w:cs="Arial"/>
              </w:rPr>
              <w:br/>
              <w:t>(−0.27, 0.11)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A4B59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1.18 </w:t>
            </w:r>
            <w:r>
              <w:br/>
              <w:t>(0.85, 1.52)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8560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−1.58 </w:t>
            </w:r>
            <w:r>
              <w:rPr>
                <w:rFonts w:cs="Arial"/>
              </w:rPr>
              <w:br/>
              <w:t>(−1.92, −1.24)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69060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−0.45 </w:t>
            </w:r>
            <w:r>
              <w:rPr>
                <w:rFonts w:cs="Arial"/>
              </w:rPr>
              <w:br/>
              <w:t>(−0.69, −0.22)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1969A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1.13 </w:t>
            </w:r>
            <w:r>
              <w:br/>
              <w:t>(0.72, 1.54)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6F21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−2.13 </w:t>
            </w:r>
            <w:r>
              <w:rPr>
                <w:rFonts w:cs="Arial"/>
              </w:rPr>
              <w:br/>
              <w:t>(−2.58, −1.68)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29F6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−0.74 </w:t>
            </w:r>
            <w:r>
              <w:rPr>
                <w:rFonts w:cs="Arial"/>
              </w:rPr>
              <w:br/>
              <w:t>(−1.05, −0.43)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99B84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1.39 </w:t>
            </w:r>
            <w:r>
              <w:br/>
              <w:t>(0.84, 1.93)</w:t>
            </w:r>
          </w:p>
        </w:tc>
      </w:tr>
      <w:tr w:rsidR="00DD037E" w14:paraId="1471CB2E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BD3744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Weeks 6 to 208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DD59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−1.14 </w:t>
            </w:r>
            <w:r>
              <w:rPr>
                <w:rFonts w:cs="Arial"/>
              </w:rPr>
              <w:br/>
              <w:t>(−1.36, −0.92)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7C9E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−0.19 </w:t>
            </w:r>
            <w:r>
              <w:rPr>
                <w:rFonts w:cs="Arial"/>
              </w:rPr>
              <w:br/>
              <w:t>(−0.34, −0.04)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0ACBF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0.95 </w:t>
            </w:r>
            <w:r>
              <w:br/>
              <w:t>(0.68, 1.22)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06D8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−1.57 </w:t>
            </w:r>
            <w:r>
              <w:rPr>
                <w:rFonts w:cs="Arial"/>
              </w:rPr>
              <w:br/>
              <w:t>(−1.85, −1.29)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B7560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−0.55 </w:t>
            </w:r>
            <w:r>
              <w:rPr>
                <w:rFonts w:cs="Arial"/>
              </w:rPr>
              <w:br/>
              <w:t>(−0.75, −0.36)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6BE69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1.01 </w:t>
            </w:r>
            <w:r>
              <w:br/>
              <w:t>(0.68, 1.35)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791FF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−2.16 </w:t>
            </w:r>
            <w:r>
              <w:rPr>
                <w:rFonts w:cs="Arial"/>
              </w:rPr>
              <w:br/>
              <w:t>(−2.52, −1.80)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C381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−0.81 </w:t>
            </w:r>
            <w:r>
              <w:rPr>
                <w:rFonts w:cs="Arial"/>
              </w:rPr>
              <w:br/>
              <w:t>(−1.05, −0.56)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90EA1B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1.35 </w:t>
            </w:r>
            <w:r>
              <w:br/>
              <w:t>(0.91, 1.79)</w:t>
            </w:r>
          </w:p>
        </w:tc>
      </w:tr>
      <w:tr w:rsidR="00DD037E" w14:paraId="37C99883" w14:textId="77777777" w:rsidTr="00D80895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C4E1E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6 to 260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DCDC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−1.21 </w:t>
            </w:r>
            <w:r>
              <w:rPr>
                <w:rFonts w:cs="Arial"/>
              </w:rPr>
              <w:br/>
              <w:t>(−1.42, −1.01)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EB64D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−0.27 </w:t>
            </w:r>
            <w:r>
              <w:rPr>
                <w:rFonts w:cs="Arial"/>
              </w:rPr>
              <w:br/>
              <w:t>(−0.42, −0.13)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8966E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0.94 </w:t>
            </w:r>
            <w:r>
              <w:br/>
              <w:t>(0.69, 1.19)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3C6B22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−1.67 </w:t>
            </w:r>
            <w:r>
              <w:rPr>
                <w:rFonts w:cs="Arial"/>
              </w:rPr>
              <w:br/>
              <w:t>(−1.92, −1.41)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E69CF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−0.64 </w:t>
            </w:r>
            <w:r>
              <w:rPr>
                <w:rFonts w:cs="Arial"/>
              </w:rPr>
              <w:br/>
              <w:t>(−0.82, −0.47)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20909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1.02 </w:t>
            </w:r>
            <w:r>
              <w:br/>
              <w:t>(0.71, 1.33)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8B9F1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−2.16 </w:t>
            </w:r>
            <w:r>
              <w:rPr>
                <w:rFonts w:cs="Arial"/>
              </w:rPr>
              <w:br/>
              <w:t>(−2.50, −1.82)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2236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−0.85 </w:t>
            </w:r>
            <w:r>
              <w:rPr>
                <w:rFonts w:cs="Arial"/>
              </w:rPr>
              <w:br/>
              <w:t>(−1.08, −0.61)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4D98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1.32 </w:t>
            </w:r>
            <w:r>
              <w:br/>
              <w:t>(0.90, 1.73)</w:t>
            </w:r>
          </w:p>
        </w:tc>
      </w:tr>
      <w:tr w:rsidR="00DD037E" w14:paraId="1920FEDD" w14:textId="77777777" w:rsidTr="00D80895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ECA139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52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F1D40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−0.56 </w:t>
            </w:r>
            <w:r>
              <w:rPr>
                <w:rFonts w:cs="Arial"/>
              </w:rPr>
              <w:br/>
              <w:t>(−1.22, 0.10)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120D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1.06 </w:t>
            </w:r>
            <w:r>
              <w:br/>
              <w:t>(0.59, 1.52)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348B7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1.61 </w:t>
            </w:r>
            <w:r>
              <w:br/>
              <w:t>(0.81, 2.42)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D79ED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−0.23 </w:t>
            </w:r>
            <w:r>
              <w:rPr>
                <w:rFonts w:cs="Arial"/>
              </w:rPr>
              <w:br/>
              <w:t>(−1.07, 0.61)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F5579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0.57 </w:t>
            </w:r>
            <w:r>
              <w:br/>
              <w:t>(</w:t>
            </w:r>
            <w:r>
              <w:rPr>
                <w:rFonts w:cs="Arial"/>
              </w:rPr>
              <w:t>−0.02</w:t>
            </w:r>
            <w:r>
              <w:t>, 1.16)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D887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0.80 </w:t>
            </w:r>
            <w:r>
              <w:br/>
              <w:t>(</w:t>
            </w:r>
            <w:r>
              <w:rPr>
                <w:rFonts w:cs="Arial"/>
              </w:rPr>
              <w:t>−0.23, 1.82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8CA1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0.54 </w:t>
            </w:r>
            <w:r>
              <w:br/>
              <w:t>(</w:t>
            </w:r>
            <w:r>
              <w:rPr>
                <w:rFonts w:cs="Arial"/>
              </w:rPr>
              <w:t>−0.45, 1.54</w:t>
            </w:r>
            <w: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EC40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−0.14 </w:t>
            </w:r>
            <w:r>
              <w:rPr>
                <w:rFonts w:cs="Arial"/>
              </w:rPr>
              <w:br/>
              <w:t>(−0.85, 0.57)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3264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−0.69 </w:t>
            </w:r>
            <w:r>
              <w:rPr>
                <w:rFonts w:cs="Arial"/>
              </w:rPr>
              <w:br/>
              <w:t>(−1.91, 0.54)</w:t>
            </w:r>
          </w:p>
        </w:tc>
      </w:tr>
      <w:tr w:rsidR="00DD037E" w14:paraId="4938E090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E222E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104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1F38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−0.88 </w:t>
            </w:r>
            <w:r>
              <w:rPr>
                <w:rFonts w:cs="Arial"/>
              </w:rPr>
              <w:br/>
              <w:t>(−1.24, −0.53)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8AAC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0.54 </w:t>
            </w:r>
            <w:r>
              <w:br/>
              <w:t>(0.29, 0.79)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C969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1.42 </w:t>
            </w:r>
            <w:r>
              <w:br/>
              <w:t>(0.99, 1.86)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6A1A30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−0.89 </w:t>
            </w:r>
            <w:r>
              <w:rPr>
                <w:rFonts w:cs="Arial"/>
              </w:rPr>
              <w:br/>
              <w:t>(−1.35, −0.43)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B7C87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−0.05 </w:t>
            </w:r>
            <w:r>
              <w:rPr>
                <w:rFonts w:cs="Arial"/>
              </w:rPr>
              <w:br/>
              <w:t>(−0.36, 0.27)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51FC1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0.84 </w:t>
            </w:r>
            <w:r>
              <w:br/>
              <w:t>(0.29, 1.40)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031B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−1.21 </w:t>
            </w:r>
            <w:r>
              <w:rPr>
                <w:rFonts w:cs="Arial"/>
              </w:rPr>
              <w:br/>
              <w:t>(−1.76, −0.65)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00409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−0.29 </w:t>
            </w:r>
            <w:r>
              <w:rPr>
                <w:rFonts w:cs="Arial"/>
              </w:rPr>
              <w:br/>
              <w:t>(−0.68, 0.10)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A79CD8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0.91 </w:t>
            </w:r>
            <w:r>
              <w:br/>
              <w:t>(0.24, 1.59)</w:t>
            </w:r>
          </w:p>
        </w:tc>
      </w:tr>
      <w:tr w:rsidR="00DD037E" w14:paraId="2CA9F1D8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0BC2D7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156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E735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−1.20 </w:t>
            </w:r>
            <w:r>
              <w:rPr>
                <w:rFonts w:cs="Arial"/>
              </w:rPr>
              <w:br/>
              <w:t>(−1.45, −0.96)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CBF01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−0.04 </w:t>
            </w:r>
            <w:r>
              <w:rPr>
                <w:rFonts w:cs="Arial"/>
              </w:rPr>
              <w:br/>
              <w:t>(−0.21, 0.13)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86BB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1.17 </w:t>
            </w:r>
            <w:r>
              <w:br/>
              <w:t>(0.87, 1.47)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A44E6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−1.43 </w:t>
            </w:r>
            <w:r>
              <w:rPr>
                <w:rFonts w:cs="Arial"/>
              </w:rPr>
              <w:br/>
              <w:t>(−1.74, −1.11)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E1DC1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−0.41 </w:t>
            </w:r>
            <w:r>
              <w:rPr>
                <w:rFonts w:cs="Arial"/>
              </w:rPr>
              <w:br/>
              <w:t>(−0.63, −0.19)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C5EC9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1.02 </w:t>
            </w:r>
            <w:r>
              <w:br/>
              <w:t>(0.63, 1.40)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3706C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−1.69 </w:t>
            </w:r>
            <w:r>
              <w:rPr>
                <w:rFonts w:cs="Arial"/>
              </w:rPr>
              <w:br/>
              <w:t>(−2.10, −1.29)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C9EFF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rPr>
                <w:rFonts w:cs="Arial"/>
              </w:rPr>
              <w:t xml:space="preserve">−0.72 </w:t>
            </w:r>
            <w:r>
              <w:rPr>
                <w:rFonts w:cs="Arial"/>
              </w:rPr>
              <w:br/>
              <w:t>(−1.01, −0.44)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FC8C95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0.97 </w:t>
            </w:r>
            <w:r>
              <w:br/>
              <w:t>(0.48, 1.47)</w:t>
            </w:r>
          </w:p>
        </w:tc>
      </w:tr>
      <w:tr w:rsidR="00DD037E" w14:paraId="61EB641B" w14:textId="77777777" w:rsidTr="00D80895">
        <w:trPr>
          <w:trHeight w:val="435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FAA69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208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2947CE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−1.12 </w:t>
            </w:r>
            <w:r>
              <w:rPr>
                <w:rFonts w:cs="Arial"/>
              </w:rPr>
              <w:br/>
              <w:t>(−1.32, −0.92)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B44C27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−0.15 </w:t>
            </w:r>
            <w:r>
              <w:rPr>
                <w:rFonts w:cs="Arial"/>
              </w:rPr>
              <w:br/>
              <w:t>(−0.29, −0.02)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DA555A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0.97 </w:t>
            </w:r>
            <w:r>
              <w:br/>
              <w:t>(0.73, 1.21)</w:t>
            </w:r>
          </w:p>
        </w:tc>
        <w:tc>
          <w:tcPr>
            <w:tcW w:w="15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0927B9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−1.46 </w:t>
            </w:r>
            <w:r>
              <w:rPr>
                <w:rFonts w:cs="Arial"/>
              </w:rPr>
              <w:br/>
              <w:t>(−1.71, −1.21)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45CFBB" w14:textId="77777777" w:rsidR="00DD037E" w:rsidRDefault="00DD037E">
            <w:pPr>
              <w:pStyle w:val="Tabletext"/>
              <w:spacing w:line="480" w:lineRule="auto"/>
              <w:jc w:val="center"/>
              <w:rPr>
                <w:bCs/>
              </w:rPr>
            </w:pPr>
            <w:r>
              <w:rPr>
                <w:rFonts w:cs="Arial"/>
                <w:bCs/>
              </w:rPr>
              <w:t xml:space="preserve">−0.51 </w:t>
            </w:r>
            <w:r>
              <w:rPr>
                <w:rFonts w:cs="Arial"/>
                <w:bCs/>
              </w:rPr>
              <w:br/>
              <w:t>(−0.68, −0.34)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3F0583" w14:textId="77777777" w:rsidR="00DD037E" w:rsidRDefault="00DD037E">
            <w:pPr>
              <w:pStyle w:val="Tabletext"/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 xml:space="preserve">0.95 </w:t>
            </w:r>
            <w:r>
              <w:rPr>
                <w:bCs/>
              </w:rPr>
              <w:br/>
              <w:t>(0.65, 1.26)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C33E7E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−1.80 </w:t>
            </w:r>
            <w:r>
              <w:rPr>
                <w:rFonts w:cs="Arial"/>
              </w:rPr>
              <w:br/>
              <w:t>(−2.13, −1.48)</w:t>
            </w:r>
          </w:p>
        </w:tc>
        <w:tc>
          <w:tcPr>
            <w:tcW w:w="14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141AF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−0.77 </w:t>
            </w:r>
            <w:r>
              <w:rPr>
                <w:rFonts w:cs="Arial"/>
              </w:rPr>
              <w:br/>
              <w:t>(−1.00, −0.55)</w:t>
            </w:r>
          </w:p>
        </w:tc>
        <w:tc>
          <w:tcPr>
            <w:tcW w:w="1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81D593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1.03 </w:t>
            </w:r>
            <w:r>
              <w:br/>
              <w:t>(0.64, 1.43)</w:t>
            </w:r>
          </w:p>
        </w:tc>
      </w:tr>
      <w:tr w:rsidR="00DD037E" w14:paraId="49C60CDF" w14:textId="77777777" w:rsidTr="00D80895">
        <w:trPr>
          <w:trHeight w:val="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C5BD1" w14:textId="77777777" w:rsidR="00DD037E" w:rsidRDefault="00DD037E">
            <w:pPr>
              <w:pStyle w:val="Tabletex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Weeks 0 to 260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0B2C01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−1.19 </w:t>
            </w:r>
            <w:r>
              <w:rPr>
                <w:rFonts w:cs="Arial"/>
              </w:rPr>
              <w:br/>
              <w:t>(−1.37, −1.01)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3FC5A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−0.23 </w:t>
            </w:r>
            <w:r>
              <w:rPr>
                <w:rFonts w:cs="Arial"/>
              </w:rPr>
              <w:br/>
              <w:t>(−0.36, −0.11)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14E84E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0.96 </w:t>
            </w:r>
            <w:r>
              <w:br/>
              <w:t>(0.73, 1.18)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20C97B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  <w:bCs/>
              </w:rPr>
              <w:t xml:space="preserve">−1.56 </w:t>
            </w:r>
            <w:r>
              <w:rPr>
                <w:rFonts w:cs="Arial"/>
                <w:bCs/>
              </w:rPr>
              <w:br/>
              <w:t>(−1.79, −1.33)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DE6905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  <w:bCs/>
              </w:rPr>
              <w:t xml:space="preserve">−0.59 </w:t>
            </w:r>
            <w:r>
              <w:rPr>
                <w:rFonts w:cs="Arial"/>
                <w:bCs/>
              </w:rPr>
              <w:br/>
              <w:t>(−0.75. −0.43)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FCFE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0.97 </w:t>
            </w:r>
            <w:r>
              <w:br/>
              <w:t>(0.69, 1.25)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726F5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−1.83 </w:t>
            </w:r>
            <w:r>
              <w:rPr>
                <w:rFonts w:cs="Arial"/>
              </w:rPr>
              <w:br/>
              <w:t>(−2.14, −1.52)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E69A1" w14:textId="77777777" w:rsidR="00DD037E" w:rsidRDefault="00DD037E">
            <w:pPr>
              <w:pStyle w:val="Tabletext"/>
              <w:spacing w:line="480" w:lineRule="auto"/>
              <w:jc w:val="center"/>
              <w:rPr>
                <w:b/>
                <w:bCs/>
              </w:rPr>
            </w:pPr>
            <w:r>
              <w:rPr>
                <w:rFonts w:cs="Arial"/>
              </w:rPr>
              <w:t xml:space="preserve">−0.81 </w:t>
            </w:r>
            <w:r>
              <w:rPr>
                <w:rFonts w:cs="Arial"/>
              </w:rPr>
              <w:br/>
              <w:t>(−1.02, −0.60)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74384" w14:textId="77777777" w:rsidR="00DD037E" w:rsidRDefault="00DD037E">
            <w:pPr>
              <w:pStyle w:val="Tabletext"/>
              <w:spacing w:line="480" w:lineRule="auto"/>
              <w:jc w:val="center"/>
            </w:pPr>
            <w:r>
              <w:t xml:space="preserve">1.02 </w:t>
            </w:r>
            <w:r>
              <w:br/>
              <w:t>(0.65, 1.39)</w:t>
            </w:r>
          </w:p>
        </w:tc>
      </w:tr>
    </w:tbl>
    <w:p w14:paraId="4DE8B2C2" w14:textId="0B33B3FC" w:rsidR="00DD037E" w:rsidRDefault="00DD037E" w:rsidP="00DD037E">
      <w:pPr>
        <w:pStyle w:val="Footer"/>
        <w:rPr>
          <w:vertAlign w:val="superscript"/>
          <w:lang w:val="en-US"/>
        </w:rPr>
      </w:pPr>
      <w:r>
        <w:rPr>
          <w:lang w:val="en-US"/>
        </w:rPr>
        <w:t>CI, confidence interval; eGFR, estimated glomerular filtration rate; FAS, full analysis set; KDIGO CKD, Kidney Disease: Improving Global Outcomes in Chronic Kidney Disease.</w:t>
      </w:r>
      <w:r w:rsidR="00D80895">
        <w:rPr>
          <w:lang w:val="en-US"/>
        </w:rPr>
        <w:t xml:space="preserve"> Analysis performed on full analysis set.</w:t>
      </w:r>
      <w:r>
        <w:rPr>
          <w:lang w:val="en-US"/>
        </w:rPr>
        <w:br/>
      </w:r>
      <w:r>
        <w:rPr>
          <w:vertAlign w:val="superscript"/>
          <w:lang w:val="en-US"/>
        </w:rPr>
        <w:t>a</w:t>
      </w:r>
      <w:r>
        <w:rPr>
          <w:lang w:val="en-US"/>
        </w:rPr>
        <w:t>Difference versus placebo (</w:t>
      </w:r>
      <w:r w:rsidR="00973005">
        <w:rPr>
          <w:lang w:val="en-US"/>
        </w:rPr>
        <w:t xml:space="preserve">least square mean </w:t>
      </w:r>
      <w:r>
        <w:rPr>
          <w:lang w:val="en-US"/>
        </w:rPr>
        <w:t>[95% CI]).</w:t>
      </w:r>
      <w:r>
        <w:rPr>
          <w:vertAlign w:val="superscript"/>
          <w:lang w:val="en-US"/>
        </w:rPr>
        <w:br/>
        <w:t>b</w:t>
      </w:r>
      <w:r>
        <w:rPr>
          <w:lang w:val="en-US"/>
        </w:rPr>
        <w:t>eGFR slope (</w:t>
      </w:r>
      <w:r w:rsidR="00973005">
        <w:rPr>
          <w:lang w:val="en-US"/>
        </w:rPr>
        <w:t>least square mean</w:t>
      </w:r>
      <w:r>
        <w:rPr>
          <w:lang w:val="en-US"/>
        </w:rPr>
        <w:t>), ml/min per 1.73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per year (95% CI).</w:t>
      </w:r>
      <w:r>
        <w:rPr>
          <w:lang w:val="en-US"/>
        </w:rPr>
        <w:br/>
      </w:r>
    </w:p>
    <w:p w14:paraId="731E9DF5" w14:textId="77777777" w:rsidR="00DD037E" w:rsidRDefault="00DD037E" w:rsidP="00DD037E">
      <w:pPr>
        <w:spacing w:after="0"/>
        <w:rPr>
          <w:sz w:val="18"/>
          <w:vertAlign w:val="superscript"/>
          <w:lang w:val="en-US"/>
        </w:rPr>
        <w:sectPr w:rsidR="00DD037E"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14:paraId="7460F617" w14:textId="56C87332" w:rsidR="00933A68" w:rsidRDefault="0042570B" w:rsidP="0042570B">
      <w:pPr>
        <w:pStyle w:val="Heading1"/>
        <w:rPr>
          <w:lang w:val="en-US"/>
        </w:rPr>
      </w:pPr>
      <w:r>
        <w:lastRenderedPageBreak/>
        <w:t>References</w:t>
      </w:r>
    </w:p>
    <w:p w14:paraId="5A74A497" w14:textId="77777777" w:rsidR="00933A68" w:rsidRPr="00933A68" w:rsidRDefault="00933A68" w:rsidP="00933A68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33A68">
        <w:t>1.</w:t>
      </w:r>
      <w:r w:rsidRPr="00933A68">
        <w:tab/>
        <w:t xml:space="preserve">Work Group of Kidney Disease: Improving Global Outcomes (KDIGO): Chapter 1: Definition and classification of CKD. </w:t>
      </w:r>
      <w:r w:rsidRPr="00933A68">
        <w:rPr>
          <w:i/>
        </w:rPr>
        <w:t>Kidney Int Suppl</w:t>
      </w:r>
      <w:r w:rsidRPr="00933A68">
        <w:t xml:space="preserve"> 3</w:t>
      </w:r>
      <w:r w:rsidRPr="00933A68">
        <w:rPr>
          <w:b/>
        </w:rPr>
        <w:t xml:space="preserve">: </w:t>
      </w:r>
      <w:r w:rsidRPr="00933A68">
        <w:t xml:space="preserve">19-62, 2013 </w:t>
      </w:r>
    </w:p>
    <w:p w14:paraId="40A6975D" w14:textId="02859A14" w:rsidR="004A751B" w:rsidRPr="008123C8" w:rsidRDefault="00933A68" w:rsidP="004A751B">
      <w:pPr>
        <w:pStyle w:val="Footer"/>
        <w:rPr>
          <w:lang w:val="en-US"/>
        </w:rPr>
      </w:pPr>
      <w:r>
        <w:rPr>
          <w:lang w:val="en-US"/>
        </w:rPr>
        <w:fldChar w:fldCharType="end"/>
      </w:r>
    </w:p>
    <w:sectPr w:rsidR="004A751B" w:rsidRPr="008123C8" w:rsidSect="00B6373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DEAE" w14:textId="77777777" w:rsidR="00682E9A" w:rsidRDefault="00682E9A" w:rsidP="00B82DBF">
      <w:pPr>
        <w:spacing w:after="0" w:line="240" w:lineRule="auto"/>
      </w:pPr>
      <w:r>
        <w:separator/>
      </w:r>
    </w:p>
  </w:endnote>
  <w:endnote w:type="continuationSeparator" w:id="0">
    <w:p w14:paraId="4C34B548" w14:textId="77777777" w:rsidR="00682E9A" w:rsidRDefault="00682E9A" w:rsidP="00B82DBF">
      <w:pPr>
        <w:spacing w:after="0" w:line="240" w:lineRule="auto"/>
      </w:pPr>
      <w:r>
        <w:continuationSeparator/>
      </w:r>
    </w:p>
  </w:endnote>
  <w:endnote w:type="continuationNotice" w:id="1">
    <w:p w14:paraId="3CCDD587" w14:textId="77777777" w:rsidR="00682E9A" w:rsidRDefault="0068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93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6EF4E" w14:textId="3871E51B" w:rsidR="00682E9A" w:rsidRDefault="00682E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2EE80DBC" w14:textId="0C83358A" w:rsidR="00682E9A" w:rsidRDefault="00682E9A">
    <w:pPr>
      <w:pStyle w:val="Footer"/>
    </w:pPr>
  </w:p>
  <w:p w14:paraId="797825AC" w14:textId="77777777" w:rsidR="00682E9A" w:rsidRDefault="00682E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9205" w14:textId="77777777" w:rsidR="00682E9A" w:rsidRDefault="00682E9A" w:rsidP="00B82DBF">
      <w:pPr>
        <w:spacing w:after="0" w:line="240" w:lineRule="auto"/>
      </w:pPr>
      <w:r>
        <w:separator/>
      </w:r>
    </w:p>
  </w:footnote>
  <w:footnote w:type="continuationSeparator" w:id="0">
    <w:p w14:paraId="58AF487F" w14:textId="77777777" w:rsidR="00682E9A" w:rsidRDefault="00682E9A" w:rsidP="00B82DBF">
      <w:pPr>
        <w:spacing w:after="0" w:line="240" w:lineRule="auto"/>
      </w:pPr>
      <w:r>
        <w:continuationSeparator/>
      </w:r>
    </w:p>
  </w:footnote>
  <w:footnote w:type="continuationNotice" w:id="1">
    <w:p w14:paraId="7222B6EE" w14:textId="77777777" w:rsidR="00682E9A" w:rsidRDefault="0068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9BF4" w14:textId="17C0268B" w:rsidR="00682E9A" w:rsidRPr="00364C29" w:rsidRDefault="00682E9A" w:rsidP="00364C29">
    <w:pPr>
      <w:pStyle w:val="Header"/>
    </w:pPr>
  </w:p>
  <w:p w14:paraId="0672C8DF" w14:textId="77777777" w:rsidR="00682E9A" w:rsidRDefault="00682E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C23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8C55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888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B8C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905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E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F08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86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A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84D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07C6B"/>
    <w:multiLevelType w:val="hybridMultilevel"/>
    <w:tmpl w:val="34D88D88"/>
    <w:lvl w:ilvl="0" w:tplc="C57C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916403"/>
    <w:multiLevelType w:val="hybridMultilevel"/>
    <w:tmpl w:val="09B6E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C20938"/>
    <w:multiLevelType w:val="hybridMultilevel"/>
    <w:tmpl w:val="ABE89934"/>
    <w:lvl w:ilvl="0" w:tplc="DA267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0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8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6F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A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A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08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6D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364B23"/>
    <w:multiLevelType w:val="hybridMultilevel"/>
    <w:tmpl w:val="642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56CA"/>
    <w:multiLevelType w:val="singleLevel"/>
    <w:tmpl w:val="27DC7BBE"/>
    <w:lvl w:ilvl="0">
      <w:numFmt w:val="none"/>
      <w:pStyle w:val="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5" w15:restartNumberingAfterBreak="0">
    <w:nsid w:val="3DC15106"/>
    <w:multiLevelType w:val="singleLevel"/>
    <w:tmpl w:val="B114E9F4"/>
    <w:lvl w:ilvl="0">
      <w:numFmt w:val="bullet"/>
      <w:pStyle w:val="bullet2"/>
      <w:lvlText w:val="–"/>
      <w:lvlJc w:val="left"/>
      <w:pPr>
        <w:tabs>
          <w:tab w:val="num" w:pos="728"/>
        </w:tabs>
        <w:ind w:left="728" w:hanging="368"/>
      </w:pPr>
      <w:rPr>
        <w:rFonts w:ascii="Arial" w:hAnsi="Arial" w:hint="default"/>
      </w:rPr>
    </w:lvl>
  </w:abstractNum>
  <w:abstractNum w:abstractNumId="16" w15:restartNumberingAfterBreak="0">
    <w:nsid w:val="43D03775"/>
    <w:multiLevelType w:val="singleLevel"/>
    <w:tmpl w:val="A2843690"/>
    <w:lvl w:ilvl="0">
      <w:start w:val="1"/>
      <w:numFmt w:val="bullet"/>
      <w:lvlText w:val=""/>
      <w:lvlJc w:val="left"/>
      <w:pPr>
        <w:tabs>
          <w:tab w:val="num" w:pos="445"/>
        </w:tabs>
        <w:ind w:left="360" w:hanging="275"/>
      </w:pPr>
      <w:rPr>
        <w:rFonts w:ascii="Symbol" w:hAnsi="Symbol" w:hint="default"/>
        <w:sz w:val="20"/>
      </w:rPr>
    </w:lvl>
  </w:abstractNum>
  <w:abstractNum w:abstractNumId="17" w15:restartNumberingAfterBreak="0">
    <w:nsid w:val="4627026B"/>
    <w:multiLevelType w:val="hybridMultilevel"/>
    <w:tmpl w:val="44EC60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C0A5F"/>
    <w:multiLevelType w:val="hybridMultilevel"/>
    <w:tmpl w:val="24A6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04273"/>
    <w:multiLevelType w:val="hybridMultilevel"/>
    <w:tmpl w:val="44EC60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3D4E"/>
    <w:multiLevelType w:val="hybridMultilevel"/>
    <w:tmpl w:val="0ED6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1"/>
  </w:num>
  <w:num w:numId="18">
    <w:abstractNumId w:val="10"/>
  </w:num>
  <w:num w:numId="19">
    <w:abstractNumId w:val="13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JASN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pveazadde2w9e2d5c5sxt8z2v5d5dxtvsr&quot;&gt;endnote-ertugliflozin@scion-medica.com&lt;record-ids&gt;&lt;item&gt;276&lt;/item&gt;&lt;/record-ids&gt;&lt;/item&gt;&lt;/Libraries&gt;"/>
  </w:docVars>
  <w:rsids>
    <w:rsidRoot w:val="00B82DBF"/>
    <w:rsid w:val="00000260"/>
    <w:rsid w:val="000029C6"/>
    <w:rsid w:val="000033EB"/>
    <w:rsid w:val="0000422A"/>
    <w:rsid w:val="0000733C"/>
    <w:rsid w:val="00011A23"/>
    <w:rsid w:val="00012AFC"/>
    <w:rsid w:val="00013C71"/>
    <w:rsid w:val="000201D4"/>
    <w:rsid w:val="00020688"/>
    <w:rsid w:val="00023E14"/>
    <w:rsid w:val="00024535"/>
    <w:rsid w:val="00025923"/>
    <w:rsid w:val="00025F46"/>
    <w:rsid w:val="00026D7D"/>
    <w:rsid w:val="00030036"/>
    <w:rsid w:val="00031A6C"/>
    <w:rsid w:val="0003460F"/>
    <w:rsid w:val="0003538E"/>
    <w:rsid w:val="000367B0"/>
    <w:rsid w:val="00044BE7"/>
    <w:rsid w:val="00047EA4"/>
    <w:rsid w:val="00060C54"/>
    <w:rsid w:val="0008093D"/>
    <w:rsid w:val="0008116A"/>
    <w:rsid w:val="00086972"/>
    <w:rsid w:val="0009181B"/>
    <w:rsid w:val="00093C40"/>
    <w:rsid w:val="00093D51"/>
    <w:rsid w:val="00095A97"/>
    <w:rsid w:val="00096085"/>
    <w:rsid w:val="00097538"/>
    <w:rsid w:val="000A5A8F"/>
    <w:rsid w:val="000A7698"/>
    <w:rsid w:val="000A78D9"/>
    <w:rsid w:val="000C2EEE"/>
    <w:rsid w:val="000C33CB"/>
    <w:rsid w:val="000C4CAD"/>
    <w:rsid w:val="000D06E0"/>
    <w:rsid w:val="000D21BE"/>
    <w:rsid w:val="000D2F05"/>
    <w:rsid w:val="000D4DD1"/>
    <w:rsid w:val="000D619D"/>
    <w:rsid w:val="000D788C"/>
    <w:rsid w:val="000E5834"/>
    <w:rsid w:val="000F0719"/>
    <w:rsid w:val="000F21AA"/>
    <w:rsid w:val="000F3820"/>
    <w:rsid w:val="000F62E0"/>
    <w:rsid w:val="0010012D"/>
    <w:rsid w:val="00103593"/>
    <w:rsid w:val="00103A59"/>
    <w:rsid w:val="00105FDA"/>
    <w:rsid w:val="001070A9"/>
    <w:rsid w:val="0011345F"/>
    <w:rsid w:val="00121338"/>
    <w:rsid w:val="00124E64"/>
    <w:rsid w:val="001310E3"/>
    <w:rsid w:val="0013158B"/>
    <w:rsid w:val="001344AE"/>
    <w:rsid w:val="001417EF"/>
    <w:rsid w:val="00143235"/>
    <w:rsid w:val="001433E7"/>
    <w:rsid w:val="001468C3"/>
    <w:rsid w:val="00147DB7"/>
    <w:rsid w:val="00154282"/>
    <w:rsid w:val="00161171"/>
    <w:rsid w:val="00161399"/>
    <w:rsid w:val="001747FD"/>
    <w:rsid w:val="0018300C"/>
    <w:rsid w:val="00187E73"/>
    <w:rsid w:val="00190FB6"/>
    <w:rsid w:val="001A06F0"/>
    <w:rsid w:val="001A1187"/>
    <w:rsid w:val="001A37F1"/>
    <w:rsid w:val="001A5F84"/>
    <w:rsid w:val="001A7AF6"/>
    <w:rsid w:val="001B16D4"/>
    <w:rsid w:val="001B3EE8"/>
    <w:rsid w:val="001B689C"/>
    <w:rsid w:val="001C0C36"/>
    <w:rsid w:val="001C3EC6"/>
    <w:rsid w:val="001C47D9"/>
    <w:rsid w:val="001C54DF"/>
    <w:rsid w:val="001C6172"/>
    <w:rsid w:val="001D0E55"/>
    <w:rsid w:val="001D13D4"/>
    <w:rsid w:val="001D58F9"/>
    <w:rsid w:val="001E100A"/>
    <w:rsid w:val="001E1603"/>
    <w:rsid w:val="001E7AFE"/>
    <w:rsid w:val="001F7D85"/>
    <w:rsid w:val="0020491E"/>
    <w:rsid w:val="00207FF0"/>
    <w:rsid w:val="00220F7D"/>
    <w:rsid w:val="00221ED8"/>
    <w:rsid w:val="00233BED"/>
    <w:rsid w:val="002345A0"/>
    <w:rsid w:val="00241F43"/>
    <w:rsid w:val="00242E6A"/>
    <w:rsid w:val="00246F68"/>
    <w:rsid w:val="00260B2F"/>
    <w:rsid w:val="002613FB"/>
    <w:rsid w:val="00262A8E"/>
    <w:rsid w:val="002660F0"/>
    <w:rsid w:val="0026642A"/>
    <w:rsid w:val="002707E2"/>
    <w:rsid w:val="0027635D"/>
    <w:rsid w:val="002778F6"/>
    <w:rsid w:val="0028307E"/>
    <w:rsid w:val="002837ED"/>
    <w:rsid w:val="00287BD2"/>
    <w:rsid w:val="002927C4"/>
    <w:rsid w:val="00292B25"/>
    <w:rsid w:val="002936E0"/>
    <w:rsid w:val="00294DAA"/>
    <w:rsid w:val="00297A0E"/>
    <w:rsid w:val="002A0FEC"/>
    <w:rsid w:val="002A3D02"/>
    <w:rsid w:val="002A4796"/>
    <w:rsid w:val="002A6421"/>
    <w:rsid w:val="002A642F"/>
    <w:rsid w:val="002B4EF5"/>
    <w:rsid w:val="002B52C9"/>
    <w:rsid w:val="002B709D"/>
    <w:rsid w:val="002B7320"/>
    <w:rsid w:val="002C0DFD"/>
    <w:rsid w:val="002D6702"/>
    <w:rsid w:val="002D6A3F"/>
    <w:rsid w:val="002E0117"/>
    <w:rsid w:val="002E0ECB"/>
    <w:rsid w:val="002E364B"/>
    <w:rsid w:val="002E603B"/>
    <w:rsid w:val="002F32AF"/>
    <w:rsid w:val="002F57B9"/>
    <w:rsid w:val="00300016"/>
    <w:rsid w:val="00302476"/>
    <w:rsid w:val="00302633"/>
    <w:rsid w:val="00303426"/>
    <w:rsid w:val="00304DB7"/>
    <w:rsid w:val="003118A6"/>
    <w:rsid w:val="003278D6"/>
    <w:rsid w:val="003302A6"/>
    <w:rsid w:val="00330604"/>
    <w:rsid w:val="0033423C"/>
    <w:rsid w:val="00337006"/>
    <w:rsid w:val="0033702D"/>
    <w:rsid w:val="00345A67"/>
    <w:rsid w:val="0034752B"/>
    <w:rsid w:val="00364C29"/>
    <w:rsid w:val="0036721C"/>
    <w:rsid w:val="00370445"/>
    <w:rsid w:val="00370D9D"/>
    <w:rsid w:val="00375C08"/>
    <w:rsid w:val="00377032"/>
    <w:rsid w:val="00380136"/>
    <w:rsid w:val="0038366B"/>
    <w:rsid w:val="00384A18"/>
    <w:rsid w:val="00390187"/>
    <w:rsid w:val="00391498"/>
    <w:rsid w:val="0039193E"/>
    <w:rsid w:val="003A4211"/>
    <w:rsid w:val="003A6FBC"/>
    <w:rsid w:val="003A7514"/>
    <w:rsid w:val="003A7CE6"/>
    <w:rsid w:val="003B3929"/>
    <w:rsid w:val="003B4F24"/>
    <w:rsid w:val="003C0478"/>
    <w:rsid w:val="003D44CC"/>
    <w:rsid w:val="003E10FB"/>
    <w:rsid w:val="003E2594"/>
    <w:rsid w:val="003E35C8"/>
    <w:rsid w:val="003E396B"/>
    <w:rsid w:val="003E54BD"/>
    <w:rsid w:val="003F5CD7"/>
    <w:rsid w:val="003F7E6F"/>
    <w:rsid w:val="004006D2"/>
    <w:rsid w:val="00402FB1"/>
    <w:rsid w:val="00404C07"/>
    <w:rsid w:val="00414733"/>
    <w:rsid w:val="00415DE1"/>
    <w:rsid w:val="00416F8C"/>
    <w:rsid w:val="004175E3"/>
    <w:rsid w:val="004247D2"/>
    <w:rsid w:val="0042570B"/>
    <w:rsid w:val="004361E1"/>
    <w:rsid w:val="00436A20"/>
    <w:rsid w:val="00441177"/>
    <w:rsid w:val="004445CF"/>
    <w:rsid w:val="004544FC"/>
    <w:rsid w:val="00454EE3"/>
    <w:rsid w:val="004603F4"/>
    <w:rsid w:val="004613BF"/>
    <w:rsid w:val="004640F4"/>
    <w:rsid w:val="00466B3E"/>
    <w:rsid w:val="00474DB5"/>
    <w:rsid w:val="004778EF"/>
    <w:rsid w:val="004806C2"/>
    <w:rsid w:val="00480951"/>
    <w:rsid w:val="004866E5"/>
    <w:rsid w:val="00492032"/>
    <w:rsid w:val="004A0C9A"/>
    <w:rsid w:val="004A2A31"/>
    <w:rsid w:val="004A2C2E"/>
    <w:rsid w:val="004A64E3"/>
    <w:rsid w:val="004A751B"/>
    <w:rsid w:val="004B214D"/>
    <w:rsid w:val="004B6241"/>
    <w:rsid w:val="004B7DA0"/>
    <w:rsid w:val="004C0E9C"/>
    <w:rsid w:val="004C252A"/>
    <w:rsid w:val="004C3247"/>
    <w:rsid w:val="004E310B"/>
    <w:rsid w:val="004E42B5"/>
    <w:rsid w:val="004F0611"/>
    <w:rsid w:val="004F2F0E"/>
    <w:rsid w:val="004F6AA9"/>
    <w:rsid w:val="004F75F6"/>
    <w:rsid w:val="00505DDE"/>
    <w:rsid w:val="00506718"/>
    <w:rsid w:val="00512772"/>
    <w:rsid w:val="0051493C"/>
    <w:rsid w:val="00522DB2"/>
    <w:rsid w:val="00526A87"/>
    <w:rsid w:val="00534A92"/>
    <w:rsid w:val="0053624C"/>
    <w:rsid w:val="00536B7F"/>
    <w:rsid w:val="005407BC"/>
    <w:rsid w:val="00543D0F"/>
    <w:rsid w:val="005545E6"/>
    <w:rsid w:val="005574B7"/>
    <w:rsid w:val="00562DF1"/>
    <w:rsid w:val="00563396"/>
    <w:rsid w:val="00564285"/>
    <w:rsid w:val="00565A8F"/>
    <w:rsid w:val="0057213B"/>
    <w:rsid w:val="00574165"/>
    <w:rsid w:val="00586724"/>
    <w:rsid w:val="00587C27"/>
    <w:rsid w:val="005930FF"/>
    <w:rsid w:val="00594EE4"/>
    <w:rsid w:val="005A1308"/>
    <w:rsid w:val="005A3B11"/>
    <w:rsid w:val="005A465A"/>
    <w:rsid w:val="005A4C19"/>
    <w:rsid w:val="005B0DF3"/>
    <w:rsid w:val="005B1FFB"/>
    <w:rsid w:val="005C5A04"/>
    <w:rsid w:val="005C6D7B"/>
    <w:rsid w:val="005D1077"/>
    <w:rsid w:val="005D2838"/>
    <w:rsid w:val="005D4D7E"/>
    <w:rsid w:val="005D6E40"/>
    <w:rsid w:val="005E2CB4"/>
    <w:rsid w:val="005F0676"/>
    <w:rsid w:val="005F4B30"/>
    <w:rsid w:val="0060045A"/>
    <w:rsid w:val="00602DF7"/>
    <w:rsid w:val="0060466A"/>
    <w:rsid w:val="00610996"/>
    <w:rsid w:val="0061362D"/>
    <w:rsid w:val="0061477B"/>
    <w:rsid w:val="00620372"/>
    <w:rsid w:val="0062716B"/>
    <w:rsid w:val="00631B9C"/>
    <w:rsid w:val="00632B8A"/>
    <w:rsid w:val="00635590"/>
    <w:rsid w:val="00635F4E"/>
    <w:rsid w:val="00636258"/>
    <w:rsid w:val="00640DD8"/>
    <w:rsid w:val="00642AC3"/>
    <w:rsid w:val="00642FEE"/>
    <w:rsid w:val="006430B2"/>
    <w:rsid w:val="006469CE"/>
    <w:rsid w:val="006515E7"/>
    <w:rsid w:val="00652F2A"/>
    <w:rsid w:val="0065337E"/>
    <w:rsid w:val="006563EC"/>
    <w:rsid w:val="00674160"/>
    <w:rsid w:val="00676ED4"/>
    <w:rsid w:val="00682E9A"/>
    <w:rsid w:val="00693A52"/>
    <w:rsid w:val="00696422"/>
    <w:rsid w:val="0069660B"/>
    <w:rsid w:val="006A060F"/>
    <w:rsid w:val="006A27F2"/>
    <w:rsid w:val="006A33BB"/>
    <w:rsid w:val="006B50C2"/>
    <w:rsid w:val="006C26A1"/>
    <w:rsid w:val="006C389F"/>
    <w:rsid w:val="006C3E57"/>
    <w:rsid w:val="006D07C8"/>
    <w:rsid w:val="006E196B"/>
    <w:rsid w:val="006E2ABD"/>
    <w:rsid w:val="006E3D12"/>
    <w:rsid w:val="006E4977"/>
    <w:rsid w:val="006E6823"/>
    <w:rsid w:val="006E6D4C"/>
    <w:rsid w:val="006F500C"/>
    <w:rsid w:val="006F531C"/>
    <w:rsid w:val="006F5DB2"/>
    <w:rsid w:val="007005F9"/>
    <w:rsid w:val="00700A2F"/>
    <w:rsid w:val="007059F3"/>
    <w:rsid w:val="007059F9"/>
    <w:rsid w:val="00706FBF"/>
    <w:rsid w:val="007166B4"/>
    <w:rsid w:val="00717861"/>
    <w:rsid w:val="007222F2"/>
    <w:rsid w:val="00723BC2"/>
    <w:rsid w:val="00726345"/>
    <w:rsid w:val="007358D4"/>
    <w:rsid w:val="00735B30"/>
    <w:rsid w:val="00750D8C"/>
    <w:rsid w:val="007539AC"/>
    <w:rsid w:val="00754851"/>
    <w:rsid w:val="007616B1"/>
    <w:rsid w:val="00761936"/>
    <w:rsid w:val="007640C6"/>
    <w:rsid w:val="007655DC"/>
    <w:rsid w:val="0076579B"/>
    <w:rsid w:val="007775F1"/>
    <w:rsid w:val="007807B4"/>
    <w:rsid w:val="00786F93"/>
    <w:rsid w:val="00791B8C"/>
    <w:rsid w:val="00793F72"/>
    <w:rsid w:val="00794727"/>
    <w:rsid w:val="007A1FD5"/>
    <w:rsid w:val="007B3196"/>
    <w:rsid w:val="007C05B6"/>
    <w:rsid w:val="007C1814"/>
    <w:rsid w:val="007C25FD"/>
    <w:rsid w:val="007C634C"/>
    <w:rsid w:val="007D14A8"/>
    <w:rsid w:val="007D4351"/>
    <w:rsid w:val="007D43DC"/>
    <w:rsid w:val="007D6EC0"/>
    <w:rsid w:val="007D74AB"/>
    <w:rsid w:val="007D7B52"/>
    <w:rsid w:val="007E1612"/>
    <w:rsid w:val="007E300E"/>
    <w:rsid w:val="007F34DB"/>
    <w:rsid w:val="008027B4"/>
    <w:rsid w:val="00804D25"/>
    <w:rsid w:val="0080514D"/>
    <w:rsid w:val="00810E4A"/>
    <w:rsid w:val="008123C8"/>
    <w:rsid w:val="008146BE"/>
    <w:rsid w:val="00814E11"/>
    <w:rsid w:val="00824EEB"/>
    <w:rsid w:val="00827409"/>
    <w:rsid w:val="00827AFC"/>
    <w:rsid w:val="0083199F"/>
    <w:rsid w:val="00833033"/>
    <w:rsid w:val="008371DE"/>
    <w:rsid w:val="00842F95"/>
    <w:rsid w:val="00847A00"/>
    <w:rsid w:val="00851341"/>
    <w:rsid w:val="008637AC"/>
    <w:rsid w:val="00870791"/>
    <w:rsid w:val="00871109"/>
    <w:rsid w:val="0087410B"/>
    <w:rsid w:val="0087603E"/>
    <w:rsid w:val="00877916"/>
    <w:rsid w:val="008826D6"/>
    <w:rsid w:val="008901EA"/>
    <w:rsid w:val="00890673"/>
    <w:rsid w:val="00891637"/>
    <w:rsid w:val="0089264C"/>
    <w:rsid w:val="00895C0A"/>
    <w:rsid w:val="008A1EE0"/>
    <w:rsid w:val="008A39B4"/>
    <w:rsid w:val="008A4848"/>
    <w:rsid w:val="008A4CB1"/>
    <w:rsid w:val="008A58AF"/>
    <w:rsid w:val="008A609C"/>
    <w:rsid w:val="008A66C7"/>
    <w:rsid w:val="008A7949"/>
    <w:rsid w:val="008B0567"/>
    <w:rsid w:val="008C11ED"/>
    <w:rsid w:val="008C181A"/>
    <w:rsid w:val="008C6509"/>
    <w:rsid w:val="008E1F0E"/>
    <w:rsid w:val="008E579E"/>
    <w:rsid w:val="008E627C"/>
    <w:rsid w:val="008F30B0"/>
    <w:rsid w:val="008F6424"/>
    <w:rsid w:val="008F7AC0"/>
    <w:rsid w:val="008F7B2F"/>
    <w:rsid w:val="00902051"/>
    <w:rsid w:val="009021E0"/>
    <w:rsid w:val="00905D3B"/>
    <w:rsid w:val="00906101"/>
    <w:rsid w:val="00907F68"/>
    <w:rsid w:val="0091000F"/>
    <w:rsid w:val="0091112D"/>
    <w:rsid w:val="00912B94"/>
    <w:rsid w:val="009150CC"/>
    <w:rsid w:val="00915666"/>
    <w:rsid w:val="00921E8B"/>
    <w:rsid w:val="009321E8"/>
    <w:rsid w:val="009324B9"/>
    <w:rsid w:val="00933A68"/>
    <w:rsid w:val="00935723"/>
    <w:rsid w:val="00940426"/>
    <w:rsid w:val="00942D02"/>
    <w:rsid w:val="009450A7"/>
    <w:rsid w:val="00945AD9"/>
    <w:rsid w:val="009525DA"/>
    <w:rsid w:val="009554F9"/>
    <w:rsid w:val="00957186"/>
    <w:rsid w:val="0096053B"/>
    <w:rsid w:val="00962D78"/>
    <w:rsid w:val="00967BBD"/>
    <w:rsid w:val="00973005"/>
    <w:rsid w:val="00974D8E"/>
    <w:rsid w:val="00974E20"/>
    <w:rsid w:val="0098045C"/>
    <w:rsid w:val="00983547"/>
    <w:rsid w:val="00985B9B"/>
    <w:rsid w:val="0099476E"/>
    <w:rsid w:val="0099576B"/>
    <w:rsid w:val="009A67EE"/>
    <w:rsid w:val="009B0FAE"/>
    <w:rsid w:val="009B1C56"/>
    <w:rsid w:val="009B54D4"/>
    <w:rsid w:val="009C001A"/>
    <w:rsid w:val="009C1DC3"/>
    <w:rsid w:val="009C7F83"/>
    <w:rsid w:val="009D0ECE"/>
    <w:rsid w:val="009D5736"/>
    <w:rsid w:val="009D583C"/>
    <w:rsid w:val="009D7DD6"/>
    <w:rsid w:val="009F05CF"/>
    <w:rsid w:val="009F0788"/>
    <w:rsid w:val="009F4EB3"/>
    <w:rsid w:val="009F60D4"/>
    <w:rsid w:val="009F68F0"/>
    <w:rsid w:val="00A0427C"/>
    <w:rsid w:val="00A1432F"/>
    <w:rsid w:val="00A14CE2"/>
    <w:rsid w:val="00A2187A"/>
    <w:rsid w:val="00A24A4D"/>
    <w:rsid w:val="00A25557"/>
    <w:rsid w:val="00A27556"/>
    <w:rsid w:val="00A3459B"/>
    <w:rsid w:val="00A364C1"/>
    <w:rsid w:val="00A36E6F"/>
    <w:rsid w:val="00A421A9"/>
    <w:rsid w:val="00A55FC9"/>
    <w:rsid w:val="00A574D6"/>
    <w:rsid w:val="00A612D7"/>
    <w:rsid w:val="00A626D2"/>
    <w:rsid w:val="00A62E7F"/>
    <w:rsid w:val="00A63A80"/>
    <w:rsid w:val="00A67311"/>
    <w:rsid w:val="00A70FD9"/>
    <w:rsid w:val="00A71E7B"/>
    <w:rsid w:val="00A72C3E"/>
    <w:rsid w:val="00A761FB"/>
    <w:rsid w:val="00A86467"/>
    <w:rsid w:val="00A87FAD"/>
    <w:rsid w:val="00A9380F"/>
    <w:rsid w:val="00A972BF"/>
    <w:rsid w:val="00AA08E7"/>
    <w:rsid w:val="00AA3639"/>
    <w:rsid w:val="00AA4E79"/>
    <w:rsid w:val="00AA4F8F"/>
    <w:rsid w:val="00AB7896"/>
    <w:rsid w:val="00AB7B41"/>
    <w:rsid w:val="00AC0C9D"/>
    <w:rsid w:val="00AC2A15"/>
    <w:rsid w:val="00AC41EC"/>
    <w:rsid w:val="00AC531D"/>
    <w:rsid w:val="00AD3A36"/>
    <w:rsid w:val="00AD6B08"/>
    <w:rsid w:val="00AD7D47"/>
    <w:rsid w:val="00AE3D56"/>
    <w:rsid w:val="00AF7AE2"/>
    <w:rsid w:val="00B02762"/>
    <w:rsid w:val="00B1513C"/>
    <w:rsid w:val="00B218E5"/>
    <w:rsid w:val="00B22A7F"/>
    <w:rsid w:val="00B230F7"/>
    <w:rsid w:val="00B23A15"/>
    <w:rsid w:val="00B31057"/>
    <w:rsid w:val="00B367B0"/>
    <w:rsid w:val="00B42CA6"/>
    <w:rsid w:val="00B45C9B"/>
    <w:rsid w:val="00B54D2B"/>
    <w:rsid w:val="00B628F9"/>
    <w:rsid w:val="00B6373D"/>
    <w:rsid w:val="00B66C29"/>
    <w:rsid w:val="00B70E62"/>
    <w:rsid w:val="00B76278"/>
    <w:rsid w:val="00B77DBD"/>
    <w:rsid w:val="00B80431"/>
    <w:rsid w:val="00B805FC"/>
    <w:rsid w:val="00B82DBF"/>
    <w:rsid w:val="00B83DED"/>
    <w:rsid w:val="00B8416A"/>
    <w:rsid w:val="00B9250E"/>
    <w:rsid w:val="00B96F8A"/>
    <w:rsid w:val="00BA0DAF"/>
    <w:rsid w:val="00BA3A6A"/>
    <w:rsid w:val="00BB0D0D"/>
    <w:rsid w:val="00BC0979"/>
    <w:rsid w:val="00BC1F79"/>
    <w:rsid w:val="00BC261C"/>
    <w:rsid w:val="00BC7059"/>
    <w:rsid w:val="00BD228C"/>
    <w:rsid w:val="00BE693D"/>
    <w:rsid w:val="00BE7F38"/>
    <w:rsid w:val="00BF19BC"/>
    <w:rsid w:val="00C00367"/>
    <w:rsid w:val="00C03E3B"/>
    <w:rsid w:val="00C108D2"/>
    <w:rsid w:val="00C11085"/>
    <w:rsid w:val="00C11FFC"/>
    <w:rsid w:val="00C14CE8"/>
    <w:rsid w:val="00C1594D"/>
    <w:rsid w:val="00C16353"/>
    <w:rsid w:val="00C23AA8"/>
    <w:rsid w:val="00C25C65"/>
    <w:rsid w:val="00C27B2D"/>
    <w:rsid w:val="00C368EB"/>
    <w:rsid w:val="00C4086B"/>
    <w:rsid w:val="00C40D50"/>
    <w:rsid w:val="00C4524C"/>
    <w:rsid w:val="00C46719"/>
    <w:rsid w:val="00C47DE9"/>
    <w:rsid w:val="00C53692"/>
    <w:rsid w:val="00C556F5"/>
    <w:rsid w:val="00C55FDE"/>
    <w:rsid w:val="00C62ED8"/>
    <w:rsid w:val="00C632B1"/>
    <w:rsid w:val="00C716DB"/>
    <w:rsid w:val="00C72C2F"/>
    <w:rsid w:val="00C73EEC"/>
    <w:rsid w:val="00C73F41"/>
    <w:rsid w:val="00C7564D"/>
    <w:rsid w:val="00C86ADD"/>
    <w:rsid w:val="00C93B98"/>
    <w:rsid w:val="00C96DDC"/>
    <w:rsid w:val="00C9741C"/>
    <w:rsid w:val="00C97531"/>
    <w:rsid w:val="00CA0FF9"/>
    <w:rsid w:val="00CA29C0"/>
    <w:rsid w:val="00CA30A9"/>
    <w:rsid w:val="00CA5EAF"/>
    <w:rsid w:val="00CB2A11"/>
    <w:rsid w:val="00CC212B"/>
    <w:rsid w:val="00CC2AE9"/>
    <w:rsid w:val="00CC2C79"/>
    <w:rsid w:val="00CC7D9B"/>
    <w:rsid w:val="00CD2570"/>
    <w:rsid w:val="00CD34CE"/>
    <w:rsid w:val="00CD4713"/>
    <w:rsid w:val="00CE65A1"/>
    <w:rsid w:val="00CE7ADA"/>
    <w:rsid w:val="00CF1B4C"/>
    <w:rsid w:val="00CF56C5"/>
    <w:rsid w:val="00CF7A52"/>
    <w:rsid w:val="00D053D7"/>
    <w:rsid w:val="00D12F1B"/>
    <w:rsid w:val="00D1505C"/>
    <w:rsid w:val="00D20DFB"/>
    <w:rsid w:val="00D222A5"/>
    <w:rsid w:val="00D360AF"/>
    <w:rsid w:val="00D43A83"/>
    <w:rsid w:val="00D46D40"/>
    <w:rsid w:val="00D507F3"/>
    <w:rsid w:val="00D53DBB"/>
    <w:rsid w:val="00D55295"/>
    <w:rsid w:val="00D655DA"/>
    <w:rsid w:val="00D70925"/>
    <w:rsid w:val="00D71243"/>
    <w:rsid w:val="00D742DA"/>
    <w:rsid w:val="00D74DF3"/>
    <w:rsid w:val="00D76939"/>
    <w:rsid w:val="00D80895"/>
    <w:rsid w:val="00D948B9"/>
    <w:rsid w:val="00D9652B"/>
    <w:rsid w:val="00DA1091"/>
    <w:rsid w:val="00DA3DE0"/>
    <w:rsid w:val="00DA558F"/>
    <w:rsid w:val="00DA5A19"/>
    <w:rsid w:val="00DB1330"/>
    <w:rsid w:val="00DB1E57"/>
    <w:rsid w:val="00DB3D48"/>
    <w:rsid w:val="00DB47B9"/>
    <w:rsid w:val="00DB737C"/>
    <w:rsid w:val="00DB751E"/>
    <w:rsid w:val="00DC4B61"/>
    <w:rsid w:val="00DD037E"/>
    <w:rsid w:val="00DD111B"/>
    <w:rsid w:val="00DD33AB"/>
    <w:rsid w:val="00DD3D9A"/>
    <w:rsid w:val="00DD6B07"/>
    <w:rsid w:val="00DE0102"/>
    <w:rsid w:val="00DE3736"/>
    <w:rsid w:val="00DE614A"/>
    <w:rsid w:val="00DF2DEC"/>
    <w:rsid w:val="00DF45DE"/>
    <w:rsid w:val="00DF4DF6"/>
    <w:rsid w:val="00E005CA"/>
    <w:rsid w:val="00E00FF8"/>
    <w:rsid w:val="00E05F69"/>
    <w:rsid w:val="00E107F5"/>
    <w:rsid w:val="00E147E4"/>
    <w:rsid w:val="00E22110"/>
    <w:rsid w:val="00E221AE"/>
    <w:rsid w:val="00E27264"/>
    <w:rsid w:val="00E32023"/>
    <w:rsid w:val="00E41D8D"/>
    <w:rsid w:val="00E42C77"/>
    <w:rsid w:val="00E46E1D"/>
    <w:rsid w:val="00E4763D"/>
    <w:rsid w:val="00E47D7B"/>
    <w:rsid w:val="00E52E6E"/>
    <w:rsid w:val="00E578EE"/>
    <w:rsid w:val="00E57DDA"/>
    <w:rsid w:val="00E6164A"/>
    <w:rsid w:val="00E61B4D"/>
    <w:rsid w:val="00E643E8"/>
    <w:rsid w:val="00E67BF0"/>
    <w:rsid w:val="00E709F2"/>
    <w:rsid w:val="00E8205E"/>
    <w:rsid w:val="00E824B0"/>
    <w:rsid w:val="00E90AB7"/>
    <w:rsid w:val="00E93D3C"/>
    <w:rsid w:val="00E94CAF"/>
    <w:rsid w:val="00E96B20"/>
    <w:rsid w:val="00EA04C7"/>
    <w:rsid w:val="00EA15FE"/>
    <w:rsid w:val="00EA3E98"/>
    <w:rsid w:val="00EA6738"/>
    <w:rsid w:val="00EA7BE1"/>
    <w:rsid w:val="00EB31AC"/>
    <w:rsid w:val="00EB3D3F"/>
    <w:rsid w:val="00EB57AC"/>
    <w:rsid w:val="00EB7655"/>
    <w:rsid w:val="00EC3E21"/>
    <w:rsid w:val="00EC543C"/>
    <w:rsid w:val="00EC576A"/>
    <w:rsid w:val="00EC795A"/>
    <w:rsid w:val="00ED2BB0"/>
    <w:rsid w:val="00ED4A46"/>
    <w:rsid w:val="00ED6CCC"/>
    <w:rsid w:val="00ED7663"/>
    <w:rsid w:val="00EF3838"/>
    <w:rsid w:val="00EF39B4"/>
    <w:rsid w:val="00EF43D2"/>
    <w:rsid w:val="00EF5750"/>
    <w:rsid w:val="00F02C08"/>
    <w:rsid w:val="00F047EE"/>
    <w:rsid w:val="00F06B21"/>
    <w:rsid w:val="00F07901"/>
    <w:rsid w:val="00F12A7E"/>
    <w:rsid w:val="00F13874"/>
    <w:rsid w:val="00F1578D"/>
    <w:rsid w:val="00F208A0"/>
    <w:rsid w:val="00F208CC"/>
    <w:rsid w:val="00F2436D"/>
    <w:rsid w:val="00F303C2"/>
    <w:rsid w:val="00F43022"/>
    <w:rsid w:val="00F430C1"/>
    <w:rsid w:val="00F4692F"/>
    <w:rsid w:val="00F5388E"/>
    <w:rsid w:val="00F61008"/>
    <w:rsid w:val="00F6230C"/>
    <w:rsid w:val="00F627EF"/>
    <w:rsid w:val="00F62FE2"/>
    <w:rsid w:val="00F64974"/>
    <w:rsid w:val="00F71BE2"/>
    <w:rsid w:val="00F71D7C"/>
    <w:rsid w:val="00F85467"/>
    <w:rsid w:val="00F876B9"/>
    <w:rsid w:val="00F91DCF"/>
    <w:rsid w:val="00F92518"/>
    <w:rsid w:val="00F9473E"/>
    <w:rsid w:val="00F971EC"/>
    <w:rsid w:val="00FA25BC"/>
    <w:rsid w:val="00FA3716"/>
    <w:rsid w:val="00FA56D7"/>
    <w:rsid w:val="00FB18F3"/>
    <w:rsid w:val="00FC0872"/>
    <w:rsid w:val="00FC6C2F"/>
    <w:rsid w:val="00FD08E9"/>
    <w:rsid w:val="00FD1ACF"/>
    <w:rsid w:val="00FD290B"/>
    <w:rsid w:val="00FD4F32"/>
    <w:rsid w:val="00FE1150"/>
    <w:rsid w:val="00FE57E8"/>
    <w:rsid w:val="00FF0C1C"/>
    <w:rsid w:val="00FF4295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159779"/>
  <w15:docId w15:val="{98A8171A-F791-46A9-B60A-FD51D57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0B"/>
    <w:pPr>
      <w:spacing w:after="240" w:line="48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70B"/>
    <w:pPr>
      <w:keepNext/>
      <w:pageBreakBefore/>
      <w:spacing w:after="120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Normal"/>
    <w:link w:val="Heading2Char"/>
    <w:qFormat/>
    <w:rsid w:val="0042570B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2570B"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42570B"/>
    <w:pPr>
      <w:keepNext/>
      <w:spacing w:before="240"/>
      <w:outlineLvl w:val="3"/>
    </w:pPr>
    <w:rPr>
      <w:i/>
    </w:rPr>
  </w:style>
  <w:style w:type="character" w:default="1" w:styleId="DefaultParagraphFont">
    <w:name w:val="Default Paragraph Font"/>
    <w:semiHidden/>
    <w:rsid w:val="004257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570B"/>
  </w:style>
  <w:style w:type="paragraph" w:styleId="Header">
    <w:name w:val="header"/>
    <w:basedOn w:val="Normal"/>
    <w:link w:val="HeaderChar"/>
    <w:rsid w:val="0042570B"/>
    <w:pPr>
      <w:tabs>
        <w:tab w:val="center" w:pos="4507"/>
        <w:tab w:val="right" w:pos="9029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B82DBF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rsid w:val="0042570B"/>
    <w:pPr>
      <w:tabs>
        <w:tab w:val="center" w:pos="4507"/>
        <w:tab w:val="right" w:pos="902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82DBF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425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79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8A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8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2B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35723"/>
    <w:rPr>
      <w:rFonts w:ascii="Arial" w:eastAsia="Times New Roman" w:hAnsi="Arial" w:cs="Times New Roman"/>
      <w:b/>
      <w:sz w:val="24"/>
      <w:szCs w:val="20"/>
    </w:rPr>
  </w:style>
  <w:style w:type="paragraph" w:styleId="NormalIndent">
    <w:name w:val="Normal Indent"/>
    <w:basedOn w:val="Normal"/>
    <w:rsid w:val="0042570B"/>
    <w:pPr>
      <w:ind w:firstLine="450"/>
    </w:pPr>
  </w:style>
  <w:style w:type="character" w:styleId="Hyperlink">
    <w:name w:val="Hyperlink"/>
    <w:unhideWhenUsed/>
    <w:rsid w:val="0042570B"/>
    <w:rPr>
      <w:color w:val="0563C1"/>
      <w:u w:val="single"/>
    </w:rPr>
  </w:style>
  <w:style w:type="paragraph" w:customStyle="1" w:styleId="Authortext">
    <w:name w:val="Author text"/>
    <w:basedOn w:val="Normal"/>
    <w:rsid w:val="0042570B"/>
    <w:rPr>
      <w:b/>
    </w:rPr>
  </w:style>
  <w:style w:type="paragraph" w:customStyle="1" w:styleId="Authoraffiliation">
    <w:name w:val="Author affiliation"/>
    <w:basedOn w:val="Normal"/>
    <w:rsid w:val="0042570B"/>
    <w:rPr>
      <w:i/>
    </w:rPr>
  </w:style>
  <w:style w:type="character" w:customStyle="1" w:styleId="Heading1Char">
    <w:name w:val="Heading 1 Char"/>
    <w:link w:val="Heading1"/>
    <w:rsid w:val="0042570B"/>
    <w:rPr>
      <w:rFonts w:ascii="Arial" w:eastAsia="Times New Roman" w:hAnsi="Arial" w:cs="Times New Roman"/>
      <w:b/>
      <w:kern w:val="28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1E1603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1603"/>
    <w:rPr>
      <w:rFonts w:ascii="Arial" w:eastAsia="Times New Roman" w:hAnsi="Arial" w:cs="Times New Roman"/>
      <w:i/>
      <w:sz w:val="24"/>
      <w:szCs w:val="20"/>
    </w:rPr>
  </w:style>
  <w:style w:type="character" w:styleId="PageNumber">
    <w:name w:val="page number"/>
    <w:rsid w:val="0042570B"/>
    <w:rPr>
      <w:rFonts w:ascii="Arial" w:hAnsi="Arial"/>
      <w:color w:val="auto"/>
      <w:sz w:val="18"/>
    </w:rPr>
  </w:style>
  <w:style w:type="paragraph" w:customStyle="1" w:styleId="bullet1">
    <w:name w:val="bullet 1"/>
    <w:basedOn w:val="Normal"/>
    <w:rsid w:val="0042570B"/>
    <w:pPr>
      <w:widowControl w:val="0"/>
      <w:numPr>
        <w:numId w:val="4"/>
      </w:numPr>
      <w:tabs>
        <w:tab w:val="clear" w:pos="360"/>
      </w:tabs>
      <w:ind w:left="284" w:hanging="284"/>
    </w:pPr>
  </w:style>
  <w:style w:type="paragraph" w:styleId="Title">
    <w:name w:val="Title"/>
    <w:basedOn w:val="Normal"/>
    <w:next w:val="Normal"/>
    <w:link w:val="TitleChar"/>
    <w:qFormat/>
    <w:rsid w:val="0042570B"/>
    <w:pPr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E1603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abletext">
    <w:name w:val="Table text"/>
    <w:basedOn w:val="Normal"/>
    <w:rsid w:val="0042570B"/>
    <w:pPr>
      <w:spacing w:before="120" w:after="120" w:line="240" w:lineRule="auto"/>
    </w:pPr>
    <w:rPr>
      <w:sz w:val="20"/>
    </w:rPr>
  </w:style>
  <w:style w:type="paragraph" w:customStyle="1" w:styleId="Figuretablelegend">
    <w:name w:val="Figure/table legend"/>
    <w:basedOn w:val="Normal"/>
    <w:next w:val="Normal"/>
    <w:rsid w:val="0042570B"/>
    <w:pPr>
      <w:pageBreakBefore/>
      <w:outlineLvl w:val="0"/>
    </w:pPr>
    <w:rPr>
      <w:b/>
    </w:rPr>
  </w:style>
  <w:style w:type="paragraph" w:customStyle="1" w:styleId="bullet2">
    <w:name w:val="bullet2"/>
    <w:basedOn w:val="bullet1"/>
    <w:rsid w:val="0042570B"/>
    <w:pPr>
      <w:keepLines/>
      <w:numPr>
        <w:numId w:val="5"/>
      </w:numPr>
      <w:tabs>
        <w:tab w:val="clear" w:pos="728"/>
      </w:tabs>
      <w:spacing w:after="120"/>
      <w:ind w:left="568" w:hanging="284"/>
    </w:pPr>
  </w:style>
  <w:style w:type="paragraph" w:customStyle="1" w:styleId="Referencelist">
    <w:name w:val="Reference list"/>
    <w:basedOn w:val="Normal"/>
    <w:rsid w:val="0042570B"/>
  </w:style>
  <w:style w:type="paragraph" w:customStyle="1" w:styleId="Cover">
    <w:name w:val="Cover"/>
    <w:basedOn w:val="Normal"/>
    <w:rsid w:val="0042570B"/>
    <w:pPr>
      <w:spacing w:before="120" w:after="120" w:line="240" w:lineRule="auto"/>
    </w:pPr>
    <w:rPr>
      <w:b/>
    </w:rPr>
  </w:style>
  <w:style w:type="table" w:styleId="TableGrid">
    <w:name w:val="Table Grid"/>
    <w:basedOn w:val="TableNormal"/>
    <w:rsid w:val="0042570B"/>
    <w:pPr>
      <w:spacing w:after="24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text"/>
    <w:next w:val="Normal"/>
    <w:rsid w:val="0042570B"/>
    <w:rPr>
      <w:b/>
    </w:rPr>
  </w:style>
  <w:style w:type="character" w:styleId="Emphasis">
    <w:name w:val="Emphasis"/>
    <w:qFormat/>
    <w:rsid w:val="0042570B"/>
    <w:rPr>
      <w:b/>
      <w:bCs/>
      <w:i w:val="0"/>
      <w:iCs w:val="0"/>
    </w:rPr>
  </w:style>
  <w:style w:type="paragraph" w:customStyle="1" w:styleId="EndNoteBibliographyTitle">
    <w:name w:val="EndNote Bibliography Title"/>
    <w:basedOn w:val="Normal"/>
    <w:link w:val="EndNoteBibliographyTitleChar"/>
    <w:rsid w:val="0051493C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1493C"/>
    <w:rPr>
      <w:rFonts w:ascii="Arial" w:eastAsia="Times New Roman" w:hAnsi="Arial" w:cs="Arial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4752B"/>
    <w:pPr>
      <w:ind w:left="720" w:hanging="720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4752B"/>
    <w:rPr>
      <w:rFonts w:ascii="Arial" w:eastAsia="Times New Roman" w:hAnsi="Arial" w:cs="Arial"/>
      <w:noProof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1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6DDC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7DE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12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0F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778F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C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2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35737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UK_Editorial\SCION\Manu_Sc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280CD31225B468786D306F98A6FE7" ma:contentTypeVersion="13" ma:contentTypeDescription="Create a new document." ma:contentTypeScope="" ma:versionID="cf2389be7b01347c69c6c990dbe0b684">
  <xsd:schema xmlns:xsd="http://www.w3.org/2001/XMLSchema" xmlns:xs="http://www.w3.org/2001/XMLSchema" xmlns:p="http://schemas.microsoft.com/office/2006/metadata/properties" xmlns:ns3="c940dd63-108c-473c-b554-0847a3dc33c7" xmlns:ns4="adb3c2ce-e776-475c-bdb2-ab20d6a095b2" targetNamespace="http://schemas.microsoft.com/office/2006/metadata/properties" ma:root="true" ma:fieldsID="967cbd1f190c46e4484076cd860c39d1" ns3:_="" ns4:_="">
    <xsd:import namespace="c940dd63-108c-473c-b554-0847a3dc33c7"/>
    <xsd:import namespace="adb3c2ce-e776-475c-bdb2-ab20d6a09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0dd63-108c-473c-b554-0847a3dc3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3c2ce-e776-475c-bdb2-ab20d6a09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1FE05-7558-42A1-AC9A-23FDE9A777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0E8704-832E-43FC-B351-4FB9D4C1D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0dd63-108c-473c-b554-0847a3dc33c7"/>
    <ds:schemaRef ds:uri="adb3c2ce-e776-475c-bdb2-ab20d6a09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0C76A-1481-4D74-AA02-3634379AF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939A9-ABF6-43BA-992F-A54885B667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A329D9-01CE-4B05-A07E-E78DF0B29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Manu_Scion</Template>
  <TotalTime>3</TotalTime>
  <Pages>9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Maldonado Lutomirsky, Mario Roberto</dc:creator>
  <cp:lastModifiedBy>Senior Medical Writer</cp:lastModifiedBy>
  <cp:revision>4</cp:revision>
  <dcterms:created xsi:type="dcterms:W3CDTF">2021-05-07T14:16:00Z</dcterms:created>
  <dcterms:modified xsi:type="dcterms:W3CDTF">2021-05-07T14:44:00Z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005af20e-9c48-466f-a87d-430d37239f76</vt:lpwstr>
  </property>
  <property fmtid="{D5CDD505-2E9C-101B-9397-08002B2CF9AE}" pid="3" name="bjSaver">
    <vt:lpwstr>yddU4fSj1iowb7Id0TbGwpVcg4KyGWv9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0x010100406FEE8CB207AA43BAE1312680CA3D31</vt:lpwstr>
  </property>
  <property fmtid="{D5CDD505-2E9C-101B-9397-08002B2CF9AE}" pid="8" name="_AdHocReviewCycleID">
    <vt:i4>-14602397</vt:i4>
  </property>
  <property fmtid="{D5CDD505-2E9C-101B-9397-08002B2CF9AE}" pid="9" name="_NewReviewCycle">
    <vt:lpwstr/>
  </property>
  <property fmtid="{D5CDD505-2E9C-101B-9397-08002B2CF9AE}" pid="10" name="_EmailSubject">
    <vt:lpwstr>CJASN Manuscript CJASN-0113-01-21.R1</vt:lpwstr>
  </property>
  <property fmtid="{D5CDD505-2E9C-101B-9397-08002B2CF9AE}" pid="11" name="_AuthorEmail">
    <vt:lpwstr>mario.maldonado@msd.com</vt:lpwstr>
  </property>
  <property fmtid="{D5CDD505-2E9C-101B-9397-08002B2CF9AE}" pid="12" name="_AuthorEmailDisplayName">
    <vt:lpwstr>Maldonado Lutomirsky, Mario Roberto</vt:lpwstr>
  </property>
  <property fmtid="{D5CDD505-2E9C-101B-9397-08002B2CF9AE}" pid="13" name="_PreviousAdHocReviewCycleID">
    <vt:i4>2040839293</vt:i4>
  </property>
  <property fmtid="{D5CDD505-2E9C-101B-9397-08002B2CF9AE}" pid="14" name="_ReviewingToolsShownOnce">
    <vt:lpwstr/>
  </property>
</Properties>
</file>