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F101" w14:textId="2D9BB8A8" w:rsidR="0055120E" w:rsidRDefault="0055120E" w:rsidP="0055120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45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Supplemental </w:t>
      </w:r>
      <w:r w:rsidR="007C227C">
        <w:rPr>
          <w:rFonts w:ascii="Times New Roman" w:hAnsi="Times New Roman" w:cs="Times New Roman"/>
          <w:b/>
          <w:sz w:val="28"/>
          <w:szCs w:val="28"/>
          <w:lang w:val="en-US"/>
        </w:rPr>
        <w:t>Material</w:t>
      </w:r>
    </w:p>
    <w:p w14:paraId="11567394" w14:textId="77777777" w:rsidR="0055120E" w:rsidRPr="00D94260" w:rsidRDefault="0055120E" w:rsidP="0055120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9CC1CB" w14:textId="77777777" w:rsidR="0055120E" w:rsidRPr="00D445AC" w:rsidRDefault="0055120E" w:rsidP="0055120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45AC">
        <w:rPr>
          <w:rFonts w:ascii="Times New Roman" w:hAnsi="Times New Roman" w:cs="Times New Roman"/>
          <w:b/>
          <w:sz w:val="24"/>
          <w:szCs w:val="24"/>
          <w:lang w:val="en-US"/>
        </w:rPr>
        <w:t>Table of contents:</w:t>
      </w:r>
    </w:p>
    <w:p w14:paraId="0C3F4FB1" w14:textId="4A07DC2C" w:rsidR="00100797" w:rsidRPr="00100797" w:rsidRDefault="00100797" w:rsidP="00F551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511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Supplemental Table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Pr="00F55115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Characteristics of 36 kidney transplant recipients with seroconversion after standard two-dose COVID-19 vaccination. </w:t>
      </w:r>
    </w:p>
    <w:p w14:paraId="606DC9F4" w14:textId="2A966757" w:rsidR="00F55115" w:rsidRDefault="00F55115" w:rsidP="00F5511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5511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Supplemental Table </w:t>
      </w:r>
      <w:r w:rsidR="00100797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F55115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F55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Cut</w:t>
      </w:r>
      <w:r w:rsidRPr="00F5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off values for defining positivity for antibodies against different SARS-CoV-2 target epitopes by a bead-based multiplex assay.</w:t>
      </w:r>
    </w:p>
    <w:p w14:paraId="3E8C1813" w14:textId="670748E6" w:rsidR="005C50D5" w:rsidRDefault="00117920" w:rsidP="00290257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9025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Supplemental Figure 1.</w:t>
      </w:r>
      <w:r w:rsidR="005C50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30E39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 w:rsidR="005C50D5" w:rsidRPr="005E787E">
        <w:rPr>
          <w:rFonts w:ascii="Times New Roman" w:hAnsi="Times New Roman" w:cs="Times New Roman"/>
          <w:bCs/>
          <w:sz w:val="24"/>
          <w:szCs w:val="24"/>
          <w:lang w:val="en-GB"/>
        </w:rPr>
        <w:t>ntibodies against different SARS-CoV-2 target epitopes in kidney transplant recipients and healthy controls with different SARS-CoV-2 two-dose vaccination regimens.</w:t>
      </w:r>
    </w:p>
    <w:p w14:paraId="4490420C" w14:textId="7E05C60F" w:rsidR="00117920" w:rsidRPr="00F55115" w:rsidRDefault="00117920" w:rsidP="00F5511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EE97C24" w14:textId="77777777" w:rsidR="00FF2BBD" w:rsidRDefault="00FF2BBD">
      <w:pPr>
        <w:rPr>
          <w:lang w:val="en-US"/>
        </w:rPr>
      </w:pPr>
    </w:p>
    <w:p w14:paraId="0E4C5D81" w14:textId="77777777" w:rsidR="0055120E" w:rsidRDefault="0055120E">
      <w:pPr>
        <w:rPr>
          <w:lang w:val="en-US"/>
        </w:rPr>
      </w:pPr>
    </w:p>
    <w:p w14:paraId="22ABCB0C" w14:textId="77777777" w:rsidR="0055120E" w:rsidRDefault="0055120E">
      <w:pPr>
        <w:rPr>
          <w:lang w:val="en-US"/>
        </w:rPr>
      </w:pPr>
    </w:p>
    <w:p w14:paraId="33995324" w14:textId="77777777" w:rsidR="0055120E" w:rsidRDefault="0055120E">
      <w:pPr>
        <w:rPr>
          <w:lang w:val="en-US"/>
        </w:rPr>
      </w:pPr>
    </w:p>
    <w:p w14:paraId="1C17665F" w14:textId="77777777" w:rsidR="0055120E" w:rsidRDefault="0055120E">
      <w:pPr>
        <w:rPr>
          <w:lang w:val="en-US"/>
        </w:rPr>
      </w:pPr>
    </w:p>
    <w:p w14:paraId="1D6B39BA" w14:textId="77777777" w:rsidR="0055120E" w:rsidRDefault="0055120E">
      <w:pPr>
        <w:rPr>
          <w:lang w:val="en-US"/>
        </w:rPr>
      </w:pPr>
    </w:p>
    <w:p w14:paraId="5C151CC4" w14:textId="77777777" w:rsidR="00100797" w:rsidRDefault="00100797">
      <w:pPr>
        <w:rPr>
          <w:lang w:val="en-US"/>
        </w:rPr>
        <w:sectPr w:rsidR="00100797" w:rsidSect="00C43478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471B7C5D" w14:textId="1D8486A9" w:rsidR="003D5579" w:rsidRPr="003D5579" w:rsidRDefault="003D5579" w:rsidP="003D55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031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Supplemental Table </w:t>
      </w:r>
      <w:r w:rsidR="0010079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E303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Characteristics of 36 kidney transplant recipients with seroconversion after standard two-dose COVID-19 vaccination.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029"/>
        <w:gridCol w:w="1985"/>
        <w:gridCol w:w="1984"/>
      </w:tblGrid>
      <w:tr w:rsidR="003D5579" w:rsidRPr="001806F1" w14:paraId="0ED76A51" w14:textId="77777777" w:rsidTr="00E30319">
        <w:tc>
          <w:tcPr>
            <w:tcW w:w="8500" w:type="dxa"/>
            <w:gridSpan w:val="4"/>
            <w:shd w:val="clear" w:color="auto" w:fill="F2F2F2" w:themeFill="background1" w:themeFillShade="F2"/>
          </w:tcPr>
          <w:p w14:paraId="322A15AC" w14:textId="77777777" w:rsidR="00E30319" w:rsidRDefault="003D5579" w:rsidP="00E3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Seroconverted kidney transplant recipients after standard </w:t>
            </w:r>
          </w:p>
          <w:p w14:paraId="3BB44C14" w14:textId="138E3E41" w:rsidR="003D5579" w:rsidRPr="003D5579" w:rsidRDefault="003D5579" w:rsidP="00E3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two-dose COVID-19 vaccination (N=36)</w:t>
            </w:r>
          </w:p>
        </w:tc>
      </w:tr>
      <w:tr w:rsidR="003D5579" w:rsidRPr="00A14684" w14:paraId="072FBDA9" w14:textId="77777777" w:rsidTr="00E30319">
        <w:tc>
          <w:tcPr>
            <w:tcW w:w="2502" w:type="dxa"/>
          </w:tcPr>
          <w:p w14:paraId="7CF0DA3B" w14:textId="77777777" w:rsidR="003D5579" w:rsidRPr="00BA1171" w:rsidRDefault="003D5579" w:rsidP="00BA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11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Vaccine</w:t>
            </w:r>
          </w:p>
        </w:tc>
        <w:tc>
          <w:tcPr>
            <w:tcW w:w="2029" w:type="dxa"/>
          </w:tcPr>
          <w:p w14:paraId="3EF10BBC" w14:textId="0E0C03E6" w:rsidR="003D5579" w:rsidRPr="003D5579" w:rsidRDefault="003D5579" w:rsidP="00B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D5579">
              <w:rPr>
                <w:rFonts w:ascii="Times New Roman" w:hAnsi="Times New Roman" w:cs="Times New Roman"/>
                <w:bCs/>
                <w:sz w:val="24"/>
                <w:szCs w:val="24"/>
              </w:rPr>
              <w:t>mRNA/mRN</w:t>
            </w:r>
            <w:r w:rsidR="00E3031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3D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(N=29)</w:t>
            </w:r>
          </w:p>
        </w:tc>
        <w:tc>
          <w:tcPr>
            <w:tcW w:w="1985" w:type="dxa"/>
          </w:tcPr>
          <w:p w14:paraId="405C0057" w14:textId="77777777" w:rsidR="003D5579" w:rsidRPr="003D5579" w:rsidRDefault="003D5579" w:rsidP="00BA1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AZ/AZ </w:t>
            </w:r>
          </w:p>
          <w:p w14:paraId="2485E9AA" w14:textId="46B1A53B" w:rsidR="003D5579" w:rsidRPr="003D5579" w:rsidRDefault="003D5579" w:rsidP="00B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579">
              <w:rPr>
                <w:rFonts w:ascii="Times New Roman" w:hAnsi="Times New Roman" w:cs="Times New Roman"/>
                <w:bCs/>
                <w:sz w:val="24"/>
                <w:szCs w:val="24"/>
              </w:rPr>
              <w:t>(N=4)</w:t>
            </w:r>
          </w:p>
        </w:tc>
        <w:tc>
          <w:tcPr>
            <w:tcW w:w="1984" w:type="dxa"/>
          </w:tcPr>
          <w:p w14:paraId="4061F35A" w14:textId="1E28D7B0" w:rsidR="003D5579" w:rsidRPr="003D5579" w:rsidRDefault="003D5579" w:rsidP="00BA1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D5579">
              <w:rPr>
                <w:rFonts w:ascii="Times New Roman" w:hAnsi="Times New Roman" w:cs="Times New Roman"/>
                <w:bCs/>
                <w:sz w:val="24"/>
                <w:szCs w:val="24"/>
              </w:rPr>
              <w:t>AZ/mRNA</w:t>
            </w:r>
          </w:p>
          <w:p w14:paraId="08C1A04F" w14:textId="6F9271B1" w:rsidR="003D5579" w:rsidRPr="003D5579" w:rsidRDefault="003D5579" w:rsidP="00B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579">
              <w:rPr>
                <w:rFonts w:ascii="Times New Roman" w:hAnsi="Times New Roman" w:cs="Times New Roman"/>
                <w:bCs/>
                <w:sz w:val="24"/>
                <w:szCs w:val="24"/>
              </w:rPr>
              <w:t>(N=3)</w:t>
            </w:r>
          </w:p>
        </w:tc>
      </w:tr>
      <w:tr w:rsidR="003D5579" w:rsidRPr="00A14684" w14:paraId="6FA72B32" w14:textId="77777777" w:rsidTr="00E30319">
        <w:tc>
          <w:tcPr>
            <w:tcW w:w="2502" w:type="dxa"/>
          </w:tcPr>
          <w:p w14:paraId="4D8BB065" w14:textId="24D47AF1" w:rsidR="003D5579" w:rsidRDefault="003D5579" w:rsidP="003D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collection, days after vaccination (IQR)</w:t>
            </w:r>
          </w:p>
        </w:tc>
        <w:tc>
          <w:tcPr>
            <w:tcW w:w="5998" w:type="dxa"/>
            <w:gridSpan w:val="3"/>
          </w:tcPr>
          <w:p w14:paraId="02FAEEC8" w14:textId="77777777" w:rsidR="003D5579" w:rsidRPr="00A14684" w:rsidRDefault="003D5579" w:rsidP="003D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B85">
              <w:rPr>
                <w:rFonts w:ascii="Times New Roman" w:hAnsi="Times New Roman" w:cs="Times New Roman"/>
                <w:sz w:val="24"/>
                <w:szCs w:val="24"/>
              </w:rPr>
              <w:t>21 (20–23)</w:t>
            </w:r>
          </w:p>
        </w:tc>
      </w:tr>
      <w:tr w:rsidR="003D5579" w:rsidRPr="00BA1171" w14:paraId="63A5D72B" w14:textId="77777777" w:rsidTr="00E30319">
        <w:tc>
          <w:tcPr>
            <w:tcW w:w="2502" w:type="dxa"/>
          </w:tcPr>
          <w:p w14:paraId="7B311460" w14:textId="0A1750D2" w:rsidR="003D5579" w:rsidRDefault="003D5579" w:rsidP="003D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CE5">
              <w:rPr>
                <w:rFonts w:ascii="Times New Roman" w:hAnsi="Times New Roman" w:cs="Times New Roman"/>
                <w:sz w:val="24"/>
                <w:szCs w:val="24"/>
              </w:rPr>
              <w:t>Vaccine interval, days (IQR)</w:t>
            </w:r>
          </w:p>
        </w:tc>
        <w:tc>
          <w:tcPr>
            <w:tcW w:w="5998" w:type="dxa"/>
            <w:gridSpan w:val="3"/>
          </w:tcPr>
          <w:p w14:paraId="24E79758" w14:textId="77777777" w:rsidR="003D5579" w:rsidRPr="00BA1171" w:rsidRDefault="003D5579" w:rsidP="003D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B85">
              <w:rPr>
                <w:rFonts w:ascii="Times New Roman" w:hAnsi="Times New Roman" w:cs="Times New Roman"/>
                <w:sz w:val="24"/>
                <w:szCs w:val="24"/>
              </w:rPr>
              <w:t>40 (26–42)</w:t>
            </w:r>
          </w:p>
        </w:tc>
      </w:tr>
      <w:tr w:rsidR="003D5579" w:rsidRPr="00BA1171" w14:paraId="558866D0" w14:textId="77777777" w:rsidTr="00E30319">
        <w:tc>
          <w:tcPr>
            <w:tcW w:w="2502" w:type="dxa"/>
          </w:tcPr>
          <w:p w14:paraId="6C3C8268" w14:textId="5CE409A1" w:rsidR="003D5579" w:rsidRDefault="003D5579" w:rsidP="003D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CE5">
              <w:rPr>
                <w:rFonts w:ascii="Times New Roman" w:hAnsi="Times New Roman" w:cs="Times New Roman"/>
                <w:sz w:val="24"/>
                <w:szCs w:val="24"/>
              </w:rPr>
              <w:t>Age, years (IQR)</w:t>
            </w:r>
          </w:p>
        </w:tc>
        <w:tc>
          <w:tcPr>
            <w:tcW w:w="5998" w:type="dxa"/>
            <w:gridSpan w:val="3"/>
          </w:tcPr>
          <w:p w14:paraId="6863BE4C" w14:textId="77777777" w:rsidR="003D5579" w:rsidRPr="00BA1171" w:rsidRDefault="003D5579" w:rsidP="003D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F4B85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4B85">
              <w:rPr>
                <w:rFonts w:ascii="Times New Roman" w:hAnsi="Times New Roman" w:cs="Times New Roman"/>
                <w:sz w:val="24"/>
                <w:szCs w:val="24"/>
              </w:rPr>
              <w:t>–58)</w:t>
            </w:r>
          </w:p>
        </w:tc>
      </w:tr>
      <w:tr w:rsidR="003D5579" w:rsidRPr="00A14684" w14:paraId="070544A1" w14:textId="77777777" w:rsidTr="00E30319">
        <w:tc>
          <w:tcPr>
            <w:tcW w:w="2502" w:type="dxa"/>
          </w:tcPr>
          <w:p w14:paraId="6CDD2768" w14:textId="7845694D" w:rsidR="003D5579" w:rsidRDefault="003D5579" w:rsidP="003D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CE5">
              <w:rPr>
                <w:rFonts w:ascii="Times New Roman" w:hAnsi="Times New Roman" w:cs="Times New Roman"/>
                <w:sz w:val="24"/>
                <w:szCs w:val="24"/>
              </w:rPr>
              <w:t>Females, N (%)</w:t>
            </w:r>
          </w:p>
        </w:tc>
        <w:tc>
          <w:tcPr>
            <w:tcW w:w="5998" w:type="dxa"/>
            <w:gridSpan w:val="3"/>
          </w:tcPr>
          <w:p w14:paraId="7B3DA58E" w14:textId="77777777" w:rsidR="003D5579" w:rsidRPr="00A14684" w:rsidRDefault="003D5579" w:rsidP="003D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B85">
              <w:rPr>
                <w:rFonts w:ascii="Times New Roman" w:hAnsi="Times New Roman" w:cs="Times New Roman"/>
                <w:sz w:val="24"/>
                <w:szCs w:val="24"/>
              </w:rPr>
              <w:t>12 (33)</w:t>
            </w:r>
          </w:p>
        </w:tc>
      </w:tr>
      <w:tr w:rsidR="003D5579" w:rsidRPr="00BA1171" w14:paraId="4B831179" w14:textId="77777777" w:rsidTr="00E30319">
        <w:tc>
          <w:tcPr>
            <w:tcW w:w="8500" w:type="dxa"/>
            <w:gridSpan w:val="4"/>
          </w:tcPr>
          <w:p w14:paraId="70269AB2" w14:textId="1FE7439F" w:rsidR="003D5579" w:rsidRDefault="003D5579" w:rsidP="00BA1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BA11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Transplant-related data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  <w:p w14:paraId="14098013" w14:textId="77777777" w:rsidR="003D5579" w:rsidRPr="00BA1171" w:rsidRDefault="003D5579" w:rsidP="00BA1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3D5579" w:rsidRPr="00A14684" w14:paraId="51A08F5B" w14:textId="77777777" w:rsidTr="00E30319">
        <w:tc>
          <w:tcPr>
            <w:tcW w:w="2502" w:type="dxa"/>
          </w:tcPr>
          <w:p w14:paraId="7E422E1D" w14:textId="4ECCEABF" w:rsidR="003D5579" w:rsidRDefault="003D5579" w:rsidP="003D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since transplantation,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years</w:t>
            </w:r>
            <w:r w:rsidRPr="00A3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(IQR)</w:t>
            </w:r>
          </w:p>
        </w:tc>
        <w:tc>
          <w:tcPr>
            <w:tcW w:w="5998" w:type="dxa"/>
            <w:gridSpan w:val="3"/>
          </w:tcPr>
          <w:p w14:paraId="4BF00299" w14:textId="77777777" w:rsidR="003D5579" w:rsidRPr="00A14684" w:rsidRDefault="003D5579" w:rsidP="003D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4B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4B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F4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5579" w14:paraId="74E2686C" w14:textId="77777777" w:rsidTr="00E30319">
        <w:tc>
          <w:tcPr>
            <w:tcW w:w="2502" w:type="dxa"/>
          </w:tcPr>
          <w:p w14:paraId="17A885DB" w14:textId="5F8888D1" w:rsidR="003D5579" w:rsidRPr="00A32CE5" w:rsidRDefault="003D5579" w:rsidP="003D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transplant, N (%)</w:t>
            </w:r>
          </w:p>
        </w:tc>
        <w:tc>
          <w:tcPr>
            <w:tcW w:w="5998" w:type="dxa"/>
            <w:gridSpan w:val="3"/>
          </w:tcPr>
          <w:p w14:paraId="3723D656" w14:textId="77777777" w:rsidR="003D5579" w:rsidRDefault="003D5579" w:rsidP="003D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(88)</w:t>
            </w:r>
          </w:p>
        </w:tc>
      </w:tr>
      <w:tr w:rsidR="003D5579" w14:paraId="47D9E864" w14:textId="77777777" w:rsidTr="00E30319">
        <w:tc>
          <w:tcPr>
            <w:tcW w:w="2502" w:type="dxa"/>
          </w:tcPr>
          <w:p w14:paraId="2CCCE681" w14:textId="528291B9" w:rsidR="003D5579" w:rsidRPr="00A32CE5" w:rsidRDefault="003D5579" w:rsidP="003D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Deceased donor, N (%)</w:t>
            </w:r>
          </w:p>
        </w:tc>
        <w:tc>
          <w:tcPr>
            <w:tcW w:w="5998" w:type="dxa"/>
            <w:gridSpan w:val="3"/>
          </w:tcPr>
          <w:p w14:paraId="4BB3B2A9" w14:textId="77777777" w:rsidR="003D5579" w:rsidRDefault="003D5579" w:rsidP="003D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(50)</w:t>
            </w:r>
          </w:p>
        </w:tc>
      </w:tr>
      <w:tr w:rsidR="003D5579" w:rsidRPr="00BA1171" w14:paraId="174D0E35" w14:textId="77777777" w:rsidTr="00E30319">
        <w:tc>
          <w:tcPr>
            <w:tcW w:w="8500" w:type="dxa"/>
            <w:gridSpan w:val="4"/>
          </w:tcPr>
          <w:p w14:paraId="7A868FF1" w14:textId="54C253B6" w:rsidR="003D5579" w:rsidRPr="00BA1171" w:rsidRDefault="003D5579" w:rsidP="00BA1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11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Current immunosuppressive medication</w:t>
            </w:r>
          </w:p>
        </w:tc>
      </w:tr>
      <w:tr w:rsidR="003D5579" w:rsidRPr="00A14684" w14:paraId="58FC1A5E" w14:textId="77777777" w:rsidTr="00E30319">
        <w:tc>
          <w:tcPr>
            <w:tcW w:w="2502" w:type="dxa"/>
          </w:tcPr>
          <w:p w14:paraId="0226D243" w14:textId="77777777" w:rsidR="003D5579" w:rsidRDefault="003D5579" w:rsidP="00B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CNI, </w:t>
            </w:r>
            <w:r w:rsidRPr="00A32CE5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5998" w:type="dxa"/>
            <w:gridSpan w:val="3"/>
          </w:tcPr>
          <w:p w14:paraId="265D0100" w14:textId="77777777" w:rsidR="003D5579" w:rsidRPr="00A14684" w:rsidRDefault="003D5579" w:rsidP="00B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B85">
              <w:rPr>
                <w:rFonts w:ascii="Times New Roman" w:hAnsi="Times New Roman" w:cs="Times New Roman"/>
                <w:sz w:val="24"/>
                <w:szCs w:val="24"/>
              </w:rPr>
              <w:t>33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5579" w:rsidRPr="00A14684" w14:paraId="23D088EE" w14:textId="77777777" w:rsidTr="00E30319">
        <w:tc>
          <w:tcPr>
            <w:tcW w:w="2502" w:type="dxa"/>
          </w:tcPr>
          <w:p w14:paraId="5529F5A3" w14:textId="77777777" w:rsidR="003D5579" w:rsidRDefault="003D5579" w:rsidP="00B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MPA, </w:t>
            </w:r>
            <w:r w:rsidRPr="00A32CE5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5998" w:type="dxa"/>
            <w:gridSpan w:val="3"/>
          </w:tcPr>
          <w:p w14:paraId="45C14DC0" w14:textId="77777777" w:rsidR="003D5579" w:rsidRPr="00A14684" w:rsidRDefault="003D5579" w:rsidP="00B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B85">
              <w:rPr>
                <w:rFonts w:ascii="Times New Roman" w:hAnsi="Times New Roman" w:cs="Times New Roman"/>
                <w:sz w:val="24"/>
                <w:szCs w:val="24"/>
              </w:rPr>
              <w:t>21 (58)</w:t>
            </w:r>
          </w:p>
        </w:tc>
      </w:tr>
      <w:tr w:rsidR="003D5579" w:rsidRPr="00A14684" w14:paraId="279DB42C" w14:textId="77777777" w:rsidTr="00E30319">
        <w:tc>
          <w:tcPr>
            <w:tcW w:w="2502" w:type="dxa"/>
          </w:tcPr>
          <w:p w14:paraId="1221E58F" w14:textId="77777777" w:rsidR="003D5579" w:rsidRDefault="003D5579" w:rsidP="00B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Azathioprine, </w:t>
            </w:r>
            <w:r w:rsidRPr="00A32CE5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5998" w:type="dxa"/>
            <w:gridSpan w:val="3"/>
          </w:tcPr>
          <w:p w14:paraId="39706349" w14:textId="77777777" w:rsidR="003D5579" w:rsidRPr="00A14684" w:rsidRDefault="003D5579" w:rsidP="00B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B85">
              <w:rPr>
                <w:rFonts w:ascii="Times New Roman" w:hAnsi="Times New Roman" w:cs="Times New Roman"/>
                <w:sz w:val="24"/>
                <w:szCs w:val="24"/>
              </w:rPr>
              <w:t>4 (11)</w:t>
            </w:r>
          </w:p>
        </w:tc>
      </w:tr>
      <w:tr w:rsidR="003D5579" w:rsidRPr="00A14684" w14:paraId="45AEBEB6" w14:textId="77777777" w:rsidTr="00E30319">
        <w:tc>
          <w:tcPr>
            <w:tcW w:w="2502" w:type="dxa"/>
          </w:tcPr>
          <w:p w14:paraId="6815CEDA" w14:textId="77777777" w:rsidR="003D5579" w:rsidRDefault="003D5579" w:rsidP="00B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mTOR Inhibitor, </w:t>
            </w:r>
            <w:r w:rsidRPr="00A32CE5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5998" w:type="dxa"/>
            <w:gridSpan w:val="3"/>
          </w:tcPr>
          <w:p w14:paraId="27AD7D5A" w14:textId="77777777" w:rsidR="003D5579" w:rsidRPr="00A14684" w:rsidRDefault="003D5579" w:rsidP="00B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B85">
              <w:rPr>
                <w:rFonts w:ascii="Times New Roman" w:hAnsi="Times New Roman" w:cs="Times New Roman"/>
                <w:sz w:val="24"/>
                <w:szCs w:val="24"/>
              </w:rPr>
              <w:t>4 (11)</w:t>
            </w:r>
          </w:p>
        </w:tc>
      </w:tr>
      <w:tr w:rsidR="003D5579" w:rsidRPr="00A14684" w14:paraId="5DDD8F0B" w14:textId="77777777" w:rsidTr="00E30319">
        <w:tc>
          <w:tcPr>
            <w:tcW w:w="2502" w:type="dxa"/>
          </w:tcPr>
          <w:p w14:paraId="5BD71DDD" w14:textId="77777777" w:rsidR="003D5579" w:rsidRDefault="003D5579" w:rsidP="00B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Belatacept</w:t>
            </w:r>
            <w:proofErr w:type="spellEnd"/>
            <w:r w:rsidRPr="00A3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32CE5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5998" w:type="dxa"/>
            <w:gridSpan w:val="3"/>
          </w:tcPr>
          <w:p w14:paraId="66A187A4" w14:textId="77777777" w:rsidR="003D5579" w:rsidRPr="00A14684" w:rsidRDefault="003D5579" w:rsidP="00B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B85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3D5579" w:rsidRPr="00A14684" w14:paraId="59CBCAED" w14:textId="77777777" w:rsidTr="00E30319">
        <w:tc>
          <w:tcPr>
            <w:tcW w:w="2502" w:type="dxa"/>
          </w:tcPr>
          <w:p w14:paraId="17C58B7D" w14:textId="77777777" w:rsidR="003D5579" w:rsidRDefault="003D5579" w:rsidP="00B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Steroids, </w:t>
            </w:r>
            <w:r w:rsidRPr="00A32CE5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5998" w:type="dxa"/>
            <w:gridSpan w:val="3"/>
          </w:tcPr>
          <w:p w14:paraId="108502DE" w14:textId="77777777" w:rsidR="003D5579" w:rsidRPr="00A14684" w:rsidRDefault="003D5579" w:rsidP="00B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B85">
              <w:rPr>
                <w:rFonts w:ascii="Times New Roman" w:hAnsi="Times New Roman" w:cs="Times New Roman"/>
                <w:sz w:val="24"/>
                <w:szCs w:val="24"/>
              </w:rPr>
              <w:t>34 (94)</w:t>
            </w:r>
          </w:p>
        </w:tc>
      </w:tr>
    </w:tbl>
    <w:p w14:paraId="07B299FD" w14:textId="77777777" w:rsidR="00E30319" w:rsidRDefault="00E30319" w:rsidP="00E30319">
      <w:pPr>
        <w:spacing w:after="0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14:paraId="0FEB124D" w14:textId="199525DA" w:rsidR="00E30319" w:rsidRPr="00290257" w:rsidRDefault="00E30319" w:rsidP="00E30319">
      <w:pPr>
        <w:spacing w:after="0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290257">
        <w:rPr>
          <w:rFonts w:ascii="Times New Roman" w:hAnsi="Times New Roman" w:cs="Times New Roman"/>
          <w:iCs/>
          <w:sz w:val="20"/>
          <w:szCs w:val="20"/>
          <w:lang w:val="en-US"/>
        </w:rPr>
        <w:t>AZ, AstraZene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ca; CNI, calcineurin inhibitor; </w:t>
      </w:r>
      <w:r w:rsidRPr="0029025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IQR, interquartile range; MPA, mycophenolic acid; mTOR, mammalian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target of rapamycin; N, number</w:t>
      </w:r>
    </w:p>
    <w:p w14:paraId="359259F4" w14:textId="29D9A5BE" w:rsidR="003D5579" w:rsidRPr="001806F1" w:rsidRDefault="00E3031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806F1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de-DE"/>
        </w:rPr>
        <w:t>1</w:t>
      </w:r>
      <w:r w:rsidRPr="001806F1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– </w:t>
      </w:r>
      <w:r w:rsidR="001806F1" w:rsidRPr="001806F1">
        <w:rPr>
          <w:rFonts w:ascii="Times New Roman" w:hAnsi="Times New Roman" w:cs="Times New Roman"/>
          <w:sz w:val="20"/>
          <w:szCs w:val="20"/>
          <w:lang w:val="en-US"/>
        </w:rPr>
        <w:t>no transplant-related data available for 4 patients</w:t>
      </w:r>
    </w:p>
    <w:p w14:paraId="4A91C71F" w14:textId="77777777" w:rsidR="00100797" w:rsidRDefault="00100797">
      <w:pPr>
        <w:rPr>
          <w:lang w:val="en-US"/>
        </w:rPr>
      </w:pPr>
    </w:p>
    <w:p w14:paraId="5590D62A" w14:textId="77777777" w:rsidR="00100797" w:rsidRDefault="00100797">
      <w:pPr>
        <w:rPr>
          <w:lang w:val="en-US"/>
        </w:rPr>
      </w:pPr>
    </w:p>
    <w:p w14:paraId="3074E44C" w14:textId="77777777" w:rsidR="00100797" w:rsidRDefault="00100797">
      <w:pPr>
        <w:rPr>
          <w:lang w:val="en-US"/>
        </w:rPr>
      </w:pPr>
    </w:p>
    <w:p w14:paraId="0F6705B0" w14:textId="77777777" w:rsidR="00100797" w:rsidRDefault="00100797">
      <w:pPr>
        <w:rPr>
          <w:lang w:val="en-US"/>
        </w:rPr>
      </w:pPr>
    </w:p>
    <w:p w14:paraId="1297A6E1" w14:textId="77777777" w:rsidR="001806F1" w:rsidRDefault="001806F1">
      <w:pPr>
        <w:rPr>
          <w:lang w:val="en-US"/>
        </w:rPr>
      </w:pPr>
    </w:p>
    <w:p w14:paraId="7E51EEC0" w14:textId="77777777" w:rsidR="00100797" w:rsidRDefault="00100797">
      <w:pPr>
        <w:rPr>
          <w:lang w:val="en-US"/>
        </w:rPr>
      </w:pPr>
    </w:p>
    <w:p w14:paraId="28413656" w14:textId="77777777" w:rsidR="00100797" w:rsidRDefault="00100797">
      <w:pPr>
        <w:rPr>
          <w:lang w:val="en-US"/>
        </w:rPr>
      </w:pPr>
    </w:p>
    <w:p w14:paraId="68CE3B02" w14:textId="77777777" w:rsidR="00100797" w:rsidRDefault="00100797">
      <w:pPr>
        <w:rPr>
          <w:lang w:val="en-US"/>
        </w:rPr>
      </w:pPr>
    </w:p>
    <w:p w14:paraId="2197D77E" w14:textId="002EB27A" w:rsidR="00100797" w:rsidRPr="00F55115" w:rsidRDefault="00100797" w:rsidP="0010079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445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D445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44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Cut</w:t>
      </w:r>
      <w:r w:rsidRPr="00F5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off values for defining positivity for antibodies against different SARS-CoV-2 target epitopes by a bead-based multiplex assay.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100797" w:rsidRPr="00D445AC" w14:paraId="6EA89328" w14:textId="77777777" w:rsidTr="00BA1171">
        <w:tc>
          <w:tcPr>
            <w:tcW w:w="2122" w:type="dxa"/>
          </w:tcPr>
          <w:p w14:paraId="5932BB30" w14:textId="77777777" w:rsidR="00100797" w:rsidRPr="00D445AC" w:rsidRDefault="00100797" w:rsidP="00BA11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AC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  <w:tc>
          <w:tcPr>
            <w:tcW w:w="1984" w:type="dxa"/>
          </w:tcPr>
          <w:p w14:paraId="0A44060B" w14:textId="1EFB669A" w:rsidR="00100797" w:rsidRPr="00D445AC" w:rsidRDefault="00D11891" w:rsidP="00BA11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Cut</w:t>
            </w:r>
            <w:r w:rsidR="00100797" w:rsidRPr="00D445AC">
              <w:rPr>
                <w:rFonts w:ascii="Times New Roman" w:hAnsi="Times New Roman" w:cs="Times New Roman"/>
                <w:b/>
                <w:sz w:val="24"/>
                <w:szCs w:val="24"/>
              </w:rPr>
              <w:t>off (MFI)</w:t>
            </w:r>
          </w:p>
        </w:tc>
      </w:tr>
      <w:tr w:rsidR="00100797" w:rsidRPr="00D445AC" w14:paraId="00900857" w14:textId="77777777" w:rsidTr="00BA1171">
        <w:tc>
          <w:tcPr>
            <w:tcW w:w="2122" w:type="dxa"/>
          </w:tcPr>
          <w:p w14:paraId="54226A74" w14:textId="77777777" w:rsidR="00100797" w:rsidRPr="00D445AC" w:rsidRDefault="00100797" w:rsidP="00BA11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SARS-CoV-2 Spike</w:t>
            </w:r>
          </w:p>
        </w:tc>
        <w:tc>
          <w:tcPr>
            <w:tcW w:w="1984" w:type="dxa"/>
          </w:tcPr>
          <w:p w14:paraId="475AC6F9" w14:textId="77777777" w:rsidR="00100797" w:rsidRPr="00D445AC" w:rsidRDefault="00100797" w:rsidP="00BA11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AC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100797" w:rsidRPr="00D445AC" w14:paraId="441E6566" w14:textId="77777777" w:rsidTr="00BA1171">
        <w:tc>
          <w:tcPr>
            <w:tcW w:w="2122" w:type="dxa"/>
          </w:tcPr>
          <w:p w14:paraId="309CA8D4" w14:textId="77777777" w:rsidR="00100797" w:rsidRPr="00D445AC" w:rsidRDefault="00100797" w:rsidP="00BA11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SARS-CoV-2 Spike S1</w:t>
            </w:r>
          </w:p>
        </w:tc>
        <w:tc>
          <w:tcPr>
            <w:tcW w:w="1984" w:type="dxa"/>
          </w:tcPr>
          <w:p w14:paraId="0505A1D7" w14:textId="77777777" w:rsidR="00100797" w:rsidRPr="00D445AC" w:rsidRDefault="00100797" w:rsidP="00BA11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AC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100797" w:rsidRPr="00D445AC" w14:paraId="4F1BEDF5" w14:textId="77777777" w:rsidTr="00BA1171">
        <w:tc>
          <w:tcPr>
            <w:tcW w:w="2122" w:type="dxa"/>
          </w:tcPr>
          <w:p w14:paraId="5D24C34C" w14:textId="77777777" w:rsidR="00100797" w:rsidRPr="00D445AC" w:rsidRDefault="00100797" w:rsidP="00BA11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SARS-CoV-2 Spike RBD</w:t>
            </w:r>
          </w:p>
        </w:tc>
        <w:tc>
          <w:tcPr>
            <w:tcW w:w="1984" w:type="dxa"/>
          </w:tcPr>
          <w:p w14:paraId="66651678" w14:textId="77777777" w:rsidR="00100797" w:rsidRPr="00D445AC" w:rsidRDefault="00100797" w:rsidP="00BA11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AC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100797" w:rsidRPr="00D445AC" w14:paraId="26EAFCA0" w14:textId="77777777" w:rsidTr="00BA1171">
        <w:tc>
          <w:tcPr>
            <w:tcW w:w="2122" w:type="dxa"/>
          </w:tcPr>
          <w:p w14:paraId="7D84AD36" w14:textId="77777777" w:rsidR="00100797" w:rsidRPr="00D445AC" w:rsidRDefault="00100797" w:rsidP="00BA11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SARS-CoV-2 Spike S2</w:t>
            </w:r>
          </w:p>
        </w:tc>
        <w:tc>
          <w:tcPr>
            <w:tcW w:w="1984" w:type="dxa"/>
          </w:tcPr>
          <w:p w14:paraId="65F5EF52" w14:textId="77777777" w:rsidR="00100797" w:rsidRPr="00D445AC" w:rsidRDefault="00100797" w:rsidP="00BA11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AC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100797" w:rsidRPr="00D445AC" w14:paraId="03FDE4F8" w14:textId="77777777" w:rsidTr="00BA1171">
        <w:tc>
          <w:tcPr>
            <w:tcW w:w="2122" w:type="dxa"/>
          </w:tcPr>
          <w:p w14:paraId="1FEA45D1" w14:textId="77777777" w:rsidR="00100797" w:rsidRPr="00D445AC" w:rsidRDefault="00100797" w:rsidP="00BA11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SARS-CoV-2 Nucleocapsid Protein</w:t>
            </w:r>
          </w:p>
        </w:tc>
        <w:tc>
          <w:tcPr>
            <w:tcW w:w="1984" w:type="dxa"/>
          </w:tcPr>
          <w:p w14:paraId="79852589" w14:textId="77777777" w:rsidR="00100797" w:rsidRPr="00D445AC" w:rsidRDefault="00100797" w:rsidP="00BA11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AC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</w:tbl>
    <w:p w14:paraId="3E45BCA9" w14:textId="77777777" w:rsidR="00100797" w:rsidRDefault="00100797" w:rsidP="0010079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4636C93" w14:textId="77777777" w:rsidR="00100797" w:rsidRPr="0096002D" w:rsidRDefault="00100797" w:rsidP="0010079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6002D">
        <w:rPr>
          <w:rFonts w:ascii="Times New Roman" w:hAnsi="Times New Roman" w:cs="Times New Roman"/>
          <w:sz w:val="20"/>
          <w:szCs w:val="20"/>
          <w:lang w:val="en-US"/>
        </w:rPr>
        <w:t>MFI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6002D">
        <w:rPr>
          <w:rFonts w:ascii="Times New Roman" w:hAnsi="Times New Roman" w:cs="Times New Roman"/>
          <w:sz w:val="20"/>
          <w:szCs w:val="20"/>
          <w:lang w:val="en-US"/>
        </w:rPr>
        <w:t>mean fluorescence intensity</w:t>
      </w:r>
      <w:r>
        <w:rPr>
          <w:rFonts w:ascii="Times New Roman" w:hAnsi="Times New Roman" w:cs="Times New Roman"/>
          <w:sz w:val="20"/>
          <w:szCs w:val="20"/>
          <w:lang w:val="en-US"/>
        </w:rPr>
        <w:t>; RBD, receptor-binding domain</w:t>
      </w:r>
    </w:p>
    <w:p w14:paraId="78A10615" w14:textId="77777777" w:rsidR="00100797" w:rsidRDefault="00100797">
      <w:pPr>
        <w:rPr>
          <w:lang w:val="en-US"/>
        </w:rPr>
        <w:sectPr w:rsidR="00100797" w:rsidSect="0055120E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3039084F" w14:textId="1A81A4D3" w:rsidR="005C50D5" w:rsidRDefault="005C50D5" w:rsidP="000D4E79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C50D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Supplemental Figure 1. </w:t>
      </w:r>
      <w:r w:rsidR="00230E39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 w:rsidR="00230E39" w:rsidRPr="005E787E">
        <w:rPr>
          <w:rFonts w:ascii="Times New Roman" w:hAnsi="Times New Roman" w:cs="Times New Roman"/>
          <w:bCs/>
          <w:sz w:val="24"/>
          <w:szCs w:val="24"/>
          <w:lang w:val="en-GB"/>
        </w:rPr>
        <w:t>ntibodies against different SARS-CoV-2 target epitopes in kidney transplant recipients and healthy controls with different SARS-CoV-2 two-dose vaccination regimens.</w:t>
      </w:r>
    </w:p>
    <w:p w14:paraId="423B2542" w14:textId="0EFA87D9" w:rsidR="00230E39" w:rsidRDefault="00EA019C" w:rsidP="000D4E79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GB"/>
        </w:rPr>
        <w:drawing>
          <wp:inline distT="0" distB="0" distL="0" distR="0" wp14:anchorId="1B9887EA" wp14:editId="35E542A8">
            <wp:extent cx="7213452" cy="485140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Figur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275" cy="485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192D" w14:textId="4D1AC868" w:rsidR="005C50D5" w:rsidRPr="00290257" w:rsidRDefault="005C50D5" w:rsidP="002C03D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290257">
        <w:rPr>
          <w:rFonts w:ascii="Times New Roman" w:hAnsi="Times New Roman" w:cs="Times New Roman"/>
          <w:bCs/>
          <w:sz w:val="20"/>
          <w:szCs w:val="20"/>
          <w:lang w:val="en-GB"/>
        </w:rPr>
        <w:lastRenderedPageBreak/>
        <w:t xml:space="preserve"> (A) Multiplex analysis of antibodies against the full spike, the S1 spike, the receptor-binding domain of the spike</w:t>
      </w:r>
      <w:r w:rsidR="005F6EEE">
        <w:rPr>
          <w:rFonts w:ascii="Times New Roman" w:hAnsi="Times New Roman" w:cs="Times New Roman"/>
          <w:bCs/>
          <w:sz w:val="20"/>
          <w:szCs w:val="20"/>
          <w:lang w:val="en-GB"/>
        </w:rPr>
        <w:t>,</w:t>
      </w:r>
      <w:r w:rsidR="00230E39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and</w:t>
      </w:r>
      <w:r w:rsidRPr="0029025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the S2 spike protein of SARS-CoV-2 in all 135 two-dose vaccinated kidney transplant recipients and 25 healthy controls matched for type of vaccine, age, and sex.</w:t>
      </w:r>
      <w:r w:rsidR="00230E39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The mean fluorescence intensity value of the reactivity in kidney transplant recipients and healthy controls is represented on</w:t>
      </w:r>
      <w:r w:rsidR="00230E39" w:rsidRPr="00230E39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the y-axis. The dashed black line represents the </w:t>
      </w:r>
      <w:proofErr w:type="spellStart"/>
      <w:r w:rsidR="00230E39" w:rsidRPr="00230E39">
        <w:rPr>
          <w:rFonts w:ascii="Times New Roman" w:hAnsi="Times New Roman" w:cs="Times New Roman"/>
          <w:bCs/>
          <w:sz w:val="20"/>
          <w:szCs w:val="20"/>
          <w:lang w:val="en-GB"/>
        </w:rPr>
        <w:t>cutoff</w:t>
      </w:r>
      <w:proofErr w:type="spellEnd"/>
      <w:r w:rsidR="00230E39" w:rsidRPr="00230E39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for detection for each target, respectively.</w:t>
      </w:r>
      <w:r w:rsidRPr="0029025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230E39">
        <w:rPr>
          <w:rFonts w:ascii="Times New Roman" w:hAnsi="Times New Roman" w:cs="Times New Roman"/>
          <w:bCs/>
          <w:sz w:val="20"/>
          <w:szCs w:val="20"/>
          <w:lang w:val="en-GB"/>
        </w:rPr>
        <w:t>(B) Multiplex analysis of antibodies against the SARS-CoV-2 full spike, the S1 spike, the receptor-binding domain of the spike</w:t>
      </w:r>
      <w:r w:rsidR="005F6EEE">
        <w:rPr>
          <w:rFonts w:ascii="Times New Roman" w:hAnsi="Times New Roman" w:cs="Times New Roman"/>
          <w:bCs/>
          <w:sz w:val="20"/>
          <w:szCs w:val="20"/>
          <w:lang w:val="en-GB"/>
        </w:rPr>
        <w:t>,</w:t>
      </w:r>
      <w:r w:rsidR="00230E39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and the S2 spike protein </w:t>
      </w:r>
      <w:r w:rsidRPr="00290257">
        <w:rPr>
          <w:rFonts w:ascii="Times New Roman" w:hAnsi="Times New Roman" w:cs="Times New Roman"/>
          <w:bCs/>
          <w:sz w:val="20"/>
          <w:szCs w:val="20"/>
          <w:lang w:val="en-GB"/>
        </w:rPr>
        <w:t>presented as a histogram plot. The x-axis represents the sample number, the y-axis represents the mean fluorescence intensity (MFI). (</w:t>
      </w:r>
      <w:r w:rsidR="00230E39">
        <w:rPr>
          <w:rFonts w:ascii="Times New Roman" w:hAnsi="Times New Roman" w:cs="Times New Roman"/>
          <w:bCs/>
          <w:sz w:val="20"/>
          <w:szCs w:val="20"/>
          <w:lang w:val="en-GB"/>
        </w:rPr>
        <w:t>C</w:t>
      </w:r>
      <w:r w:rsidRPr="0029025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) Proportional contribution (%) of each antibody target to the total MFI value for </w:t>
      </w:r>
      <w:r w:rsidRPr="00290257">
        <w:rPr>
          <w:rFonts w:ascii="Times New Roman" w:hAnsi="Times New Roman" w:cs="Times New Roman"/>
          <w:sz w:val="20"/>
          <w:szCs w:val="20"/>
          <w:lang w:val="en-US"/>
        </w:rPr>
        <w:t xml:space="preserve">kidney transplant recipients </w:t>
      </w:r>
      <w:r w:rsidRPr="00290257">
        <w:rPr>
          <w:rFonts w:ascii="Times New Roman" w:hAnsi="Times New Roman" w:cs="Times New Roman"/>
          <w:bCs/>
          <w:sz w:val="20"/>
          <w:szCs w:val="20"/>
          <w:lang w:val="en-GB"/>
        </w:rPr>
        <w:t>and healthy controls, respectively.</w:t>
      </w:r>
      <w:r w:rsidR="00230E39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230E39" w:rsidRPr="00230E39">
        <w:rPr>
          <w:rFonts w:ascii="Times New Roman" w:hAnsi="Times New Roman" w:cs="Times New Roman"/>
          <w:bCs/>
          <w:sz w:val="20"/>
          <w:szCs w:val="20"/>
          <w:lang w:val="en-GB"/>
        </w:rPr>
        <w:t>*** P &lt; 0.001</w:t>
      </w:r>
    </w:p>
    <w:p w14:paraId="30979EA3" w14:textId="5D80C0E4" w:rsidR="005C50D5" w:rsidRPr="0055120E" w:rsidRDefault="005C50D5">
      <w:pPr>
        <w:rPr>
          <w:lang w:val="en-US"/>
        </w:rPr>
      </w:pPr>
    </w:p>
    <w:sectPr w:rsidR="005C50D5" w:rsidRPr="0055120E" w:rsidSect="00290257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0E"/>
    <w:rsid w:val="000A3DFA"/>
    <w:rsid w:val="000D4E79"/>
    <w:rsid w:val="00100797"/>
    <w:rsid w:val="00117920"/>
    <w:rsid w:val="001806F1"/>
    <w:rsid w:val="001D294D"/>
    <w:rsid w:val="00230E39"/>
    <w:rsid w:val="00290257"/>
    <w:rsid w:val="002C03DB"/>
    <w:rsid w:val="002C1ECA"/>
    <w:rsid w:val="002E1ECC"/>
    <w:rsid w:val="00363329"/>
    <w:rsid w:val="003D1C90"/>
    <w:rsid w:val="003D5579"/>
    <w:rsid w:val="00411DB7"/>
    <w:rsid w:val="0055120E"/>
    <w:rsid w:val="005C50D5"/>
    <w:rsid w:val="005D40D1"/>
    <w:rsid w:val="005E2707"/>
    <w:rsid w:val="005F6EEE"/>
    <w:rsid w:val="006A3CC2"/>
    <w:rsid w:val="007C227C"/>
    <w:rsid w:val="00945ABE"/>
    <w:rsid w:val="009850FE"/>
    <w:rsid w:val="009C7EC1"/>
    <w:rsid w:val="00A555DD"/>
    <w:rsid w:val="00AA76D7"/>
    <w:rsid w:val="00AD64D4"/>
    <w:rsid w:val="00AF5817"/>
    <w:rsid w:val="00B75325"/>
    <w:rsid w:val="00C43478"/>
    <w:rsid w:val="00CD604E"/>
    <w:rsid w:val="00D11891"/>
    <w:rsid w:val="00DC7869"/>
    <w:rsid w:val="00E30319"/>
    <w:rsid w:val="00E8362E"/>
    <w:rsid w:val="00EA019C"/>
    <w:rsid w:val="00F55115"/>
    <w:rsid w:val="00F82E69"/>
    <w:rsid w:val="00FE39AC"/>
    <w:rsid w:val="00FF2BBD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EE9B"/>
  <w14:defaultImageDpi w14:val="32767"/>
  <w15:chartTrackingRefBased/>
  <w15:docId w15:val="{20C7BAE4-7DA8-6940-A78B-26DF21BC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12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5120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9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C27706-8E95-5F42-8801-F8596EA6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Claudius Speer</dc:creator>
  <cp:keywords/>
  <dc:description/>
  <cp:lastModifiedBy>CJASN</cp:lastModifiedBy>
  <cp:revision>2</cp:revision>
  <dcterms:created xsi:type="dcterms:W3CDTF">2021-11-01T17:53:00Z</dcterms:created>
  <dcterms:modified xsi:type="dcterms:W3CDTF">2021-11-01T17:53:00Z</dcterms:modified>
</cp:coreProperties>
</file>