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Theme="minorHAnsi" w:hAnsi="Arial" w:cstheme="minorBidi"/>
          <w:bCs/>
          <w:i/>
          <w:color w:val="auto"/>
          <w:sz w:val="22"/>
          <w:szCs w:val="22"/>
          <w:lang w:val="nl-NL"/>
        </w:rPr>
        <w:id w:val="790785936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14:paraId="3C87B4EB" w14:textId="77777777" w:rsidR="00EC3D41" w:rsidRPr="00EC3D41" w:rsidRDefault="003737BD" w:rsidP="003737BD">
          <w:pPr>
            <w:pStyle w:val="TOCHeading"/>
            <w:rPr>
              <w:rFonts w:ascii="Times New Roman" w:hAnsi="Times New Roman" w:cs="Times New Roman"/>
              <w:color w:val="auto"/>
            </w:rPr>
          </w:pPr>
          <w:r w:rsidRPr="00EC3D41">
            <w:rPr>
              <w:rFonts w:ascii="Times New Roman" w:hAnsi="Times New Roman" w:cs="Times New Roman"/>
              <w:color w:val="auto"/>
            </w:rPr>
            <w:t>Supplemental Materials</w:t>
          </w:r>
        </w:p>
        <w:p w14:paraId="222AD727" w14:textId="77777777" w:rsidR="00EC3D41" w:rsidRPr="00EC3D41" w:rsidRDefault="00EC3D41" w:rsidP="003737BD">
          <w:pPr>
            <w:pStyle w:val="TOCHeading"/>
            <w:rPr>
              <w:rFonts w:ascii="Times New Roman" w:hAnsi="Times New Roman" w:cs="Times New Roman"/>
              <w:color w:val="auto"/>
            </w:rPr>
          </w:pPr>
        </w:p>
        <w:p w14:paraId="0E68E578" w14:textId="59DF6CE6" w:rsidR="00EC3D41" w:rsidRDefault="003737BD" w:rsidP="003737BD">
          <w:pPr>
            <w:pStyle w:val="TOCHeading"/>
            <w:rPr>
              <w:rFonts w:ascii="Times New Roman" w:hAnsi="Times New Roman" w:cs="Times New Roman"/>
              <w:b/>
              <w:color w:val="auto"/>
              <w:sz w:val="22"/>
              <w:szCs w:val="22"/>
            </w:rPr>
          </w:pPr>
          <w:r w:rsidRPr="00EC3D41">
            <w:rPr>
              <w:rFonts w:ascii="Times New Roman" w:hAnsi="Times New Roman" w:cs="Times New Roman"/>
              <w:b/>
              <w:color w:val="auto"/>
              <w:sz w:val="22"/>
              <w:szCs w:val="22"/>
            </w:rPr>
            <w:t>Table of Contents</w:t>
          </w:r>
        </w:p>
        <w:p w14:paraId="6B512480" w14:textId="6937D667" w:rsidR="003737BD" w:rsidRPr="00EC3D41" w:rsidRDefault="003737BD" w:rsidP="003737BD">
          <w:pPr>
            <w:pStyle w:val="TOCHeading"/>
            <w:rPr>
              <w:rFonts w:ascii="Times New Roman" w:hAnsi="Times New Roman" w:cs="Times New Roman"/>
              <w:b/>
              <w:color w:val="auto"/>
              <w:sz w:val="22"/>
              <w:szCs w:val="22"/>
            </w:rPr>
          </w:pPr>
          <w:r w:rsidRPr="00EC3D41">
            <w:rPr>
              <w:rFonts w:ascii="Times New Roman" w:hAnsi="Times New Roman" w:cs="Times New Roman"/>
              <w:b/>
              <w:sz w:val="22"/>
              <w:szCs w:val="22"/>
            </w:rPr>
            <w:fldChar w:fldCharType="begin"/>
          </w:r>
          <w:r w:rsidRPr="00EC3D41">
            <w:rPr>
              <w:rFonts w:ascii="Times New Roman" w:hAnsi="Times New Roman" w:cs="Times New Roman"/>
              <w:b/>
              <w:sz w:val="22"/>
              <w:szCs w:val="22"/>
            </w:rPr>
            <w:instrText xml:space="preserve"> TOC \o "1-3" \h \z \u </w:instrText>
          </w:r>
          <w:r w:rsidRPr="00EC3D41">
            <w:rPr>
              <w:rFonts w:ascii="Times New Roman" w:hAnsi="Times New Roman" w:cs="Times New Roman"/>
              <w:b/>
              <w:sz w:val="22"/>
              <w:szCs w:val="22"/>
            </w:rPr>
            <w:fldChar w:fldCharType="separate"/>
          </w:r>
        </w:p>
        <w:p w14:paraId="22F22E8C" w14:textId="7D6E4B9B" w:rsidR="003737BD" w:rsidRPr="00EC3D41" w:rsidRDefault="007122A8" w:rsidP="003737BD">
          <w:pPr>
            <w:pStyle w:val="TOC1"/>
            <w:rPr>
              <w:b/>
            </w:rPr>
          </w:pPr>
          <w:hyperlink w:anchor="_Toc75346321" w:history="1">
            <w:r w:rsidR="003737BD" w:rsidRPr="00EC3D41">
              <w:rPr>
                <w:rStyle w:val="Hyperlink"/>
                <w:b/>
              </w:rPr>
              <w:t>Sites and investigators in the CANVAS trial</w:t>
            </w:r>
            <w:r w:rsidR="003737BD" w:rsidRPr="00EC3D41">
              <w:rPr>
                <w:b/>
                <w:webHidden/>
              </w:rPr>
              <w:tab/>
            </w:r>
            <w:r w:rsidR="003737BD" w:rsidRPr="00EC3D41">
              <w:rPr>
                <w:b/>
                <w:webHidden/>
              </w:rPr>
              <w:fldChar w:fldCharType="begin"/>
            </w:r>
            <w:r w:rsidR="003737BD" w:rsidRPr="00EC3D41">
              <w:rPr>
                <w:b/>
                <w:webHidden/>
              </w:rPr>
              <w:instrText xml:space="preserve"> PAGEREF _Toc75346321 \h </w:instrText>
            </w:r>
            <w:r w:rsidR="003737BD" w:rsidRPr="00EC3D41">
              <w:rPr>
                <w:b/>
                <w:webHidden/>
              </w:rPr>
            </w:r>
            <w:r w:rsidR="003737BD" w:rsidRPr="00EC3D41">
              <w:rPr>
                <w:b/>
                <w:webHidden/>
              </w:rPr>
              <w:fldChar w:fldCharType="separate"/>
            </w:r>
            <w:r w:rsidR="00646CD8">
              <w:rPr>
                <w:b/>
                <w:webHidden/>
              </w:rPr>
              <w:t>3</w:t>
            </w:r>
            <w:r w:rsidR="003737BD" w:rsidRPr="00EC3D41">
              <w:rPr>
                <w:b/>
                <w:webHidden/>
              </w:rPr>
              <w:fldChar w:fldCharType="end"/>
            </w:r>
          </w:hyperlink>
        </w:p>
        <w:p w14:paraId="3FF08800" w14:textId="4A2A74AB" w:rsidR="003737BD" w:rsidRPr="00EC3D41" w:rsidRDefault="007122A8" w:rsidP="003737BD">
          <w:pPr>
            <w:pStyle w:val="TOC2"/>
            <w:tabs>
              <w:tab w:val="right" w:leader="dot" w:pos="9062"/>
            </w:tabs>
            <w:ind w:left="0"/>
            <w:rPr>
              <w:rFonts w:ascii="Times New Roman" w:hAnsi="Times New Roman" w:cs="Times New Roman"/>
              <w:b/>
              <w:noProof/>
            </w:rPr>
          </w:pPr>
          <w:hyperlink w:anchor="_Toc75346322" w:history="1">
            <w:r w:rsidR="003737BD" w:rsidRPr="00EC3D41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>Supplemental Table 1:</w:t>
            </w:r>
            <w:r w:rsidR="003737BD" w:rsidRPr="00EC3D41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="003737BD" w:rsidRPr="00EC3D41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3737BD" w:rsidRPr="00EC3D41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_Toc75346322 \h </w:instrText>
            </w:r>
            <w:r w:rsidR="003737BD" w:rsidRPr="00EC3D41">
              <w:rPr>
                <w:rFonts w:ascii="Times New Roman" w:hAnsi="Times New Roman" w:cs="Times New Roman"/>
                <w:b/>
                <w:noProof/>
                <w:webHidden/>
              </w:rPr>
            </w:r>
            <w:r w:rsidR="003737BD" w:rsidRPr="00EC3D41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646CD8">
              <w:rPr>
                <w:rFonts w:ascii="Times New Roman" w:hAnsi="Times New Roman" w:cs="Times New Roman"/>
                <w:b/>
                <w:noProof/>
                <w:webHidden/>
              </w:rPr>
              <w:t>6</w:t>
            </w:r>
            <w:r w:rsidR="003737BD" w:rsidRPr="00EC3D41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14:paraId="099E4B5C" w14:textId="59CA9977" w:rsidR="003737BD" w:rsidRPr="00EC3D41" w:rsidRDefault="007122A8" w:rsidP="003737BD">
          <w:pPr>
            <w:pStyle w:val="TOC2"/>
            <w:tabs>
              <w:tab w:val="right" w:leader="dot" w:pos="9062"/>
            </w:tabs>
            <w:ind w:left="0"/>
            <w:rPr>
              <w:rFonts w:ascii="Times New Roman" w:hAnsi="Times New Roman" w:cs="Times New Roman"/>
              <w:b/>
              <w:noProof/>
            </w:rPr>
          </w:pPr>
          <w:hyperlink w:anchor="_Toc75346323" w:history="1">
            <w:r w:rsidR="003737BD" w:rsidRPr="00EC3D41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>Supplemental Table 2:</w:t>
            </w:r>
            <w:r w:rsidR="003737BD" w:rsidRPr="00EC3D41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="003737BD" w:rsidRPr="00EC3D41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3737BD" w:rsidRPr="00EC3D41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_Toc75346323 \h </w:instrText>
            </w:r>
            <w:r w:rsidR="003737BD" w:rsidRPr="00EC3D41">
              <w:rPr>
                <w:rFonts w:ascii="Times New Roman" w:hAnsi="Times New Roman" w:cs="Times New Roman"/>
                <w:b/>
                <w:noProof/>
                <w:webHidden/>
              </w:rPr>
            </w:r>
            <w:r w:rsidR="003737BD" w:rsidRPr="00EC3D41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646CD8">
              <w:rPr>
                <w:rFonts w:ascii="Times New Roman" w:hAnsi="Times New Roman" w:cs="Times New Roman"/>
                <w:b/>
                <w:noProof/>
                <w:webHidden/>
              </w:rPr>
              <w:t>7</w:t>
            </w:r>
            <w:r w:rsidR="003737BD" w:rsidRPr="00EC3D41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14:paraId="3F306817" w14:textId="4C6E3FCC" w:rsidR="003737BD" w:rsidRPr="00EC3D41" w:rsidRDefault="007122A8" w:rsidP="003737BD">
          <w:pPr>
            <w:pStyle w:val="TOC2"/>
            <w:tabs>
              <w:tab w:val="right" w:leader="dot" w:pos="9062"/>
            </w:tabs>
            <w:ind w:left="0"/>
            <w:rPr>
              <w:rFonts w:ascii="Times New Roman" w:hAnsi="Times New Roman" w:cs="Times New Roman"/>
              <w:b/>
              <w:noProof/>
            </w:rPr>
          </w:pPr>
          <w:hyperlink w:anchor="_Toc75346327" w:history="1">
            <w:r w:rsidR="003737BD" w:rsidRPr="00EC3D41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>Supplemental Figure 1:</w:t>
            </w:r>
            <w:r w:rsidR="003737BD" w:rsidRPr="00EC3D41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="003737BD" w:rsidRPr="00EC3D41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3737BD" w:rsidRPr="00EC3D41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_Toc75346327 \h </w:instrText>
            </w:r>
            <w:r w:rsidR="003737BD" w:rsidRPr="00EC3D41">
              <w:rPr>
                <w:rFonts w:ascii="Times New Roman" w:hAnsi="Times New Roman" w:cs="Times New Roman"/>
                <w:b/>
                <w:noProof/>
                <w:webHidden/>
              </w:rPr>
            </w:r>
            <w:r w:rsidR="003737BD" w:rsidRPr="00EC3D41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646CD8">
              <w:rPr>
                <w:rFonts w:ascii="Times New Roman" w:hAnsi="Times New Roman" w:cs="Times New Roman"/>
                <w:b/>
                <w:noProof/>
                <w:webHidden/>
              </w:rPr>
              <w:t>11</w:t>
            </w:r>
            <w:r w:rsidR="003737BD" w:rsidRPr="00EC3D41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14:paraId="3F15FE2A" w14:textId="3C925F95" w:rsidR="003737BD" w:rsidRPr="00EC3D41" w:rsidRDefault="007122A8" w:rsidP="003737BD">
          <w:pPr>
            <w:pStyle w:val="TOC2"/>
            <w:tabs>
              <w:tab w:val="right" w:leader="dot" w:pos="9062"/>
            </w:tabs>
            <w:ind w:left="0"/>
            <w:rPr>
              <w:rFonts w:ascii="Times New Roman" w:hAnsi="Times New Roman" w:cs="Times New Roman"/>
              <w:b/>
              <w:noProof/>
            </w:rPr>
          </w:pPr>
          <w:hyperlink w:anchor="_Toc75346328" w:history="1">
            <w:r w:rsidR="003737BD" w:rsidRPr="00EC3D41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>Supplemental Figure 2:</w:t>
            </w:r>
            <w:r w:rsidR="003737BD" w:rsidRPr="00EC3D41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="003737BD" w:rsidRPr="00EC3D41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3737BD" w:rsidRPr="00EC3D41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_Toc75346328 \h </w:instrText>
            </w:r>
            <w:r w:rsidR="003737BD" w:rsidRPr="00EC3D41">
              <w:rPr>
                <w:rFonts w:ascii="Times New Roman" w:hAnsi="Times New Roman" w:cs="Times New Roman"/>
                <w:b/>
                <w:noProof/>
                <w:webHidden/>
              </w:rPr>
            </w:r>
            <w:r w:rsidR="003737BD" w:rsidRPr="00EC3D41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646CD8">
              <w:rPr>
                <w:rFonts w:ascii="Times New Roman" w:hAnsi="Times New Roman" w:cs="Times New Roman"/>
                <w:b/>
                <w:noProof/>
                <w:webHidden/>
              </w:rPr>
              <w:t>12</w:t>
            </w:r>
            <w:r w:rsidR="003737BD" w:rsidRPr="00EC3D41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14:paraId="49C479DC" w14:textId="5669B53D" w:rsidR="003737BD" w:rsidRPr="00EC3D41" w:rsidRDefault="007122A8" w:rsidP="003737BD">
          <w:pPr>
            <w:pStyle w:val="TOC2"/>
            <w:tabs>
              <w:tab w:val="right" w:leader="dot" w:pos="9062"/>
            </w:tabs>
            <w:ind w:left="0"/>
            <w:rPr>
              <w:rFonts w:ascii="Times New Roman" w:hAnsi="Times New Roman" w:cs="Times New Roman"/>
              <w:b/>
              <w:noProof/>
            </w:rPr>
          </w:pPr>
          <w:hyperlink w:anchor="_Toc75346329" w:history="1">
            <w:r w:rsidR="003737BD" w:rsidRPr="00EC3D41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>Supplemental Figure 3:</w:t>
            </w:r>
            <w:r w:rsidR="003737BD" w:rsidRPr="00EC3D41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="003737BD" w:rsidRPr="00EC3D41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3737BD" w:rsidRPr="00EC3D41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_Toc75346329 \h </w:instrText>
            </w:r>
            <w:r w:rsidR="003737BD" w:rsidRPr="00EC3D41">
              <w:rPr>
                <w:rFonts w:ascii="Times New Roman" w:hAnsi="Times New Roman" w:cs="Times New Roman"/>
                <w:b/>
                <w:noProof/>
                <w:webHidden/>
              </w:rPr>
            </w:r>
            <w:r w:rsidR="003737BD" w:rsidRPr="00EC3D41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646CD8">
              <w:rPr>
                <w:rFonts w:ascii="Times New Roman" w:hAnsi="Times New Roman" w:cs="Times New Roman"/>
                <w:b/>
                <w:noProof/>
                <w:webHidden/>
              </w:rPr>
              <w:t>13</w:t>
            </w:r>
            <w:r w:rsidR="003737BD" w:rsidRPr="00EC3D41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14:paraId="1183B648" w14:textId="305AC465" w:rsidR="003737BD" w:rsidRPr="00EC3D41" w:rsidRDefault="007122A8" w:rsidP="003737BD">
          <w:pPr>
            <w:pStyle w:val="TOC2"/>
            <w:tabs>
              <w:tab w:val="right" w:leader="dot" w:pos="9062"/>
            </w:tabs>
            <w:ind w:left="0"/>
            <w:rPr>
              <w:rFonts w:ascii="Times New Roman" w:hAnsi="Times New Roman" w:cs="Times New Roman"/>
              <w:b/>
              <w:noProof/>
            </w:rPr>
          </w:pPr>
          <w:hyperlink w:anchor="_Toc75346330" w:history="1">
            <w:r w:rsidR="003737BD" w:rsidRPr="00EC3D41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>Supplemental Figure 4:</w:t>
            </w:r>
            <w:r w:rsidR="003737BD" w:rsidRPr="00EC3D41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="003737BD" w:rsidRPr="00EC3D41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3737BD" w:rsidRPr="00EC3D41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_Toc75346330 \h </w:instrText>
            </w:r>
            <w:r w:rsidR="003737BD" w:rsidRPr="00EC3D41">
              <w:rPr>
                <w:rFonts w:ascii="Times New Roman" w:hAnsi="Times New Roman" w:cs="Times New Roman"/>
                <w:b/>
                <w:noProof/>
                <w:webHidden/>
              </w:rPr>
            </w:r>
            <w:r w:rsidR="003737BD" w:rsidRPr="00EC3D41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646CD8">
              <w:rPr>
                <w:rFonts w:ascii="Times New Roman" w:hAnsi="Times New Roman" w:cs="Times New Roman"/>
                <w:b/>
                <w:noProof/>
                <w:webHidden/>
              </w:rPr>
              <w:t>14</w:t>
            </w:r>
            <w:r w:rsidR="003737BD" w:rsidRPr="00EC3D41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14:paraId="04F494F8" w14:textId="252D2B5D" w:rsidR="003737BD" w:rsidRPr="00EC3D41" w:rsidRDefault="007122A8" w:rsidP="003737BD">
          <w:pPr>
            <w:pStyle w:val="TOC2"/>
            <w:tabs>
              <w:tab w:val="right" w:leader="dot" w:pos="9062"/>
            </w:tabs>
            <w:ind w:left="0"/>
            <w:rPr>
              <w:rFonts w:ascii="Times New Roman" w:hAnsi="Times New Roman" w:cs="Times New Roman"/>
              <w:b/>
              <w:noProof/>
            </w:rPr>
          </w:pPr>
          <w:hyperlink w:anchor="_Toc75346331" w:history="1">
            <w:r w:rsidR="003737BD" w:rsidRPr="00EC3D41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>Supplemental Figure 5:</w:t>
            </w:r>
            <w:r w:rsidR="003737BD" w:rsidRPr="00EC3D41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="003737BD" w:rsidRPr="00EC3D41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3737BD" w:rsidRPr="00EC3D41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_Toc75346331 \h </w:instrText>
            </w:r>
            <w:r w:rsidR="003737BD" w:rsidRPr="00EC3D41">
              <w:rPr>
                <w:rFonts w:ascii="Times New Roman" w:hAnsi="Times New Roman" w:cs="Times New Roman"/>
                <w:b/>
                <w:noProof/>
                <w:webHidden/>
              </w:rPr>
            </w:r>
            <w:r w:rsidR="003737BD" w:rsidRPr="00EC3D41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646CD8">
              <w:rPr>
                <w:rFonts w:ascii="Times New Roman" w:hAnsi="Times New Roman" w:cs="Times New Roman"/>
                <w:b/>
                <w:noProof/>
                <w:webHidden/>
              </w:rPr>
              <w:t>15</w:t>
            </w:r>
            <w:r w:rsidR="003737BD" w:rsidRPr="00EC3D41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14:paraId="36039309" w14:textId="77777777" w:rsidR="003737BD" w:rsidRDefault="003737BD" w:rsidP="003737BD">
          <w:r w:rsidRPr="00EC3D41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71CB9AE2" w14:textId="21813253" w:rsidR="00D062AB" w:rsidRPr="00414449" w:rsidDel="00742D60" w:rsidRDefault="00D062AB">
      <w:pPr>
        <w:spacing w:after="200" w:line="276" w:lineRule="auto"/>
        <w:jc w:val="left"/>
        <w:rPr>
          <w:rStyle w:val="Heading2Char"/>
          <w:rFonts w:ascii="Times New Roman" w:hAnsi="Times New Roman" w:cs="Times New Roman"/>
          <w:b/>
          <w:bCs w:val="0"/>
          <w:i w:val="0"/>
          <w:lang w:val="en-US"/>
        </w:rPr>
      </w:pPr>
    </w:p>
    <w:p w14:paraId="3FE8FA40" w14:textId="77777777" w:rsidR="00240A55" w:rsidRDefault="00240A55" w:rsidP="00E006D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Toc479929693"/>
      <w:bookmarkStart w:id="1" w:name="_Toc484252442"/>
    </w:p>
    <w:p w14:paraId="0B839E2F" w14:textId="77777777" w:rsidR="00240A55" w:rsidRDefault="00240A55" w:rsidP="00E006D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9846F9D" w14:textId="77777777" w:rsidR="00240A55" w:rsidRDefault="00240A55" w:rsidP="00E006D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1537EED" w14:textId="77777777" w:rsidR="00240A55" w:rsidRDefault="00240A55" w:rsidP="00E006D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BD0CC97" w14:textId="77777777" w:rsidR="00240A55" w:rsidRDefault="00240A55" w:rsidP="00E006D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C991D81" w14:textId="77777777" w:rsidR="00240A55" w:rsidRDefault="00240A55" w:rsidP="00E006D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84B6B40" w14:textId="77777777" w:rsidR="00240A55" w:rsidRDefault="00240A55" w:rsidP="00E006D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FD6D5A4" w14:textId="77777777" w:rsidR="00240A55" w:rsidRDefault="00240A55" w:rsidP="00E006D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49963B2" w14:textId="77777777" w:rsidR="00240A55" w:rsidRDefault="00240A55" w:rsidP="00E006D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3FE6977" w14:textId="77777777" w:rsidR="00240A55" w:rsidRDefault="00240A55" w:rsidP="00E006D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AD46901" w14:textId="77777777" w:rsidR="00240A55" w:rsidRDefault="00240A55" w:rsidP="00E006D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4FC7A5E" w14:textId="77777777" w:rsidR="00240A55" w:rsidRDefault="00240A55" w:rsidP="00E006D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5055EDD" w14:textId="77777777" w:rsidR="00493AFF" w:rsidDel="00493AFF" w:rsidRDefault="00493AFF" w:rsidP="00E006D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2841F1A" w14:textId="2654407C" w:rsidR="00E006D9" w:rsidRPr="00414449" w:rsidRDefault="00E006D9" w:rsidP="00E006D9">
      <w:pPr>
        <w:pStyle w:val="Heading1"/>
        <w:spacing w:before="0" w:line="480" w:lineRule="auto"/>
        <w:rPr>
          <w:rFonts w:ascii="Times New Roman" w:hAnsi="Times New Roman" w:cs="Times New Roman"/>
          <w:b w:val="0"/>
          <w:szCs w:val="24"/>
          <w:lang w:val="en-US"/>
        </w:rPr>
      </w:pPr>
      <w:bookmarkStart w:id="2" w:name="_Toc75346321"/>
      <w:r w:rsidRPr="00414449">
        <w:rPr>
          <w:rFonts w:ascii="Times New Roman" w:hAnsi="Times New Roman" w:cs="Times New Roman"/>
          <w:i/>
          <w:szCs w:val="24"/>
          <w:lang w:val="en-US"/>
        </w:rPr>
        <w:lastRenderedPageBreak/>
        <w:t>Sites and investigators</w:t>
      </w:r>
      <w:bookmarkEnd w:id="0"/>
      <w:bookmarkEnd w:id="1"/>
      <w:r w:rsidRPr="00414449">
        <w:rPr>
          <w:rFonts w:ascii="Times New Roman" w:hAnsi="Times New Roman" w:cs="Times New Roman"/>
          <w:i/>
          <w:szCs w:val="24"/>
          <w:lang w:val="en-US"/>
        </w:rPr>
        <w:t xml:space="preserve"> in the CANVAS trial</w:t>
      </w:r>
      <w:bookmarkEnd w:id="2"/>
    </w:p>
    <w:p w14:paraId="01AA0104" w14:textId="4666E112" w:rsidR="00E006D9" w:rsidRPr="00414449" w:rsidRDefault="00E006D9" w:rsidP="00E006D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44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Argentina: </w:t>
      </w:r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Pablo Arias, Maria Rosa Ulla, Andres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Alvarisqueta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Laura Maffei, Jose Osvaldo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Fretes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Silvia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Gorban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Lapertosa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Virginia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Visco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Georgina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Sposetti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Javier Farias, Eduardo Francisco Farias, Maria Cecilia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Cantero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Rodolfo Feldman, Maria Carolina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Ridruejo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Pedro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Calella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Cesar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Zaidman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414449">
        <w:rPr>
          <w:rFonts w:ascii="Times New Roman" w:hAnsi="Times New Roman" w:cs="Times New Roman"/>
          <w:b/>
          <w:sz w:val="24"/>
          <w:szCs w:val="24"/>
          <w:lang w:val="en-US"/>
        </w:rPr>
        <w:t>Australia:</w:t>
      </w:r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Stephen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Stranks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Peak Man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Mah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Alison Nankervis, Duncan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Topliss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Georgia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Soldatos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Richard Simpson, Murray Gerstman, David Colquhoun,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Ferdinandus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Looze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Robert Moses, Michael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Suranyi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Samantha Hocking, David Packham, Duncan Cooke, Karam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Kostner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414449">
        <w:rPr>
          <w:rFonts w:ascii="Times New Roman" w:hAnsi="Times New Roman" w:cs="Times New Roman"/>
          <w:b/>
          <w:sz w:val="24"/>
          <w:szCs w:val="24"/>
          <w:lang w:val="en-US"/>
        </w:rPr>
        <w:t>Belgium:</w:t>
      </w:r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Eric Weber, Chris Vercammen, Luc Van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Gaal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Jozef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Tits, Bart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Keymeulen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Chantal Mathieu; </w:t>
      </w:r>
      <w:r w:rsidRPr="00414449">
        <w:rPr>
          <w:rFonts w:ascii="Times New Roman" w:hAnsi="Times New Roman" w:cs="Times New Roman"/>
          <w:b/>
          <w:sz w:val="24"/>
          <w:szCs w:val="24"/>
          <w:lang w:val="en-US"/>
        </w:rPr>
        <w:t>Canada:</w:t>
      </w:r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Naresh Aggarwal, Dan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Dattani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Francois Blouin, Richard Dumas, Sam Henein, Patrick Ma, Ali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Najarali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Michael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Omahony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Tracy Pella, Wilson Rodger, Daniel Shu, Vincent Woo, Brian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Zidel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Lew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Pliamm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Brian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Ramjattan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Ronald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Akhras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Jasmin Belle-Isle, Stuart Ross,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Geza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Molnar; </w:t>
      </w:r>
      <w:r w:rsidRPr="00414449">
        <w:rPr>
          <w:rFonts w:ascii="Times New Roman" w:hAnsi="Times New Roman" w:cs="Times New Roman"/>
          <w:b/>
          <w:sz w:val="24"/>
          <w:szCs w:val="24"/>
          <w:lang w:val="en-US"/>
        </w:rPr>
        <w:t>Colombia:</w:t>
      </w:r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Juan Manual Arteaga, Ivonne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Jarava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414449">
        <w:rPr>
          <w:rFonts w:ascii="Times New Roman" w:hAnsi="Times New Roman" w:cs="Times New Roman"/>
          <w:b/>
          <w:sz w:val="24"/>
          <w:szCs w:val="24"/>
          <w:lang w:val="en-US"/>
        </w:rPr>
        <w:t>Czech Republic:</w:t>
      </w:r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Alena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Andresova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Miloslava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Komrskova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Cyril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Mucha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Tomas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Brychta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Dagmar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Bartaskova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Romana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Urbanova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Tomas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Spousta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Jana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Havelkova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Tomas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Sedlacek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Milan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Kvapil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414449">
        <w:rPr>
          <w:rFonts w:ascii="Times New Roman" w:hAnsi="Times New Roman" w:cs="Times New Roman"/>
          <w:b/>
          <w:sz w:val="24"/>
          <w:szCs w:val="24"/>
          <w:lang w:val="en-US"/>
        </w:rPr>
        <w:t>Estonia:</w:t>
      </w:r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Ülle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Jakovlev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Verner Fogel,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Liina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Viitas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Mai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Soots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Maire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Lubi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Marju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Past, Jelena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Krasnopejeva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414449">
        <w:rPr>
          <w:rFonts w:ascii="Times New Roman" w:hAnsi="Times New Roman" w:cs="Times New Roman"/>
          <w:b/>
          <w:sz w:val="24"/>
          <w:szCs w:val="24"/>
          <w:lang w:val="en-US"/>
        </w:rPr>
        <w:t>Germany:</w:t>
      </w:r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Hasan Alawi, Klaus Busch, Felix Klemens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Pröpper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Andrea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Thron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Stephan Jacob, Andreas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Pfützner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Ludger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Rose, Thomas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Segiet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Christine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Kosch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Andrea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Moelle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414449">
        <w:rPr>
          <w:rFonts w:ascii="Times New Roman" w:hAnsi="Times New Roman" w:cs="Times New Roman"/>
          <w:b/>
          <w:sz w:val="24"/>
          <w:szCs w:val="24"/>
          <w:lang w:val="en-US"/>
        </w:rPr>
        <w:t>Great Britain:</w:t>
      </w:r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Melanie Davies, Hamish Courtney, Martin Gibson, Luigi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Gnudi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Frances Game, John Wilding,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Thozhukat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Sathyapalan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Miles Fisher,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Shenaz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Ramtoola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Satyan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Rajbhandari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Maurice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Okane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414449">
        <w:rPr>
          <w:rFonts w:ascii="Times New Roman" w:hAnsi="Times New Roman" w:cs="Times New Roman"/>
          <w:b/>
          <w:sz w:val="24"/>
          <w:szCs w:val="24"/>
          <w:lang w:val="en-US"/>
        </w:rPr>
        <w:t>Hungary:</w:t>
      </w:r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Eleonora Beke, Ferenc Poor,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Karoly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Nagy,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Gyozo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Kocsis, Tamas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Oroszlan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Peter Faludi, Mihaly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Gurzo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4144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India: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Sathyanarayana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Srikanta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Mala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Dharmalingam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Bala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Murugan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Pramod Gandhi, Bipin Sethi,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Sosale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Aravind, Sharda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Ardhanareeshwaran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Arpan Bhattacharyya, Ganapathi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Bantwal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Vijay Viswanathan, Paramesh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Shamanna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Banshi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Saboo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Viswanathan Mohan, Reshma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Parmaj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Kirti Kumar Modi, Sindhu Joshi, Sunil Jain, Sanjay Kalra, Arun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Chankramath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Somasekharan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Prabha Adhikari, Ajay Kumar,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Harshada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Kudalkar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Rajiv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Passey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Mathew John,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Sadasivarao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Yalamanchi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Keyur Parikh, K.P. Rajesh, Rajesh Nair, Ajay Kumar,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Sasi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Kumar, Lily Rodrigues, Pawan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Gangwal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Pankaj Agarwal, Sandeep Kumar Gupta, Abhay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Amrutlal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Mutha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Shailaja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Dilip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Kale, Ravindra Laxman Kulkarni, Sandip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Chudasama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Kamal Sharma, Anoop Nambiar, Aniruddha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Tangaonkar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Vaishali Deshmukh,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Biswakesh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Majumdar, Rajendran Veerappan, Deepak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Namjoshi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414449">
        <w:rPr>
          <w:rFonts w:ascii="Times New Roman" w:hAnsi="Times New Roman" w:cs="Times New Roman"/>
          <w:b/>
          <w:sz w:val="24"/>
          <w:szCs w:val="24"/>
          <w:lang w:val="en-US"/>
        </w:rPr>
        <w:t>Israel:</w:t>
      </w:r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Itamar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Raz, Julio Weinstein, Ilana Harman Boehm, Victor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Vishlitzky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414449">
        <w:rPr>
          <w:rFonts w:ascii="Times New Roman" w:hAnsi="Times New Roman" w:cs="Times New Roman"/>
          <w:b/>
          <w:sz w:val="24"/>
          <w:szCs w:val="24"/>
          <w:lang w:val="en-US"/>
        </w:rPr>
        <w:t>Luxembourg:</w:t>
      </w:r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Frederic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Dadoun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414449">
        <w:rPr>
          <w:rFonts w:ascii="Times New Roman" w:hAnsi="Times New Roman" w:cs="Times New Roman"/>
          <w:b/>
          <w:sz w:val="24"/>
          <w:szCs w:val="24"/>
          <w:lang w:val="en-US"/>
        </w:rPr>
        <w:t>Malaysia:</w:t>
      </w:r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Rajesh P. Shah, Lai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Seong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Hooi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Alexander Tan, Wan Mohamad Wan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lastRenderedPageBreak/>
        <w:t>Bebakar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Mafauzy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Mohamed, Amir S.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Khir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Norlela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Sukor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Khalid Abdul Kadir; </w:t>
      </w:r>
      <w:r w:rsidRPr="00414449">
        <w:rPr>
          <w:rFonts w:ascii="Times New Roman" w:hAnsi="Times New Roman" w:cs="Times New Roman"/>
          <w:b/>
          <w:sz w:val="24"/>
          <w:szCs w:val="24"/>
          <w:lang w:val="en-US"/>
        </w:rPr>
        <w:t>Mexico:</w:t>
      </w:r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Enrique Morales, Sergio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Zuñiga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Melchor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Alpizar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Cesar Calvo, Rolando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Zamarripa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Juan Rosas, Armando Vargas; </w:t>
      </w:r>
      <w:r w:rsidRPr="00414449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4449">
        <w:rPr>
          <w:rFonts w:ascii="Times New Roman" w:hAnsi="Times New Roman" w:cs="Times New Roman"/>
          <w:b/>
          <w:sz w:val="24"/>
          <w:szCs w:val="24"/>
          <w:lang w:val="en-US"/>
        </w:rPr>
        <w:t>Netherlands:</w:t>
      </w:r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Max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Nieuwdorp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Vicdan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Kose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Susanne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Kentgens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Gloria Rojas,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Wouter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Van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Kempen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Jacqueline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Hoogendijk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Mazin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Alhakim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Victor Gerdes, Marcel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Hovens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Johan Berends, A.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Woittiez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Cees Jan Smit, B.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Dekkers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>, Wilco Spiering, Marcel K. Van Dijk-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Okla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Ben P.M.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Imholz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Ruud J.M. Van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Leendert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Marije Ten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Wolde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Peter J.H.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Smak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Gregoor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414449">
        <w:rPr>
          <w:rFonts w:ascii="Times New Roman" w:hAnsi="Times New Roman" w:cs="Times New Roman"/>
          <w:b/>
          <w:sz w:val="24"/>
          <w:szCs w:val="24"/>
          <w:lang w:val="en-US"/>
        </w:rPr>
        <w:t>New Zealand:</w:t>
      </w:r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Russell Scott, Jeremy Krebs, John Baker, Joe Singh, Calum Young; </w:t>
      </w:r>
      <w:r w:rsidRPr="00414449">
        <w:rPr>
          <w:rFonts w:ascii="Times New Roman" w:hAnsi="Times New Roman" w:cs="Times New Roman"/>
          <w:b/>
          <w:sz w:val="24"/>
          <w:szCs w:val="24"/>
          <w:lang w:val="en-US"/>
        </w:rPr>
        <w:t>Norway</w:t>
      </w:r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Gisle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Langslet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Hans Olav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Hoivik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Torbjorn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Kjaernli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Sigbjorn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Elle, Eric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Gjertsen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Knut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Risberg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Andreas Tandberg,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Leidulv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Solnoer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Per Anton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Sirnes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414449">
        <w:rPr>
          <w:rFonts w:ascii="Times New Roman" w:hAnsi="Times New Roman" w:cs="Times New Roman"/>
          <w:b/>
          <w:sz w:val="24"/>
          <w:szCs w:val="24"/>
          <w:lang w:val="en-US"/>
        </w:rPr>
        <w:t>Poland:</w:t>
      </w:r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Tadeusz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Derezinski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Malgorzata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Arciszewska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Edward Franek,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Ewa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Szyprowska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Dariusz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Sowinski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Robert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Petryka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Beata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Czakanska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-Dec, Grazyna Pulka, Katarzyna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Jusiak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Mariusz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Dabrowski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Piotr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Kubalski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Malgorzata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Wojciechowska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Andrzej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Madej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Danuta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Pupek-Musialik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414449">
        <w:rPr>
          <w:rFonts w:ascii="Times New Roman" w:hAnsi="Times New Roman" w:cs="Times New Roman"/>
          <w:b/>
          <w:sz w:val="24"/>
          <w:szCs w:val="24"/>
          <w:lang w:val="en-US"/>
        </w:rPr>
        <w:t>Russia:</w:t>
      </w:r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Natalia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Blinova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Ludmila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Kondratjeva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Anatoly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Kuzin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Mikhail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Boyarkin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Tatyana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Gomova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Alexander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Khokhlov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Sergey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Vorobjev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Olga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Mirolyubova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Svetlana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Boldueva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Olga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Ershova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Marina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Ballyzek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Olga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Smolenskaya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Sergey S.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Yakushin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Dmitry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Zateyshchikov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Mikhail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Arkhipov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Alexandr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Kuzmenko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Ivan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Maksimov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Igor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Motylev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Vladimir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Rafalskiy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Leonid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Strongin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Tatyana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Treshkur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Natalya Volkova, Olga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Barbarash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Tatiana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Raskina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Leonid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Bartosh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Inna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Nikolskaya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Elena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Shutemova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Viktor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Gurevich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Natalia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Burova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Elena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Vorobyeva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Denis Andreev, Boris Bart, Tatiana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Khlevchuk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Lyudmila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Gapon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Ivan Gordeev, Nikolai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Gratsiansky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Alsu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Zalevskaya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Sergey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Sayganov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Oleg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Solovyev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Galina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Reshedko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Natalia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Shilkina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Petr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Chizhov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Julia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Shapovalova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Alexander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Sherenkov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Olga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Reshetko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Vladimir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Simanenkov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414449">
        <w:rPr>
          <w:rFonts w:ascii="Times New Roman" w:hAnsi="Times New Roman" w:cs="Times New Roman"/>
          <w:b/>
          <w:sz w:val="24"/>
          <w:szCs w:val="24"/>
          <w:lang w:val="en-US"/>
        </w:rPr>
        <w:t>Spain:</w:t>
      </w:r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Juan Garcia Puig, Jose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Saban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Jose Pascual, Jose Dominguez, Elias Delgado, Carlos Calvo, Manuel Vida, Santiago Duran, Francisco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Tinahones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Jordi Salas, Jose Miguel Gonzalez, Manuel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Monreal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Armand Grau, Andreu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Nubiola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Pere Alvarez; </w:t>
      </w:r>
      <w:r w:rsidRPr="00414449">
        <w:rPr>
          <w:rFonts w:ascii="Times New Roman" w:hAnsi="Times New Roman" w:cs="Times New Roman"/>
          <w:b/>
          <w:sz w:val="24"/>
          <w:szCs w:val="24"/>
          <w:lang w:val="en-US"/>
        </w:rPr>
        <w:t>Sweden:</w:t>
      </w:r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Kaj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Stenlöf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Pekka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Koskinen, Carl-Johan Lindholm,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Ulrik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Mathiesen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Katarina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Berndtsson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Blom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>, Bengt-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Olov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Tengmark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Hans Jul-Nielsen; </w:t>
      </w:r>
      <w:r w:rsidRPr="00414449">
        <w:rPr>
          <w:rFonts w:ascii="Times New Roman" w:hAnsi="Times New Roman" w:cs="Times New Roman"/>
          <w:b/>
          <w:sz w:val="24"/>
          <w:szCs w:val="24"/>
          <w:lang w:val="en-US"/>
        </w:rPr>
        <w:t>Ukraine:</w:t>
      </w:r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Oleksandr Larin, Svetlana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Panina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Svitlana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Kovalenko, Olena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Voloshyna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Vera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Tseluyko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Olga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Gyrina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Vadim Vizir, Olga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Barna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Maryna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Dolzhenko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Yuriy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Mostovoy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Vadim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Korpachev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Boris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Mankovskiy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Mykola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Vatutin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414449">
        <w:rPr>
          <w:rFonts w:ascii="Times New Roman" w:hAnsi="Times New Roman" w:cs="Times New Roman"/>
          <w:b/>
          <w:sz w:val="24"/>
          <w:szCs w:val="24"/>
          <w:lang w:val="en-US"/>
        </w:rPr>
        <w:t>United States:</w:t>
      </w:r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Charles Arena, Basil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Akpunonu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Rahfa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Zerikly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Claire Baker, Toby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Briskin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Darlene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Bartilucci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Joshua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Barzilay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Christian Breton, John Buse, Richard Cherlin, Michael Cobble, Clarence Ellis, Raymond Fink, Alan Forker, Ronald Garcia, Priscilla Hollander, Angela House, Daniel Hyman, Richard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Ingebretsen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David Jack, Judith Kirstein, Kerri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Kissell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Daniel Lorber, Donald McNeil, Wendell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Miers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Alex Murray, Robert Call, </w:t>
      </w:r>
      <w:r w:rsidRPr="0041444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Stephen T. Ong, Fernando Ovalle, Robert Pearlstein, Veronica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Piziak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Daniel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Pomposini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David Robertson, Julio Rosenstock, Ulrich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Schubart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Shaukat Shah, Rodney Stout, Mark Turner, James Wallace, Leonard Chuck, Edmund Claxton, Emily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Morawski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Alan Wynne, Carol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Wysham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Michael Alderman, Walter Patton, Bryan Pogue, Arnold Silva, Roger Guthrie, Sam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Lerman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Robert Madder, Wendy Miller, Daniel Weiss, Dean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Kereiakes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Ronald J Graf,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Negah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Rassouli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James Greenwald, Hanna Abu-Nassar, Derek Muse, Vicki Kalen, Natalia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Hegedosh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Richard </w:t>
      </w:r>
      <w:proofErr w:type="spellStart"/>
      <w:r w:rsidRPr="00414449">
        <w:rPr>
          <w:rFonts w:ascii="Times New Roman" w:hAnsi="Times New Roman" w:cs="Times New Roman"/>
          <w:sz w:val="24"/>
          <w:szCs w:val="24"/>
          <w:lang w:val="en-US"/>
        </w:rPr>
        <w:t>Dobrusin</w:t>
      </w:r>
      <w:proofErr w:type="spellEnd"/>
      <w:r w:rsidRPr="00414449">
        <w:rPr>
          <w:rFonts w:ascii="Times New Roman" w:hAnsi="Times New Roman" w:cs="Times New Roman"/>
          <w:sz w:val="24"/>
          <w:szCs w:val="24"/>
          <w:lang w:val="en-US"/>
        </w:rPr>
        <w:t xml:space="preserve">, Glover Johnson, Tami Bruce, Gary Gleason. </w:t>
      </w:r>
    </w:p>
    <w:p w14:paraId="73D53FEF" w14:textId="77777777" w:rsidR="00E006D9" w:rsidRPr="00414449" w:rsidRDefault="00E006D9">
      <w:pPr>
        <w:spacing w:after="200" w:line="276" w:lineRule="auto"/>
        <w:jc w:val="left"/>
        <w:rPr>
          <w:rFonts w:ascii="Times New Roman" w:hAnsi="Times New Roman" w:cs="Times New Roman"/>
          <w:lang w:val="en-US"/>
        </w:rPr>
      </w:pPr>
      <w:r w:rsidRPr="00414449">
        <w:rPr>
          <w:rFonts w:ascii="Times New Roman" w:hAnsi="Times New Roman" w:cs="Times New Roman"/>
          <w:lang w:val="en-US"/>
        </w:rPr>
        <w:br w:type="page"/>
      </w:r>
    </w:p>
    <w:p w14:paraId="4731B5C0" w14:textId="07A18534" w:rsidR="007C39D0" w:rsidRPr="00414449" w:rsidRDefault="00D062AB" w:rsidP="00B32F86">
      <w:pPr>
        <w:pStyle w:val="Heading2"/>
        <w:rPr>
          <w:rStyle w:val="Heading2Char"/>
          <w:rFonts w:ascii="Times New Roman" w:hAnsi="Times New Roman" w:cs="Times New Roman"/>
          <w:sz w:val="24"/>
          <w:szCs w:val="24"/>
          <w:lang w:val="en-US"/>
        </w:rPr>
      </w:pPr>
      <w:bookmarkStart w:id="3" w:name="_Toc75346322"/>
      <w:r w:rsidRPr="00414449">
        <w:rPr>
          <w:rStyle w:val="Heading2Char"/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Supplemental Table 1</w:t>
      </w:r>
      <w:r w:rsidR="007C39D0" w:rsidRPr="00414449">
        <w:rPr>
          <w:rStyle w:val="Heading2Char"/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7C39D0" w:rsidRPr="00414449">
        <w:rPr>
          <w:rStyle w:val="Heading2Char"/>
          <w:rFonts w:ascii="Times New Roman" w:hAnsi="Times New Roman" w:cs="Times New Roman"/>
          <w:sz w:val="24"/>
          <w:szCs w:val="24"/>
          <w:lang w:val="en-US"/>
        </w:rPr>
        <w:t xml:space="preserve"> Effect of prognostic enrichment with TNFR-1 or TNFR-2 on sample size, number of screenings an</w:t>
      </w:r>
      <w:r w:rsidR="00D81572" w:rsidRPr="00414449">
        <w:rPr>
          <w:rStyle w:val="Heading2Char"/>
          <w:rFonts w:ascii="Times New Roman" w:hAnsi="Times New Roman" w:cs="Times New Roman"/>
          <w:sz w:val="24"/>
          <w:szCs w:val="24"/>
          <w:lang w:val="en-US"/>
        </w:rPr>
        <w:t>d</w:t>
      </w:r>
      <w:r w:rsidR="007C39D0" w:rsidRPr="00414449">
        <w:rPr>
          <w:rStyle w:val="Heading2Char"/>
          <w:rFonts w:ascii="Times New Roman" w:hAnsi="Times New Roman" w:cs="Times New Roman"/>
          <w:sz w:val="24"/>
          <w:szCs w:val="24"/>
          <w:lang w:val="en-US"/>
        </w:rPr>
        <w:t xml:space="preserve"> costs for a future trial</w:t>
      </w:r>
      <w:r w:rsidR="00394B53" w:rsidRPr="00414449">
        <w:rPr>
          <w:rStyle w:val="Heading2Char"/>
          <w:rFonts w:ascii="Times New Roman" w:hAnsi="Times New Roman" w:cs="Times New Roman"/>
          <w:sz w:val="24"/>
          <w:szCs w:val="24"/>
          <w:lang w:val="en-US"/>
        </w:rPr>
        <w:t xml:space="preserve"> in the normoalbuminuria population</w:t>
      </w:r>
      <w:r w:rsidR="007C39D0" w:rsidRPr="00414449">
        <w:rPr>
          <w:rStyle w:val="Heading2Char"/>
          <w:rFonts w:ascii="Times New Roman" w:hAnsi="Times New Roman" w:cs="Times New Roman"/>
          <w:sz w:val="24"/>
          <w:szCs w:val="24"/>
          <w:lang w:val="en-US"/>
        </w:rPr>
        <w:t>.</w:t>
      </w:r>
      <w:bookmarkEnd w:id="3"/>
    </w:p>
    <w:p w14:paraId="09E78EFB" w14:textId="77777777" w:rsidR="007C39D0" w:rsidRPr="00414449" w:rsidRDefault="007C39D0" w:rsidP="002D7CE0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3"/>
        <w:gridCol w:w="1719"/>
        <w:gridCol w:w="952"/>
        <w:gridCol w:w="624"/>
        <w:gridCol w:w="1134"/>
        <w:gridCol w:w="1718"/>
        <w:gridCol w:w="1422"/>
      </w:tblGrid>
      <w:tr w:rsidR="0012415E" w:rsidRPr="00FC25F0" w14:paraId="4DC45CE7" w14:textId="77777777" w:rsidTr="002D7CE0">
        <w:tc>
          <w:tcPr>
            <w:tcW w:w="8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B8967" w14:textId="77777777" w:rsidR="007C39D0" w:rsidRPr="00414449" w:rsidRDefault="007C39D0" w:rsidP="00D062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Percent of Patients Screened from Trial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2E413" w14:textId="77777777" w:rsidR="007C39D0" w:rsidRPr="00414449" w:rsidRDefault="007C39D0" w:rsidP="00D062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Event Rate Among Biomarker-Positive Patients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47476" w14:textId="77777777" w:rsidR="007C39D0" w:rsidRPr="00414449" w:rsidRDefault="007C39D0" w:rsidP="00D062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Sample Size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49841" w14:textId="77777777" w:rsidR="007C39D0" w:rsidRPr="00414449" w:rsidRDefault="007C39D0" w:rsidP="00D062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NNS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1B0BC" w14:textId="77777777" w:rsidR="007C39D0" w:rsidRPr="00414449" w:rsidRDefault="007C39D0" w:rsidP="00D062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 Screened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E65B0" w14:textId="77777777" w:rsidR="007C39D0" w:rsidRPr="00414449" w:rsidRDefault="007C39D0" w:rsidP="00D062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 Costs for Screening and Patients in Trial</w:t>
            </w:r>
          </w:p>
          <w:p w14:paraId="4355DBD6" w14:textId="14CFCC95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million</w:t>
            </w:r>
            <w:proofErr w:type="gramEnd"/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dollars)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F8A2A" w14:textId="77777777" w:rsidR="007C39D0" w:rsidRPr="00414449" w:rsidRDefault="007C39D0" w:rsidP="00D062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Percent Reduction in Total Cost</w:t>
            </w:r>
          </w:p>
        </w:tc>
      </w:tr>
      <w:tr w:rsidR="0012415E" w:rsidRPr="00414449" w14:paraId="1DDA158F" w14:textId="77777777" w:rsidTr="002D7CE0">
        <w:tc>
          <w:tcPr>
            <w:tcW w:w="828" w:type="pct"/>
            <w:tcBorders>
              <w:top w:val="single" w:sz="4" w:space="0" w:color="auto"/>
            </w:tcBorders>
          </w:tcPr>
          <w:p w14:paraId="012CD620" w14:textId="77777777" w:rsidR="007C39D0" w:rsidRPr="00414449" w:rsidRDefault="007C39D0" w:rsidP="00D062A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TNFR-1</w:t>
            </w:r>
          </w:p>
        </w:tc>
        <w:tc>
          <w:tcPr>
            <w:tcW w:w="947" w:type="pct"/>
            <w:tcBorders>
              <w:top w:val="single" w:sz="4" w:space="0" w:color="auto"/>
            </w:tcBorders>
          </w:tcPr>
          <w:p w14:paraId="301F32B0" w14:textId="77777777" w:rsidR="007C39D0" w:rsidRPr="00414449" w:rsidRDefault="007C39D0" w:rsidP="00D062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" w:type="pct"/>
            <w:tcBorders>
              <w:top w:val="single" w:sz="4" w:space="0" w:color="auto"/>
            </w:tcBorders>
          </w:tcPr>
          <w:p w14:paraId="37E85218" w14:textId="77777777" w:rsidR="007C39D0" w:rsidRPr="00414449" w:rsidRDefault="007C39D0" w:rsidP="00D062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4" w:type="pct"/>
            <w:tcBorders>
              <w:top w:val="single" w:sz="4" w:space="0" w:color="auto"/>
            </w:tcBorders>
          </w:tcPr>
          <w:p w14:paraId="66A244FC" w14:textId="77777777" w:rsidR="007C39D0" w:rsidRPr="00414449" w:rsidRDefault="007C39D0" w:rsidP="00D062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7A3D6D1B" w14:textId="77777777" w:rsidR="007C39D0" w:rsidRPr="00414449" w:rsidRDefault="007C39D0" w:rsidP="00D062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7" w:type="pct"/>
            <w:tcBorders>
              <w:top w:val="single" w:sz="4" w:space="0" w:color="auto"/>
            </w:tcBorders>
          </w:tcPr>
          <w:p w14:paraId="218FA4CA" w14:textId="77777777" w:rsidR="007C39D0" w:rsidRPr="00414449" w:rsidRDefault="007C39D0" w:rsidP="00D062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4" w:type="pct"/>
            <w:tcBorders>
              <w:top w:val="single" w:sz="4" w:space="0" w:color="auto"/>
            </w:tcBorders>
          </w:tcPr>
          <w:p w14:paraId="1EB19627" w14:textId="77777777" w:rsidR="007C39D0" w:rsidRPr="00414449" w:rsidRDefault="007C39D0" w:rsidP="00D062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3CDD" w:rsidRPr="00414449" w14:paraId="235DC70D" w14:textId="77777777" w:rsidTr="002D7CE0">
        <w:tc>
          <w:tcPr>
            <w:tcW w:w="828" w:type="pct"/>
            <w:vAlign w:val="center"/>
          </w:tcPr>
          <w:p w14:paraId="5279DC0D" w14:textId="77777777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47" w:type="pct"/>
            <w:vAlign w:val="bottom"/>
          </w:tcPr>
          <w:p w14:paraId="27FBB50B" w14:textId="16501C6F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24" w:type="pct"/>
            <w:vAlign w:val="bottom"/>
          </w:tcPr>
          <w:p w14:paraId="7E5D240F" w14:textId="4C793969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61E80"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344" w:type="pct"/>
            <w:vAlign w:val="bottom"/>
          </w:tcPr>
          <w:p w14:paraId="563D5513" w14:textId="18AEA54F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5" w:type="pct"/>
            <w:vAlign w:val="bottom"/>
          </w:tcPr>
          <w:p w14:paraId="09F59CE3" w14:textId="62B2306E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61E80"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947" w:type="pct"/>
            <w:vAlign w:val="bottom"/>
          </w:tcPr>
          <w:p w14:paraId="2E9061EB" w14:textId="32E9E138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184.6</w:t>
            </w:r>
          </w:p>
        </w:tc>
        <w:tc>
          <w:tcPr>
            <w:tcW w:w="784" w:type="pct"/>
            <w:vAlign w:val="bottom"/>
          </w:tcPr>
          <w:p w14:paraId="740949B6" w14:textId="1C95CD8F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E33CDD" w:rsidRPr="00414449" w14:paraId="0067A886" w14:textId="77777777" w:rsidTr="002D7CE0">
        <w:tc>
          <w:tcPr>
            <w:tcW w:w="828" w:type="pct"/>
            <w:vAlign w:val="center"/>
          </w:tcPr>
          <w:p w14:paraId="5FAA01D5" w14:textId="77777777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947" w:type="pct"/>
            <w:vAlign w:val="bottom"/>
          </w:tcPr>
          <w:p w14:paraId="1815267E" w14:textId="2A1FC4FF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524" w:type="pct"/>
            <w:vAlign w:val="bottom"/>
          </w:tcPr>
          <w:p w14:paraId="7E7268A4" w14:textId="619C58EB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61E80"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4" w:type="pct"/>
            <w:vAlign w:val="bottom"/>
          </w:tcPr>
          <w:p w14:paraId="0625569D" w14:textId="41B3BBCF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25" w:type="pct"/>
            <w:vAlign w:val="bottom"/>
          </w:tcPr>
          <w:p w14:paraId="61788240" w14:textId="68F8CD97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961E80"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947" w:type="pct"/>
            <w:vAlign w:val="bottom"/>
          </w:tcPr>
          <w:p w14:paraId="6729BA72" w14:textId="073478AF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164.3</w:t>
            </w:r>
          </w:p>
        </w:tc>
        <w:tc>
          <w:tcPr>
            <w:tcW w:w="784" w:type="pct"/>
            <w:vAlign w:val="bottom"/>
          </w:tcPr>
          <w:p w14:paraId="46E2A884" w14:textId="2BB25AD4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11%</w:t>
            </w:r>
          </w:p>
        </w:tc>
      </w:tr>
      <w:tr w:rsidR="00E33CDD" w:rsidRPr="00414449" w14:paraId="661DEED0" w14:textId="77777777" w:rsidTr="002D7CE0">
        <w:tc>
          <w:tcPr>
            <w:tcW w:w="828" w:type="pct"/>
            <w:vAlign w:val="center"/>
          </w:tcPr>
          <w:p w14:paraId="23B8C49E" w14:textId="77777777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947" w:type="pct"/>
            <w:vAlign w:val="bottom"/>
          </w:tcPr>
          <w:p w14:paraId="025BB420" w14:textId="708A5D18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524" w:type="pct"/>
            <w:vAlign w:val="bottom"/>
          </w:tcPr>
          <w:p w14:paraId="1319DF82" w14:textId="460C1F2A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61E80"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344" w:type="pct"/>
            <w:vAlign w:val="bottom"/>
          </w:tcPr>
          <w:p w14:paraId="62A03453" w14:textId="2618E725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5" w:type="pct"/>
            <w:vAlign w:val="bottom"/>
          </w:tcPr>
          <w:p w14:paraId="37044A8A" w14:textId="2BF40DB2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61E80"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947" w:type="pct"/>
            <w:vAlign w:val="bottom"/>
          </w:tcPr>
          <w:p w14:paraId="3AAC69AC" w14:textId="3871EB57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144.0</w:t>
            </w:r>
          </w:p>
        </w:tc>
        <w:tc>
          <w:tcPr>
            <w:tcW w:w="784" w:type="pct"/>
            <w:vAlign w:val="bottom"/>
          </w:tcPr>
          <w:p w14:paraId="035EC7A6" w14:textId="0D9D9047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22%</w:t>
            </w:r>
          </w:p>
        </w:tc>
      </w:tr>
      <w:tr w:rsidR="00E33CDD" w:rsidRPr="00414449" w14:paraId="67490937" w14:textId="77777777" w:rsidTr="002D7CE0">
        <w:tc>
          <w:tcPr>
            <w:tcW w:w="828" w:type="pct"/>
            <w:vAlign w:val="center"/>
          </w:tcPr>
          <w:p w14:paraId="255F94A8" w14:textId="77777777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947" w:type="pct"/>
            <w:vAlign w:val="bottom"/>
          </w:tcPr>
          <w:p w14:paraId="5ED6A481" w14:textId="6B66FA5E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524" w:type="pct"/>
            <w:vAlign w:val="bottom"/>
          </w:tcPr>
          <w:p w14:paraId="6B71E0E5" w14:textId="5A146865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61E80"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4" w:type="pct"/>
            <w:vAlign w:val="bottom"/>
          </w:tcPr>
          <w:p w14:paraId="0ACDB0F3" w14:textId="6379334F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5" w:type="pct"/>
            <w:vAlign w:val="bottom"/>
          </w:tcPr>
          <w:p w14:paraId="100A0238" w14:textId="4CBE3876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961E80"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47" w:type="pct"/>
            <w:vAlign w:val="bottom"/>
          </w:tcPr>
          <w:p w14:paraId="6B03CAB3" w14:textId="5DA4522F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123.1</w:t>
            </w:r>
          </w:p>
        </w:tc>
        <w:tc>
          <w:tcPr>
            <w:tcW w:w="784" w:type="pct"/>
            <w:vAlign w:val="bottom"/>
          </w:tcPr>
          <w:p w14:paraId="0B842340" w14:textId="6DD52A61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33.30%</w:t>
            </w:r>
          </w:p>
        </w:tc>
      </w:tr>
      <w:tr w:rsidR="00E33CDD" w:rsidRPr="00414449" w14:paraId="570A3AFB" w14:textId="77777777" w:rsidTr="002D7CE0">
        <w:tc>
          <w:tcPr>
            <w:tcW w:w="828" w:type="pct"/>
            <w:tcBorders>
              <w:bottom w:val="dashSmallGap" w:sz="4" w:space="0" w:color="auto"/>
            </w:tcBorders>
            <w:vAlign w:val="center"/>
          </w:tcPr>
          <w:p w14:paraId="77F3814E" w14:textId="77777777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947" w:type="pct"/>
            <w:tcBorders>
              <w:bottom w:val="dashSmallGap" w:sz="4" w:space="0" w:color="auto"/>
            </w:tcBorders>
            <w:vAlign w:val="bottom"/>
          </w:tcPr>
          <w:p w14:paraId="53B496FA" w14:textId="464EE4A2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524" w:type="pct"/>
            <w:tcBorders>
              <w:bottom w:val="dashSmallGap" w:sz="4" w:space="0" w:color="auto"/>
            </w:tcBorders>
            <w:vAlign w:val="bottom"/>
          </w:tcPr>
          <w:p w14:paraId="5210E895" w14:textId="5BF5D83C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61E80"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344" w:type="pct"/>
            <w:tcBorders>
              <w:bottom w:val="dashSmallGap" w:sz="4" w:space="0" w:color="auto"/>
            </w:tcBorders>
            <w:vAlign w:val="bottom"/>
          </w:tcPr>
          <w:p w14:paraId="6DB78E51" w14:textId="00BBE87E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5" w:type="pct"/>
            <w:tcBorders>
              <w:bottom w:val="dashSmallGap" w:sz="4" w:space="0" w:color="auto"/>
            </w:tcBorders>
            <w:vAlign w:val="bottom"/>
          </w:tcPr>
          <w:p w14:paraId="35DBB2BC" w14:textId="3888D5B1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961E80"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947" w:type="pct"/>
            <w:tcBorders>
              <w:bottom w:val="dashSmallGap" w:sz="4" w:space="0" w:color="auto"/>
            </w:tcBorders>
            <w:vAlign w:val="bottom"/>
          </w:tcPr>
          <w:p w14:paraId="4864B322" w14:textId="7A229ED5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113.3</w:t>
            </w:r>
          </w:p>
        </w:tc>
        <w:tc>
          <w:tcPr>
            <w:tcW w:w="784" w:type="pct"/>
            <w:tcBorders>
              <w:bottom w:val="dashSmallGap" w:sz="4" w:space="0" w:color="auto"/>
            </w:tcBorders>
            <w:vAlign w:val="bottom"/>
          </w:tcPr>
          <w:p w14:paraId="5A38FB36" w14:textId="7AE2B608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38.60%</w:t>
            </w:r>
          </w:p>
        </w:tc>
      </w:tr>
      <w:tr w:rsidR="0012415E" w:rsidRPr="00414449" w14:paraId="5AEEAA70" w14:textId="77777777" w:rsidTr="002D7CE0">
        <w:tc>
          <w:tcPr>
            <w:tcW w:w="828" w:type="pct"/>
            <w:tcBorders>
              <w:top w:val="dashSmallGap" w:sz="4" w:space="0" w:color="auto"/>
            </w:tcBorders>
            <w:vAlign w:val="bottom"/>
          </w:tcPr>
          <w:p w14:paraId="3E858C65" w14:textId="77777777" w:rsidR="007C39D0" w:rsidRPr="00414449" w:rsidRDefault="007C39D0" w:rsidP="00D062A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TNFR-2</w:t>
            </w:r>
          </w:p>
        </w:tc>
        <w:tc>
          <w:tcPr>
            <w:tcW w:w="947" w:type="pct"/>
            <w:tcBorders>
              <w:top w:val="dashSmallGap" w:sz="4" w:space="0" w:color="auto"/>
            </w:tcBorders>
            <w:vAlign w:val="bottom"/>
          </w:tcPr>
          <w:p w14:paraId="2467D709" w14:textId="77777777" w:rsidR="007C39D0" w:rsidRPr="00414449" w:rsidRDefault="007C39D0" w:rsidP="00D062A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dashSmallGap" w:sz="4" w:space="0" w:color="auto"/>
            </w:tcBorders>
            <w:vAlign w:val="bottom"/>
          </w:tcPr>
          <w:p w14:paraId="3EB12DAA" w14:textId="77777777" w:rsidR="007C39D0" w:rsidRPr="00414449" w:rsidRDefault="007C39D0" w:rsidP="00D062A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dashSmallGap" w:sz="4" w:space="0" w:color="auto"/>
            </w:tcBorders>
            <w:vAlign w:val="bottom"/>
          </w:tcPr>
          <w:p w14:paraId="2E31B1D8" w14:textId="77777777" w:rsidR="007C39D0" w:rsidRPr="00414449" w:rsidRDefault="007C39D0" w:rsidP="00D062A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dashSmallGap" w:sz="4" w:space="0" w:color="auto"/>
            </w:tcBorders>
            <w:vAlign w:val="bottom"/>
          </w:tcPr>
          <w:p w14:paraId="43807233" w14:textId="77777777" w:rsidR="007C39D0" w:rsidRPr="00414449" w:rsidRDefault="007C39D0" w:rsidP="00D062A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dashSmallGap" w:sz="4" w:space="0" w:color="auto"/>
            </w:tcBorders>
            <w:vAlign w:val="bottom"/>
          </w:tcPr>
          <w:p w14:paraId="31A9FA5A" w14:textId="77777777" w:rsidR="007C39D0" w:rsidRPr="00414449" w:rsidRDefault="007C39D0" w:rsidP="00D062A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dashSmallGap" w:sz="4" w:space="0" w:color="auto"/>
            </w:tcBorders>
            <w:vAlign w:val="bottom"/>
          </w:tcPr>
          <w:p w14:paraId="60F610C8" w14:textId="77777777" w:rsidR="007C39D0" w:rsidRPr="00414449" w:rsidRDefault="007C39D0" w:rsidP="00D062A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3CDD" w:rsidRPr="00414449" w14:paraId="6CDB24BC" w14:textId="77777777" w:rsidTr="002D7CE0">
        <w:tc>
          <w:tcPr>
            <w:tcW w:w="828" w:type="pct"/>
            <w:vAlign w:val="center"/>
          </w:tcPr>
          <w:p w14:paraId="110D661A" w14:textId="77777777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47" w:type="pct"/>
            <w:vAlign w:val="bottom"/>
          </w:tcPr>
          <w:p w14:paraId="4A12BE00" w14:textId="5DA9D605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24" w:type="pct"/>
            <w:vAlign w:val="bottom"/>
          </w:tcPr>
          <w:p w14:paraId="4C0FD593" w14:textId="01756512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61E80"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344" w:type="pct"/>
            <w:vAlign w:val="bottom"/>
          </w:tcPr>
          <w:p w14:paraId="16813E7F" w14:textId="23F51258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5" w:type="pct"/>
            <w:vAlign w:val="bottom"/>
          </w:tcPr>
          <w:p w14:paraId="77475CA9" w14:textId="747AC46F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61E80"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947" w:type="pct"/>
            <w:vAlign w:val="bottom"/>
          </w:tcPr>
          <w:p w14:paraId="07BAA706" w14:textId="03A7DDA9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184.6</w:t>
            </w:r>
          </w:p>
        </w:tc>
        <w:tc>
          <w:tcPr>
            <w:tcW w:w="784" w:type="pct"/>
            <w:vAlign w:val="bottom"/>
          </w:tcPr>
          <w:p w14:paraId="1EA64CC0" w14:textId="4BF1FA07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E33CDD" w:rsidRPr="00414449" w14:paraId="72528C5B" w14:textId="77777777" w:rsidTr="002D7CE0">
        <w:tc>
          <w:tcPr>
            <w:tcW w:w="828" w:type="pct"/>
            <w:vAlign w:val="center"/>
          </w:tcPr>
          <w:p w14:paraId="2E1D28F9" w14:textId="77777777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947" w:type="pct"/>
            <w:vAlign w:val="bottom"/>
          </w:tcPr>
          <w:p w14:paraId="2FB9A8DB" w14:textId="2E7AA6CF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524" w:type="pct"/>
            <w:vAlign w:val="bottom"/>
          </w:tcPr>
          <w:p w14:paraId="008FAF95" w14:textId="0FB30CE7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61E80"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44" w:type="pct"/>
            <w:vAlign w:val="bottom"/>
          </w:tcPr>
          <w:p w14:paraId="234F8853" w14:textId="484D2175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25" w:type="pct"/>
            <w:vAlign w:val="bottom"/>
          </w:tcPr>
          <w:p w14:paraId="3D2D9D8A" w14:textId="24CECE10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961E80"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947" w:type="pct"/>
            <w:vAlign w:val="bottom"/>
          </w:tcPr>
          <w:p w14:paraId="1A017DC1" w14:textId="4F33F2BC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168.7</w:t>
            </w:r>
          </w:p>
        </w:tc>
        <w:tc>
          <w:tcPr>
            <w:tcW w:w="784" w:type="pct"/>
            <w:vAlign w:val="bottom"/>
          </w:tcPr>
          <w:p w14:paraId="46422357" w14:textId="272DC1F1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8.60%</w:t>
            </w:r>
          </w:p>
        </w:tc>
      </w:tr>
      <w:tr w:rsidR="00E33CDD" w:rsidRPr="00414449" w14:paraId="21B75421" w14:textId="77777777" w:rsidTr="002D7CE0">
        <w:tc>
          <w:tcPr>
            <w:tcW w:w="828" w:type="pct"/>
            <w:vAlign w:val="center"/>
          </w:tcPr>
          <w:p w14:paraId="63DF7166" w14:textId="77777777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947" w:type="pct"/>
            <w:vAlign w:val="bottom"/>
          </w:tcPr>
          <w:p w14:paraId="0E0E36F1" w14:textId="68F87E75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524" w:type="pct"/>
            <w:vAlign w:val="bottom"/>
          </w:tcPr>
          <w:p w14:paraId="525E69B5" w14:textId="6302B795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61E80"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344" w:type="pct"/>
            <w:vAlign w:val="bottom"/>
          </w:tcPr>
          <w:p w14:paraId="0B0A1A67" w14:textId="067A8219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5" w:type="pct"/>
            <w:vAlign w:val="bottom"/>
          </w:tcPr>
          <w:p w14:paraId="1DA38623" w14:textId="2CC3F97B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61E80"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947" w:type="pct"/>
            <w:vAlign w:val="bottom"/>
          </w:tcPr>
          <w:p w14:paraId="255DA058" w14:textId="45D181DA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143.4</w:t>
            </w:r>
          </w:p>
        </w:tc>
        <w:tc>
          <w:tcPr>
            <w:tcW w:w="784" w:type="pct"/>
            <w:vAlign w:val="bottom"/>
          </w:tcPr>
          <w:p w14:paraId="13DD0938" w14:textId="7789D687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22.30%</w:t>
            </w:r>
          </w:p>
        </w:tc>
      </w:tr>
      <w:tr w:rsidR="00E33CDD" w:rsidRPr="00414449" w14:paraId="019733F3" w14:textId="77777777" w:rsidTr="002D7CE0">
        <w:tc>
          <w:tcPr>
            <w:tcW w:w="828" w:type="pct"/>
            <w:vAlign w:val="center"/>
          </w:tcPr>
          <w:p w14:paraId="112344F7" w14:textId="77777777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947" w:type="pct"/>
            <w:vAlign w:val="bottom"/>
          </w:tcPr>
          <w:p w14:paraId="11197C71" w14:textId="2D3A32C8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524" w:type="pct"/>
            <w:vAlign w:val="bottom"/>
          </w:tcPr>
          <w:p w14:paraId="19C7C42F" w14:textId="7A49C746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61E80"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344" w:type="pct"/>
            <w:vAlign w:val="bottom"/>
          </w:tcPr>
          <w:p w14:paraId="1FBDFD58" w14:textId="6328730E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5" w:type="pct"/>
            <w:vAlign w:val="bottom"/>
          </w:tcPr>
          <w:p w14:paraId="56ACCA45" w14:textId="7546A9F7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961E80"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947" w:type="pct"/>
            <w:vAlign w:val="bottom"/>
          </w:tcPr>
          <w:p w14:paraId="3DD8A6D6" w14:textId="2AD19247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110.5</w:t>
            </w:r>
          </w:p>
        </w:tc>
        <w:tc>
          <w:tcPr>
            <w:tcW w:w="784" w:type="pct"/>
            <w:vAlign w:val="bottom"/>
          </w:tcPr>
          <w:p w14:paraId="3B853D8E" w14:textId="308C11D3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40.20%</w:t>
            </w:r>
          </w:p>
        </w:tc>
      </w:tr>
      <w:tr w:rsidR="00E33CDD" w:rsidRPr="00414449" w14:paraId="3B7B7295" w14:textId="77777777" w:rsidTr="002D7CE0"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14:paraId="20B0B012" w14:textId="77777777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vAlign w:val="bottom"/>
          </w:tcPr>
          <w:p w14:paraId="355F5E42" w14:textId="76A00BCA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bottom"/>
          </w:tcPr>
          <w:p w14:paraId="26AFE667" w14:textId="7B6EBF6A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61E80"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bottom"/>
          </w:tcPr>
          <w:p w14:paraId="4526C623" w14:textId="0AB1EBDA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7B8BFE32" w14:textId="32F3511B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961E80"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vAlign w:val="bottom"/>
          </w:tcPr>
          <w:p w14:paraId="44A3C5B7" w14:textId="466D492C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71.4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bottom"/>
          </w:tcPr>
          <w:p w14:paraId="59E4D991" w14:textId="488FED7A" w:rsidR="00E33CDD" w:rsidRPr="00414449" w:rsidRDefault="00E33CDD" w:rsidP="00D062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61.30%</w:t>
            </w:r>
          </w:p>
        </w:tc>
      </w:tr>
    </w:tbl>
    <w:p w14:paraId="0F14B070" w14:textId="3C109A44" w:rsidR="007C39D0" w:rsidRPr="00414449" w:rsidRDefault="00C006B1" w:rsidP="007C39D0">
      <w:pPr>
        <w:spacing w:line="276" w:lineRule="auto"/>
        <w:rPr>
          <w:rFonts w:ascii="Times New Roman" w:hAnsi="Times New Roman" w:cs="Times New Roman"/>
          <w:sz w:val="20"/>
          <w:lang w:val="en-US"/>
        </w:rPr>
      </w:pPr>
      <w:r w:rsidRPr="00414449">
        <w:rPr>
          <w:rFonts w:ascii="Times New Roman" w:hAnsi="Times New Roman" w:cs="Times New Roman"/>
          <w:sz w:val="20"/>
          <w:lang w:val="en-US"/>
        </w:rPr>
        <w:br/>
      </w:r>
      <w:r w:rsidR="007C39D0" w:rsidRPr="00414449">
        <w:rPr>
          <w:rFonts w:ascii="Times New Roman" w:hAnsi="Times New Roman" w:cs="Times New Roman"/>
          <w:sz w:val="20"/>
          <w:lang w:val="en-US"/>
        </w:rPr>
        <w:t>TNFR-1</w:t>
      </w:r>
      <w:r w:rsidR="0019670C" w:rsidRPr="00414449">
        <w:rPr>
          <w:rFonts w:ascii="Times New Roman" w:hAnsi="Times New Roman" w:cs="Times New Roman"/>
          <w:sz w:val="20"/>
          <w:lang w:val="en-US"/>
        </w:rPr>
        <w:t>,</w:t>
      </w:r>
      <w:r w:rsidR="007C39D0" w:rsidRPr="00414449">
        <w:rPr>
          <w:rFonts w:ascii="Times New Roman" w:hAnsi="Times New Roman" w:cs="Times New Roman"/>
          <w:sz w:val="20"/>
          <w:lang w:val="en-US"/>
        </w:rPr>
        <w:t xml:space="preserve"> tumor necrosis factor receptor-1; TNFR-2</w:t>
      </w:r>
      <w:r w:rsidR="0019670C" w:rsidRPr="00414449">
        <w:rPr>
          <w:rFonts w:ascii="Times New Roman" w:hAnsi="Times New Roman" w:cs="Times New Roman"/>
          <w:sz w:val="20"/>
          <w:lang w:val="en-US"/>
        </w:rPr>
        <w:t>,</w:t>
      </w:r>
      <w:r w:rsidR="007C39D0" w:rsidRPr="00414449">
        <w:rPr>
          <w:rFonts w:ascii="Times New Roman" w:hAnsi="Times New Roman" w:cs="Times New Roman"/>
          <w:sz w:val="20"/>
          <w:lang w:val="en-US"/>
        </w:rPr>
        <w:t xml:space="preserve"> tumor necrosis factor </w:t>
      </w:r>
      <w:r w:rsidR="00934004" w:rsidRPr="00414449">
        <w:rPr>
          <w:rFonts w:ascii="Times New Roman" w:hAnsi="Times New Roman" w:cs="Times New Roman"/>
          <w:sz w:val="20"/>
          <w:lang w:val="en-US"/>
        </w:rPr>
        <w:t>receptor-2</w:t>
      </w:r>
      <w:r w:rsidR="007C39D0" w:rsidRPr="00414449">
        <w:rPr>
          <w:rFonts w:ascii="Times New Roman" w:hAnsi="Times New Roman" w:cs="Times New Roman"/>
          <w:sz w:val="20"/>
          <w:lang w:val="en-US"/>
        </w:rPr>
        <w:t>; NNS</w:t>
      </w:r>
      <w:r w:rsidR="0019670C" w:rsidRPr="00414449">
        <w:rPr>
          <w:rFonts w:ascii="Times New Roman" w:hAnsi="Times New Roman" w:cs="Times New Roman"/>
          <w:sz w:val="20"/>
          <w:lang w:val="en-US"/>
        </w:rPr>
        <w:t>,</w:t>
      </w:r>
      <w:r w:rsidR="007C39D0" w:rsidRPr="00414449">
        <w:rPr>
          <w:rFonts w:ascii="Times New Roman" w:hAnsi="Times New Roman" w:cs="Times New Roman"/>
          <w:sz w:val="20"/>
          <w:lang w:val="en-US"/>
        </w:rPr>
        <w:t xml:space="preserve"> number needed to screen</w:t>
      </w:r>
      <w:r w:rsidR="0019670C" w:rsidRPr="00414449">
        <w:rPr>
          <w:rFonts w:ascii="Times New Roman" w:hAnsi="Times New Roman" w:cs="Times New Roman"/>
          <w:sz w:val="20"/>
          <w:lang w:val="en-US"/>
        </w:rPr>
        <w:t>.</w:t>
      </w:r>
    </w:p>
    <w:p w14:paraId="09757432" w14:textId="281224FF" w:rsidR="007C39D0" w:rsidRPr="00414449" w:rsidRDefault="007C39D0">
      <w:pPr>
        <w:spacing w:after="200" w:line="276" w:lineRule="auto"/>
        <w:jc w:val="left"/>
        <w:rPr>
          <w:rFonts w:ascii="Times New Roman" w:hAnsi="Times New Roman" w:cs="Times New Roman"/>
          <w:lang w:val="en-US"/>
        </w:rPr>
      </w:pPr>
      <w:r w:rsidRPr="00414449">
        <w:rPr>
          <w:rFonts w:ascii="Times New Roman" w:hAnsi="Times New Roman" w:cs="Times New Roman"/>
          <w:lang w:val="en-US"/>
        </w:rPr>
        <w:br w:type="page"/>
      </w:r>
    </w:p>
    <w:p w14:paraId="49219306" w14:textId="77777777" w:rsidR="00B20867" w:rsidRPr="00414449" w:rsidRDefault="00B20867" w:rsidP="00175F52">
      <w:pPr>
        <w:rPr>
          <w:rFonts w:ascii="Times New Roman" w:hAnsi="Times New Roman" w:cs="Times New Roman"/>
          <w:lang w:val="en-US"/>
        </w:rPr>
        <w:sectPr w:rsidR="00B20867" w:rsidRPr="00414449" w:rsidSect="003737BD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28256F0C" w14:textId="5A7FD044" w:rsidR="00B269B6" w:rsidRPr="00414449" w:rsidRDefault="00B269B6" w:rsidP="00B32F86">
      <w:pPr>
        <w:pStyle w:val="Heading2"/>
        <w:rPr>
          <w:rFonts w:ascii="Times New Roman" w:hAnsi="Times New Roman" w:cs="Times New Roman"/>
          <w:i w:val="0"/>
          <w:sz w:val="24"/>
          <w:szCs w:val="24"/>
          <w:lang w:val="en-US"/>
        </w:rPr>
      </w:pPr>
      <w:bookmarkStart w:id="4" w:name="_Toc75346323"/>
      <w:r w:rsidRPr="00414449"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lastRenderedPageBreak/>
        <w:t xml:space="preserve">Supplemental Table </w:t>
      </w:r>
      <w:r w:rsidR="00D062AB" w:rsidRPr="00414449"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2</w:t>
      </w:r>
      <w:r w:rsidRPr="00414449">
        <w:rPr>
          <w:rFonts w:ascii="Times New Roman" w:hAnsi="Times New Roman" w:cs="Times New Roman"/>
          <w:b/>
          <w:bCs w:val="0"/>
          <w:i w:val="0"/>
          <w:sz w:val="24"/>
          <w:szCs w:val="24"/>
          <w:lang w:val="en-US"/>
        </w:rPr>
        <w:t>:</w:t>
      </w:r>
      <w:r w:rsidRPr="00414449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="00175F52" w:rsidRPr="00414449">
        <w:rPr>
          <w:rFonts w:ascii="Times New Roman" w:hAnsi="Times New Roman" w:cs="Times New Roman"/>
          <w:i w:val="0"/>
          <w:sz w:val="24"/>
          <w:szCs w:val="24"/>
          <w:lang w:val="en-US"/>
        </w:rPr>
        <w:t>Treatment effect of c</w:t>
      </w:r>
      <w:r w:rsidRPr="00414449">
        <w:rPr>
          <w:rFonts w:ascii="Times New Roman" w:hAnsi="Times New Roman" w:cs="Times New Roman"/>
          <w:i w:val="0"/>
          <w:sz w:val="24"/>
          <w:szCs w:val="24"/>
          <w:lang w:val="en-US"/>
        </w:rPr>
        <w:t>anagliflozin in patients with normoalbuminuria and</w:t>
      </w:r>
      <w:r w:rsidR="004940A8" w:rsidRPr="00414449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TNFR-1 or </w:t>
      </w:r>
      <w:r w:rsidRPr="00414449">
        <w:rPr>
          <w:rFonts w:ascii="Times New Roman" w:hAnsi="Times New Roman" w:cs="Times New Roman"/>
          <w:i w:val="0"/>
          <w:sz w:val="24"/>
          <w:szCs w:val="24"/>
          <w:lang w:val="en-US"/>
        </w:rPr>
        <w:t>TNFR-2 biomarker level</w:t>
      </w:r>
      <w:r w:rsidR="00175F52" w:rsidRPr="00414449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above or below</w:t>
      </w:r>
      <w:r w:rsidR="00E9037D" w:rsidRPr="00414449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the 4</w:t>
      </w:r>
      <w:r w:rsidR="00E9037D" w:rsidRPr="00414449">
        <w:rPr>
          <w:rFonts w:ascii="Times New Roman" w:hAnsi="Times New Roman" w:cs="Times New Roman"/>
          <w:i w:val="0"/>
          <w:sz w:val="24"/>
          <w:szCs w:val="24"/>
          <w:vertAlign w:val="superscript"/>
          <w:lang w:val="en-US"/>
        </w:rPr>
        <w:t>th</w:t>
      </w:r>
      <w:r w:rsidR="00E9037D" w:rsidRPr="00414449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quartile</w:t>
      </w:r>
      <w:r w:rsidRPr="00414449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compared to micro- or macroalbuminuria</w:t>
      </w:r>
      <w:r w:rsidR="00175F52" w:rsidRPr="00414449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. </w:t>
      </w:r>
      <w:r w:rsidR="00600D3B" w:rsidRPr="00414449">
        <w:rPr>
          <w:rFonts w:ascii="Times New Roman" w:hAnsi="Times New Roman" w:cs="Times New Roman"/>
          <w:i w:val="0"/>
          <w:sz w:val="24"/>
          <w:szCs w:val="24"/>
          <w:lang w:val="en-US"/>
        </w:rPr>
        <w:t>P for interaction was calculated across the th</w:t>
      </w:r>
      <w:r w:rsidR="00154034" w:rsidRPr="00414449">
        <w:rPr>
          <w:rFonts w:ascii="Times New Roman" w:hAnsi="Times New Roman" w:cs="Times New Roman"/>
          <w:i w:val="0"/>
          <w:sz w:val="24"/>
          <w:szCs w:val="24"/>
          <w:lang w:val="en-US"/>
        </w:rPr>
        <w:t>r</w:t>
      </w:r>
      <w:r w:rsidR="00600D3B" w:rsidRPr="00414449">
        <w:rPr>
          <w:rFonts w:ascii="Times New Roman" w:hAnsi="Times New Roman" w:cs="Times New Roman"/>
          <w:i w:val="0"/>
          <w:sz w:val="24"/>
          <w:szCs w:val="24"/>
          <w:lang w:val="en-US"/>
        </w:rPr>
        <w:t>ee subgroups: micro- or macroalbuminuria, TNFR-1/2 &lt;4</w:t>
      </w:r>
      <w:r w:rsidR="00600D3B" w:rsidRPr="00414449">
        <w:rPr>
          <w:rFonts w:ascii="Times New Roman" w:hAnsi="Times New Roman" w:cs="Times New Roman"/>
          <w:i w:val="0"/>
          <w:sz w:val="24"/>
          <w:szCs w:val="24"/>
          <w:vertAlign w:val="superscript"/>
          <w:lang w:val="en-US"/>
        </w:rPr>
        <w:t>th</w:t>
      </w:r>
      <w:r w:rsidR="00600D3B" w:rsidRPr="00414449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quartile and normoalbuminuria and TNFR-1/2 ≥4</w:t>
      </w:r>
      <w:r w:rsidR="00600D3B" w:rsidRPr="00414449">
        <w:rPr>
          <w:rFonts w:ascii="Times New Roman" w:hAnsi="Times New Roman" w:cs="Times New Roman"/>
          <w:i w:val="0"/>
          <w:sz w:val="24"/>
          <w:szCs w:val="24"/>
          <w:vertAlign w:val="superscript"/>
          <w:lang w:val="en-US"/>
        </w:rPr>
        <w:t>th</w:t>
      </w:r>
      <w:r w:rsidR="00600D3B" w:rsidRPr="00414449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quartile and </w:t>
      </w:r>
      <w:proofErr w:type="spellStart"/>
      <w:r w:rsidR="00600D3B" w:rsidRPr="00414449">
        <w:rPr>
          <w:rFonts w:ascii="Times New Roman" w:hAnsi="Times New Roman" w:cs="Times New Roman"/>
          <w:i w:val="0"/>
          <w:sz w:val="24"/>
          <w:szCs w:val="24"/>
          <w:lang w:val="en-US"/>
        </w:rPr>
        <w:t>normoalbuminuria</w:t>
      </w:r>
      <w:proofErr w:type="spellEnd"/>
      <w:r w:rsidR="00600D3B" w:rsidRPr="00414449">
        <w:rPr>
          <w:rFonts w:ascii="Times New Roman" w:hAnsi="Times New Roman" w:cs="Times New Roman"/>
          <w:i w:val="0"/>
          <w:sz w:val="24"/>
          <w:szCs w:val="24"/>
          <w:lang w:val="en-US"/>
        </w:rPr>
        <w:t>.</w:t>
      </w:r>
      <w:bookmarkEnd w:id="4"/>
      <w:r w:rsidR="00600D3B" w:rsidRPr="00414449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</w:p>
    <w:p w14:paraId="5BB449EF" w14:textId="77777777" w:rsidR="00175F52" w:rsidRPr="00414449" w:rsidRDefault="00175F52" w:rsidP="00175F52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8"/>
        <w:gridCol w:w="1399"/>
        <w:gridCol w:w="1300"/>
        <w:gridCol w:w="1356"/>
        <w:gridCol w:w="858"/>
        <w:gridCol w:w="1421"/>
      </w:tblGrid>
      <w:tr w:rsidR="00B269B6" w:rsidRPr="00414449" w14:paraId="7BEFFD87" w14:textId="77777777" w:rsidTr="00600D3B">
        <w:trPr>
          <w:trHeight w:val="170"/>
        </w:trPr>
        <w:tc>
          <w:tcPr>
            <w:tcW w:w="4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1F2E8" w14:textId="77777777" w:rsidR="00B269B6" w:rsidRPr="00414449" w:rsidRDefault="00B269B6" w:rsidP="00431C35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08D12" w14:textId="77777777" w:rsidR="00B269B6" w:rsidRPr="00414449" w:rsidRDefault="00B269B6" w:rsidP="00431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Number of patients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09666" w14:textId="77777777" w:rsidR="00B269B6" w:rsidRPr="00414449" w:rsidRDefault="00B269B6" w:rsidP="00431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Number of events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69D00" w14:textId="77777777" w:rsidR="00B269B6" w:rsidRPr="00414449" w:rsidRDefault="00B269B6" w:rsidP="00431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Hazard ratio (95% CI)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1C997" w14:textId="63FAECE1" w:rsidR="00B269B6" w:rsidRPr="00414449" w:rsidRDefault="00B269B6" w:rsidP="00431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="00D22437" w:rsidRPr="00414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14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value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F6F5C" w14:textId="77777777" w:rsidR="00B269B6" w:rsidRPr="00414449" w:rsidRDefault="00B269B6" w:rsidP="00431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 for interaction</w:t>
            </w:r>
          </w:p>
        </w:tc>
      </w:tr>
      <w:tr w:rsidR="00B269B6" w:rsidRPr="00FC25F0" w14:paraId="2774D65A" w14:textId="77777777" w:rsidTr="00600D3B">
        <w:trPr>
          <w:trHeight w:val="170"/>
        </w:trPr>
        <w:tc>
          <w:tcPr>
            <w:tcW w:w="4619" w:type="dxa"/>
            <w:tcBorders>
              <w:top w:val="single" w:sz="4" w:space="0" w:color="auto"/>
            </w:tcBorders>
            <w:vAlign w:val="center"/>
          </w:tcPr>
          <w:p w14:paraId="40DE0D78" w14:textId="03E16BF7" w:rsidR="00B269B6" w:rsidRPr="00414449" w:rsidRDefault="00B269B6" w:rsidP="000676BD">
            <w:pPr>
              <w:pStyle w:val="NoSpacing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40% decrease in eGFR, </w:t>
            </w:r>
            <w:r w:rsidR="000676BD">
              <w:rPr>
                <w:rFonts w:ascii="Times New Roman" w:hAnsi="Times New Roman" w:cs="Times New Roman"/>
                <w:b/>
                <w:sz w:val="20"/>
                <w:lang w:val="en-US"/>
              </w:rPr>
              <w:t>kidney failure</w:t>
            </w:r>
            <w:r w:rsidR="0038213D" w:rsidRPr="00414449">
              <w:rPr>
                <w:rFonts w:ascii="Times New Roman" w:hAnsi="Times New Roman" w:cs="Times New Roman"/>
                <w:b/>
                <w:sz w:val="20"/>
                <w:lang w:val="en-US"/>
              </w:rPr>
              <w:t>,</w:t>
            </w:r>
            <w:r w:rsidRPr="004144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or </w:t>
            </w:r>
            <w:r w:rsidR="00813A12">
              <w:rPr>
                <w:rFonts w:ascii="Times New Roman" w:hAnsi="Times New Roman" w:cs="Times New Roman"/>
                <w:b/>
                <w:sz w:val="20"/>
                <w:lang w:val="en-US"/>
              </w:rPr>
              <w:t>kidney</w:t>
            </w:r>
            <w:r w:rsidR="00813A12" w:rsidRPr="004144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414449">
              <w:rPr>
                <w:rFonts w:ascii="Times New Roman" w:hAnsi="Times New Roman" w:cs="Times New Roman"/>
                <w:b/>
                <w:sz w:val="20"/>
                <w:lang w:val="en-US"/>
              </w:rPr>
              <w:t>death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14:paraId="21B77DF3" w14:textId="77777777" w:rsidR="00B269B6" w:rsidRPr="00414449" w:rsidRDefault="00B269B6" w:rsidP="00431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  <w:vAlign w:val="center"/>
          </w:tcPr>
          <w:p w14:paraId="1767A673" w14:textId="77777777" w:rsidR="00B269B6" w:rsidRPr="00414449" w:rsidRDefault="00B269B6" w:rsidP="00431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7E695514" w14:textId="77777777" w:rsidR="00B269B6" w:rsidRPr="00414449" w:rsidRDefault="00B269B6" w:rsidP="00431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14:paraId="29F1CF29" w14:textId="77777777" w:rsidR="00B269B6" w:rsidRPr="00414449" w:rsidRDefault="00B269B6" w:rsidP="00431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  <w:vAlign w:val="center"/>
          </w:tcPr>
          <w:p w14:paraId="3CA52B24" w14:textId="77777777" w:rsidR="00B269B6" w:rsidRPr="00414449" w:rsidRDefault="00B269B6" w:rsidP="00431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269B6" w:rsidRPr="00414449" w14:paraId="22558D53" w14:textId="77777777" w:rsidTr="00600D3B">
        <w:trPr>
          <w:trHeight w:val="170"/>
        </w:trPr>
        <w:tc>
          <w:tcPr>
            <w:tcW w:w="4619" w:type="dxa"/>
            <w:tcBorders>
              <w:bottom w:val="dotted" w:sz="4" w:space="0" w:color="auto"/>
            </w:tcBorders>
            <w:vAlign w:val="center"/>
          </w:tcPr>
          <w:p w14:paraId="484FFF1B" w14:textId="77777777" w:rsidR="00B269B6" w:rsidRPr="00414449" w:rsidRDefault="00B269B6" w:rsidP="00431C35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Micro- or macroalbuminuria</w:t>
            </w:r>
          </w:p>
        </w:tc>
        <w:tc>
          <w:tcPr>
            <w:tcW w:w="2257" w:type="dxa"/>
            <w:tcBorders>
              <w:bottom w:val="dotted" w:sz="4" w:space="0" w:color="auto"/>
            </w:tcBorders>
            <w:vAlign w:val="center"/>
          </w:tcPr>
          <w:p w14:paraId="3FFA826E" w14:textId="77777777" w:rsidR="00B269B6" w:rsidRPr="00414449" w:rsidRDefault="00B269B6" w:rsidP="00431C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979</w:t>
            </w:r>
          </w:p>
        </w:tc>
        <w:tc>
          <w:tcPr>
            <w:tcW w:w="1976" w:type="dxa"/>
            <w:tcBorders>
              <w:bottom w:val="dotted" w:sz="4" w:space="0" w:color="auto"/>
            </w:tcBorders>
            <w:vAlign w:val="center"/>
          </w:tcPr>
          <w:p w14:paraId="086A84B7" w14:textId="77777777" w:rsidR="00B269B6" w:rsidRPr="00414449" w:rsidRDefault="00B269B6" w:rsidP="00431C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2256" w:type="dxa"/>
            <w:tcBorders>
              <w:bottom w:val="dotted" w:sz="4" w:space="0" w:color="auto"/>
            </w:tcBorders>
            <w:vAlign w:val="center"/>
          </w:tcPr>
          <w:p w14:paraId="79721048" w14:textId="1C3D183A" w:rsidR="005A0A9D" w:rsidRPr="00414449" w:rsidRDefault="005A0A9D" w:rsidP="00431C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0.64 (0.42 to 0.98)</w:t>
            </w:r>
          </w:p>
        </w:tc>
        <w:tc>
          <w:tcPr>
            <w:tcW w:w="1197" w:type="dxa"/>
            <w:tcBorders>
              <w:bottom w:val="dotted" w:sz="4" w:space="0" w:color="auto"/>
            </w:tcBorders>
            <w:vAlign w:val="center"/>
          </w:tcPr>
          <w:p w14:paraId="27E79604" w14:textId="51CD2639" w:rsidR="005A0A9D" w:rsidRPr="00414449" w:rsidRDefault="005A0A9D" w:rsidP="00431C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0.040</w:t>
            </w:r>
          </w:p>
        </w:tc>
        <w:tc>
          <w:tcPr>
            <w:tcW w:w="1915" w:type="dxa"/>
            <w:tcBorders>
              <w:bottom w:val="dotted" w:sz="4" w:space="0" w:color="auto"/>
            </w:tcBorders>
            <w:vAlign w:val="center"/>
          </w:tcPr>
          <w:p w14:paraId="7A72D4AB" w14:textId="3401003E" w:rsidR="00B269B6" w:rsidRPr="00414449" w:rsidRDefault="00B269B6" w:rsidP="00431C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31C35" w:rsidRPr="00414449" w14:paraId="0CAC361A" w14:textId="77777777" w:rsidTr="00600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1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71B5D87" w14:textId="67C22380" w:rsidR="00431C35" w:rsidRPr="00414449" w:rsidRDefault="00431C35" w:rsidP="00431C35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TNFR-1 &lt; 4</w:t>
            </w:r>
            <w:r w:rsidRPr="0041444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quartile and normoalbuminuria</w:t>
            </w:r>
          </w:p>
        </w:tc>
        <w:tc>
          <w:tcPr>
            <w:tcW w:w="225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FDFDC9B" w14:textId="3B7B53B2" w:rsidR="00431C35" w:rsidRPr="00414449" w:rsidRDefault="00431C35" w:rsidP="00431C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61E80"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915</w:t>
            </w:r>
          </w:p>
        </w:tc>
        <w:tc>
          <w:tcPr>
            <w:tcW w:w="19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A1F1AF9" w14:textId="2652AFAB" w:rsidR="00431C35" w:rsidRPr="00414449" w:rsidRDefault="00431C35" w:rsidP="00431C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25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65A9541" w14:textId="06EF48F1" w:rsidR="005A0A9D" w:rsidRPr="00414449" w:rsidRDefault="005A0A9D" w:rsidP="00E639F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0.41 (0.20 to 0.82)</w:t>
            </w:r>
          </w:p>
        </w:tc>
        <w:tc>
          <w:tcPr>
            <w:tcW w:w="11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C1CAD6F" w14:textId="24CDFECC" w:rsidR="00431C35" w:rsidRPr="00414449" w:rsidRDefault="00431C35" w:rsidP="005A0A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  <w:r w:rsidR="005A0A9D"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91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3367ED2" w14:textId="66916A84" w:rsidR="00431C35" w:rsidRPr="00414449" w:rsidRDefault="00B252F7" w:rsidP="00395F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395F2C"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546</w:t>
            </w:r>
          </w:p>
        </w:tc>
      </w:tr>
      <w:tr w:rsidR="00431C35" w:rsidRPr="00414449" w14:paraId="1C934883" w14:textId="77777777" w:rsidTr="00600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19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45A44801" w14:textId="0F197DFF" w:rsidR="00431C35" w:rsidRPr="00414449" w:rsidRDefault="00431C35" w:rsidP="00431C35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TNFR-1 ≥ 4</w:t>
            </w:r>
            <w:r w:rsidRPr="0041444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quartile and normoalbuminuria</w:t>
            </w:r>
          </w:p>
        </w:tc>
        <w:tc>
          <w:tcPr>
            <w:tcW w:w="2257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4A6B2FEB" w14:textId="5DAFE7FC" w:rsidR="00431C35" w:rsidRPr="00414449" w:rsidRDefault="00431C35" w:rsidP="00431C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638</w:t>
            </w:r>
          </w:p>
        </w:tc>
        <w:tc>
          <w:tcPr>
            <w:tcW w:w="1976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0D1A373F" w14:textId="406389CF" w:rsidR="00431C35" w:rsidRPr="00414449" w:rsidRDefault="00431C35" w:rsidP="00431C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256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41C61C71" w14:textId="566F35D3" w:rsidR="005A0A9D" w:rsidRPr="00414449" w:rsidRDefault="005A0A9D" w:rsidP="00E639F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0.52 (0.22 to 1.27)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683DE980" w14:textId="0370C449" w:rsidR="005A0A9D" w:rsidRPr="00414449" w:rsidRDefault="005A0A9D" w:rsidP="00E639F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0.152</w:t>
            </w:r>
          </w:p>
        </w:tc>
        <w:tc>
          <w:tcPr>
            <w:tcW w:w="1915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2A33B429" w14:textId="77777777" w:rsidR="00431C35" w:rsidRPr="00414449" w:rsidRDefault="00431C35" w:rsidP="00431C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31C35" w:rsidRPr="00414449" w14:paraId="5077163E" w14:textId="77777777" w:rsidTr="00600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1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62E75F8" w14:textId="3FB22BCC" w:rsidR="00431C35" w:rsidRPr="00414449" w:rsidRDefault="00431C35" w:rsidP="00431C35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TNFR-2 &lt; 4</w:t>
            </w:r>
            <w:r w:rsidRPr="0041444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quartile and normoalbuminuria</w:t>
            </w:r>
          </w:p>
        </w:tc>
        <w:tc>
          <w:tcPr>
            <w:tcW w:w="225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F707B57" w14:textId="0546BA2B" w:rsidR="00431C35" w:rsidRPr="00414449" w:rsidRDefault="00431C35" w:rsidP="00431C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61E80"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915</w:t>
            </w:r>
          </w:p>
        </w:tc>
        <w:tc>
          <w:tcPr>
            <w:tcW w:w="19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938A70D" w14:textId="2CE533FB" w:rsidR="00431C35" w:rsidRPr="00414449" w:rsidRDefault="00431C35" w:rsidP="00431C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25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D6D6D86" w14:textId="1826D5D3" w:rsidR="005A0A9D" w:rsidRPr="00414449" w:rsidRDefault="005A0A9D" w:rsidP="00E639F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 (0.16 to 0.76)</w:t>
            </w:r>
          </w:p>
        </w:tc>
        <w:tc>
          <w:tcPr>
            <w:tcW w:w="11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A0F7250" w14:textId="24E5C710" w:rsidR="005A0A9D" w:rsidRPr="00414449" w:rsidRDefault="005A0A9D" w:rsidP="00E639F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191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DA14F97" w14:textId="480F0C45" w:rsidR="00431C35" w:rsidRPr="00414449" w:rsidRDefault="00B252F7" w:rsidP="00395F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395F2C"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391</w:t>
            </w:r>
          </w:p>
        </w:tc>
      </w:tr>
      <w:tr w:rsidR="00431C35" w:rsidRPr="00414449" w14:paraId="51E04E45" w14:textId="77777777" w:rsidTr="00600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19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200D0F07" w14:textId="57514C22" w:rsidR="00431C35" w:rsidRPr="00414449" w:rsidRDefault="00431C35" w:rsidP="00431C35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TNFR-2 ≥ 4</w:t>
            </w:r>
            <w:r w:rsidRPr="0041444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quartile and normoalbuminuria</w:t>
            </w:r>
          </w:p>
        </w:tc>
        <w:tc>
          <w:tcPr>
            <w:tcW w:w="225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30064B26" w14:textId="7007EC0A" w:rsidR="00431C35" w:rsidRPr="00414449" w:rsidRDefault="00431C35" w:rsidP="00431C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638</w:t>
            </w:r>
          </w:p>
        </w:tc>
        <w:tc>
          <w:tcPr>
            <w:tcW w:w="1976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7C7DAED8" w14:textId="7AF71CE3" w:rsidR="00431C35" w:rsidRPr="00414449" w:rsidRDefault="00431C35" w:rsidP="00431C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256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7CA97D97" w14:textId="2019D92F" w:rsidR="005A0A9D" w:rsidRPr="00414449" w:rsidRDefault="005A0A9D" w:rsidP="00E639F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0.61 (0.28 to 1.35)</w:t>
            </w:r>
          </w:p>
        </w:tc>
        <w:tc>
          <w:tcPr>
            <w:tcW w:w="119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D440411" w14:textId="1AAD9BCB" w:rsidR="005A0A9D" w:rsidRPr="00414449" w:rsidRDefault="005A0A9D" w:rsidP="00E639F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0.222</w:t>
            </w:r>
          </w:p>
        </w:tc>
        <w:tc>
          <w:tcPr>
            <w:tcW w:w="1915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55CBD8C" w14:textId="77777777" w:rsidR="00431C35" w:rsidRPr="00414449" w:rsidRDefault="00431C35" w:rsidP="00431C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31C35" w:rsidRPr="00414449" w14:paraId="0810DFBF" w14:textId="77777777" w:rsidTr="00600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19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5951853B" w14:textId="77777777" w:rsidR="00431C35" w:rsidRPr="00414449" w:rsidRDefault="00431C35" w:rsidP="00431C35">
            <w:pPr>
              <w:pStyle w:val="NoSpacing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Hospitalization for heart failure</w:t>
            </w:r>
          </w:p>
        </w:tc>
        <w:tc>
          <w:tcPr>
            <w:tcW w:w="225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277118C1" w14:textId="77777777" w:rsidR="00431C35" w:rsidRPr="00414449" w:rsidRDefault="00431C35" w:rsidP="00431C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6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38CF624E" w14:textId="77777777" w:rsidR="00431C35" w:rsidRPr="00414449" w:rsidRDefault="00431C35" w:rsidP="00431C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6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06FB1B0A" w14:textId="77777777" w:rsidR="00431C35" w:rsidRPr="00414449" w:rsidRDefault="00431C35" w:rsidP="00431C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6A48F3CC" w14:textId="77777777" w:rsidR="00431C35" w:rsidRPr="00414449" w:rsidRDefault="00431C35" w:rsidP="00431C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0BBDB68C" w14:textId="77777777" w:rsidR="00431C35" w:rsidRPr="00414449" w:rsidRDefault="00431C35" w:rsidP="00431C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31C35" w:rsidRPr="00414449" w14:paraId="143E4D6B" w14:textId="77777777" w:rsidTr="00600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1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A644F6C" w14:textId="39F36BF7" w:rsidR="00431C35" w:rsidRPr="00414449" w:rsidRDefault="00431C35" w:rsidP="00431C35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Micro- or macroalbuminuria</w:t>
            </w:r>
          </w:p>
        </w:tc>
        <w:tc>
          <w:tcPr>
            <w:tcW w:w="225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5479C14" w14:textId="77777777" w:rsidR="00431C35" w:rsidRPr="00414449" w:rsidRDefault="00431C35" w:rsidP="00431C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979</w:t>
            </w:r>
          </w:p>
        </w:tc>
        <w:tc>
          <w:tcPr>
            <w:tcW w:w="19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73B8DCB" w14:textId="77777777" w:rsidR="00431C35" w:rsidRPr="00414449" w:rsidRDefault="00431C35" w:rsidP="00431C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22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2BB9F7A" w14:textId="1AD8BBA9" w:rsidR="00431C35" w:rsidRPr="00414449" w:rsidRDefault="00431C35" w:rsidP="00E639F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5A0A9D"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</w:t>
            </w:r>
            <w:r w:rsidR="005A0A9D"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56 </w:t>
            </w: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1.</w:t>
            </w:r>
            <w:r w:rsidR="005A0A9D"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2E1F964" w14:textId="07A40A68" w:rsidR="00431C35" w:rsidRPr="00414449" w:rsidRDefault="00431C35" w:rsidP="00E639F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5A0A9D"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858</w:t>
            </w:r>
          </w:p>
        </w:tc>
        <w:tc>
          <w:tcPr>
            <w:tcW w:w="191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22944B9" w14:textId="4A7B15A9" w:rsidR="00431C35" w:rsidRPr="00414449" w:rsidRDefault="00431C35" w:rsidP="00F5062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672B" w:rsidRPr="00414449" w14:paraId="0EA50F68" w14:textId="77777777" w:rsidTr="00600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1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8C7BD51" w14:textId="21741CB1" w:rsidR="0070672B" w:rsidRPr="00414449" w:rsidRDefault="0070672B" w:rsidP="00431C35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TNFR-1 &lt; 4</w:t>
            </w:r>
            <w:r w:rsidRPr="0041444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quartile and normoalbuminuria</w:t>
            </w:r>
          </w:p>
        </w:tc>
        <w:tc>
          <w:tcPr>
            <w:tcW w:w="225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1B69C4D" w14:textId="0560C9AF" w:rsidR="0070672B" w:rsidRPr="00414449" w:rsidRDefault="0070672B" w:rsidP="00431C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61E80"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915</w:t>
            </w:r>
          </w:p>
        </w:tc>
        <w:tc>
          <w:tcPr>
            <w:tcW w:w="19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5970194" w14:textId="0301815F" w:rsidR="0070672B" w:rsidRPr="00414449" w:rsidRDefault="0070672B" w:rsidP="00431C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225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D2448CF" w14:textId="36F21884" w:rsidR="0070672B" w:rsidRPr="00414449" w:rsidRDefault="0070672B" w:rsidP="00E639F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5A0A9D"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</w:t>
            </w:r>
            <w:r w:rsidR="005A0A9D"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1.</w:t>
            </w:r>
            <w:r w:rsidR="005A0A9D"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409EFF5" w14:textId="00A345DE" w:rsidR="0070672B" w:rsidRPr="00414449" w:rsidRDefault="0070672B" w:rsidP="00E639F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5A0A9D"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259</w:t>
            </w:r>
          </w:p>
        </w:tc>
        <w:tc>
          <w:tcPr>
            <w:tcW w:w="191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C478422" w14:textId="04569574" w:rsidR="0070672B" w:rsidRPr="00414449" w:rsidRDefault="00B252F7" w:rsidP="00395F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395F2C"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764</w:t>
            </w:r>
          </w:p>
        </w:tc>
      </w:tr>
      <w:tr w:rsidR="0070672B" w:rsidRPr="00414449" w14:paraId="4AFD0F5F" w14:textId="77777777" w:rsidTr="00600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19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3D085A06" w14:textId="61FD9E2A" w:rsidR="0070672B" w:rsidRPr="00414449" w:rsidRDefault="0070672B" w:rsidP="00600D3B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TNFR-1 ≥ 4</w:t>
            </w:r>
            <w:r w:rsidRPr="0041444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quartile and normoalbuminuria</w:t>
            </w:r>
          </w:p>
        </w:tc>
        <w:tc>
          <w:tcPr>
            <w:tcW w:w="2257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04727971" w14:textId="30F9DD42" w:rsidR="0070672B" w:rsidRPr="00414449" w:rsidRDefault="0070672B" w:rsidP="00431C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638</w:t>
            </w:r>
          </w:p>
        </w:tc>
        <w:tc>
          <w:tcPr>
            <w:tcW w:w="1976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36A98EB0" w14:textId="3C04C445" w:rsidR="0070672B" w:rsidRPr="00414449" w:rsidRDefault="0070672B" w:rsidP="00431C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256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21D3B6FA" w14:textId="244ABE77" w:rsidR="0070672B" w:rsidRPr="00414449" w:rsidRDefault="005A0A9D" w:rsidP="00E639F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</w:t>
            </w:r>
            <w:r w:rsidR="0070672B"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</w:t>
            </w: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="0070672B"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</w:t>
            </w: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1.90</w:t>
            </w:r>
            <w:r w:rsidR="0070672B"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521F61C5" w14:textId="627992FA" w:rsidR="0070672B" w:rsidRPr="00414449" w:rsidRDefault="0070672B" w:rsidP="00E639F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5A0A9D"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541</w:t>
            </w:r>
          </w:p>
        </w:tc>
        <w:tc>
          <w:tcPr>
            <w:tcW w:w="1915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18F6B150" w14:textId="77777777" w:rsidR="0070672B" w:rsidRPr="00414449" w:rsidRDefault="0070672B" w:rsidP="00431C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672B" w:rsidRPr="00414449" w14:paraId="192FFFBA" w14:textId="77777777" w:rsidTr="00600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1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52CBE0A" w14:textId="3C636303" w:rsidR="0070672B" w:rsidRPr="00414449" w:rsidRDefault="0070672B" w:rsidP="00431C35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TNFR-2 &lt; 4</w:t>
            </w:r>
            <w:r w:rsidRPr="0041444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quartile and normoalbuminuria</w:t>
            </w:r>
          </w:p>
        </w:tc>
        <w:tc>
          <w:tcPr>
            <w:tcW w:w="225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0835A01" w14:textId="6D25EBAE" w:rsidR="0070672B" w:rsidRPr="00414449" w:rsidRDefault="0070672B" w:rsidP="00431C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61E80"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915</w:t>
            </w:r>
          </w:p>
        </w:tc>
        <w:tc>
          <w:tcPr>
            <w:tcW w:w="19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A20A013" w14:textId="072C765D" w:rsidR="0070672B" w:rsidRPr="00414449" w:rsidRDefault="0070672B" w:rsidP="00431C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225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0A9A5DB" w14:textId="10EC9794" w:rsidR="0070672B" w:rsidRPr="00414449" w:rsidRDefault="0070672B" w:rsidP="00E639F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A0A9D"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.70</w:t>
            </w: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(0.3</w:t>
            </w:r>
            <w:r w:rsidR="005A0A9D"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1.</w:t>
            </w:r>
            <w:r w:rsidR="005A0A9D"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74CC22A" w14:textId="5F7FC41B" w:rsidR="0070672B" w:rsidRPr="00414449" w:rsidRDefault="0070672B" w:rsidP="00E639F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  <w:r w:rsidR="005A0A9D"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191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6C185A0" w14:textId="08B02337" w:rsidR="0070672B" w:rsidRPr="00414449" w:rsidRDefault="00B252F7" w:rsidP="00395F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395F2C"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758</w:t>
            </w:r>
          </w:p>
        </w:tc>
      </w:tr>
      <w:tr w:rsidR="0070672B" w:rsidRPr="00414449" w14:paraId="1AA90817" w14:textId="77777777" w:rsidTr="00600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7249AD" w14:textId="4787B3E9" w:rsidR="0070672B" w:rsidRPr="00414449" w:rsidRDefault="0070672B" w:rsidP="00600D3B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TNFR-2 ≥ 4</w:t>
            </w:r>
            <w:r w:rsidRPr="0041444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quartile and normoalbuminuria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815A25" w14:textId="2F390339" w:rsidR="0070672B" w:rsidRPr="00414449" w:rsidRDefault="0070672B" w:rsidP="00431C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6C37A7" w14:textId="393D7E8B" w:rsidR="0070672B" w:rsidRPr="00414449" w:rsidRDefault="0070672B" w:rsidP="00431C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9FBF08" w14:textId="68233E19" w:rsidR="0070672B" w:rsidRPr="00414449" w:rsidRDefault="0070672B" w:rsidP="00E639F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0.79 (0.3</w:t>
            </w:r>
            <w:r w:rsidR="005A0A9D"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1.7</w:t>
            </w:r>
            <w:r w:rsidR="005A0A9D"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708D0B" w14:textId="2B124510" w:rsidR="0070672B" w:rsidRPr="00414449" w:rsidRDefault="0070672B" w:rsidP="00E639F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  <w:r w:rsidR="005A0A9D" w:rsidRPr="00414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DFB17E" w14:textId="77777777" w:rsidR="0070672B" w:rsidRPr="00414449" w:rsidRDefault="0070672B" w:rsidP="00431C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1A8219C" w14:textId="77777777" w:rsidR="00B269B6" w:rsidRPr="00414449" w:rsidRDefault="00B269B6" w:rsidP="00B269B6">
      <w:pPr>
        <w:pStyle w:val="NoSpacing"/>
        <w:spacing w:line="276" w:lineRule="auto"/>
        <w:rPr>
          <w:rFonts w:ascii="Times New Roman" w:hAnsi="Times New Roman" w:cs="Times New Roman"/>
          <w:sz w:val="20"/>
          <w:lang w:val="en-US"/>
        </w:rPr>
      </w:pPr>
    </w:p>
    <w:p w14:paraId="30DB4988" w14:textId="79F796A7" w:rsidR="004940A8" w:rsidRPr="00414449" w:rsidRDefault="00D10D07" w:rsidP="004940A8">
      <w:pPr>
        <w:spacing w:line="276" w:lineRule="auto"/>
        <w:rPr>
          <w:rFonts w:ascii="Times New Roman" w:hAnsi="Times New Roman" w:cs="Times New Roman"/>
          <w:sz w:val="20"/>
          <w:lang w:val="en-US"/>
        </w:rPr>
      </w:pPr>
      <w:r w:rsidRPr="00414449">
        <w:rPr>
          <w:rFonts w:ascii="Times New Roman" w:hAnsi="Times New Roman" w:cs="Times New Roman"/>
          <w:sz w:val="20"/>
          <w:lang w:val="en-US"/>
        </w:rPr>
        <w:t xml:space="preserve">eGFR, estimated glomerular filtration rate; </w:t>
      </w:r>
      <w:r w:rsidR="004940A8" w:rsidRPr="00414449">
        <w:rPr>
          <w:rFonts w:ascii="Times New Roman" w:hAnsi="Times New Roman" w:cs="Times New Roman"/>
          <w:sz w:val="20"/>
          <w:lang w:val="en-US"/>
        </w:rPr>
        <w:t>TNFR-1</w:t>
      </w:r>
      <w:r w:rsidR="0019670C" w:rsidRPr="00414449">
        <w:rPr>
          <w:rFonts w:ascii="Times New Roman" w:hAnsi="Times New Roman" w:cs="Times New Roman"/>
          <w:sz w:val="20"/>
          <w:lang w:val="en-US"/>
        </w:rPr>
        <w:t>,</w:t>
      </w:r>
      <w:r w:rsidR="004940A8" w:rsidRPr="00414449">
        <w:rPr>
          <w:rFonts w:ascii="Times New Roman" w:hAnsi="Times New Roman" w:cs="Times New Roman"/>
          <w:sz w:val="20"/>
          <w:lang w:val="en-US"/>
        </w:rPr>
        <w:t xml:space="preserve"> tumor necrosis factor receptor-1; TNFR-2: tumor necrosis factor </w:t>
      </w:r>
      <w:r w:rsidR="00934004" w:rsidRPr="00414449">
        <w:rPr>
          <w:rFonts w:ascii="Times New Roman" w:hAnsi="Times New Roman" w:cs="Times New Roman"/>
          <w:sz w:val="20"/>
          <w:lang w:val="en-US"/>
        </w:rPr>
        <w:t>receptor-2</w:t>
      </w:r>
      <w:r w:rsidR="0019670C" w:rsidRPr="00414449">
        <w:rPr>
          <w:rFonts w:ascii="Times New Roman" w:hAnsi="Times New Roman" w:cs="Times New Roman"/>
          <w:sz w:val="20"/>
          <w:lang w:val="en-US"/>
        </w:rPr>
        <w:t>.</w:t>
      </w:r>
      <w:r w:rsidR="004940A8" w:rsidRPr="00414449">
        <w:rPr>
          <w:rFonts w:ascii="Times New Roman" w:hAnsi="Times New Roman" w:cs="Times New Roman"/>
          <w:sz w:val="20"/>
          <w:lang w:val="en-US"/>
        </w:rPr>
        <w:t xml:space="preserve"> </w:t>
      </w:r>
    </w:p>
    <w:p w14:paraId="4885DD3F" w14:textId="148AEE0E" w:rsidR="00B269B6" w:rsidRPr="00414449" w:rsidRDefault="00B269B6" w:rsidP="00B269B6">
      <w:pPr>
        <w:spacing w:line="276" w:lineRule="auto"/>
        <w:rPr>
          <w:rFonts w:ascii="Times New Roman" w:hAnsi="Times New Roman" w:cs="Times New Roman"/>
          <w:sz w:val="20"/>
          <w:lang w:val="en-US"/>
        </w:rPr>
      </w:pPr>
    </w:p>
    <w:p w14:paraId="33CD0073" w14:textId="77777777" w:rsidR="009A4855" w:rsidRPr="00414449" w:rsidRDefault="009A4855">
      <w:pPr>
        <w:spacing w:line="276" w:lineRule="auto"/>
        <w:jc w:val="left"/>
        <w:rPr>
          <w:rFonts w:ascii="Times New Roman" w:eastAsiaTheme="majorEastAsia" w:hAnsi="Times New Roman" w:cs="Times New Roman"/>
          <w:b/>
          <w:bCs/>
          <w:szCs w:val="26"/>
          <w:lang w:val="en-US"/>
        </w:rPr>
      </w:pPr>
      <w:r w:rsidRPr="00414449">
        <w:rPr>
          <w:rFonts w:ascii="Times New Roman" w:hAnsi="Times New Roman" w:cs="Times New Roman"/>
          <w:b/>
          <w:i/>
          <w:lang w:val="en-US"/>
        </w:rPr>
        <w:br w:type="page"/>
      </w:r>
    </w:p>
    <w:p w14:paraId="528313C4" w14:textId="6065E770" w:rsidR="00990668" w:rsidRPr="00414449" w:rsidRDefault="00990668">
      <w:pPr>
        <w:spacing w:line="276" w:lineRule="auto"/>
        <w:rPr>
          <w:rStyle w:val="Heading2Char"/>
          <w:rFonts w:ascii="Times New Roman" w:hAnsi="Times New Roman" w:cs="Times New Roman"/>
          <w:b/>
          <w:lang w:val="en-US"/>
        </w:rPr>
      </w:pPr>
    </w:p>
    <w:p w14:paraId="01B6D550" w14:textId="74659944" w:rsidR="00093CE5" w:rsidRPr="00414449" w:rsidRDefault="00093CE5" w:rsidP="00EC3D41">
      <w:pPr>
        <w:pStyle w:val="Heading2"/>
        <w:rPr>
          <w:rFonts w:ascii="Times New Roman" w:hAnsi="Times New Roman" w:cs="Times New Roman"/>
          <w:lang w:val="en-US"/>
        </w:rPr>
      </w:pPr>
      <w:bookmarkStart w:id="5" w:name="_Toc75346327"/>
      <w:r w:rsidRPr="00414449"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Supplement</w:t>
      </w:r>
      <w:r w:rsidR="00E8011E" w:rsidRPr="00414449"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al</w:t>
      </w:r>
      <w:r w:rsidRPr="00414449"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 xml:space="preserve"> Figure 1</w:t>
      </w:r>
      <w:r w:rsidRPr="00414449">
        <w:rPr>
          <w:rFonts w:ascii="Times New Roman" w:hAnsi="Times New Roman" w:cs="Times New Roman"/>
          <w:b/>
          <w:bCs w:val="0"/>
          <w:i w:val="0"/>
          <w:sz w:val="24"/>
          <w:szCs w:val="24"/>
          <w:lang w:val="en-US"/>
        </w:rPr>
        <w:t>:</w:t>
      </w:r>
      <w:r w:rsidRPr="00414449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="00A22A84" w:rsidRPr="00414449">
        <w:rPr>
          <w:rFonts w:ascii="Times New Roman" w:hAnsi="Times New Roman" w:cs="Times New Roman"/>
          <w:i w:val="0"/>
          <w:sz w:val="24"/>
          <w:szCs w:val="24"/>
          <w:lang w:val="en-US"/>
        </w:rPr>
        <w:t>H</w:t>
      </w:r>
      <w:r w:rsidRPr="00414449">
        <w:rPr>
          <w:rFonts w:ascii="Times New Roman" w:hAnsi="Times New Roman" w:cs="Times New Roman"/>
          <w:i w:val="0"/>
          <w:sz w:val="24"/>
          <w:szCs w:val="24"/>
          <w:lang w:val="en-US"/>
        </w:rPr>
        <w:t>istograms of TNFR-1, TNFR-2, KIM-1, UACR and eGFR in patients with normoalbuminuria. TNFR-1, UACR and eGFR are not truncated, TNFR-2 is truncated at 30</w:t>
      </w:r>
      <w:r w:rsidR="00807A48" w:rsidRPr="00414449">
        <w:rPr>
          <w:rFonts w:ascii="Times New Roman" w:hAnsi="Times New Roman" w:cs="Times New Roman"/>
          <w:i w:val="0"/>
          <w:sz w:val="24"/>
          <w:szCs w:val="24"/>
          <w:lang w:val="en-US"/>
        </w:rPr>
        <w:t>,</w:t>
      </w:r>
      <w:r w:rsidRPr="00414449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000 </w:t>
      </w:r>
      <w:proofErr w:type="spellStart"/>
      <w:r w:rsidRPr="00414449">
        <w:rPr>
          <w:rFonts w:ascii="Times New Roman" w:hAnsi="Times New Roman" w:cs="Times New Roman"/>
          <w:i w:val="0"/>
          <w:sz w:val="24"/>
          <w:szCs w:val="24"/>
          <w:lang w:val="en-US"/>
        </w:rPr>
        <w:t>pg</w:t>
      </w:r>
      <w:proofErr w:type="spellEnd"/>
      <w:r w:rsidRPr="00414449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/ml and KIM-1 is truncated at 800 </w:t>
      </w:r>
      <w:proofErr w:type="spellStart"/>
      <w:r w:rsidRPr="00414449">
        <w:rPr>
          <w:rFonts w:ascii="Times New Roman" w:hAnsi="Times New Roman" w:cs="Times New Roman"/>
          <w:i w:val="0"/>
          <w:sz w:val="24"/>
          <w:szCs w:val="24"/>
          <w:lang w:val="en-US"/>
        </w:rPr>
        <w:t>pg</w:t>
      </w:r>
      <w:proofErr w:type="spellEnd"/>
      <w:r w:rsidRPr="00414449">
        <w:rPr>
          <w:rFonts w:ascii="Times New Roman" w:hAnsi="Times New Roman" w:cs="Times New Roman"/>
          <w:i w:val="0"/>
          <w:sz w:val="24"/>
          <w:szCs w:val="24"/>
          <w:lang w:val="en-US"/>
        </w:rPr>
        <w:t>/ml.</w:t>
      </w:r>
      <w:bookmarkEnd w:id="5"/>
      <w:r w:rsidRPr="00414449">
        <w:rPr>
          <w:rFonts w:ascii="Times New Roman" w:hAnsi="Times New Roman" w:cs="Times New Roman"/>
          <w:noProof/>
          <w:lang w:eastAsia="nl-NL"/>
        </w:rPr>
        <w:drawing>
          <wp:inline distT="0" distB="0" distL="0" distR="0" wp14:anchorId="5E01960B" wp14:editId="7DE617FB">
            <wp:extent cx="5753100" cy="7162800"/>
            <wp:effectExtent l="0" t="0" r="0" b="0"/>
            <wp:docPr id="2" name="Afbeelding 2" descr="Y:\FAR\Medewerkers\AIO\Simke Waijer\2. Research\7. CANVAS\Data Analysis\Figures\histogram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FAR\Medewerkers\AIO\Simke Waijer\2. Research\7. CANVAS\Data Analysis\Figures\histogram.e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21EB9" w14:textId="540D404C" w:rsidR="00093CE5" w:rsidRPr="00414449" w:rsidRDefault="00093CE5" w:rsidP="00093CE5">
      <w:pPr>
        <w:spacing w:line="276" w:lineRule="auto"/>
        <w:rPr>
          <w:rFonts w:ascii="Times New Roman" w:hAnsi="Times New Roman" w:cs="Times New Roman"/>
          <w:sz w:val="20"/>
          <w:lang w:val="en-US"/>
        </w:rPr>
      </w:pPr>
      <w:r w:rsidRPr="00414449">
        <w:rPr>
          <w:rFonts w:ascii="Times New Roman" w:hAnsi="Times New Roman" w:cs="Times New Roman"/>
          <w:sz w:val="20"/>
          <w:lang w:val="en-US"/>
        </w:rPr>
        <w:t>eGFR</w:t>
      </w:r>
      <w:r w:rsidR="0019670C" w:rsidRPr="00414449">
        <w:rPr>
          <w:rFonts w:ascii="Times New Roman" w:hAnsi="Times New Roman" w:cs="Times New Roman"/>
          <w:sz w:val="20"/>
          <w:lang w:val="en-US"/>
        </w:rPr>
        <w:t>,</w:t>
      </w:r>
      <w:r w:rsidR="00742630" w:rsidRPr="00414449">
        <w:rPr>
          <w:rFonts w:ascii="Times New Roman" w:hAnsi="Times New Roman" w:cs="Times New Roman"/>
          <w:sz w:val="20"/>
          <w:lang w:val="en-US"/>
        </w:rPr>
        <w:t xml:space="preserve"> </w:t>
      </w:r>
      <w:r w:rsidRPr="00414449">
        <w:rPr>
          <w:rFonts w:ascii="Times New Roman" w:hAnsi="Times New Roman" w:cs="Times New Roman"/>
          <w:sz w:val="20"/>
          <w:lang w:val="en-US"/>
        </w:rPr>
        <w:t>estimated glomerular filtration rate; UACR</w:t>
      </w:r>
      <w:r w:rsidR="0019670C" w:rsidRPr="00414449">
        <w:rPr>
          <w:rFonts w:ascii="Times New Roman" w:hAnsi="Times New Roman" w:cs="Times New Roman"/>
          <w:sz w:val="20"/>
          <w:lang w:val="en-US"/>
        </w:rPr>
        <w:t>,</w:t>
      </w:r>
      <w:r w:rsidRPr="00414449">
        <w:rPr>
          <w:rFonts w:ascii="Times New Roman" w:hAnsi="Times New Roman" w:cs="Times New Roman"/>
          <w:sz w:val="20"/>
          <w:lang w:val="en-US"/>
        </w:rPr>
        <w:t xml:space="preserve"> urinary </w:t>
      </w:r>
      <w:proofErr w:type="spellStart"/>
      <w:r w:rsidRPr="00414449">
        <w:rPr>
          <w:rFonts w:ascii="Times New Roman" w:hAnsi="Times New Roman" w:cs="Times New Roman"/>
          <w:sz w:val="20"/>
          <w:lang w:val="en-US"/>
        </w:rPr>
        <w:t>albumin</w:t>
      </w:r>
      <w:r w:rsidR="003376AD" w:rsidRPr="00414449">
        <w:rPr>
          <w:rFonts w:ascii="Times New Roman" w:hAnsi="Times New Roman" w:cs="Times New Roman"/>
          <w:sz w:val="20"/>
          <w:lang w:val="en-US"/>
        </w:rPr>
        <w:t>:</w:t>
      </w:r>
      <w:r w:rsidRPr="00414449">
        <w:rPr>
          <w:rFonts w:ascii="Times New Roman" w:hAnsi="Times New Roman" w:cs="Times New Roman"/>
          <w:sz w:val="20"/>
          <w:lang w:val="en-US"/>
        </w:rPr>
        <w:t>creatinine</w:t>
      </w:r>
      <w:proofErr w:type="spellEnd"/>
      <w:r w:rsidRPr="00414449">
        <w:rPr>
          <w:rFonts w:ascii="Times New Roman" w:hAnsi="Times New Roman" w:cs="Times New Roman"/>
          <w:sz w:val="20"/>
          <w:lang w:val="en-US"/>
        </w:rPr>
        <w:t xml:space="preserve"> ratio; TNFR-1</w:t>
      </w:r>
      <w:r w:rsidR="0019670C" w:rsidRPr="00414449">
        <w:rPr>
          <w:rFonts w:ascii="Times New Roman" w:hAnsi="Times New Roman" w:cs="Times New Roman"/>
          <w:sz w:val="20"/>
          <w:lang w:val="en-US"/>
        </w:rPr>
        <w:t>,</w:t>
      </w:r>
      <w:r w:rsidRPr="00414449">
        <w:rPr>
          <w:rFonts w:ascii="Times New Roman" w:hAnsi="Times New Roman" w:cs="Times New Roman"/>
          <w:sz w:val="20"/>
          <w:lang w:val="en-US"/>
        </w:rPr>
        <w:t xml:space="preserve"> tumor necrosis factor receptor-1; TNFR-2</w:t>
      </w:r>
      <w:r w:rsidR="0019670C" w:rsidRPr="00414449">
        <w:rPr>
          <w:rFonts w:ascii="Times New Roman" w:hAnsi="Times New Roman" w:cs="Times New Roman"/>
          <w:sz w:val="20"/>
          <w:lang w:val="en-US"/>
        </w:rPr>
        <w:t>,</w:t>
      </w:r>
      <w:r w:rsidRPr="00414449">
        <w:rPr>
          <w:rFonts w:ascii="Times New Roman" w:hAnsi="Times New Roman" w:cs="Times New Roman"/>
          <w:sz w:val="20"/>
          <w:lang w:val="en-US"/>
        </w:rPr>
        <w:t xml:space="preserve"> tumor necrosis factor </w:t>
      </w:r>
      <w:r w:rsidR="00934004" w:rsidRPr="00414449">
        <w:rPr>
          <w:rFonts w:ascii="Times New Roman" w:hAnsi="Times New Roman" w:cs="Times New Roman"/>
          <w:sz w:val="20"/>
          <w:lang w:val="en-US"/>
        </w:rPr>
        <w:t>receptor-2</w:t>
      </w:r>
      <w:r w:rsidRPr="00414449">
        <w:rPr>
          <w:rFonts w:ascii="Times New Roman" w:hAnsi="Times New Roman" w:cs="Times New Roman"/>
          <w:sz w:val="20"/>
          <w:lang w:val="en-US"/>
        </w:rPr>
        <w:t>; KIM-1</w:t>
      </w:r>
      <w:r w:rsidR="0019670C" w:rsidRPr="00414449">
        <w:rPr>
          <w:rFonts w:ascii="Times New Roman" w:hAnsi="Times New Roman" w:cs="Times New Roman"/>
          <w:sz w:val="20"/>
          <w:lang w:val="en-US"/>
        </w:rPr>
        <w:t>,</w:t>
      </w:r>
      <w:r w:rsidRPr="00414449">
        <w:rPr>
          <w:rFonts w:ascii="Times New Roman" w:hAnsi="Times New Roman" w:cs="Times New Roman"/>
          <w:sz w:val="20"/>
          <w:lang w:val="en-US"/>
        </w:rPr>
        <w:t xml:space="preserve"> kidney injury molecule-1. </w:t>
      </w:r>
    </w:p>
    <w:p w14:paraId="566B4C24" w14:textId="77777777" w:rsidR="00093CE5" w:rsidRPr="00414449" w:rsidRDefault="00093CE5">
      <w:pPr>
        <w:spacing w:after="200" w:line="276" w:lineRule="auto"/>
        <w:jc w:val="left"/>
        <w:rPr>
          <w:rFonts w:ascii="Times New Roman" w:eastAsiaTheme="majorEastAsia" w:hAnsi="Times New Roman" w:cs="Times New Roman"/>
          <w:b/>
          <w:bCs/>
          <w:szCs w:val="26"/>
          <w:lang w:val="en-US"/>
        </w:rPr>
      </w:pPr>
      <w:r w:rsidRPr="00414449">
        <w:rPr>
          <w:rFonts w:ascii="Times New Roman" w:hAnsi="Times New Roman" w:cs="Times New Roman"/>
          <w:b/>
          <w:i/>
          <w:lang w:val="en-US"/>
        </w:rPr>
        <w:br w:type="page"/>
      </w:r>
    </w:p>
    <w:p w14:paraId="3A598E52" w14:textId="78B5BA5D" w:rsidR="007C39D0" w:rsidRPr="00414449" w:rsidRDefault="007C39D0" w:rsidP="00B32F86">
      <w:pPr>
        <w:pStyle w:val="Heading2"/>
        <w:rPr>
          <w:rFonts w:ascii="Times New Roman" w:hAnsi="Times New Roman" w:cs="Times New Roman"/>
          <w:i w:val="0"/>
          <w:sz w:val="24"/>
          <w:szCs w:val="24"/>
          <w:lang w:val="en-US"/>
        </w:rPr>
      </w:pPr>
      <w:bookmarkStart w:id="6" w:name="_Toc75346328"/>
      <w:r w:rsidRPr="00414449"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lastRenderedPageBreak/>
        <w:t>Supplemental Figure 2:</w:t>
      </w:r>
      <w:r w:rsidRPr="00414449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Hazard ratios per quartile of TNFR-1 (panel a) and TNFR-2 (panel b) for the kidney outcome in patients with normoalbuminuria. The number above each circle represents the number of outcomes and the number of patients in each quartile. On the x-axis is the median biomarker value of each quartile.</w:t>
      </w:r>
      <w:bookmarkEnd w:id="6"/>
    </w:p>
    <w:p w14:paraId="18B5B489" w14:textId="77777777" w:rsidR="007C39D0" w:rsidRPr="00414449" w:rsidRDefault="007C39D0" w:rsidP="007C39D0">
      <w:pPr>
        <w:rPr>
          <w:rFonts w:ascii="Times New Roman" w:hAnsi="Times New Roman" w:cs="Times New Roman"/>
          <w:lang w:val="en-US"/>
        </w:rPr>
      </w:pPr>
      <w:r w:rsidRPr="00414449">
        <w:rPr>
          <w:rFonts w:ascii="Times New Roman" w:hAnsi="Times New Roman" w:cs="Times New Roman"/>
          <w:noProof/>
          <w:lang w:eastAsia="nl-NL"/>
        </w:rPr>
        <w:drawing>
          <wp:inline distT="0" distB="0" distL="0" distR="0" wp14:anchorId="032F457F" wp14:editId="4789CE56">
            <wp:extent cx="5756910" cy="3601720"/>
            <wp:effectExtent l="0" t="0" r="0" b="0"/>
            <wp:docPr id="5" name="Afbeelding 5" descr="Y:\FAR\Medewerkers\AIO\Simke Waijer\2. Research\7. CANVAS\Manuscript\Version2_diabetescare\Figure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FAR\Medewerkers\AIO\Simke Waijer\2. Research\7. CANVAS\Manuscript\Version2_diabetescare\Figure1.e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6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BAFF5" w14:textId="1B687E93" w:rsidR="007C39D0" w:rsidRPr="00414449" w:rsidRDefault="007C39D0" w:rsidP="007C39D0">
      <w:pPr>
        <w:pStyle w:val="NoSpacing"/>
        <w:spacing w:line="276" w:lineRule="auto"/>
        <w:rPr>
          <w:rFonts w:ascii="Times New Roman" w:hAnsi="Times New Roman" w:cs="Times New Roman"/>
          <w:sz w:val="20"/>
          <w:lang w:val="en-US"/>
        </w:rPr>
      </w:pPr>
      <w:r w:rsidRPr="00414449">
        <w:rPr>
          <w:rFonts w:ascii="Times New Roman" w:hAnsi="Times New Roman" w:cs="Times New Roman"/>
          <w:sz w:val="20"/>
          <w:lang w:val="en-US"/>
        </w:rPr>
        <w:t xml:space="preserve">Models are adjusted for treatment allocation, age, sex, race, </w:t>
      </w:r>
      <w:r w:rsidR="007918F4" w:rsidRPr="00414449">
        <w:rPr>
          <w:rFonts w:ascii="Times New Roman" w:hAnsi="Times New Roman" w:cs="Times New Roman"/>
          <w:sz w:val="20"/>
          <w:lang w:val="en-US"/>
        </w:rPr>
        <w:t>BMI</w:t>
      </w:r>
      <w:r w:rsidRPr="00414449">
        <w:rPr>
          <w:rFonts w:ascii="Times New Roman" w:hAnsi="Times New Roman" w:cs="Times New Roman"/>
          <w:sz w:val="20"/>
          <w:lang w:val="en-US"/>
        </w:rPr>
        <w:t>, history of cardiovascular disease, systolic blood pressure, diastolic blood pressure, LDL cholesterol, HbA1c, UACR</w:t>
      </w:r>
      <w:r w:rsidR="001A7D0A" w:rsidRPr="00414449">
        <w:rPr>
          <w:rFonts w:ascii="Times New Roman" w:hAnsi="Times New Roman" w:cs="Times New Roman"/>
          <w:sz w:val="20"/>
          <w:lang w:val="en-US"/>
        </w:rPr>
        <w:t>,</w:t>
      </w:r>
      <w:r w:rsidRPr="00414449">
        <w:rPr>
          <w:rFonts w:ascii="Times New Roman" w:hAnsi="Times New Roman" w:cs="Times New Roman"/>
          <w:sz w:val="20"/>
          <w:lang w:val="en-US"/>
        </w:rPr>
        <w:t xml:space="preserve"> and eGFR. </w:t>
      </w:r>
    </w:p>
    <w:p w14:paraId="3FFA08B8" w14:textId="2E607838" w:rsidR="007C39D0" w:rsidRPr="00414449" w:rsidRDefault="00D10D07" w:rsidP="007C39D0">
      <w:pPr>
        <w:pStyle w:val="NoSpacing"/>
        <w:spacing w:line="276" w:lineRule="auto"/>
        <w:rPr>
          <w:rFonts w:ascii="Times New Roman" w:hAnsi="Times New Roman" w:cs="Times New Roman"/>
          <w:sz w:val="20"/>
          <w:lang w:val="en-US"/>
        </w:rPr>
      </w:pPr>
      <w:r w:rsidRPr="00414449">
        <w:rPr>
          <w:rFonts w:ascii="Times New Roman" w:hAnsi="Times New Roman" w:cs="Times New Roman"/>
          <w:sz w:val="20"/>
          <w:lang w:val="en-US"/>
        </w:rPr>
        <w:t xml:space="preserve">eGFR, estimated glomerular filtration rate; UACR, urinary </w:t>
      </w:r>
      <w:proofErr w:type="spellStart"/>
      <w:r w:rsidRPr="00414449">
        <w:rPr>
          <w:rFonts w:ascii="Times New Roman" w:hAnsi="Times New Roman" w:cs="Times New Roman"/>
          <w:sz w:val="20"/>
          <w:lang w:val="en-US"/>
        </w:rPr>
        <w:t>albumin:creatinine</w:t>
      </w:r>
      <w:proofErr w:type="spellEnd"/>
      <w:r w:rsidRPr="00414449">
        <w:rPr>
          <w:rFonts w:ascii="Times New Roman" w:hAnsi="Times New Roman" w:cs="Times New Roman"/>
          <w:sz w:val="20"/>
          <w:lang w:val="en-US"/>
        </w:rPr>
        <w:t xml:space="preserve"> ratio; </w:t>
      </w:r>
      <w:r w:rsidR="007C39D0" w:rsidRPr="00414449">
        <w:rPr>
          <w:rFonts w:ascii="Times New Roman" w:hAnsi="Times New Roman" w:cs="Times New Roman"/>
          <w:sz w:val="20"/>
          <w:lang w:val="en-US"/>
        </w:rPr>
        <w:t>TNFR-1</w:t>
      </w:r>
      <w:r w:rsidR="0019670C" w:rsidRPr="00414449">
        <w:rPr>
          <w:rFonts w:ascii="Times New Roman" w:hAnsi="Times New Roman" w:cs="Times New Roman"/>
          <w:sz w:val="20"/>
          <w:lang w:val="en-US"/>
        </w:rPr>
        <w:t>,</w:t>
      </w:r>
      <w:r w:rsidR="007C39D0" w:rsidRPr="00414449">
        <w:rPr>
          <w:rFonts w:ascii="Times New Roman" w:hAnsi="Times New Roman" w:cs="Times New Roman"/>
          <w:sz w:val="20"/>
          <w:lang w:val="en-US"/>
        </w:rPr>
        <w:t xml:space="preserve"> tumor necrosis factor receptor-1; TNFR-2</w:t>
      </w:r>
      <w:r w:rsidR="0019670C" w:rsidRPr="00414449">
        <w:rPr>
          <w:rFonts w:ascii="Times New Roman" w:hAnsi="Times New Roman" w:cs="Times New Roman"/>
          <w:sz w:val="20"/>
          <w:lang w:val="en-US"/>
        </w:rPr>
        <w:t>,</w:t>
      </w:r>
      <w:r w:rsidR="007C39D0" w:rsidRPr="00414449">
        <w:rPr>
          <w:rFonts w:ascii="Times New Roman" w:hAnsi="Times New Roman" w:cs="Times New Roman"/>
          <w:sz w:val="20"/>
          <w:lang w:val="en-US"/>
        </w:rPr>
        <w:t xml:space="preserve"> tumor necrosis factor </w:t>
      </w:r>
      <w:r w:rsidR="00934004" w:rsidRPr="00414449">
        <w:rPr>
          <w:rFonts w:ascii="Times New Roman" w:hAnsi="Times New Roman" w:cs="Times New Roman"/>
          <w:sz w:val="20"/>
          <w:lang w:val="en-US"/>
        </w:rPr>
        <w:t>receptor-2</w:t>
      </w:r>
      <w:r w:rsidR="003376AD" w:rsidRPr="00414449">
        <w:rPr>
          <w:rFonts w:ascii="Times New Roman" w:hAnsi="Times New Roman" w:cs="Times New Roman"/>
          <w:sz w:val="20"/>
          <w:lang w:val="en-US"/>
        </w:rPr>
        <w:t>; UACR</w:t>
      </w:r>
      <w:r w:rsidR="003376AD" w:rsidRPr="00414449">
        <w:rPr>
          <w:rFonts w:ascii="Times New Roman" w:hAnsi="Times New Roman" w:cs="Times New Roman"/>
          <w:sz w:val="20"/>
          <w:szCs w:val="20"/>
          <w:lang w:val="en-US"/>
        </w:rPr>
        <w:t xml:space="preserve"> urinary </w:t>
      </w:r>
      <w:proofErr w:type="spellStart"/>
      <w:r w:rsidR="003376AD" w:rsidRPr="00414449">
        <w:rPr>
          <w:rFonts w:ascii="Times New Roman" w:hAnsi="Times New Roman" w:cs="Times New Roman"/>
          <w:sz w:val="20"/>
          <w:szCs w:val="20"/>
          <w:lang w:val="en-US"/>
        </w:rPr>
        <w:t>albumin:creatinine</w:t>
      </w:r>
      <w:proofErr w:type="spellEnd"/>
      <w:r w:rsidR="003376AD" w:rsidRPr="00414449">
        <w:rPr>
          <w:rFonts w:ascii="Times New Roman" w:hAnsi="Times New Roman" w:cs="Times New Roman"/>
          <w:sz w:val="20"/>
          <w:szCs w:val="20"/>
          <w:lang w:val="en-US"/>
        </w:rPr>
        <w:t xml:space="preserve"> ratio</w:t>
      </w:r>
    </w:p>
    <w:p w14:paraId="762D55F4" w14:textId="77777777" w:rsidR="007C39D0" w:rsidRPr="00414449" w:rsidRDefault="007C39D0" w:rsidP="007C39D0">
      <w:pPr>
        <w:spacing w:line="276" w:lineRule="auto"/>
        <w:rPr>
          <w:rFonts w:ascii="Times New Roman" w:hAnsi="Times New Roman" w:cs="Times New Roman"/>
          <w:lang w:val="en-US"/>
        </w:rPr>
      </w:pPr>
      <w:r w:rsidRPr="00414449">
        <w:rPr>
          <w:rFonts w:ascii="Times New Roman" w:hAnsi="Times New Roman" w:cs="Times New Roman"/>
          <w:lang w:val="en-US"/>
        </w:rPr>
        <w:br w:type="page"/>
      </w:r>
    </w:p>
    <w:p w14:paraId="44476D0C" w14:textId="77777777" w:rsidR="007C39D0" w:rsidRPr="00414449" w:rsidRDefault="007C39D0" w:rsidP="007C39D0">
      <w:pPr>
        <w:rPr>
          <w:rFonts w:ascii="Times New Roman" w:hAnsi="Times New Roman" w:cs="Times New Roman"/>
          <w:lang w:val="en-US"/>
        </w:rPr>
        <w:sectPr w:rsidR="007C39D0" w:rsidRPr="00414449" w:rsidSect="00FC1F50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5F3B89" w14:textId="6EBB7AF1" w:rsidR="00EB510B" w:rsidRPr="00414449" w:rsidRDefault="00EB510B" w:rsidP="00B32F86">
      <w:pPr>
        <w:pStyle w:val="Heading2"/>
        <w:rPr>
          <w:rFonts w:ascii="Times New Roman" w:hAnsi="Times New Roman" w:cs="Times New Roman"/>
          <w:i w:val="0"/>
          <w:sz w:val="24"/>
          <w:szCs w:val="24"/>
          <w:lang w:val="en-US"/>
        </w:rPr>
      </w:pPr>
      <w:bookmarkStart w:id="7" w:name="_Toc75346329"/>
      <w:r w:rsidRPr="00414449"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lastRenderedPageBreak/>
        <w:t xml:space="preserve">Supplemental Figure </w:t>
      </w:r>
      <w:r w:rsidR="007C39D0" w:rsidRPr="00414449"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3</w:t>
      </w:r>
      <w:r w:rsidRPr="00414449"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:</w:t>
      </w:r>
      <w:r w:rsidRPr="00414449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Kaplan-</w:t>
      </w:r>
      <w:r w:rsidR="00BA0E81" w:rsidRPr="00414449">
        <w:rPr>
          <w:rFonts w:ascii="Times New Roman" w:hAnsi="Times New Roman" w:cs="Times New Roman"/>
          <w:i w:val="0"/>
          <w:sz w:val="24"/>
          <w:szCs w:val="24"/>
          <w:lang w:val="en-US"/>
        </w:rPr>
        <w:t>M</w:t>
      </w:r>
      <w:r w:rsidRPr="00414449">
        <w:rPr>
          <w:rFonts w:ascii="Times New Roman" w:hAnsi="Times New Roman" w:cs="Times New Roman"/>
          <w:i w:val="0"/>
          <w:sz w:val="24"/>
          <w:szCs w:val="24"/>
          <w:lang w:val="en-US"/>
        </w:rPr>
        <w:t>eier curve for the kidney outcome in patients with normoalbuminuria below or above the 4th quartile for TNFR-1 and TNFR-2.</w:t>
      </w:r>
      <w:bookmarkEnd w:id="7"/>
    </w:p>
    <w:p w14:paraId="047BF16E" w14:textId="77777777" w:rsidR="00EB510B" w:rsidRPr="00414449" w:rsidRDefault="00EB510B" w:rsidP="00EB510B">
      <w:pPr>
        <w:rPr>
          <w:rFonts w:ascii="Times New Roman" w:hAnsi="Times New Roman" w:cs="Times New Roman"/>
          <w:lang w:val="en-US"/>
        </w:rPr>
      </w:pPr>
      <w:r w:rsidRPr="00414449">
        <w:rPr>
          <w:rFonts w:ascii="Times New Roman" w:hAnsi="Times New Roman" w:cs="Times New Roman"/>
          <w:noProof/>
          <w:lang w:eastAsia="nl-NL"/>
        </w:rPr>
        <w:drawing>
          <wp:inline distT="0" distB="0" distL="0" distR="0" wp14:anchorId="1F61EA8D" wp14:editId="0A6FD8CD">
            <wp:extent cx="5753100" cy="3028950"/>
            <wp:effectExtent l="0" t="0" r="0" b="0"/>
            <wp:docPr id="1" name="Afbeelding 1" descr="Y:\FAR\Medewerkers\AIO\Simke Waijer\2. Research\7. CANVAS\Data Analysis\Figures\KM_bewerkt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FAR\Medewerkers\AIO\Simke Waijer\2. Research\7. CANVAS\Data Analysis\Figures\KM_bewerkt.em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23"/>
                    <a:stretch/>
                  </pic:blipFill>
                  <pic:spPr bwMode="auto">
                    <a:xfrm>
                      <a:off x="0" y="0"/>
                      <a:ext cx="57531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E9C9C7" w14:textId="57A9A4E9" w:rsidR="00EB510B" w:rsidRPr="00414449" w:rsidRDefault="00EB510B" w:rsidP="00EB510B">
      <w:pPr>
        <w:spacing w:line="276" w:lineRule="auto"/>
        <w:rPr>
          <w:rFonts w:ascii="Times New Roman" w:hAnsi="Times New Roman" w:cs="Times New Roman"/>
          <w:sz w:val="20"/>
          <w:lang w:val="en-US"/>
        </w:rPr>
      </w:pPr>
      <w:r w:rsidRPr="00414449">
        <w:rPr>
          <w:rFonts w:ascii="Times New Roman" w:hAnsi="Times New Roman" w:cs="Times New Roman"/>
          <w:sz w:val="20"/>
          <w:lang w:val="en-US"/>
        </w:rPr>
        <w:t>TNFR-1</w:t>
      </w:r>
      <w:r w:rsidR="0019670C" w:rsidRPr="00414449">
        <w:rPr>
          <w:rFonts w:ascii="Times New Roman" w:hAnsi="Times New Roman" w:cs="Times New Roman"/>
          <w:sz w:val="20"/>
          <w:lang w:val="en-US"/>
        </w:rPr>
        <w:t>,</w:t>
      </w:r>
      <w:r w:rsidRPr="00414449">
        <w:rPr>
          <w:rFonts w:ascii="Times New Roman" w:hAnsi="Times New Roman" w:cs="Times New Roman"/>
          <w:sz w:val="20"/>
          <w:lang w:val="en-US"/>
        </w:rPr>
        <w:t xml:space="preserve"> tumor necrosis factor receptor-1; TNFR-2</w:t>
      </w:r>
      <w:r w:rsidR="0019670C" w:rsidRPr="00414449">
        <w:rPr>
          <w:rFonts w:ascii="Times New Roman" w:hAnsi="Times New Roman" w:cs="Times New Roman"/>
          <w:sz w:val="20"/>
          <w:lang w:val="en-US"/>
        </w:rPr>
        <w:t>,</w:t>
      </w:r>
      <w:r w:rsidRPr="00414449">
        <w:rPr>
          <w:rFonts w:ascii="Times New Roman" w:hAnsi="Times New Roman" w:cs="Times New Roman"/>
          <w:sz w:val="20"/>
          <w:lang w:val="en-US"/>
        </w:rPr>
        <w:t xml:space="preserve"> tumor necrosis factor </w:t>
      </w:r>
      <w:r w:rsidR="00934004" w:rsidRPr="00414449">
        <w:rPr>
          <w:rFonts w:ascii="Times New Roman" w:hAnsi="Times New Roman" w:cs="Times New Roman"/>
          <w:sz w:val="20"/>
          <w:lang w:val="en-US"/>
        </w:rPr>
        <w:t>receptor-2</w:t>
      </w:r>
      <w:r w:rsidRPr="00414449">
        <w:rPr>
          <w:rFonts w:ascii="Times New Roman" w:hAnsi="Times New Roman" w:cs="Times New Roman"/>
          <w:sz w:val="20"/>
          <w:lang w:val="en-US"/>
        </w:rPr>
        <w:t>.</w:t>
      </w:r>
    </w:p>
    <w:p w14:paraId="0922192E" w14:textId="12BB6035" w:rsidR="00EB510B" w:rsidRPr="00414449" w:rsidRDefault="00EB510B">
      <w:pPr>
        <w:spacing w:after="200" w:line="276" w:lineRule="auto"/>
        <w:jc w:val="left"/>
        <w:rPr>
          <w:rFonts w:ascii="Times New Roman" w:hAnsi="Times New Roman" w:cs="Times New Roman"/>
          <w:b/>
          <w:i/>
          <w:lang w:val="en-US"/>
        </w:rPr>
      </w:pPr>
      <w:r w:rsidRPr="00414449">
        <w:rPr>
          <w:rFonts w:ascii="Times New Roman" w:hAnsi="Times New Roman" w:cs="Times New Roman"/>
          <w:b/>
          <w:i/>
          <w:lang w:val="en-US"/>
        </w:rPr>
        <w:br w:type="page"/>
      </w:r>
    </w:p>
    <w:p w14:paraId="30B640CD" w14:textId="296864D1" w:rsidR="00EB510B" w:rsidRPr="00414449" w:rsidRDefault="00EB510B" w:rsidP="00B32F86">
      <w:pPr>
        <w:pStyle w:val="Heading2"/>
        <w:rPr>
          <w:rFonts w:ascii="Times New Roman" w:hAnsi="Times New Roman" w:cs="Times New Roman"/>
          <w:i w:val="0"/>
          <w:sz w:val="24"/>
          <w:szCs w:val="24"/>
          <w:lang w:val="en-US"/>
        </w:rPr>
      </w:pPr>
      <w:bookmarkStart w:id="8" w:name="_Toc75346330"/>
      <w:r w:rsidRPr="00414449"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lastRenderedPageBreak/>
        <w:t xml:space="preserve">Supplemental Figure </w:t>
      </w:r>
      <w:r w:rsidR="007C39D0" w:rsidRPr="00414449"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4</w:t>
      </w:r>
      <w:r w:rsidRPr="00414449"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:</w:t>
      </w:r>
      <w:r w:rsidRPr="00414449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Associations between TNFR-1 and TNFR-2 in patients with normoalbuminuria. TNFR-1 is not </w:t>
      </w:r>
      <w:proofErr w:type="gramStart"/>
      <w:r w:rsidRPr="00414449">
        <w:rPr>
          <w:rFonts w:ascii="Times New Roman" w:hAnsi="Times New Roman" w:cs="Times New Roman"/>
          <w:i w:val="0"/>
          <w:sz w:val="24"/>
          <w:szCs w:val="24"/>
          <w:lang w:val="en-US"/>
        </w:rPr>
        <w:t>truncated</w:t>
      </w:r>
      <w:proofErr w:type="gramEnd"/>
      <w:r w:rsidRPr="00414449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and TNFR-2 is truncated at 30.000</w:t>
      </w:r>
      <w:bookmarkEnd w:id="8"/>
    </w:p>
    <w:p w14:paraId="5AE0BC82" w14:textId="77777777" w:rsidR="00EB510B" w:rsidRPr="00414449" w:rsidRDefault="00EB510B" w:rsidP="00EB510B">
      <w:pPr>
        <w:rPr>
          <w:rFonts w:ascii="Times New Roman" w:hAnsi="Times New Roman" w:cs="Times New Roman"/>
          <w:lang w:val="en-US"/>
        </w:rPr>
      </w:pPr>
      <w:r w:rsidRPr="00414449">
        <w:rPr>
          <w:rFonts w:ascii="Times New Roman" w:hAnsi="Times New Roman" w:cs="Times New Roman"/>
          <w:noProof/>
          <w:lang w:eastAsia="nl-NL"/>
        </w:rPr>
        <w:drawing>
          <wp:inline distT="0" distB="0" distL="0" distR="0" wp14:anchorId="1910AC29" wp14:editId="2FA961A2">
            <wp:extent cx="2880000" cy="2880000"/>
            <wp:effectExtent l="0" t="0" r="0" b="0"/>
            <wp:docPr id="9" name="Afbeelding 9" descr="Y:\FAR\Medewerkers\AIO\Simke Waijer\2. Research\7. CANVAS\Data Analysis\Figures\corr_TNFR1_TNFR2_bewerkt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FAR\Medewerkers\AIO\Simke Waijer\2. Research\7. CANVAS\Data Analysis\Figures\corr_TNFR1_TNFR2_bewerkt.e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C9E5D" w14:textId="28A8E4A9" w:rsidR="00EB510B" w:rsidRPr="00414449" w:rsidRDefault="00EB510B" w:rsidP="00EB510B">
      <w:pPr>
        <w:spacing w:line="276" w:lineRule="auto"/>
        <w:rPr>
          <w:rFonts w:ascii="Times New Roman" w:hAnsi="Times New Roman" w:cs="Times New Roman"/>
          <w:sz w:val="20"/>
          <w:lang w:val="en-US"/>
        </w:rPr>
      </w:pPr>
      <w:r w:rsidRPr="00414449">
        <w:rPr>
          <w:rFonts w:ascii="Times New Roman" w:hAnsi="Times New Roman" w:cs="Times New Roman"/>
          <w:sz w:val="20"/>
          <w:lang w:val="en-US"/>
        </w:rPr>
        <w:t>TNFR-1</w:t>
      </w:r>
      <w:r w:rsidR="0019670C" w:rsidRPr="00414449">
        <w:rPr>
          <w:rFonts w:ascii="Times New Roman" w:hAnsi="Times New Roman" w:cs="Times New Roman"/>
          <w:sz w:val="20"/>
          <w:lang w:val="en-US"/>
        </w:rPr>
        <w:t>,</w:t>
      </w:r>
      <w:r w:rsidRPr="00414449">
        <w:rPr>
          <w:rFonts w:ascii="Times New Roman" w:hAnsi="Times New Roman" w:cs="Times New Roman"/>
          <w:sz w:val="20"/>
          <w:lang w:val="en-US"/>
        </w:rPr>
        <w:t xml:space="preserve"> tumor necrosis factor receptor-1; TNFR-2</w:t>
      </w:r>
      <w:r w:rsidR="0019670C" w:rsidRPr="00414449">
        <w:rPr>
          <w:rFonts w:ascii="Times New Roman" w:hAnsi="Times New Roman" w:cs="Times New Roman"/>
          <w:sz w:val="20"/>
          <w:lang w:val="en-US"/>
        </w:rPr>
        <w:t>,</w:t>
      </w:r>
      <w:r w:rsidRPr="00414449">
        <w:rPr>
          <w:rFonts w:ascii="Times New Roman" w:hAnsi="Times New Roman" w:cs="Times New Roman"/>
          <w:sz w:val="20"/>
          <w:lang w:val="en-US"/>
        </w:rPr>
        <w:t xml:space="preserve"> tumor necrosis factor </w:t>
      </w:r>
      <w:r w:rsidR="00934004" w:rsidRPr="00414449">
        <w:rPr>
          <w:rFonts w:ascii="Times New Roman" w:hAnsi="Times New Roman" w:cs="Times New Roman"/>
          <w:sz w:val="20"/>
          <w:lang w:val="en-US"/>
        </w:rPr>
        <w:t>receptor-2</w:t>
      </w:r>
      <w:r w:rsidR="0019670C" w:rsidRPr="00414449">
        <w:rPr>
          <w:rFonts w:ascii="Times New Roman" w:hAnsi="Times New Roman" w:cs="Times New Roman"/>
          <w:sz w:val="20"/>
          <w:lang w:val="en-US"/>
        </w:rPr>
        <w:t>.</w:t>
      </w:r>
    </w:p>
    <w:p w14:paraId="4B445F81" w14:textId="61198A1C" w:rsidR="00742630" w:rsidRPr="00414449" w:rsidRDefault="00742630">
      <w:pPr>
        <w:spacing w:after="200" w:line="276" w:lineRule="auto"/>
        <w:jc w:val="left"/>
        <w:rPr>
          <w:rFonts w:ascii="Times New Roman" w:hAnsi="Times New Roman" w:cs="Times New Roman"/>
          <w:lang w:val="en-US"/>
        </w:rPr>
      </w:pPr>
      <w:r w:rsidRPr="00414449">
        <w:rPr>
          <w:rFonts w:ascii="Times New Roman" w:hAnsi="Times New Roman" w:cs="Times New Roman"/>
          <w:lang w:val="en-US"/>
        </w:rPr>
        <w:br w:type="page"/>
      </w:r>
    </w:p>
    <w:p w14:paraId="0654D67F" w14:textId="24F063BE" w:rsidR="00742630" w:rsidRPr="00414449" w:rsidRDefault="00742630" w:rsidP="00B32F86">
      <w:pPr>
        <w:pStyle w:val="Heading2"/>
        <w:rPr>
          <w:rStyle w:val="Heading2Char"/>
          <w:rFonts w:ascii="Times New Roman" w:hAnsi="Times New Roman" w:cs="Times New Roman"/>
          <w:sz w:val="24"/>
          <w:szCs w:val="24"/>
          <w:lang w:val="en-US"/>
        </w:rPr>
      </w:pPr>
      <w:bookmarkStart w:id="9" w:name="_Toc75346331"/>
      <w:r w:rsidRPr="00414449"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lastRenderedPageBreak/>
        <w:t>Supplemental Figure 5:</w:t>
      </w:r>
      <w:r w:rsidRPr="00414449">
        <w:rPr>
          <w:rStyle w:val="Heading2Char"/>
          <w:rFonts w:ascii="Times New Roman" w:hAnsi="Times New Roman" w:cs="Times New Roman"/>
          <w:sz w:val="24"/>
          <w:szCs w:val="24"/>
          <w:lang w:val="en-US"/>
        </w:rPr>
        <w:t xml:space="preserve"> Effect of prognostic enrichment with </w:t>
      </w:r>
      <w:r w:rsidR="001C7877" w:rsidRPr="00414449">
        <w:rPr>
          <w:rStyle w:val="Heading2Char"/>
          <w:rFonts w:ascii="Times New Roman" w:hAnsi="Times New Roman" w:cs="Times New Roman"/>
          <w:sz w:val="24"/>
          <w:szCs w:val="24"/>
          <w:lang w:val="en-US"/>
        </w:rPr>
        <w:t xml:space="preserve">UACR or </w:t>
      </w:r>
      <w:r w:rsidRPr="00414449">
        <w:rPr>
          <w:rStyle w:val="Heading2Char"/>
          <w:rFonts w:ascii="Times New Roman" w:hAnsi="Times New Roman" w:cs="Times New Roman"/>
          <w:sz w:val="24"/>
          <w:szCs w:val="24"/>
          <w:lang w:val="en-US"/>
        </w:rPr>
        <w:t>KIM-1 on sample size, number of screenings</w:t>
      </w:r>
      <w:r w:rsidR="00BA0E81" w:rsidRPr="00414449">
        <w:rPr>
          <w:rStyle w:val="Heading2Char"/>
          <w:rFonts w:ascii="Times New Roman" w:hAnsi="Times New Roman" w:cs="Times New Roman"/>
          <w:sz w:val="24"/>
          <w:szCs w:val="24"/>
          <w:lang w:val="en-US"/>
        </w:rPr>
        <w:t>,</w:t>
      </w:r>
      <w:r w:rsidRPr="00414449">
        <w:rPr>
          <w:rStyle w:val="Heading2Char"/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BA0E81" w:rsidRPr="00414449">
        <w:rPr>
          <w:rStyle w:val="Heading2Char"/>
          <w:rFonts w:ascii="Times New Roman" w:hAnsi="Times New Roman" w:cs="Times New Roman"/>
          <w:sz w:val="24"/>
          <w:szCs w:val="24"/>
          <w:lang w:val="en-US"/>
        </w:rPr>
        <w:t>d</w:t>
      </w:r>
      <w:r w:rsidRPr="00414449">
        <w:rPr>
          <w:rStyle w:val="Heading2Char"/>
          <w:rFonts w:ascii="Times New Roman" w:hAnsi="Times New Roman" w:cs="Times New Roman"/>
          <w:sz w:val="24"/>
          <w:szCs w:val="24"/>
          <w:lang w:val="en-US"/>
        </w:rPr>
        <w:t xml:space="preserve"> costs for a future trial in the normoalbuminuria population.</w:t>
      </w:r>
      <w:bookmarkEnd w:id="9"/>
    </w:p>
    <w:p w14:paraId="7FB58A9E" w14:textId="638B83AB" w:rsidR="00742630" w:rsidRPr="00414449" w:rsidRDefault="001C7877" w:rsidP="00742630">
      <w:pPr>
        <w:rPr>
          <w:rFonts w:ascii="Times New Roman" w:hAnsi="Times New Roman" w:cs="Times New Roman"/>
          <w:lang w:val="en-US"/>
        </w:rPr>
      </w:pPr>
      <w:r w:rsidRPr="00414449">
        <w:rPr>
          <w:rFonts w:ascii="Times New Roman" w:hAnsi="Times New Roman" w:cs="Times New Roman"/>
          <w:noProof/>
          <w:lang w:eastAsia="nl-NL"/>
        </w:rPr>
        <w:drawing>
          <wp:inline distT="0" distB="0" distL="0" distR="0" wp14:anchorId="6CD5709B" wp14:editId="7515E1FC">
            <wp:extent cx="5762625" cy="4314825"/>
            <wp:effectExtent l="0" t="0" r="9525" b="9525"/>
            <wp:docPr id="3" name="Afbeelding 3" descr="Y:\FAR\Medewerkers\AIO\Simke Waijer\2. Research\7. CANVAS\Manuscript\Version3_diabetescare\Supplemental Figure 5 BioPET_KIM1_bewerkt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FAR\Medewerkers\AIO\Simke Waijer\2. Research\7. CANVAS\Manuscript\Version3_diabetescare\Supplemental Figure 5 BioPET_KIM1_bewerkt.e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1C122" w14:textId="03ED536F" w:rsidR="00742630" w:rsidRPr="00414449" w:rsidRDefault="00742630" w:rsidP="00742630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14449">
        <w:rPr>
          <w:rFonts w:ascii="Times New Roman" w:hAnsi="Times New Roman" w:cs="Times New Roman"/>
          <w:sz w:val="20"/>
          <w:szCs w:val="20"/>
          <w:lang w:val="en-US"/>
        </w:rPr>
        <w:t>UACR</w:t>
      </w:r>
      <w:r w:rsidR="0019670C" w:rsidRPr="00414449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414449">
        <w:rPr>
          <w:rFonts w:ascii="Times New Roman" w:hAnsi="Times New Roman" w:cs="Times New Roman"/>
          <w:sz w:val="20"/>
          <w:szCs w:val="20"/>
          <w:lang w:val="en-US"/>
        </w:rPr>
        <w:t xml:space="preserve"> urinary albumin</w:t>
      </w:r>
      <w:r w:rsidR="003376AD" w:rsidRPr="00414449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3376AD" w:rsidRPr="00414449" w:rsidDel="003376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14449">
        <w:rPr>
          <w:rFonts w:ascii="Times New Roman" w:hAnsi="Times New Roman" w:cs="Times New Roman"/>
          <w:sz w:val="20"/>
          <w:szCs w:val="20"/>
          <w:lang w:val="en-US"/>
        </w:rPr>
        <w:t>creatinine ratio; KIM-1</w:t>
      </w:r>
      <w:r w:rsidR="0019670C" w:rsidRPr="00414449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414449">
        <w:rPr>
          <w:rFonts w:ascii="Times New Roman" w:hAnsi="Times New Roman" w:cs="Times New Roman"/>
          <w:sz w:val="20"/>
          <w:szCs w:val="20"/>
          <w:lang w:val="en-US"/>
        </w:rPr>
        <w:t xml:space="preserve"> kidney injury molecule-1. </w:t>
      </w:r>
    </w:p>
    <w:p w14:paraId="7293D059" w14:textId="63ADD945" w:rsidR="00742630" w:rsidRPr="00414449" w:rsidRDefault="00742630" w:rsidP="00742630">
      <w:pPr>
        <w:rPr>
          <w:rFonts w:ascii="Times New Roman" w:hAnsi="Times New Roman" w:cs="Times New Roman"/>
          <w:lang w:val="en-US"/>
        </w:rPr>
      </w:pPr>
      <w:r w:rsidRPr="00414449">
        <w:rPr>
          <w:rFonts w:ascii="Times New Roman" w:hAnsi="Times New Roman" w:cs="Times New Roman"/>
          <w:lang w:val="en-US"/>
        </w:rPr>
        <w:t xml:space="preserve"> </w:t>
      </w:r>
    </w:p>
    <w:p w14:paraId="2BD4307C" w14:textId="77777777" w:rsidR="00EB510B" w:rsidRPr="00414449" w:rsidRDefault="00EB510B" w:rsidP="00EB510B">
      <w:pPr>
        <w:rPr>
          <w:rFonts w:ascii="Times New Roman" w:hAnsi="Times New Roman" w:cs="Times New Roman"/>
          <w:lang w:val="en-US"/>
        </w:rPr>
      </w:pPr>
    </w:p>
    <w:p w14:paraId="1AF6AD0E" w14:textId="665C1AC0" w:rsidR="007C39D0" w:rsidRPr="00414449" w:rsidRDefault="007C39D0" w:rsidP="009127D2">
      <w:pPr>
        <w:spacing w:after="200" w:line="276" w:lineRule="auto"/>
        <w:jc w:val="left"/>
        <w:rPr>
          <w:rFonts w:ascii="Times New Roman" w:hAnsi="Times New Roman" w:cs="Times New Roman"/>
          <w:b/>
          <w:i/>
          <w:lang w:val="en-US"/>
        </w:rPr>
      </w:pPr>
    </w:p>
    <w:sectPr w:rsidR="007C39D0" w:rsidRPr="00414449" w:rsidSect="00EB5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02BB3" w14:textId="77777777" w:rsidR="007122A8" w:rsidRDefault="007122A8" w:rsidP="00AC7711">
      <w:pPr>
        <w:spacing w:line="240" w:lineRule="auto"/>
      </w:pPr>
      <w:r>
        <w:separator/>
      </w:r>
    </w:p>
  </w:endnote>
  <w:endnote w:type="continuationSeparator" w:id="0">
    <w:p w14:paraId="59F2DE2B" w14:textId="77777777" w:rsidR="007122A8" w:rsidRDefault="007122A8" w:rsidP="00AC77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475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18438A" w14:textId="389C7233" w:rsidR="00FC25F0" w:rsidRDefault="00FC25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49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BD52667" w14:textId="77777777" w:rsidR="00FC25F0" w:rsidRDefault="00FC25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98E90" w14:textId="55D432A5" w:rsidR="00FC25F0" w:rsidRDefault="00FC25F0">
    <w:pPr>
      <w:pStyle w:val="Footer"/>
      <w:jc w:val="right"/>
    </w:pPr>
  </w:p>
  <w:p w14:paraId="1FDF0175" w14:textId="77777777" w:rsidR="00FC25F0" w:rsidRDefault="00FC2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57765" w14:textId="77777777" w:rsidR="007122A8" w:rsidRDefault="007122A8" w:rsidP="00AC7711">
      <w:pPr>
        <w:spacing w:line="240" w:lineRule="auto"/>
      </w:pPr>
      <w:r>
        <w:separator/>
      </w:r>
    </w:p>
  </w:footnote>
  <w:footnote w:type="continuationSeparator" w:id="0">
    <w:p w14:paraId="6C8A3C97" w14:textId="77777777" w:rsidR="007122A8" w:rsidRDefault="007122A8" w:rsidP="00AC77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13A1"/>
    <w:multiLevelType w:val="hybridMultilevel"/>
    <w:tmpl w:val="EEDE514C"/>
    <w:lvl w:ilvl="0" w:tplc="D65C1FA2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07026"/>
    <w:multiLevelType w:val="hybridMultilevel"/>
    <w:tmpl w:val="016E58E0"/>
    <w:lvl w:ilvl="0" w:tplc="61D6CDC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2266"/>
    <w:multiLevelType w:val="multilevel"/>
    <w:tmpl w:val="BC44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9B17B8"/>
    <w:multiLevelType w:val="multilevel"/>
    <w:tmpl w:val="46FE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B071FA"/>
    <w:multiLevelType w:val="hybridMultilevel"/>
    <w:tmpl w:val="0976400A"/>
    <w:lvl w:ilvl="0" w:tplc="39FE36C2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A103A"/>
    <w:multiLevelType w:val="multilevel"/>
    <w:tmpl w:val="427E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EB414A"/>
    <w:multiLevelType w:val="multilevel"/>
    <w:tmpl w:val="C6C8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314743"/>
    <w:multiLevelType w:val="multilevel"/>
    <w:tmpl w:val="2EF4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033480"/>
    <w:multiLevelType w:val="multilevel"/>
    <w:tmpl w:val="A0CE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207AF1"/>
    <w:multiLevelType w:val="multilevel"/>
    <w:tmpl w:val="65D6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B22246"/>
    <w:multiLevelType w:val="multilevel"/>
    <w:tmpl w:val="0488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960DE7"/>
    <w:multiLevelType w:val="hybridMultilevel"/>
    <w:tmpl w:val="26BC70AE"/>
    <w:lvl w:ilvl="0" w:tplc="61A67496">
      <w:start w:val="237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47A0E"/>
    <w:multiLevelType w:val="multilevel"/>
    <w:tmpl w:val="5740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12"/>
  </w:num>
  <w:num w:numId="7">
    <w:abstractNumId w:val="7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JASN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C33F47"/>
    <w:rsid w:val="00000E0B"/>
    <w:rsid w:val="00002627"/>
    <w:rsid w:val="000033EA"/>
    <w:rsid w:val="00013B27"/>
    <w:rsid w:val="00014A0F"/>
    <w:rsid w:val="00015270"/>
    <w:rsid w:val="00016284"/>
    <w:rsid w:val="00024166"/>
    <w:rsid w:val="00024486"/>
    <w:rsid w:val="00025A20"/>
    <w:rsid w:val="00027BBA"/>
    <w:rsid w:val="00032916"/>
    <w:rsid w:val="00036646"/>
    <w:rsid w:val="00037F1B"/>
    <w:rsid w:val="000404ED"/>
    <w:rsid w:val="00042C32"/>
    <w:rsid w:val="000456F5"/>
    <w:rsid w:val="00047527"/>
    <w:rsid w:val="000476DF"/>
    <w:rsid w:val="000519A7"/>
    <w:rsid w:val="00051BF9"/>
    <w:rsid w:val="00051E81"/>
    <w:rsid w:val="000523FE"/>
    <w:rsid w:val="00063518"/>
    <w:rsid w:val="00065310"/>
    <w:rsid w:val="000676BD"/>
    <w:rsid w:val="000679D0"/>
    <w:rsid w:val="00070CA4"/>
    <w:rsid w:val="000716D8"/>
    <w:rsid w:val="0007256B"/>
    <w:rsid w:val="0007262B"/>
    <w:rsid w:val="0007597C"/>
    <w:rsid w:val="000762AF"/>
    <w:rsid w:val="0007714E"/>
    <w:rsid w:val="00080A7C"/>
    <w:rsid w:val="00082956"/>
    <w:rsid w:val="000855B3"/>
    <w:rsid w:val="00092BB7"/>
    <w:rsid w:val="00093CE5"/>
    <w:rsid w:val="00093F33"/>
    <w:rsid w:val="00094F07"/>
    <w:rsid w:val="000A0DC9"/>
    <w:rsid w:val="000A0E0E"/>
    <w:rsid w:val="000A0EF6"/>
    <w:rsid w:val="000A188B"/>
    <w:rsid w:val="000A3873"/>
    <w:rsid w:val="000B1988"/>
    <w:rsid w:val="000B1C0F"/>
    <w:rsid w:val="000B76D4"/>
    <w:rsid w:val="000C00DB"/>
    <w:rsid w:val="000C26FE"/>
    <w:rsid w:val="000C512B"/>
    <w:rsid w:val="000D0980"/>
    <w:rsid w:val="000D1156"/>
    <w:rsid w:val="000D599E"/>
    <w:rsid w:val="000D6C3A"/>
    <w:rsid w:val="000E2A20"/>
    <w:rsid w:val="000E2F96"/>
    <w:rsid w:val="000E38BB"/>
    <w:rsid w:val="000E4B67"/>
    <w:rsid w:val="000E6355"/>
    <w:rsid w:val="000F2DFB"/>
    <w:rsid w:val="000F6E7C"/>
    <w:rsid w:val="000F7936"/>
    <w:rsid w:val="001025D8"/>
    <w:rsid w:val="00105363"/>
    <w:rsid w:val="00110FAA"/>
    <w:rsid w:val="00117BE9"/>
    <w:rsid w:val="0012415E"/>
    <w:rsid w:val="00124869"/>
    <w:rsid w:val="001272E5"/>
    <w:rsid w:val="00132FB9"/>
    <w:rsid w:val="001332BF"/>
    <w:rsid w:val="0013608C"/>
    <w:rsid w:val="00137502"/>
    <w:rsid w:val="001401C5"/>
    <w:rsid w:val="00146CFD"/>
    <w:rsid w:val="00150743"/>
    <w:rsid w:val="00150B2D"/>
    <w:rsid w:val="001514D9"/>
    <w:rsid w:val="00152933"/>
    <w:rsid w:val="00154034"/>
    <w:rsid w:val="0015469F"/>
    <w:rsid w:val="00155026"/>
    <w:rsid w:val="00155469"/>
    <w:rsid w:val="00155A91"/>
    <w:rsid w:val="001607EF"/>
    <w:rsid w:val="00161511"/>
    <w:rsid w:val="001630A0"/>
    <w:rsid w:val="00165F95"/>
    <w:rsid w:val="0016786D"/>
    <w:rsid w:val="001714C5"/>
    <w:rsid w:val="00173327"/>
    <w:rsid w:val="0017377D"/>
    <w:rsid w:val="00173E8C"/>
    <w:rsid w:val="001749C4"/>
    <w:rsid w:val="00175E10"/>
    <w:rsid w:val="00175F52"/>
    <w:rsid w:val="00176DE9"/>
    <w:rsid w:val="00182053"/>
    <w:rsid w:val="0018450A"/>
    <w:rsid w:val="00185DA9"/>
    <w:rsid w:val="00186E4F"/>
    <w:rsid w:val="00187C55"/>
    <w:rsid w:val="001901A4"/>
    <w:rsid w:val="001902B7"/>
    <w:rsid w:val="00191B8D"/>
    <w:rsid w:val="001922C0"/>
    <w:rsid w:val="00193246"/>
    <w:rsid w:val="0019424C"/>
    <w:rsid w:val="00195A4C"/>
    <w:rsid w:val="0019670C"/>
    <w:rsid w:val="001A1CB1"/>
    <w:rsid w:val="001A1D7B"/>
    <w:rsid w:val="001A5170"/>
    <w:rsid w:val="001A6D35"/>
    <w:rsid w:val="001A7D0A"/>
    <w:rsid w:val="001B3ED7"/>
    <w:rsid w:val="001B650C"/>
    <w:rsid w:val="001C7877"/>
    <w:rsid w:val="001D2612"/>
    <w:rsid w:val="001D2CB2"/>
    <w:rsid w:val="001D3EE8"/>
    <w:rsid w:val="001D4147"/>
    <w:rsid w:val="001D494C"/>
    <w:rsid w:val="001D5585"/>
    <w:rsid w:val="001D596F"/>
    <w:rsid w:val="001E59C4"/>
    <w:rsid w:val="001E59F6"/>
    <w:rsid w:val="001F0E9D"/>
    <w:rsid w:val="001F3043"/>
    <w:rsid w:val="001F4055"/>
    <w:rsid w:val="001F46D2"/>
    <w:rsid w:val="001F478F"/>
    <w:rsid w:val="001F566B"/>
    <w:rsid w:val="00202DDA"/>
    <w:rsid w:val="00210335"/>
    <w:rsid w:val="00211445"/>
    <w:rsid w:val="002157F4"/>
    <w:rsid w:val="002162C5"/>
    <w:rsid w:val="002314F8"/>
    <w:rsid w:val="00235A90"/>
    <w:rsid w:val="0024052B"/>
    <w:rsid w:val="00240A55"/>
    <w:rsid w:val="0024161C"/>
    <w:rsid w:val="002431E0"/>
    <w:rsid w:val="00243F54"/>
    <w:rsid w:val="00245F82"/>
    <w:rsid w:val="00251595"/>
    <w:rsid w:val="002559D1"/>
    <w:rsid w:val="00255FDE"/>
    <w:rsid w:val="00260AAD"/>
    <w:rsid w:val="0026262A"/>
    <w:rsid w:val="00264B1B"/>
    <w:rsid w:val="00272BCB"/>
    <w:rsid w:val="00276932"/>
    <w:rsid w:val="00280882"/>
    <w:rsid w:val="002833D6"/>
    <w:rsid w:val="002859D0"/>
    <w:rsid w:val="00286552"/>
    <w:rsid w:val="002871EB"/>
    <w:rsid w:val="00291492"/>
    <w:rsid w:val="0029279B"/>
    <w:rsid w:val="002927F0"/>
    <w:rsid w:val="002943F2"/>
    <w:rsid w:val="002979DE"/>
    <w:rsid w:val="002A04E3"/>
    <w:rsid w:val="002A1149"/>
    <w:rsid w:val="002A3483"/>
    <w:rsid w:val="002A6A0D"/>
    <w:rsid w:val="002B05B9"/>
    <w:rsid w:val="002B0D0F"/>
    <w:rsid w:val="002B2FA1"/>
    <w:rsid w:val="002B43E0"/>
    <w:rsid w:val="002B445E"/>
    <w:rsid w:val="002C1F46"/>
    <w:rsid w:val="002C2D3E"/>
    <w:rsid w:val="002C66E8"/>
    <w:rsid w:val="002D3BA3"/>
    <w:rsid w:val="002D6330"/>
    <w:rsid w:val="002D7CE0"/>
    <w:rsid w:val="002E0501"/>
    <w:rsid w:val="002E0D35"/>
    <w:rsid w:val="002E1265"/>
    <w:rsid w:val="002E5845"/>
    <w:rsid w:val="002E6BF2"/>
    <w:rsid w:val="002E75A7"/>
    <w:rsid w:val="002F0C9A"/>
    <w:rsid w:val="002F67F4"/>
    <w:rsid w:val="00303790"/>
    <w:rsid w:val="0031093A"/>
    <w:rsid w:val="00314DCF"/>
    <w:rsid w:val="00315247"/>
    <w:rsid w:val="00317DB0"/>
    <w:rsid w:val="00323152"/>
    <w:rsid w:val="00325DEC"/>
    <w:rsid w:val="00330634"/>
    <w:rsid w:val="00330F23"/>
    <w:rsid w:val="00331499"/>
    <w:rsid w:val="003339DE"/>
    <w:rsid w:val="003376AD"/>
    <w:rsid w:val="0034762B"/>
    <w:rsid w:val="00350BC7"/>
    <w:rsid w:val="00351441"/>
    <w:rsid w:val="00352DA8"/>
    <w:rsid w:val="003557DE"/>
    <w:rsid w:val="0036179B"/>
    <w:rsid w:val="00362C66"/>
    <w:rsid w:val="00363B17"/>
    <w:rsid w:val="003640FE"/>
    <w:rsid w:val="00366FA6"/>
    <w:rsid w:val="00367D23"/>
    <w:rsid w:val="00370594"/>
    <w:rsid w:val="00372970"/>
    <w:rsid w:val="003737BD"/>
    <w:rsid w:val="0037492F"/>
    <w:rsid w:val="0038213D"/>
    <w:rsid w:val="00385F92"/>
    <w:rsid w:val="0038685B"/>
    <w:rsid w:val="003879BF"/>
    <w:rsid w:val="00393F48"/>
    <w:rsid w:val="003945A5"/>
    <w:rsid w:val="00394B53"/>
    <w:rsid w:val="00395F2C"/>
    <w:rsid w:val="003966C3"/>
    <w:rsid w:val="003A2707"/>
    <w:rsid w:val="003A7447"/>
    <w:rsid w:val="003B0E13"/>
    <w:rsid w:val="003B48B4"/>
    <w:rsid w:val="003B5A8A"/>
    <w:rsid w:val="003C0129"/>
    <w:rsid w:val="003C661E"/>
    <w:rsid w:val="003C7729"/>
    <w:rsid w:val="003D132B"/>
    <w:rsid w:val="003D2672"/>
    <w:rsid w:val="003D4D86"/>
    <w:rsid w:val="003D64E6"/>
    <w:rsid w:val="003E3341"/>
    <w:rsid w:val="003E76F6"/>
    <w:rsid w:val="003F1466"/>
    <w:rsid w:val="003F21D1"/>
    <w:rsid w:val="003F55B4"/>
    <w:rsid w:val="004010F0"/>
    <w:rsid w:val="00403783"/>
    <w:rsid w:val="0040464D"/>
    <w:rsid w:val="00406F79"/>
    <w:rsid w:val="00410773"/>
    <w:rsid w:val="004116E9"/>
    <w:rsid w:val="004136CF"/>
    <w:rsid w:val="00414449"/>
    <w:rsid w:val="0041753D"/>
    <w:rsid w:val="00423886"/>
    <w:rsid w:val="004251C0"/>
    <w:rsid w:val="004305A6"/>
    <w:rsid w:val="00431BB0"/>
    <w:rsid w:val="00431C35"/>
    <w:rsid w:val="0043253C"/>
    <w:rsid w:val="00432A95"/>
    <w:rsid w:val="00434BA5"/>
    <w:rsid w:val="00441B50"/>
    <w:rsid w:val="00442895"/>
    <w:rsid w:val="00442997"/>
    <w:rsid w:val="004469F3"/>
    <w:rsid w:val="00447E7B"/>
    <w:rsid w:val="00452B8F"/>
    <w:rsid w:val="0045372B"/>
    <w:rsid w:val="0046344F"/>
    <w:rsid w:val="004656DD"/>
    <w:rsid w:val="00466663"/>
    <w:rsid w:val="0046698D"/>
    <w:rsid w:val="00471E19"/>
    <w:rsid w:val="00472803"/>
    <w:rsid w:val="004740DC"/>
    <w:rsid w:val="004761CD"/>
    <w:rsid w:val="0048189F"/>
    <w:rsid w:val="00485539"/>
    <w:rsid w:val="00485C73"/>
    <w:rsid w:val="004867EA"/>
    <w:rsid w:val="00487681"/>
    <w:rsid w:val="004900D7"/>
    <w:rsid w:val="00490D0D"/>
    <w:rsid w:val="0049328B"/>
    <w:rsid w:val="00493AFF"/>
    <w:rsid w:val="00493B8B"/>
    <w:rsid w:val="004940A8"/>
    <w:rsid w:val="00496658"/>
    <w:rsid w:val="004A06D7"/>
    <w:rsid w:val="004A0BAF"/>
    <w:rsid w:val="004A0D0B"/>
    <w:rsid w:val="004A34C6"/>
    <w:rsid w:val="004A5501"/>
    <w:rsid w:val="004A7801"/>
    <w:rsid w:val="004B01C2"/>
    <w:rsid w:val="004B0C6F"/>
    <w:rsid w:val="004B3A5B"/>
    <w:rsid w:val="004B46DF"/>
    <w:rsid w:val="004B6567"/>
    <w:rsid w:val="004C4557"/>
    <w:rsid w:val="004C58DE"/>
    <w:rsid w:val="004C7FF9"/>
    <w:rsid w:val="004D3EAB"/>
    <w:rsid w:val="004D71B7"/>
    <w:rsid w:val="004D7A3F"/>
    <w:rsid w:val="004E1036"/>
    <w:rsid w:val="004E1E2E"/>
    <w:rsid w:val="004E3874"/>
    <w:rsid w:val="004E6660"/>
    <w:rsid w:val="004E6F63"/>
    <w:rsid w:val="004F00CE"/>
    <w:rsid w:val="004F0114"/>
    <w:rsid w:val="004F09D0"/>
    <w:rsid w:val="004F5266"/>
    <w:rsid w:val="005023D1"/>
    <w:rsid w:val="00503AAB"/>
    <w:rsid w:val="0050530E"/>
    <w:rsid w:val="00513C9F"/>
    <w:rsid w:val="005238FF"/>
    <w:rsid w:val="0053274E"/>
    <w:rsid w:val="00532DE2"/>
    <w:rsid w:val="00541D03"/>
    <w:rsid w:val="0054306B"/>
    <w:rsid w:val="00547072"/>
    <w:rsid w:val="00554D7E"/>
    <w:rsid w:val="005557E5"/>
    <w:rsid w:val="00556F0D"/>
    <w:rsid w:val="00565D69"/>
    <w:rsid w:val="0056619E"/>
    <w:rsid w:val="00573311"/>
    <w:rsid w:val="00573CD0"/>
    <w:rsid w:val="0057567F"/>
    <w:rsid w:val="00575D12"/>
    <w:rsid w:val="0057675D"/>
    <w:rsid w:val="0059314E"/>
    <w:rsid w:val="0059348B"/>
    <w:rsid w:val="00593B84"/>
    <w:rsid w:val="005940A9"/>
    <w:rsid w:val="005A0A9D"/>
    <w:rsid w:val="005A2733"/>
    <w:rsid w:val="005A5B50"/>
    <w:rsid w:val="005B322F"/>
    <w:rsid w:val="005B5781"/>
    <w:rsid w:val="005C4569"/>
    <w:rsid w:val="005C5A2E"/>
    <w:rsid w:val="005D02D9"/>
    <w:rsid w:val="005D15B1"/>
    <w:rsid w:val="005E0043"/>
    <w:rsid w:val="005E06B6"/>
    <w:rsid w:val="005E089D"/>
    <w:rsid w:val="005E2841"/>
    <w:rsid w:val="005E5331"/>
    <w:rsid w:val="005F1E35"/>
    <w:rsid w:val="005F49D1"/>
    <w:rsid w:val="005F6CA0"/>
    <w:rsid w:val="00600D3B"/>
    <w:rsid w:val="00601EB8"/>
    <w:rsid w:val="00605E54"/>
    <w:rsid w:val="00607026"/>
    <w:rsid w:val="00611064"/>
    <w:rsid w:val="00612446"/>
    <w:rsid w:val="00621E8D"/>
    <w:rsid w:val="006224E3"/>
    <w:rsid w:val="00623950"/>
    <w:rsid w:val="00631406"/>
    <w:rsid w:val="00631924"/>
    <w:rsid w:val="00631BA2"/>
    <w:rsid w:val="00636E9A"/>
    <w:rsid w:val="0064348F"/>
    <w:rsid w:val="00646583"/>
    <w:rsid w:val="00646CD8"/>
    <w:rsid w:val="00650592"/>
    <w:rsid w:val="00650918"/>
    <w:rsid w:val="00653350"/>
    <w:rsid w:val="00653482"/>
    <w:rsid w:val="006577CE"/>
    <w:rsid w:val="006661F1"/>
    <w:rsid w:val="00667049"/>
    <w:rsid w:val="00667E62"/>
    <w:rsid w:val="00667E64"/>
    <w:rsid w:val="006703E1"/>
    <w:rsid w:val="006716AA"/>
    <w:rsid w:val="00672A84"/>
    <w:rsid w:val="006755E9"/>
    <w:rsid w:val="00682343"/>
    <w:rsid w:val="0068338B"/>
    <w:rsid w:val="006860DC"/>
    <w:rsid w:val="0068707A"/>
    <w:rsid w:val="00692C16"/>
    <w:rsid w:val="00693D02"/>
    <w:rsid w:val="0069635F"/>
    <w:rsid w:val="006A1253"/>
    <w:rsid w:val="006A5822"/>
    <w:rsid w:val="006A70B8"/>
    <w:rsid w:val="006B3890"/>
    <w:rsid w:val="006B3E5F"/>
    <w:rsid w:val="006B5765"/>
    <w:rsid w:val="006C364C"/>
    <w:rsid w:val="006C407E"/>
    <w:rsid w:val="006C570F"/>
    <w:rsid w:val="006C7130"/>
    <w:rsid w:val="006D07F3"/>
    <w:rsid w:val="006D154D"/>
    <w:rsid w:val="006D18EC"/>
    <w:rsid w:val="006D2183"/>
    <w:rsid w:val="006D3117"/>
    <w:rsid w:val="006E020B"/>
    <w:rsid w:val="006E2AF4"/>
    <w:rsid w:val="006E4B61"/>
    <w:rsid w:val="006E56AC"/>
    <w:rsid w:val="006F3777"/>
    <w:rsid w:val="006F4999"/>
    <w:rsid w:val="006F7435"/>
    <w:rsid w:val="007054EE"/>
    <w:rsid w:val="0070672B"/>
    <w:rsid w:val="00707D97"/>
    <w:rsid w:val="007122A8"/>
    <w:rsid w:val="00715339"/>
    <w:rsid w:val="00715B79"/>
    <w:rsid w:val="00720716"/>
    <w:rsid w:val="007210DA"/>
    <w:rsid w:val="00722472"/>
    <w:rsid w:val="007234BC"/>
    <w:rsid w:val="00727766"/>
    <w:rsid w:val="00727F20"/>
    <w:rsid w:val="00731732"/>
    <w:rsid w:val="007319A9"/>
    <w:rsid w:val="00733B5E"/>
    <w:rsid w:val="00733F53"/>
    <w:rsid w:val="007353FA"/>
    <w:rsid w:val="0073695B"/>
    <w:rsid w:val="007371C8"/>
    <w:rsid w:val="00742630"/>
    <w:rsid w:val="00742ABC"/>
    <w:rsid w:val="00742D60"/>
    <w:rsid w:val="00755EC6"/>
    <w:rsid w:val="00756F0E"/>
    <w:rsid w:val="00762EAE"/>
    <w:rsid w:val="00763A50"/>
    <w:rsid w:val="007645B3"/>
    <w:rsid w:val="0076729B"/>
    <w:rsid w:val="00770196"/>
    <w:rsid w:val="00770342"/>
    <w:rsid w:val="0077172D"/>
    <w:rsid w:val="0078552B"/>
    <w:rsid w:val="00787E2B"/>
    <w:rsid w:val="007918F4"/>
    <w:rsid w:val="00793CCA"/>
    <w:rsid w:val="0079493E"/>
    <w:rsid w:val="00794B26"/>
    <w:rsid w:val="0079624C"/>
    <w:rsid w:val="00797489"/>
    <w:rsid w:val="00797610"/>
    <w:rsid w:val="007A0310"/>
    <w:rsid w:val="007A0A92"/>
    <w:rsid w:val="007A35C6"/>
    <w:rsid w:val="007A6F3F"/>
    <w:rsid w:val="007B0AD3"/>
    <w:rsid w:val="007B0B68"/>
    <w:rsid w:val="007B1561"/>
    <w:rsid w:val="007B3EDA"/>
    <w:rsid w:val="007B40D6"/>
    <w:rsid w:val="007C3185"/>
    <w:rsid w:val="007C39D0"/>
    <w:rsid w:val="007C44DA"/>
    <w:rsid w:val="007C48D1"/>
    <w:rsid w:val="007C5A90"/>
    <w:rsid w:val="007D1DA6"/>
    <w:rsid w:val="007D7301"/>
    <w:rsid w:val="007E2519"/>
    <w:rsid w:val="007E517E"/>
    <w:rsid w:val="007E6DF7"/>
    <w:rsid w:val="007F0A51"/>
    <w:rsid w:val="007F1F3F"/>
    <w:rsid w:val="007F24EF"/>
    <w:rsid w:val="007F25D0"/>
    <w:rsid w:val="007F54CB"/>
    <w:rsid w:val="00802EBC"/>
    <w:rsid w:val="00804CE8"/>
    <w:rsid w:val="00807A48"/>
    <w:rsid w:val="008109EF"/>
    <w:rsid w:val="00811768"/>
    <w:rsid w:val="0081399E"/>
    <w:rsid w:val="00813A12"/>
    <w:rsid w:val="00814281"/>
    <w:rsid w:val="008172CC"/>
    <w:rsid w:val="00817C03"/>
    <w:rsid w:val="00820795"/>
    <w:rsid w:val="00822783"/>
    <w:rsid w:val="008236CC"/>
    <w:rsid w:val="00824641"/>
    <w:rsid w:val="0083008A"/>
    <w:rsid w:val="0083171F"/>
    <w:rsid w:val="008327B7"/>
    <w:rsid w:val="00840FC5"/>
    <w:rsid w:val="008474EF"/>
    <w:rsid w:val="00850295"/>
    <w:rsid w:val="00851385"/>
    <w:rsid w:val="00855DCA"/>
    <w:rsid w:val="00865AE6"/>
    <w:rsid w:val="00867EAD"/>
    <w:rsid w:val="00871887"/>
    <w:rsid w:val="00872F8F"/>
    <w:rsid w:val="0087322E"/>
    <w:rsid w:val="008847A4"/>
    <w:rsid w:val="00892DD0"/>
    <w:rsid w:val="00892F9F"/>
    <w:rsid w:val="0089312A"/>
    <w:rsid w:val="0089337B"/>
    <w:rsid w:val="008A1BD7"/>
    <w:rsid w:val="008A3904"/>
    <w:rsid w:val="008A7FD2"/>
    <w:rsid w:val="008B49BF"/>
    <w:rsid w:val="008B4CA7"/>
    <w:rsid w:val="008B7B1E"/>
    <w:rsid w:val="008C2412"/>
    <w:rsid w:val="008C2D57"/>
    <w:rsid w:val="008C39CA"/>
    <w:rsid w:val="008D0E67"/>
    <w:rsid w:val="008D1591"/>
    <w:rsid w:val="008D32C1"/>
    <w:rsid w:val="008D5E7C"/>
    <w:rsid w:val="008E120F"/>
    <w:rsid w:val="008E4D6B"/>
    <w:rsid w:val="008F4BB8"/>
    <w:rsid w:val="008F7980"/>
    <w:rsid w:val="00902F3E"/>
    <w:rsid w:val="00905083"/>
    <w:rsid w:val="0090509D"/>
    <w:rsid w:val="00905F24"/>
    <w:rsid w:val="00910700"/>
    <w:rsid w:val="009107EB"/>
    <w:rsid w:val="009124D4"/>
    <w:rsid w:val="009127D2"/>
    <w:rsid w:val="009153DD"/>
    <w:rsid w:val="009312CC"/>
    <w:rsid w:val="00933F6E"/>
    <w:rsid w:val="00934004"/>
    <w:rsid w:val="00935B25"/>
    <w:rsid w:val="009362EF"/>
    <w:rsid w:val="009368D8"/>
    <w:rsid w:val="009502A8"/>
    <w:rsid w:val="0095234C"/>
    <w:rsid w:val="00954F4A"/>
    <w:rsid w:val="00956BAF"/>
    <w:rsid w:val="00956DB1"/>
    <w:rsid w:val="0095748B"/>
    <w:rsid w:val="009609A9"/>
    <w:rsid w:val="00961E80"/>
    <w:rsid w:val="009652C2"/>
    <w:rsid w:val="009654FD"/>
    <w:rsid w:val="00966B48"/>
    <w:rsid w:val="0096791E"/>
    <w:rsid w:val="009757D3"/>
    <w:rsid w:val="009763FB"/>
    <w:rsid w:val="00981579"/>
    <w:rsid w:val="0098170A"/>
    <w:rsid w:val="009830E2"/>
    <w:rsid w:val="00987037"/>
    <w:rsid w:val="00990070"/>
    <w:rsid w:val="00990668"/>
    <w:rsid w:val="00997503"/>
    <w:rsid w:val="009979D9"/>
    <w:rsid w:val="009A1675"/>
    <w:rsid w:val="009A2195"/>
    <w:rsid w:val="009A2312"/>
    <w:rsid w:val="009A3029"/>
    <w:rsid w:val="009A4855"/>
    <w:rsid w:val="009A5FFF"/>
    <w:rsid w:val="009B2529"/>
    <w:rsid w:val="009B2556"/>
    <w:rsid w:val="009B2E8B"/>
    <w:rsid w:val="009C3BAF"/>
    <w:rsid w:val="009C6057"/>
    <w:rsid w:val="009C6A24"/>
    <w:rsid w:val="009D0671"/>
    <w:rsid w:val="009D1E5E"/>
    <w:rsid w:val="009D3BAF"/>
    <w:rsid w:val="009E11CB"/>
    <w:rsid w:val="009E578B"/>
    <w:rsid w:val="009F148F"/>
    <w:rsid w:val="00A02C95"/>
    <w:rsid w:val="00A03849"/>
    <w:rsid w:val="00A03B73"/>
    <w:rsid w:val="00A046E0"/>
    <w:rsid w:val="00A10600"/>
    <w:rsid w:val="00A134F5"/>
    <w:rsid w:val="00A15C78"/>
    <w:rsid w:val="00A162EB"/>
    <w:rsid w:val="00A16B16"/>
    <w:rsid w:val="00A204DF"/>
    <w:rsid w:val="00A20FCA"/>
    <w:rsid w:val="00A22A84"/>
    <w:rsid w:val="00A25832"/>
    <w:rsid w:val="00A32A3E"/>
    <w:rsid w:val="00A3383E"/>
    <w:rsid w:val="00A37A7E"/>
    <w:rsid w:val="00A40E0D"/>
    <w:rsid w:val="00A46F51"/>
    <w:rsid w:val="00A50890"/>
    <w:rsid w:val="00A5175C"/>
    <w:rsid w:val="00A53207"/>
    <w:rsid w:val="00A577C7"/>
    <w:rsid w:val="00A60C19"/>
    <w:rsid w:val="00A64FA1"/>
    <w:rsid w:val="00A71C84"/>
    <w:rsid w:val="00A74E49"/>
    <w:rsid w:val="00A75745"/>
    <w:rsid w:val="00A76161"/>
    <w:rsid w:val="00A82450"/>
    <w:rsid w:val="00A86531"/>
    <w:rsid w:val="00A8751D"/>
    <w:rsid w:val="00A90045"/>
    <w:rsid w:val="00A912AA"/>
    <w:rsid w:val="00A96047"/>
    <w:rsid w:val="00A97EE1"/>
    <w:rsid w:val="00AA2012"/>
    <w:rsid w:val="00AA26F7"/>
    <w:rsid w:val="00AA29E6"/>
    <w:rsid w:val="00AA4113"/>
    <w:rsid w:val="00AA6E82"/>
    <w:rsid w:val="00AB0155"/>
    <w:rsid w:val="00AB62CB"/>
    <w:rsid w:val="00AB7236"/>
    <w:rsid w:val="00AC385B"/>
    <w:rsid w:val="00AC45A1"/>
    <w:rsid w:val="00AC4720"/>
    <w:rsid w:val="00AC7711"/>
    <w:rsid w:val="00AD238F"/>
    <w:rsid w:val="00AE0997"/>
    <w:rsid w:val="00AE6877"/>
    <w:rsid w:val="00AE6A3C"/>
    <w:rsid w:val="00AF0914"/>
    <w:rsid w:val="00AF1700"/>
    <w:rsid w:val="00AF204E"/>
    <w:rsid w:val="00AF2DCE"/>
    <w:rsid w:val="00AF4ECB"/>
    <w:rsid w:val="00AF70C9"/>
    <w:rsid w:val="00B0120C"/>
    <w:rsid w:val="00B07585"/>
    <w:rsid w:val="00B0778D"/>
    <w:rsid w:val="00B1038D"/>
    <w:rsid w:val="00B1042A"/>
    <w:rsid w:val="00B116D1"/>
    <w:rsid w:val="00B11B6E"/>
    <w:rsid w:val="00B14B24"/>
    <w:rsid w:val="00B1525A"/>
    <w:rsid w:val="00B15986"/>
    <w:rsid w:val="00B15B9D"/>
    <w:rsid w:val="00B173FD"/>
    <w:rsid w:val="00B174D1"/>
    <w:rsid w:val="00B202D5"/>
    <w:rsid w:val="00B20867"/>
    <w:rsid w:val="00B225A8"/>
    <w:rsid w:val="00B229D6"/>
    <w:rsid w:val="00B252F7"/>
    <w:rsid w:val="00B269B6"/>
    <w:rsid w:val="00B3214B"/>
    <w:rsid w:val="00B3238E"/>
    <w:rsid w:val="00B32F86"/>
    <w:rsid w:val="00B3383C"/>
    <w:rsid w:val="00B34C71"/>
    <w:rsid w:val="00B35F0F"/>
    <w:rsid w:val="00B37EF3"/>
    <w:rsid w:val="00B402F5"/>
    <w:rsid w:val="00B409C3"/>
    <w:rsid w:val="00B45BC0"/>
    <w:rsid w:val="00B505D0"/>
    <w:rsid w:val="00B517E1"/>
    <w:rsid w:val="00B549CA"/>
    <w:rsid w:val="00B57D39"/>
    <w:rsid w:val="00B610D4"/>
    <w:rsid w:val="00B61223"/>
    <w:rsid w:val="00B6214F"/>
    <w:rsid w:val="00B70124"/>
    <w:rsid w:val="00B7390B"/>
    <w:rsid w:val="00B74B96"/>
    <w:rsid w:val="00B7609B"/>
    <w:rsid w:val="00B82E35"/>
    <w:rsid w:val="00B855F9"/>
    <w:rsid w:val="00B862FE"/>
    <w:rsid w:val="00B869FA"/>
    <w:rsid w:val="00B87575"/>
    <w:rsid w:val="00B90A9B"/>
    <w:rsid w:val="00B911E4"/>
    <w:rsid w:val="00B95015"/>
    <w:rsid w:val="00BA0E81"/>
    <w:rsid w:val="00BA1146"/>
    <w:rsid w:val="00BA21D7"/>
    <w:rsid w:val="00BA307D"/>
    <w:rsid w:val="00BB25A8"/>
    <w:rsid w:val="00BB29BF"/>
    <w:rsid w:val="00BB52CA"/>
    <w:rsid w:val="00BC0061"/>
    <w:rsid w:val="00BC48E8"/>
    <w:rsid w:val="00BC490F"/>
    <w:rsid w:val="00BC7D3A"/>
    <w:rsid w:val="00BD072A"/>
    <w:rsid w:val="00BD13E8"/>
    <w:rsid w:val="00BD6DA2"/>
    <w:rsid w:val="00BE1B95"/>
    <w:rsid w:val="00BF0FA6"/>
    <w:rsid w:val="00BF2700"/>
    <w:rsid w:val="00BF2EBC"/>
    <w:rsid w:val="00BF41E8"/>
    <w:rsid w:val="00BF4E3C"/>
    <w:rsid w:val="00C006B1"/>
    <w:rsid w:val="00C04795"/>
    <w:rsid w:val="00C07530"/>
    <w:rsid w:val="00C128F2"/>
    <w:rsid w:val="00C13516"/>
    <w:rsid w:val="00C13AE0"/>
    <w:rsid w:val="00C140D4"/>
    <w:rsid w:val="00C20CB2"/>
    <w:rsid w:val="00C211E2"/>
    <w:rsid w:val="00C33F47"/>
    <w:rsid w:val="00C3424F"/>
    <w:rsid w:val="00C346FA"/>
    <w:rsid w:val="00C3680D"/>
    <w:rsid w:val="00C36AC0"/>
    <w:rsid w:val="00C400F3"/>
    <w:rsid w:val="00C42DD5"/>
    <w:rsid w:val="00C43161"/>
    <w:rsid w:val="00C4393F"/>
    <w:rsid w:val="00C46D40"/>
    <w:rsid w:val="00C502F4"/>
    <w:rsid w:val="00C50564"/>
    <w:rsid w:val="00C50DA0"/>
    <w:rsid w:val="00C56555"/>
    <w:rsid w:val="00C57A4F"/>
    <w:rsid w:val="00C60424"/>
    <w:rsid w:val="00C63A4C"/>
    <w:rsid w:val="00C64B3D"/>
    <w:rsid w:val="00C74548"/>
    <w:rsid w:val="00C75953"/>
    <w:rsid w:val="00C76499"/>
    <w:rsid w:val="00C77AD7"/>
    <w:rsid w:val="00C829A8"/>
    <w:rsid w:val="00C82BC6"/>
    <w:rsid w:val="00C83A65"/>
    <w:rsid w:val="00C84D2B"/>
    <w:rsid w:val="00C903A3"/>
    <w:rsid w:val="00C937E9"/>
    <w:rsid w:val="00C94308"/>
    <w:rsid w:val="00C967B5"/>
    <w:rsid w:val="00CA084F"/>
    <w:rsid w:val="00CA4E22"/>
    <w:rsid w:val="00CA5198"/>
    <w:rsid w:val="00CB4301"/>
    <w:rsid w:val="00CB7F55"/>
    <w:rsid w:val="00CD445B"/>
    <w:rsid w:val="00CD58BF"/>
    <w:rsid w:val="00CD743E"/>
    <w:rsid w:val="00CD7D68"/>
    <w:rsid w:val="00CE15F4"/>
    <w:rsid w:val="00CE25F4"/>
    <w:rsid w:val="00CE6BEE"/>
    <w:rsid w:val="00CE6DB4"/>
    <w:rsid w:val="00CE7C19"/>
    <w:rsid w:val="00CF4DC2"/>
    <w:rsid w:val="00CF73C7"/>
    <w:rsid w:val="00D02ACB"/>
    <w:rsid w:val="00D04AAB"/>
    <w:rsid w:val="00D059AB"/>
    <w:rsid w:val="00D062AB"/>
    <w:rsid w:val="00D10D07"/>
    <w:rsid w:val="00D12B91"/>
    <w:rsid w:val="00D13413"/>
    <w:rsid w:val="00D174CC"/>
    <w:rsid w:val="00D178C8"/>
    <w:rsid w:val="00D22437"/>
    <w:rsid w:val="00D24920"/>
    <w:rsid w:val="00D259E7"/>
    <w:rsid w:val="00D261CD"/>
    <w:rsid w:val="00D26672"/>
    <w:rsid w:val="00D356AF"/>
    <w:rsid w:val="00D409F7"/>
    <w:rsid w:val="00D40EFF"/>
    <w:rsid w:val="00D442C0"/>
    <w:rsid w:val="00D447AD"/>
    <w:rsid w:val="00D46332"/>
    <w:rsid w:val="00D53421"/>
    <w:rsid w:val="00D54E19"/>
    <w:rsid w:val="00D55B5A"/>
    <w:rsid w:val="00D60BA4"/>
    <w:rsid w:val="00D61FA3"/>
    <w:rsid w:val="00D639B1"/>
    <w:rsid w:val="00D64097"/>
    <w:rsid w:val="00D708C8"/>
    <w:rsid w:val="00D81572"/>
    <w:rsid w:val="00D82935"/>
    <w:rsid w:val="00D97679"/>
    <w:rsid w:val="00DA0570"/>
    <w:rsid w:val="00DA5681"/>
    <w:rsid w:val="00DB098F"/>
    <w:rsid w:val="00DB1702"/>
    <w:rsid w:val="00DB1895"/>
    <w:rsid w:val="00DB1E57"/>
    <w:rsid w:val="00DC0779"/>
    <w:rsid w:val="00DC29A6"/>
    <w:rsid w:val="00DC352C"/>
    <w:rsid w:val="00DC5C0D"/>
    <w:rsid w:val="00DC72F3"/>
    <w:rsid w:val="00DD20E7"/>
    <w:rsid w:val="00DD27E7"/>
    <w:rsid w:val="00DD35FD"/>
    <w:rsid w:val="00DD42F2"/>
    <w:rsid w:val="00DD54F7"/>
    <w:rsid w:val="00DE1223"/>
    <w:rsid w:val="00DE188E"/>
    <w:rsid w:val="00DE20B0"/>
    <w:rsid w:val="00DE44A8"/>
    <w:rsid w:val="00DE4EFF"/>
    <w:rsid w:val="00DE66FD"/>
    <w:rsid w:val="00DF0096"/>
    <w:rsid w:val="00DF1709"/>
    <w:rsid w:val="00DF2B39"/>
    <w:rsid w:val="00DF71E2"/>
    <w:rsid w:val="00E006D9"/>
    <w:rsid w:val="00E016CF"/>
    <w:rsid w:val="00E076B7"/>
    <w:rsid w:val="00E16973"/>
    <w:rsid w:val="00E242E0"/>
    <w:rsid w:val="00E244F1"/>
    <w:rsid w:val="00E254E9"/>
    <w:rsid w:val="00E27C6B"/>
    <w:rsid w:val="00E32D55"/>
    <w:rsid w:val="00E337E4"/>
    <w:rsid w:val="00E33B93"/>
    <w:rsid w:val="00E33CDD"/>
    <w:rsid w:val="00E34B3C"/>
    <w:rsid w:val="00E34E4C"/>
    <w:rsid w:val="00E3702D"/>
    <w:rsid w:val="00E409E9"/>
    <w:rsid w:val="00E430AC"/>
    <w:rsid w:val="00E47569"/>
    <w:rsid w:val="00E5289B"/>
    <w:rsid w:val="00E53017"/>
    <w:rsid w:val="00E54DB6"/>
    <w:rsid w:val="00E560DF"/>
    <w:rsid w:val="00E56551"/>
    <w:rsid w:val="00E57388"/>
    <w:rsid w:val="00E60E89"/>
    <w:rsid w:val="00E639FA"/>
    <w:rsid w:val="00E6428A"/>
    <w:rsid w:val="00E705D7"/>
    <w:rsid w:val="00E7675F"/>
    <w:rsid w:val="00E779F5"/>
    <w:rsid w:val="00E8011E"/>
    <w:rsid w:val="00E82265"/>
    <w:rsid w:val="00E86182"/>
    <w:rsid w:val="00E862B1"/>
    <w:rsid w:val="00E87CD7"/>
    <w:rsid w:val="00E9037D"/>
    <w:rsid w:val="00E90F8B"/>
    <w:rsid w:val="00E9145A"/>
    <w:rsid w:val="00E91696"/>
    <w:rsid w:val="00EA01A2"/>
    <w:rsid w:val="00EA7629"/>
    <w:rsid w:val="00EB510B"/>
    <w:rsid w:val="00EB7716"/>
    <w:rsid w:val="00EC0056"/>
    <w:rsid w:val="00EC3751"/>
    <w:rsid w:val="00EC3D41"/>
    <w:rsid w:val="00EC6F7A"/>
    <w:rsid w:val="00ED6016"/>
    <w:rsid w:val="00ED70E8"/>
    <w:rsid w:val="00EE1833"/>
    <w:rsid w:val="00EE1A40"/>
    <w:rsid w:val="00EE2D7D"/>
    <w:rsid w:val="00EE2F80"/>
    <w:rsid w:val="00EE5568"/>
    <w:rsid w:val="00EE710E"/>
    <w:rsid w:val="00EF2506"/>
    <w:rsid w:val="00EF4460"/>
    <w:rsid w:val="00EF58B4"/>
    <w:rsid w:val="00EF78CF"/>
    <w:rsid w:val="00F0298D"/>
    <w:rsid w:val="00F059D7"/>
    <w:rsid w:val="00F10EA2"/>
    <w:rsid w:val="00F14317"/>
    <w:rsid w:val="00F26345"/>
    <w:rsid w:val="00F27E07"/>
    <w:rsid w:val="00F30719"/>
    <w:rsid w:val="00F30B3C"/>
    <w:rsid w:val="00F400D8"/>
    <w:rsid w:val="00F41A08"/>
    <w:rsid w:val="00F424F3"/>
    <w:rsid w:val="00F44193"/>
    <w:rsid w:val="00F45004"/>
    <w:rsid w:val="00F45A66"/>
    <w:rsid w:val="00F4606B"/>
    <w:rsid w:val="00F46A97"/>
    <w:rsid w:val="00F47BAA"/>
    <w:rsid w:val="00F50624"/>
    <w:rsid w:val="00F5085D"/>
    <w:rsid w:val="00F5140C"/>
    <w:rsid w:val="00F5250C"/>
    <w:rsid w:val="00F533AF"/>
    <w:rsid w:val="00F53A2C"/>
    <w:rsid w:val="00F541A6"/>
    <w:rsid w:val="00F55733"/>
    <w:rsid w:val="00F56382"/>
    <w:rsid w:val="00F636B7"/>
    <w:rsid w:val="00F64458"/>
    <w:rsid w:val="00F7096E"/>
    <w:rsid w:val="00F71493"/>
    <w:rsid w:val="00F75361"/>
    <w:rsid w:val="00F80027"/>
    <w:rsid w:val="00F826DB"/>
    <w:rsid w:val="00F82F16"/>
    <w:rsid w:val="00F87EF5"/>
    <w:rsid w:val="00F93927"/>
    <w:rsid w:val="00F965FF"/>
    <w:rsid w:val="00F96B1F"/>
    <w:rsid w:val="00FA103B"/>
    <w:rsid w:val="00FA346D"/>
    <w:rsid w:val="00FA5B86"/>
    <w:rsid w:val="00FA6724"/>
    <w:rsid w:val="00FA6EBE"/>
    <w:rsid w:val="00FB1110"/>
    <w:rsid w:val="00FB1FA3"/>
    <w:rsid w:val="00FB3B65"/>
    <w:rsid w:val="00FB5BC1"/>
    <w:rsid w:val="00FC1F50"/>
    <w:rsid w:val="00FC22B3"/>
    <w:rsid w:val="00FC25F0"/>
    <w:rsid w:val="00FD008B"/>
    <w:rsid w:val="00FD1768"/>
    <w:rsid w:val="00FD194A"/>
    <w:rsid w:val="00FD202E"/>
    <w:rsid w:val="00FD2F84"/>
    <w:rsid w:val="00FD52AE"/>
    <w:rsid w:val="00FE06BB"/>
    <w:rsid w:val="00FE0900"/>
    <w:rsid w:val="00FE472F"/>
    <w:rsid w:val="00FE47D9"/>
    <w:rsid w:val="00FE5535"/>
    <w:rsid w:val="00FF12B4"/>
    <w:rsid w:val="00FF2060"/>
    <w:rsid w:val="00FF2AB8"/>
    <w:rsid w:val="00FF6466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84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2C0"/>
    <w:pPr>
      <w:spacing w:after="0" w:line="36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A7C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2C0"/>
    <w:pPr>
      <w:keepNext/>
      <w:keepLines/>
      <w:spacing w:before="240"/>
      <w:outlineLvl w:val="1"/>
    </w:pPr>
    <w:rPr>
      <w:rFonts w:eastAsiaTheme="majorEastAsia" w:cstheme="majorBidi"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6D7"/>
    <w:pPr>
      <w:keepNext/>
      <w:keepLines/>
      <w:spacing w:before="200"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10F0"/>
    <w:pPr>
      <w:spacing w:after="0" w:line="360" w:lineRule="auto"/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52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442C0"/>
    <w:rPr>
      <w:rFonts w:ascii="Arial" w:eastAsiaTheme="majorEastAsia" w:hAnsi="Arial" w:cstheme="majorBidi"/>
      <w:bCs/>
      <w:i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80A7C"/>
    <w:rPr>
      <w:rFonts w:ascii="Arial" w:eastAsiaTheme="majorEastAsia" w:hAnsi="Arial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762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71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71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C771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711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15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5C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5C7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C78"/>
    <w:rPr>
      <w:rFonts w:ascii="Arial" w:hAnsi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A06D7"/>
    <w:rPr>
      <w:rFonts w:ascii="Arial" w:eastAsiaTheme="majorEastAsia" w:hAnsi="Arial" w:cstheme="majorBidi"/>
      <w:bCs/>
    </w:rPr>
  </w:style>
  <w:style w:type="character" w:styleId="Hyperlink">
    <w:name w:val="Hyperlink"/>
    <w:basedOn w:val="DefaultParagraphFont"/>
    <w:uiPriority w:val="99"/>
    <w:unhideWhenUsed/>
    <w:rsid w:val="00A60C1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D7D68"/>
    <w:pPr>
      <w:spacing w:after="0" w:line="240" w:lineRule="auto"/>
    </w:pPr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D53421"/>
    <w:pPr>
      <w:spacing w:line="240" w:lineRule="auto"/>
      <w:jc w:val="left"/>
    </w:pPr>
    <w:rPr>
      <w:rFonts w:ascii="Times New Roman" w:hAnsi="Times New Roman" w:cs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C346FA"/>
    <w:rPr>
      <w:b/>
      <w:bCs/>
    </w:rPr>
  </w:style>
  <w:style w:type="character" w:styleId="Emphasis">
    <w:name w:val="Emphasis"/>
    <w:basedOn w:val="DefaultParagraphFont"/>
    <w:uiPriority w:val="20"/>
    <w:qFormat/>
    <w:rsid w:val="002979DE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5F9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240A55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40A55"/>
    <w:pPr>
      <w:tabs>
        <w:tab w:val="right" w:leader="dot" w:pos="9062"/>
      </w:tabs>
      <w:spacing w:after="100"/>
    </w:pPr>
    <w:rPr>
      <w:rFonts w:ascii="Times New Roman" w:hAnsi="Times New Roman" w:cs="Times New Roman"/>
      <w:bCs/>
      <w:iCs/>
      <w:noProof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40A55"/>
    <w:pPr>
      <w:spacing w:after="100"/>
      <w:ind w:left="220"/>
    </w:p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216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E17C0-4977-42E0-8ACE-D82F018C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1683</Words>
  <Characters>9598</Characters>
  <Application>Microsoft Office Word</Application>
  <DocSecurity>0</DocSecurity>
  <Lines>79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2021-11-16T23:35:00Z</dcterms:created>
  <dcterms:modified xsi:type="dcterms:W3CDTF">2021-11-16T23:35:00Z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http://www.zotero.org/styles/american-journal-of-nephrology</vt:lpwstr>
  </property>
  <property fmtid="{D5CDD505-2E9C-101B-9397-08002B2CF9AE}" pid="3" name="Mendeley Recent Style Name 0_1">
    <vt:lpwstr>American Journal of Nephrology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http://www.zotero.org/styles/harvard1</vt:lpwstr>
  </property>
  <property fmtid="{D5CDD505-2E9C-101B-9397-08002B2CF9AE}" pid="7" name="Mendeley Recent Style Name 2_1">
    <vt:lpwstr>Harvard reference format 1 (deprecated)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http://www.zotero.org/styles/journal-of-the-american-society-of-nephrology</vt:lpwstr>
  </property>
  <property fmtid="{D5CDD505-2E9C-101B-9397-08002B2CF9AE}" pid="11" name="Mendeley Recent Style Name 4_1">
    <vt:lpwstr>Journal of the American Society of Nephrology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http://csl.mendeley.com/styles/272499631/vancouver-3</vt:lpwstr>
  </property>
  <property fmtid="{D5CDD505-2E9C-101B-9397-08002B2CF9AE}" pid="21" name="Mendeley Recent Style Name 9_1">
    <vt:lpwstr>Vancouver - SW - Simke Waijer</vt:lpwstr>
  </property>
</Properties>
</file>